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2D1D52" w:rsidP="00332EF5">
      <w:pPr>
        <w:spacing w:after="0"/>
        <w:jc w:val="center"/>
        <w:rPr>
          <w:b/>
        </w:rPr>
      </w:pPr>
      <w:bookmarkStart w:id="0" w:name="_GoBack"/>
      <w:bookmarkEnd w:id="0"/>
      <w:r w:rsidRPr="00332EF5">
        <w:rPr>
          <w:b/>
        </w:rPr>
        <w:t>QAPP Worksheet #1</w:t>
      </w:r>
      <w:r w:rsidR="00342920">
        <w:rPr>
          <w:b/>
        </w:rPr>
        <w:t>8</w:t>
      </w:r>
      <w:r w:rsidR="005B1636">
        <w:rPr>
          <w:b/>
        </w:rPr>
        <w:t>:</w:t>
      </w:r>
      <w:r w:rsidR="002C5EF6">
        <w:rPr>
          <w:b/>
        </w:rPr>
        <w:t xml:space="preserve"> </w:t>
      </w:r>
      <w:r w:rsidR="00EF6842">
        <w:rPr>
          <w:b/>
        </w:rPr>
        <w:t xml:space="preserve">Sampling </w:t>
      </w:r>
      <w:r w:rsidR="00342920">
        <w:rPr>
          <w:b/>
        </w:rPr>
        <w:t>Locations</w:t>
      </w:r>
      <w:r w:rsidR="00DB49F4">
        <w:rPr>
          <w:b/>
        </w:rPr>
        <w:t xml:space="preserve"> and Methods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7C04FC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3.1.1</w:t>
      </w:r>
      <w:r w:rsidR="00296F32">
        <w:rPr>
          <w:b/>
        </w:rPr>
        <w:t xml:space="preserve"> and 3.1.2</w:t>
      </w:r>
      <w:r w:rsidRPr="00332EF5">
        <w:rPr>
          <w:b/>
        </w:rPr>
        <w:t>)</w:t>
      </w:r>
    </w:p>
    <w:p w:rsidR="007C04FC" w:rsidRDefault="007C04FC" w:rsidP="007C04FC">
      <w:pPr>
        <w:spacing w:after="0"/>
        <w:jc w:val="center"/>
      </w:pPr>
      <w:r>
        <w:rPr>
          <w:b/>
        </w:rPr>
        <w:t>(EPA 2106-G-05 Section 2.3.1 and 2.3.2)</w:t>
      </w:r>
    </w:p>
    <w:p w:rsidR="00332EF5" w:rsidRDefault="00332EF5" w:rsidP="00332EF5">
      <w:pPr>
        <w:spacing w:after="0"/>
        <w:jc w:val="center"/>
      </w:pPr>
    </w:p>
    <w:p w:rsidR="008D0088" w:rsidRDefault="007C61F6" w:rsidP="00223128">
      <w:pPr>
        <w:spacing w:after="0"/>
        <w:rPr>
          <w:color w:val="00B050"/>
          <w:szCs w:val="20"/>
        </w:rPr>
      </w:pPr>
      <w:r>
        <w:rPr>
          <w:color w:val="00B050"/>
          <w:szCs w:val="20"/>
        </w:rPr>
        <w:t>The primary value of this worksheet is as a completeness check for field per</w:t>
      </w:r>
      <w:r w:rsidR="00CE4EAC">
        <w:rPr>
          <w:color w:val="00B050"/>
          <w:szCs w:val="20"/>
        </w:rPr>
        <w:t xml:space="preserve">sonnel and auditors/assessors. </w:t>
      </w:r>
      <w:r>
        <w:rPr>
          <w:color w:val="00B050"/>
          <w:szCs w:val="20"/>
        </w:rPr>
        <w:t>It facilitates checks to make sure all planned samples have been collected and appr</w:t>
      </w:r>
      <w:r w:rsidR="00CE4EAC">
        <w:rPr>
          <w:color w:val="00B050"/>
          <w:szCs w:val="20"/>
        </w:rPr>
        <w:t>opriate methods have been used.</w:t>
      </w:r>
      <w:r>
        <w:rPr>
          <w:color w:val="00B050"/>
          <w:szCs w:val="20"/>
        </w:rPr>
        <w:t xml:space="preserve"> Ideally, t</w:t>
      </w:r>
      <w:r w:rsidR="00FF0C16" w:rsidRPr="008D0088">
        <w:rPr>
          <w:color w:val="00B050"/>
          <w:szCs w:val="20"/>
        </w:rPr>
        <w:t>his worksheet</w:t>
      </w:r>
      <w:r w:rsidR="00EF6842" w:rsidRPr="008D0088">
        <w:rPr>
          <w:color w:val="00B050"/>
          <w:szCs w:val="20"/>
        </w:rPr>
        <w:t xml:space="preserve"> should </w:t>
      </w:r>
      <w:r w:rsidR="00342920">
        <w:rPr>
          <w:color w:val="00B050"/>
          <w:szCs w:val="20"/>
        </w:rPr>
        <w:t xml:space="preserve">list each </w:t>
      </w:r>
      <w:r w:rsidR="00296F32">
        <w:rPr>
          <w:color w:val="00B050"/>
          <w:szCs w:val="20"/>
        </w:rPr>
        <w:t xml:space="preserve">individual </w:t>
      </w:r>
      <w:r w:rsidR="00342920">
        <w:rPr>
          <w:color w:val="00B050"/>
          <w:szCs w:val="20"/>
        </w:rPr>
        <w:t>sample</w:t>
      </w:r>
      <w:r w:rsidR="00296F32">
        <w:rPr>
          <w:color w:val="00B050"/>
          <w:szCs w:val="20"/>
        </w:rPr>
        <w:t xml:space="preserve"> that is planned to be collected,</w:t>
      </w:r>
      <w:r w:rsidR="00342920">
        <w:rPr>
          <w:color w:val="00B050"/>
          <w:szCs w:val="20"/>
        </w:rPr>
        <w:t xml:space="preserve"> including field QC samples. </w:t>
      </w:r>
      <w:r w:rsidR="00314672">
        <w:rPr>
          <w:color w:val="00B050"/>
          <w:szCs w:val="20"/>
        </w:rPr>
        <w:t>Samples with common entries may be grouped but field QC samples and samples that are uni</w:t>
      </w:r>
      <w:r w:rsidR="00CE4EAC">
        <w:rPr>
          <w:color w:val="00B050"/>
          <w:szCs w:val="20"/>
        </w:rPr>
        <w:t xml:space="preserve">que must be listed separately. </w:t>
      </w:r>
      <w:r>
        <w:rPr>
          <w:color w:val="00B050"/>
          <w:szCs w:val="20"/>
        </w:rPr>
        <w:t>If a sample is being collected in increments, use only one line to identify the sample as it will be analyzed; there is no need to l</w:t>
      </w:r>
      <w:r w:rsidR="00F21D64">
        <w:rPr>
          <w:color w:val="00B050"/>
          <w:szCs w:val="20"/>
        </w:rPr>
        <w:t xml:space="preserve">ist the increments separately. </w:t>
      </w:r>
      <w:r w:rsidR="005D54CD">
        <w:rPr>
          <w:color w:val="00B050"/>
          <w:szCs w:val="20"/>
        </w:rPr>
        <w:t>(If the increments are placed in separate containers to be combined in the laboratory, then ea</w:t>
      </w:r>
      <w:r w:rsidR="00F21D64">
        <w:rPr>
          <w:color w:val="00B050"/>
          <w:szCs w:val="20"/>
        </w:rPr>
        <w:t xml:space="preserve">ch container must be labeled.) </w:t>
      </w:r>
      <w:r>
        <w:rPr>
          <w:color w:val="00B050"/>
          <w:szCs w:val="20"/>
        </w:rPr>
        <w:t>If a project involves the collection of a large number of samples, however, it may be acceptable to list groups of similar samples on a sin</w:t>
      </w:r>
      <w:r w:rsidR="00F21D64">
        <w:rPr>
          <w:color w:val="00B050"/>
          <w:szCs w:val="20"/>
        </w:rPr>
        <w:t xml:space="preserve">gle row. </w:t>
      </w:r>
      <w:r>
        <w:rPr>
          <w:color w:val="00B050"/>
          <w:szCs w:val="20"/>
        </w:rPr>
        <w:t>D</w:t>
      </w:r>
      <w:r w:rsidR="00D9587C">
        <w:rPr>
          <w:color w:val="00B050"/>
          <w:szCs w:val="20"/>
        </w:rPr>
        <w:t xml:space="preserve">etailed </w:t>
      </w:r>
      <w:r>
        <w:rPr>
          <w:color w:val="00B050"/>
          <w:szCs w:val="20"/>
        </w:rPr>
        <w:t>s</w:t>
      </w:r>
      <w:r w:rsidR="00D9587C">
        <w:rPr>
          <w:color w:val="00B050"/>
          <w:szCs w:val="20"/>
        </w:rPr>
        <w:t>ampling SOPs must be available to field personnel and should be include</w:t>
      </w:r>
      <w:r>
        <w:rPr>
          <w:color w:val="00B050"/>
          <w:szCs w:val="20"/>
        </w:rPr>
        <w:t>d as an appendix to the QAPP and</w:t>
      </w:r>
      <w:r w:rsidR="00F21D64">
        <w:rPr>
          <w:color w:val="00B050"/>
          <w:szCs w:val="20"/>
        </w:rPr>
        <w:t xml:space="preserve"> referenced in this worksheet. </w:t>
      </w:r>
      <w:r w:rsidR="000C6E83">
        <w:rPr>
          <w:color w:val="00B050"/>
          <w:szCs w:val="20"/>
        </w:rPr>
        <w:t xml:space="preserve">The comments field can be used </w:t>
      </w:r>
      <w:r w:rsidR="00DB49F4">
        <w:rPr>
          <w:color w:val="00B050"/>
          <w:szCs w:val="20"/>
        </w:rPr>
        <w:t xml:space="preserve">as a reminder </w:t>
      </w:r>
      <w:r w:rsidR="000C6E83">
        <w:rPr>
          <w:color w:val="00B050"/>
          <w:szCs w:val="20"/>
        </w:rPr>
        <w:t xml:space="preserve">to </w:t>
      </w:r>
      <w:r w:rsidR="00D9587C">
        <w:rPr>
          <w:color w:val="00B050"/>
          <w:szCs w:val="20"/>
        </w:rPr>
        <w:t>note</w:t>
      </w:r>
      <w:r w:rsidR="000C6E83">
        <w:rPr>
          <w:color w:val="00B050"/>
          <w:szCs w:val="20"/>
        </w:rPr>
        <w:t xml:space="preserve"> any special sample handling required</w:t>
      </w:r>
      <w:r w:rsidR="00296F32">
        <w:rPr>
          <w:color w:val="00B050"/>
          <w:szCs w:val="20"/>
        </w:rPr>
        <w:t xml:space="preserve"> in the field</w:t>
      </w:r>
      <w:r w:rsidR="00B50D40">
        <w:rPr>
          <w:color w:val="00B050"/>
          <w:szCs w:val="20"/>
        </w:rPr>
        <w:t xml:space="preserve"> and/or GPS coordinates</w:t>
      </w:r>
      <w:r w:rsidR="00F21D64">
        <w:rPr>
          <w:color w:val="00B050"/>
          <w:szCs w:val="20"/>
        </w:rPr>
        <w:t xml:space="preserve">. </w:t>
      </w:r>
      <w:r w:rsidR="00B50D40">
        <w:rPr>
          <w:color w:val="00B050"/>
          <w:szCs w:val="20"/>
        </w:rPr>
        <w:t>A map with locatio</w:t>
      </w:r>
      <w:r w:rsidR="00F21D64">
        <w:rPr>
          <w:color w:val="00B050"/>
          <w:szCs w:val="20"/>
        </w:rPr>
        <w:t xml:space="preserve">ns marked </w:t>
      </w:r>
      <w:r w:rsidR="00CE4EAC">
        <w:rPr>
          <w:color w:val="00B050"/>
          <w:szCs w:val="20"/>
        </w:rPr>
        <w:t xml:space="preserve">should be included. </w:t>
      </w:r>
      <w:r w:rsidR="00296F32">
        <w:rPr>
          <w:color w:val="00B050"/>
          <w:szCs w:val="20"/>
        </w:rPr>
        <w:t>Use additional worksheets as necessary.</w:t>
      </w:r>
    </w:p>
    <w:p w:rsidR="004512C3" w:rsidRPr="004512C3" w:rsidRDefault="004512C3" w:rsidP="004512C3">
      <w:pPr>
        <w:pStyle w:val="ListParagraph"/>
        <w:spacing w:after="0"/>
        <w:rPr>
          <w:color w:val="00B05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ing Locations and Methods"/>
        <w:tblDescription w:val="This table contains data regarding sampling locations and methods."/>
      </w:tblPr>
      <w:tblGrid>
        <w:gridCol w:w="2448"/>
        <w:gridCol w:w="1620"/>
        <w:gridCol w:w="1617"/>
        <w:gridCol w:w="1901"/>
        <w:gridCol w:w="1926"/>
        <w:gridCol w:w="1714"/>
        <w:gridCol w:w="1950"/>
      </w:tblGrid>
      <w:tr w:rsidR="000C6E83" w:rsidTr="001B701E">
        <w:trPr>
          <w:tblHeader/>
        </w:trPr>
        <w:tc>
          <w:tcPr>
            <w:tcW w:w="2448" w:type="dxa"/>
            <w:vAlign w:val="center"/>
          </w:tcPr>
          <w:p w:rsidR="000C6E83" w:rsidRPr="002C5EF6" w:rsidRDefault="000C6E83" w:rsidP="00C73291">
            <w:pPr>
              <w:spacing w:line="360" w:lineRule="auto"/>
              <w:jc w:val="center"/>
            </w:pPr>
            <w:r w:rsidRPr="002C5EF6">
              <w:t>Sample ID</w:t>
            </w:r>
          </w:p>
        </w:tc>
        <w:tc>
          <w:tcPr>
            <w:tcW w:w="1620" w:type="dxa"/>
            <w:vAlign w:val="center"/>
          </w:tcPr>
          <w:p w:rsidR="000C6E83" w:rsidRPr="002C5EF6" w:rsidRDefault="000C6E83" w:rsidP="00C73291">
            <w:pPr>
              <w:spacing w:line="360" w:lineRule="auto"/>
              <w:jc w:val="center"/>
            </w:pPr>
            <w:r w:rsidRPr="002C5EF6">
              <w:t>Matrix</w:t>
            </w:r>
            <w:r w:rsidRPr="002C5EF6">
              <w:rPr>
                <w:rStyle w:val="FootnoteReference"/>
              </w:rPr>
              <w:footnoteReference w:id="1"/>
            </w:r>
          </w:p>
        </w:tc>
        <w:tc>
          <w:tcPr>
            <w:tcW w:w="1617" w:type="dxa"/>
            <w:vAlign w:val="center"/>
          </w:tcPr>
          <w:p w:rsidR="000C6E83" w:rsidRPr="002C5EF6" w:rsidRDefault="000C6E83" w:rsidP="000F6FB2">
            <w:pPr>
              <w:spacing w:line="360" w:lineRule="auto"/>
              <w:jc w:val="center"/>
            </w:pPr>
            <w:r w:rsidRPr="002C5EF6">
              <w:t>Depth (ft BGS)</w:t>
            </w:r>
          </w:p>
        </w:tc>
        <w:tc>
          <w:tcPr>
            <w:tcW w:w="1901" w:type="dxa"/>
            <w:vAlign w:val="center"/>
          </w:tcPr>
          <w:p w:rsidR="000C6E83" w:rsidRPr="002C5EF6" w:rsidRDefault="000C6E83" w:rsidP="00C73291">
            <w:pPr>
              <w:spacing w:line="360" w:lineRule="auto"/>
              <w:jc w:val="center"/>
            </w:pPr>
            <w:r w:rsidRPr="002C5EF6">
              <w:t>Type</w:t>
            </w:r>
          </w:p>
        </w:tc>
        <w:tc>
          <w:tcPr>
            <w:tcW w:w="1926" w:type="dxa"/>
            <w:vAlign w:val="center"/>
          </w:tcPr>
          <w:p w:rsidR="00D06A0D" w:rsidRPr="002C5EF6" w:rsidRDefault="00D06A0D" w:rsidP="00C73291">
            <w:pPr>
              <w:spacing w:line="360" w:lineRule="auto"/>
              <w:jc w:val="center"/>
            </w:pPr>
            <w:r w:rsidRPr="002C5EF6">
              <w:t>Analyte/</w:t>
            </w:r>
          </w:p>
          <w:p w:rsidR="000C6E83" w:rsidRPr="002C5EF6" w:rsidRDefault="000C6E83" w:rsidP="00C73291">
            <w:pPr>
              <w:spacing w:line="360" w:lineRule="auto"/>
              <w:jc w:val="center"/>
            </w:pPr>
            <w:r w:rsidRPr="002C5EF6">
              <w:t>Analytical Group</w:t>
            </w:r>
          </w:p>
        </w:tc>
        <w:tc>
          <w:tcPr>
            <w:tcW w:w="1714" w:type="dxa"/>
            <w:vAlign w:val="center"/>
          </w:tcPr>
          <w:p w:rsidR="000C6E83" w:rsidRPr="002C5EF6" w:rsidRDefault="00296F32" w:rsidP="003B7622">
            <w:pPr>
              <w:spacing w:line="360" w:lineRule="auto"/>
              <w:jc w:val="center"/>
            </w:pPr>
            <w:r w:rsidRPr="002C5EF6">
              <w:t>Sampling SOP</w:t>
            </w:r>
          </w:p>
        </w:tc>
        <w:tc>
          <w:tcPr>
            <w:tcW w:w="1950" w:type="dxa"/>
            <w:vAlign w:val="center"/>
          </w:tcPr>
          <w:p w:rsidR="000C6E83" w:rsidRPr="002C5EF6" w:rsidRDefault="000C6E83" w:rsidP="00C73291">
            <w:pPr>
              <w:spacing w:line="360" w:lineRule="auto"/>
              <w:jc w:val="center"/>
            </w:pPr>
            <w:r w:rsidRPr="002C5EF6">
              <w:t>Comments</w:t>
            </w: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-VOC-001</w:t>
            </w:r>
          </w:p>
        </w:tc>
        <w:tc>
          <w:tcPr>
            <w:tcW w:w="1620" w:type="dxa"/>
            <w:vAlign w:val="center"/>
          </w:tcPr>
          <w:p w:rsidR="000C6E83" w:rsidRPr="00314672" w:rsidRDefault="007C61F6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0-2</w:t>
            </w:r>
          </w:p>
        </w:tc>
        <w:tc>
          <w:tcPr>
            <w:tcW w:w="1901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Hand auger</w:t>
            </w:r>
          </w:p>
        </w:tc>
        <w:tc>
          <w:tcPr>
            <w:tcW w:w="1926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VOCs</w:t>
            </w:r>
          </w:p>
        </w:tc>
        <w:tc>
          <w:tcPr>
            <w:tcW w:w="1714" w:type="dxa"/>
            <w:vAlign w:val="center"/>
          </w:tcPr>
          <w:p w:rsidR="000C6E83" w:rsidRPr="00314672" w:rsidRDefault="00296F32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TECH-025</w:t>
            </w:r>
          </w:p>
        </w:tc>
        <w:tc>
          <w:tcPr>
            <w:tcW w:w="1950" w:type="dxa"/>
          </w:tcPr>
          <w:p w:rsidR="000C6E83" w:rsidRPr="00314672" w:rsidRDefault="00B50D40" w:rsidP="00B50D40">
            <w:pPr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GPS coo</w:t>
            </w:r>
            <w:r w:rsidR="00F21D64">
              <w:rPr>
                <w:color w:val="4F81BD" w:themeColor="accent1"/>
                <w:sz w:val="20"/>
                <w:szCs w:val="20"/>
              </w:rPr>
              <w:t>rdinates:</w:t>
            </w:r>
            <w:r w:rsidR="00F21D64">
              <w:rPr>
                <w:color w:val="4F81BD" w:themeColor="accent1"/>
                <w:sz w:val="20"/>
                <w:szCs w:val="20"/>
              </w:rPr>
              <w:br/>
            </w:r>
            <w:r>
              <w:rPr>
                <w:color w:val="4F81BD" w:themeColor="accent1"/>
                <w:sz w:val="20"/>
                <w:szCs w:val="20"/>
              </w:rPr>
              <w:t>123 x 456</w:t>
            </w: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-VOC-001D</w:t>
            </w:r>
          </w:p>
        </w:tc>
        <w:tc>
          <w:tcPr>
            <w:tcW w:w="1620" w:type="dxa"/>
            <w:vAlign w:val="center"/>
          </w:tcPr>
          <w:p w:rsidR="000C6E83" w:rsidRPr="00314672" w:rsidRDefault="007C61F6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0-2</w:t>
            </w:r>
          </w:p>
        </w:tc>
        <w:tc>
          <w:tcPr>
            <w:tcW w:w="1901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 xml:space="preserve">Field 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Duplicate</w:t>
            </w:r>
          </w:p>
        </w:tc>
        <w:tc>
          <w:tcPr>
            <w:tcW w:w="1926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VOCs</w:t>
            </w:r>
          </w:p>
        </w:tc>
        <w:tc>
          <w:tcPr>
            <w:tcW w:w="1714" w:type="dxa"/>
            <w:vAlign w:val="center"/>
          </w:tcPr>
          <w:p w:rsidR="000C6E83" w:rsidRPr="00314672" w:rsidRDefault="00296F32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“</w:t>
            </w:r>
          </w:p>
        </w:tc>
        <w:tc>
          <w:tcPr>
            <w:tcW w:w="1950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-VOC-002</w:t>
            </w:r>
          </w:p>
        </w:tc>
        <w:tc>
          <w:tcPr>
            <w:tcW w:w="1620" w:type="dxa"/>
            <w:vAlign w:val="center"/>
          </w:tcPr>
          <w:p w:rsidR="000C6E83" w:rsidRPr="00314672" w:rsidRDefault="007C61F6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6-8</w:t>
            </w:r>
          </w:p>
        </w:tc>
        <w:tc>
          <w:tcPr>
            <w:tcW w:w="1901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Hand auger</w:t>
            </w:r>
          </w:p>
        </w:tc>
        <w:tc>
          <w:tcPr>
            <w:tcW w:w="1926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VOCs</w:t>
            </w:r>
          </w:p>
        </w:tc>
        <w:tc>
          <w:tcPr>
            <w:tcW w:w="1714" w:type="dxa"/>
            <w:vAlign w:val="center"/>
          </w:tcPr>
          <w:p w:rsidR="000C6E83" w:rsidRPr="00314672" w:rsidRDefault="00296F32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“</w:t>
            </w:r>
          </w:p>
        </w:tc>
        <w:tc>
          <w:tcPr>
            <w:tcW w:w="1950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-VOC-002MS/MSD</w:t>
            </w:r>
          </w:p>
        </w:tc>
        <w:tc>
          <w:tcPr>
            <w:tcW w:w="1620" w:type="dxa"/>
            <w:vAlign w:val="center"/>
          </w:tcPr>
          <w:p w:rsidR="000C6E83" w:rsidRPr="00314672" w:rsidRDefault="007C61F6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6-8</w:t>
            </w:r>
          </w:p>
        </w:tc>
        <w:tc>
          <w:tcPr>
            <w:tcW w:w="1901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MS/MSD</w:t>
            </w:r>
          </w:p>
        </w:tc>
        <w:tc>
          <w:tcPr>
            <w:tcW w:w="1926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VOCs</w:t>
            </w:r>
          </w:p>
        </w:tc>
        <w:tc>
          <w:tcPr>
            <w:tcW w:w="1714" w:type="dxa"/>
            <w:vAlign w:val="center"/>
          </w:tcPr>
          <w:p w:rsidR="000C6E83" w:rsidRPr="00314672" w:rsidRDefault="00296F32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“</w:t>
            </w:r>
          </w:p>
        </w:tc>
        <w:tc>
          <w:tcPr>
            <w:tcW w:w="1950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0C6E83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-MET-001</w:t>
            </w:r>
          </w:p>
        </w:tc>
        <w:tc>
          <w:tcPr>
            <w:tcW w:w="1620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2-4</w:t>
            </w:r>
          </w:p>
        </w:tc>
        <w:tc>
          <w:tcPr>
            <w:tcW w:w="1901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Hand auger</w:t>
            </w:r>
          </w:p>
        </w:tc>
        <w:tc>
          <w:tcPr>
            <w:tcW w:w="1926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 xml:space="preserve">RCRA 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Metals</w:t>
            </w:r>
          </w:p>
        </w:tc>
        <w:tc>
          <w:tcPr>
            <w:tcW w:w="1714" w:type="dxa"/>
            <w:vAlign w:val="center"/>
          </w:tcPr>
          <w:p w:rsidR="000C6E83" w:rsidRPr="00314672" w:rsidRDefault="00296F32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TECH-033</w:t>
            </w:r>
          </w:p>
        </w:tc>
        <w:tc>
          <w:tcPr>
            <w:tcW w:w="1950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</w:p>
        </w:tc>
      </w:tr>
      <w:tr w:rsidR="000C6E83" w:rsidTr="00D06A0D">
        <w:tc>
          <w:tcPr>
            <w:tcW w:w="2448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CHS-S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-MET-001</w:t>
            </w:r>
            <w:r w:rsidRPr="00314672">
              <w:rPr>
                <w:color w:val="4F81BD" w:themeColor="accent1"/>
                <w:sz w:val="20"/>
                <w:szCs w:val="20"/>
              </w:rPr>
              <w:t>D</w:t>
            </w:r>
          </w:p>
        </w:tc>
        <w:tc>
          <w:tcPr>
            <w:tcW w:w="1620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D06A0D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2-4</w:t>
            </w:r>
          </w:p>
        </w:tc>
        <w:tc>
          <w:tcPr>
            <w:tcW w:w="1901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Field Duplicate</w:t>
            </w:r>
          </w:p>
        </w:tc>
        <w:tc>
          <w:tcPr>
            <w:tcW w:w="1926" w:type="dxa"/>
          </w:tcPr>
          <w:p w:rsidR="000C6E83" w:rsidRPr="00314672" w:rsidRDefault="00D06A0D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 xml:space="preserve">RCRA </w:t>
            </w:r>
            <w:r w:rsidR="000C6E83" w:rsidRPr="00314672">
              <w:rPr>
                <w:color w:val="4F81BD" w:themeColor="accent1"/>
                <w:sz w:val="20"/>
                <w:szCs w:val="20"/>
              </w:rPr>
              <w:t>Metals</w:t>
            </w:r>
          </w:p>
        </w:tc>
        <w:tc>
          <w:tcPr>
            <w:tcW w:w="1714" w:type="dxa"/>
            <w:vAlign w:val="center"/>
          </w:tcPr>
          <w:p w:rsidR="000C6E83" w:rsidRPr="00314672" w:rsidRDefault="00D06A0D" w:rsidP="00296F32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“</w:t>
            </w:r>
          </w:p>
        </w:tc>
        <w:tc>
          <w:tcPr>
            <w:tcW w:w="1950" w:type="dxa"/>
          </w:tcPr>
          <w:p w:rsidR="000C6E83" w:rsidRPr="00314672" w:rsidRDefault="000C6E83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</w:p>
        </w:tc>
      </w:tr>
      <w:tr w:rsidR="000C6E83" w:rsidTr="00D06A0D">
        <w:tc>
          <w:tcPr>
            <w:tcW w:w="2448" w:type="dxa"/>
          </w:tcPr>
          <w:p w:rsidR="000C6E83" w:rsidRPr="00314672" w:rsidRDefault="00314672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CHS-PCB-001</w:t>
            </w:r>
            <w:r>
              <w:rPr>
                <w:color w:val="4F81BD" w:themeColor="accent1"/>
                <w:sz w:val="20"/>
                <w:szCs w:val="20"/>
              </w:rPr>
              <w:t xml:space="preserve"> thru </w:t>
            </w:r>
            <w:r w:rsidRPr="00314672">
              <w:rPr>
                <w:color w:val="4F81BD" w:themeColor="accent1"/>
                <w:sz w:val="20"/>
                <w:szCs w:val="20"/>
              </w:rPr>
              <w:t>009</w:t>
            </w:r>
          </w:p>
        </w:tc>
        <w:tc>
          <w:tcPr>
            <w:tcW w:w="1620" w:type="dxa"/>
            <w:vAlign w:val="center"/>
          </w:tcPr>
          <w:p w:rsidR="000C6E83" w:rsidRPr="00314672" w:rsidRDefault="00314672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S</w:t>
            </w:r>
          </w:p>
        </w:tc>
        <w:tc>
          <w:tcPr>
            <w:tcW w:w="1617" w:type="dxa"/>
            <w:vAlign w:val="center"/>
          </w:tcPr>
          <w:p w:rsidR="000C6E83" w:rsidRPr="00314672" w:rsidRDefault="00314672" w:rsidP="00D06A0D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0-2</w:t>
            </w:r>
          </w:p>
        </w:tc>
        <w:tc>
          <w:tcPr>
            <w:tcW w:w="1901" w:type="dxa"/>
          </w:tcPr>
          <w:p w:rsidR="000C6E83" w:rsidRPr="00314672" w:rsidRDefault="00314672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Hand auger</w:t>
            </w:r>
          </w:p>
        </w:tc>
        <w:tc>
          <w:tcPr>
            <w:tcW w:w="1926" w:type="dxa"/>
          </w:tcPr>
          <w:p w:rsidR="000C6E83" w:rsidRPr="00314672" w:rsidRDefault="00314672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PCB’s</w:t>
            </w:r>
          </w:p>
        </w:tc>
        <w:tc>
          <w:tcPr>
            <w:tcW w:w="1714" w:type="dxa"/>
          </w:tcPr>
          <w:p w:rsidR="000C6E83" w:rsidRPr="00314672" w:rsidRDefault="00314672" w:rsidP="00C73291">
            <w:pPr>
              <w:spacing w:line="360" w:lineRule="auto"/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TECH-026</w:t>
            </w:r>
          </w:p>
        </w:tc>
        <w:tc>
          <w:tcPr>
            <w:tcW w:w="1950" w:type="dxa"/>
          </w:tcPr>
          <w:p w:rsidR="000C6E83" w:rsidRPr="00314672" w:rsidRDefault="00314672" w:rsidP="00314672">
            <w:pPr>
              <w:rPr>
                <w:color w:val="4F81BD" w:themeColor="accent1"/>
                <w:sz w:val="20"/>
                <w:szCs w:val="20"/>
              </w:rPr>
            </w:pPr>
            <w:r w:rsidRPr="00314672">
              <w:rPr>
                <w:color w:val="4F81BD" w:themeColor="accent1"/>
                <w:sz w:val="20"/>
                <w:szCs w:val="20"/>
              </w:rPr>
              <w:t>Use disposable equipment only</w:t>
            </w:r>
          </w:p>
        </w:tc>
      </w:tr>
    </w:tbl>
    <w:p w:rsidR="00223128" w:rsidRDefault="00223128" w:rsidP="00223128">
      <w:pPr>
        <w:spacing w:after="0"/>
      </w:pPr>
    </w:p>
    <w:sectPr w:rsidR="00223128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AC" w:rsidRDefault="00CE4EAC" w:rsidP="00FF0C16">
      <w:pPr>
        <w:spacing w:after="0" w:line="240" w:lineRule="auto"/>
      </w:pPr>
      <w:r>
        <w:separator/>
      </w:r>
    </w:p>
  </w:endnote>
  <w:endnote w:type="continuationSeparator" w:id="0">
    <w:p w:rsidR="00CE4EAC" w:rsidRDefault="00CE4EAC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1E" w:rsidRDefault="001B70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1E" w:rsidRDefault="001B70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1E" w:rsidRDefault="001B7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AC" w:rsidRDefault="00CE4EAC" w:rsidP="00FF0C16">
      <w:pPr>
        <w:spacing w:after="0" w:line="240" w:lineRule="auto"/>
      </w:pPr>
      <w:r>
        <w:separator/>
      </w:r>
    </w:p>
  </w:footnote>
  <w:footnote w:type="continuationSeparator" w:id="0">
    <w:p w:rsidR="00CE4EAC" w:rsidRDefault="00CE4EAC" w:rsidP="00FF0C16">
      <w:pPr>
        <w:spacing w:after="0" w:line="240" w:lineRule="auto"/>
      </w:pPr>
      <w:r>
        <w:continuationSeparator/>
      </w:r>
    </w:p>
  </w:footnote>
  <w:footnote w:id="1">
    <w:p w:rsidR="00CE4EAC" w:rsidRDefault="00CE4EAC">
      <w:pPr>
        <w:pStyle w:val="FootnoteText"/>
      </w:pPr>
      <w:r>
        <w:rPr>
          <w:rStyle w:val="FootnoteReference"/>
        </w:rPr>
        <w:footnoteRef/>
      </w:r>
      <w:r w:rsidR="00F21D64">
        <w:t xml:space="preserve">Key: </w:t>
      </w:r>
      <w:r>
        <w:t>SS = surface soil, S = soil, SD = sediment, GW = groundwater, SW = surface water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1E" w:rsidRDefault="001B70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Content>
      <w:p w:rsidR="00CE4EAC" w:rsidRPr="002C5EF6" w:rsidRDefault="00CE4EAC">
        <w:pPr>
          <w:pStyle w:val="Header"/>
          <w:jc w:val="right"/>
          <w:rPr>
            <w:sz w:val="20"/>
            <w:szCs w:val="20"/>
          </w:rPr>
        </w:pPr>
        <w:r w:rsidRPr="002C5EF6">
          <w:rPr>
            <w:sz w:val="20"/>
            <w:szCs w:val="20"/>
          </w:rPr>
          <w:t>Title:</w:t>
        </w:r>
      </w:p>
      <w:p w:rsidR="00CE4EAC" w:rsidRPr="002C5EF6" w:rsidRDefault="00CE4EAC">
        <w:pPr>
          <w:pStyle w:val="Header"/>
          <w:jc w:val="right"/>
          <w:rPr>
            <w:sz w:val="20"/>
            <w:szCs w:val="20"/>
          </w:rPr>
        </w:pPr>
        <w:r w:rsidRPr="002C5EF6">
          <w:rPr>
            <w:sz w:val="20"/>
            <w:szCs w:val="20"/>
          </w:rPr>
          <w:t>Revision Number:</w:t>
        </w:r>
      </w:p>
      <w:p w:rsidR="00CE4EAC" w:rsidRPr="002C5EF6" w:rsidRDefault="00CE4EAC">
        <w:pPr>
          <w:pStyle w:val="Header"/>
          <w:jc w:val="right"/>
          <w:rPr>
            <w:sz w:val="20"/>
            <w:szCs w:val="20"/>
          </w:rPr>
        </w:pPr>
        <w:r w:rsidRPr="002C5EF6">
          <w:rPr>
            <w:sz w:val="20"/>
            <w:szCs w:val="20"/>
          </w:rPr>
          <w:t>Revision Date:</w:t>
        </w:r>
      </w:p>
      <w:p w:rsidR="00CE4EAC" w:rsidRPr="002C5EF6" w:rsidRDefault="00CE4EAC">
        <w:pPr>
          <w:pStyle w:val="Header"/>
          <w:jc w:val="right"/>
          <w:rPr>
            <w:sz w:val="20"/>
            <w:szCs w:val="20"/>
          </w:rPr>
        </w:pPr>
        <w:r w:rsidRPr="002C5EF6">
          <w:rPr>
            <w:sz w:val="20"/>
            <w:szCs w:val="20"/>
          </w:rPr>
          <w:t xml:space="preserve">Page </w:t>
        </w:r>
        <w:r w:rsidRPr="002C5EF6">
          <w:rPr>
            <w:b/>
            <w:sz w:val="20"/>
            <w:szCs w:val="20"/>
          </w:rPr>
          <w:fldChar w:fldCharType="begin"/>
        </w:r>
        <w:r w:rsidRPr="002C5EF6">
          <w:rPr>
            <w:b/>
            <w:sz w:val="20"/>
            <w:szCs w:val="20"/>
          </w:rPr>
          <w:instrText xml:space="preserve"> PAGE </w:instrText>
        </w:r>
        <w:r w:rsidRPr="002C5EF6">
          <w:rPr>
            <w:b/>
            <w:sz w:val="20"/>
            <w:szCs w:val="20"/>
          </w:rPr>
          <w:fldChar w:fldCharType="separate"/>
        </w:r>
        <w:r w:rsidR="001B701E">
          <w:rPr>
            <w:b/>
            <w:noProof/>
            <w:sz w:val="20"/>
            <w:szCs w:val="20"/>
          </w:rPr>
          <w:t>1</w:t>
        </w:r>
        <w:r w:rsidRPr="002C5EF6">
          <w:rPr>
            <w:b/>
            <w:sz w:val="20"/>
            <w:szCs w:val="20"/>
          </w:rPr>
          <w:fldChar w:fldCharType="end"/>
        </w:r>
        <w:r w:rsidRPr="002C5EF6">
          <w:rPr>
            <w:sz w:val="20"/>
            <w:szCs w:val="20"/>
          </w:rPr>
          <w:t xml:space="preserve"> of </w:t>
        </w:r>
        <w:r w:rsidRPr="002C5EF6">
          <w:rPr>
            <w:b/>
            <w:sz w:val="20"/>
            <w:szCs w:val="20"/>
          </w:rPr>
          <w:fldChar w:fldCharType="begin"/>
        </w:r>
        <w:r w:rsidRPr="002C5EF6">
          <w:rPr>
            <w:b/>
            <w:sz w:val="20"/>
            <w:szCs w:val="20"/>
          </w:rPr>
          <w:instrText xml:space="preserve"> NUMPAGES  </w:instrText>
        </w:r>
        <w:r w:rsidRPr="002C5EF6">
          <w:rPr>
            <w:b/>
            <w:sz w:val="20"/>
            <w:szCs w:val="20"/>
          </w:rPr>
          <w:fldChar w:fldCharType="separate"/>
        </w:r>
        <w:r w:rsidR="001B701E">
          <w:rPr>
            <w:b/>
            <w:noProof/>
            <w:sz w:val="20"/>
            <w:szCs w:val="20"/>
          </w:rPr>
          <w:t>1</w:t>
        </w:r>
        <w:r w:rsidRPr="002C5EF6">
          <w:rPr>
            <w:b/>
            <w:sz w:val="20"/>
            <w:szCs w:val="20"/>
          </w:rPr>
          <w:fldChar w:fldCharType="end"/>
        </w:r>
      </w:p>
    </w:sdtContent>
  </w:sdt>
  <w:p w:rsidR="00CE4EAC" w:rsidRDefault="00CE4E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1E" w:rsidRDefault="001B70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72A46"/>
    <w:rsid w:val="000C6E83"/>
    <w:rsid w:val="000F6FB2"/>
    <w:rsid w:val="001151CE"/>
    <w:rsid w:val="00190489"/>
    <w:rsid w:val="001B701E"/>
    <w:rsid w:val="00205FE7"/>
    <w:rsid w:val="00216BF1"/>
    <w:rsid w:val="00223128"/>
    <w:rsid w:val="00296F32"/>
    <w:rsid w:val="002C5EF6"/>
    <w:rsid w:val="002D1D52"/>
    <w:rsid w:val="002E44E2"/>
    <w:rsid w:val="00314672"/>
    <w:rsid w:val="00332EF5"/>
    <w:rsid w:val="00342920"/>
    <w:rsid w:val="0035042F"/>
    <w:rsid w:val="003B65F7"/>
    <w:rsid w:val="003B7622"/>
    <w:rsid w:val="003C5050"/>
    <w:rsid w:val="00402B16"/>
    <w:rsid w:val="004512C3"/>
    <w:rsid w:val="00487BBF"/>
    <w:rsid w:val="004F69D6"/>
    <w:rsid w:val="00561C26"/>
    <w:rsid w:val="00594380"/>
    <w:rsid w:val="005A77C5"/>
    <w:rsid w:val="005B1636"/>
    <w:rsid w:val="005C5167"/>
    <w:rsid w:val="005D4D70"/>
    <w:rsid w:val="005D54CD"/>
    <w:rsid w:val="006919AF"/>
    <w:rsid w:val="006B00D6"/>
    <w:rsid w:val="00713B7E"/>
    <w:rsid w:val="007519F6"/>
    <w:rsid w:val="007C04FC"/>
    <w:rsid w:val="007C61F6"/>
    <w:rsid w:val="008D0088"/>
    <w:rsid w:val="008F0996"/>
    <w:rsid w:val="009107BB"/>
    <w:rsid w:val="00925C3C"/>
    <w:rsid w:val="00947B9E"/>
    <w:rsid w:val="0096117B"/>
    <w:rsid w:val="009E79FB"/>
    <w:rsid w:val="00A57C3F"/>
    <w:rsid w:val="00B01C25"/>
    <w:rsid w:val="00B50D40"/>
    <w:rsid w:val="00B712D1"/>
    <w:rsid w:val="00C21E2B"/>
    <w:rsid w:val="00C30587"/>
    <w:rsid w:val="00C311B2"/>
    <w:rsid w:val="00C603A7"/>
    <w:rsid w:val="00C6140F"/>
    <w:rsid w:val="00C73291"/>
    <w:rsid w:val="00CE4EAC"/>
    <w:rsid w:val="00D06A0D"/>
    <w:rsid w:val="00D80536"/>
    <w:rsid w:val="00D9587C"/>
    <w:rsid w:val="00DB49F4"/>
    <w:rsid w:val="00DC1FE2"/>
    <w:rsid w:val="00DD1D47"/>
    <w:rsid w:val="00DD318E"/>
    <w:rsid w:val="00DE3FCC"/>
    <w:rsid w:val="00E57268"/>
    <w:rsid w:val="00E953BD"/>
    <w:rsid w:val="00EF6842"/>
    <w:rsid w:val="00F21D64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3BB49-438A-410C-AF46-D25FB243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#18: Sampling Locations and Methods</vt:lpstr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#18: Sampling Locations and Methods</dc:title>
  <dc:subject>The primary value of this worksheet is as a completeness check for field personnel and auditors/assessors.</dc:subject>
  <dc:creator>US EPA;US Department of Defense;US Department of Energy</dc:creator>
  <cp:keywords>sample, matrix, depth, type, analyte</cp:keywords>
  <cp:lastModifiedBy>Kevin O'Donovan</cp:lastModifiedBy>
  <cp:revision>5</cp:revision>
  <dcterms:created xsi:type="dcterms:W3CDTF">2012-05-07T14:07:00Z</dcterms:created>
  <dcterms:modified xsi:type="dcterms:W3CDTF">2012-05-07T15:33:00Z</dcterms:modified>
</cp:coreProperties>
</file>