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1D52" w:rsidRPr="00332EF5" w:rsidRDefault="00566B3F" w:rsidP="00332EF5">
      <w:pPr>
        <w:spacing w:after="0"/>
        <w:jc w:val="center"/>
        <w:rPr>
          <w:b/>
        </w:rPr>
      </w:pPr>
      <w:r>
        <w:rPr>
          <w:b/>
        </w:rPr>
        <w:t>QAPP Worksheet #21</w:t>
      </w:r>
      <w:r w:rsidR="001E18E9">
        <w:rPr>
          <w:b/>
        </w:rPr>
        <w:t xml:space="preserve">: </w:t>
      </w:r>
      <w:r w:rsidR="004E7DCC">
        <w:rPr>
          <w:b/>
        </w:rPr>
        <w:t xml:space="preserve">Field </w:t>
      </w:r>
      <w:r w:rsidR="00737165">
        <w:rPr>
          <w:b/>
        </w:rPr>
        <w:t>SOPs</w:t>
      </w:r>
      <w:bookmarkStart w:id="0" w:name="_GoBack"/>
      <w:bookmarkEnd w:id="0"/>
    </w:p>
    <w:p w:rsidR="00332EF5" w:rsidRDefault="00332EF5" w:rsidP="00332EF5">
      <w:pPr>
        <w:spacing w:after="0"/>
        <w:jc w:val="center"/>
        <w:rPr>
          <w:b/>
        </w:rPr>
      </w:pPr>
      <w:r w:rsidRPr="00332EF5">
        <w:rPr>
          <w:b/>
        </w:rPr>
        <w:t xml:space="preserve">(UFP-QAPP </w:t>
      </w:r>
      <w:r w:rsidR="009D3013">
        <w:rPr>
          <w:b/>
        </w:rPr>
        <w:t xml:space="preserve">Manual </w:t>
      </w:r>
      <w:r w:rsidRPr="00332EF5">
        <w:rPr>
          <w:b/>
        </w:rPr>
        <w:t>Section</w:t>
      </w:r>
      <w:r w:rsidR="00EF6842">
        <w:rPr>
          <w:b/>
        </w:rPr>
        <w:t xml:space="preserve"> </w:t>
      </w:r>
      <w:r w:rsidR="00296F32">
        <w:rPr>
          <w:b/>
        </w:rPr>
        <w:t>3.1.2</w:t>
      </w:r>
      <w:r w:rsidRPr="00332EF5">
        <w:rPr>
          <w:b/>
        </w:rPr>
        <w:t>)</w:t>
      </w:r>
    </w:p>
    <w:p w:rsidR="009D3013" w:rsidRDefault="009D3013" w:rsidP="009D3013">
      <w:pPr>
        <w:spacing w:after="0"/>
        <w:jc w:val="center"/>
      </w:pPr>
      <w:r>
        <w:rPr>
          <w:b/>
        </w:rPr>
        <w:t>(EPA 2106-G-05 Section 2.3.2)</w:t>
      </w:r>
    </w:p>
    <w:p w:rsidR="00332EF5" w:rsidRDefault="00332EF5" w:rsidP="00332EF5">
      <w:pPr>
        <w:spacing w:after="0"/>
        <w:jc w:val="center"/>
      </w:pPr>
    </w:p>
    <w:p w:rsidR="00737165" w:rsidRDefault="00530548" w:rsidP="00737165">
      <w:pPr>
        <w:spacing w:after="0"/>
      </w:pPr>
      <w:r>
        <w:rPr>
          <w:color w:val="00B050"/>
          <w:szCs w:val="20"/>
        </w:rPr>
        <w:t>This worksheet is intended for use to document the specific field procedures being implemented, which is important</w:t>
      </w:r>
      <w:r w:rsidR="00EF3470">
        <w:rPr>
          <w:color w:val="00B050"/>
          <w:szCs w:val="20"/>
        </w:rPr>
        <w:t xml:space="preserve"> for measurement traceability. </w:t>
      </w:r>
      <w:r w:rsidR="00FF0C16" w:rsidRPr="008D0088">
        <w:rPr>
          <w:color w:val="00B050"/>
          <w:szCs w:val="20"/>
        </w:rPr>
        <w:t>Th</w:t>
      </w:r>
      <w:r w:rsidR="00737165">
        <w:rPr>
          <w:color w:val="00B050"/>
          <w:szCs w:val="20"/>
        </w:rPr>
        <w:t>e QAPP must contain detailed descriptions of procedures for all field activities</w:t>
      </w:r>
      <w:r w:rsidR="0097000E">
        <w:rPr>
          <w:color w:val="00B050"/>
          <w:szCs w:val="20"/>
        </w:rPr>
        <w:t>,</w:t>
      </w:r>
      <w:r w:rsidR="00737165">
        <w:rPr>
          <w:color w:val="00B050"/>
          <w:szCs w:val="20"/>
        </w:rPr>
        <w:t xml:space="preserve"> including sample collection</w:t>
      </w:r>
      <w:r w:rsidR="009F739F">
        <w:rPr>
          <w:color w:val="00B050"/>
          <w:szCs w:val="20"/>
        </w:rPr>
        <w:t>;</w:t>
      </w:r>
      <w:r w:rsidR="00737165">
        <w:rPr>
          <w:color w:val="00B050"/>
          <w:szCs w:val="20"/>
        </w:rPr>
        <w:t xml:space="preserve"> sample preservation</w:t>
      </w:r>
      <w:r w:rsidR="009F739F">
        <w:rPr>
          <w:color w:val="00B050"/>
          <w:szCs w:val="20"/>
        </w:rPr>
        <w:t>;</w:t>
      </w:r>
      <w:r w:rsidR="00737165">
        <w:rPr>
          <w:color w:val="00B050"/>
          <w:szCs w:val="20"/>
        </w:rPr>
        <w:t xml:space="preserve"> equipment cleaning and decontamination; equipment testing, maintenance and inspection; an</w:t>
      </w:r>
      <w:r w:rsidR="00EF3470">
        <w:rPr>
          <w:color w:val="00B050"/>
          <w:szCs w:val="20"/>
        </w:rPr>
        <w:t xml:space="preserve">d sample handling and custody. </w:t>
      </w:r>
      <w:r w:rsidR="00737165">
        <w:rPr>
          <w:color w:val="00B050"/>
          <w:szCs w:val="20"/>
        </w:rPr>
        <w:t xml:space="preserve">If these procedures are </w:t>
      </w:r>
      <w:r w:rsidR="009F739F">
        <w:rPr>
          <w:color w:val="00B050"/>
          <w:szCs w:val="20"/>
        </w:rPr>
        <w:t xml:space="preserve">included </w:t>
      </w:r>
      <w:r w:rsidR="00737165">
        <w:rPr>
          <w:color w:val="00B050"/>
          <w:szCs w:val="20"/>
        </w:rPr>
        <w:t xml:space="preserve">in </w:t>
      </w:r>
      <w:r w:rsidR="005E39D8">
        <w:rPr>
          <w:color w:val="00B050"/>
          <w:szCs w:val="20"/>
        </w:rPr>
        <w:t xml:space="preserve">existing </w:t>
      </w:r>
      <w:r w:rsidR="00737165">
        <w:rPr>
          <w:color w:val="00B050"/>
          <w:szCs w:val="20"/>
        </w:rPr>
        <w:t xml:space="preserve">SOPs, then </w:t>
      </w:r>
      <w:r w:rsidR="0097000E">
        <w:rPr>
          <w:color w:val="00B050"/>
          <w:szCs w:val="20"/>
        </w:rPr>
        <w:t xml:space="preserve">the SOPs </w:t>
      </w:r>
      <w:r w:rsidR="00C10761">
        <w:rPr>
          <w:color w:val="00B050"/>
          <w:szCs w:val="20"/>
        </w:rPr>
        <w:t xml:space="preserve">should be reviewed </w:t>
      </w:r>
      <w:r w:rsidR="0097000E">
        <w:rPr>
          <w:color w:val="00B050"/>
          <w:szCs w:val="20"/>
        </w:rPr>
        <w:t xml:space="preserve">to make sure they are either 1) sufficiently prescriptive to be implemented as written, or 2) modified </w:t>
      </w:r>
      <w:r w:rsidR="00EF3470">
        <w:rPr>
          <w:color w:val="00B050"/>
          <w:szCs w:val="20"/>
        </w:rPr>
        <w:t xml:space="preserve">as necessary for this project. </w:t>
      </w:r>
      <w:r w:rsidR="009F739F">
        <w:rPr>
          <w:color w:val="00B050"/>
          <w:szCs w:val="20"/>
        </w:rPr>
        <w:t>If an SOP provides more than one procedure or option (for example, one SOP covers the use of several different types of field equipment for the same procedure) this worksheet must note the specific op</w:t>
      </w:r>
      <w:r w:rsidR="00EF3470">
        <w:rPr>
          <w:color w:val="00B050"/>
          <w:szCs w:val="20"/>
        </w:rPr>
        <w:t xml:space="preserve">tion or equipment being used.) </w:t>
      </w:r>
      <w:r w:rsidR="0097000E">
        <w:rPr>
          <w:color w:val="00B050"/>
          <w:szCs w:val="20"/>
        </w:rPr>
        <w:t>Basic</w:t>
      </w:r>
      <w:r w:rsidR="00737165">
        <w:rPr>
          <w:color w:val="00B050"/>
          <w:szCs w:val="20"/>
        </w:rPr>
        <w:t xml:space="preserve"> information about the SOPs should be provided in this table, and the SOPS themselves should be included in an appendix to the QAPP. </w:t>
      </w:r>
      <w:r w:rsidR="0097000E">
        <w:rPr>
          <w:color w:val="00B050"/>
          <w:szCs w:val="20"/>
        </w:rPr>
        <w:t>F</w:t>
      </w:r>
      <w:r w:rsidR="00737165">
        <w:rPr>
          <w:color w:val="00B050"/>
          <w:szCs w:val="20"/>
        </w:rPr>
        <w:t xml:space="preserve">ield SOPs must be readily available to </w:t>
      </w:r>
      <w:r w:rsidR="0097000E">
        <w:rPr>
          <w:color w:val="00B050"/>
          <w:szCs w:val="20"/>
        </w:rPr>
        <w:t xml:space="preserve">all </w:t>
      </w:r>
      <w:r w:rsidR="00737165">
        <w:rPr>
          <w:color w:val="00B050"/>
          <w:szCs w:val="20"/>
        </w:rPr>
        <w:t>field personnel respons</w:t>
      </w:r>
      <w:r w:rsidR="00EF3470">
        <w:rPr>
          <w:color w:val="00B050"/>
          <w:szCs w:val="20"/>
        </w:rPr>
        <w:t xml:space="preserve">ible for their implementation. </w:t>
      </w:r>
      <w:r w:rsidR="009F739F">
        <w:rPr>
          <w:color w:val="00B050"/>
          <w:szCs w:val="20"/>
        </w:rPr>
        <w:t>The QAPP must explain a</w:t>
      </w:r>
      <w:r w:rsidR="005E39D8">
        <w:rPr>
          <w:color w:val="00B050"/>
          <w:szCs w:val="20"/>
        </w:rPr>
        <w:t xml:space="preserve">ny </w:t>
      </w:r>
      <w:r w:rsidR="009F739F">
        <w:rPr>
          <w:color w:val="00B050"/>
          <w:szCs w:val="20"/>
        </w:rPr>
        <w:t xml:space="preserve">planned </w:t>
      </w:r>
      <w:r w:rsidR="00EF3470">
        <w:rPr>
          <w:color w:val="00B050"/>
          <w:szCs w:val="20"/>
        </w:rPr>
        <w:t xml:space="preserve">modifications to field SOPs. </w:t>
      </w:r>
      <w:r w:rsidR="009F739F">
        <w:rPr>
          <w:color w:val="00B050"/>
          <w:szCs w:val="20"/>
        </w:rPr>
        <w:t>Modifications should be clearly noted on the SOPs themselves.</w:t>
      </w:r>
      <w:r w:rsidR="009E5123">
        <w:rPr>
          <w:color w:val="00B050"/>
          <w:szCs w:val="20"/>
        </w:rPr>
        <w:t xml:space="preserve"> The specific type(s) of </w:t>
      </w:r>
      <w:r w:rsidR="006B0A68">
        <w:rPr>
          <w:color w:val="00B050"/>
          <w:szCs w:val="20"/>
        </w:rPr>
        <w:t xml:space="preserve">SOP </w:t>
      </w:r>
      <w:r w:rsidR="009E5123">
        <w:rPr>
          <w:color w:val="00B050"/>
          <w:szCs w:val="20"/>
        </w:rPr>
        <w:t xml:space="preserve">modifications/deviations must be summarized in the comments </w:t>
      </w:r>
      <w:r w:rsidR="006B0A68">
        <w:rPr>
          <w:color w:val="00B050"/>
          <w:szCs w:val="20"/>
        </w:rPr>
        <w:t xml:space="preserve">column </w:t>
      </w:r>
      <w:r w:rsidR="009E5123">
        <w:rPr>
          <w:color w:val="00B050"/>
          <w:szCs w:val="20"/>
        </w:rPr>
        <w:t>or a reference provided.</w:t>
      </w:r>
    </w:p>
    <w:p w:rsidR="0097000E" w:rsidRDefault="0097000E" w:rsidP="00223128">
      <w:pPr>
        <w:spacing w:after="0"/>
      </w:pPr>
    </w:p>
    <w:tbl>
      <w:tblPr>
        <w:tblStyle w:val="TableGrid"/>
        <w:tblW w:w="0" w:type="auto"/>
        <w:tblLook w:val="04A0" w:firstRow="1" w:lastRow="0" w:firstColumn="1" w:lastColumn="0" w:noHBand="0" w:noVBand="1"/>
        <w:tblCaption w:val="Field SOPs"/>
        <w:tblDescription w:val="This table is intended for use to document the specific field procedures being implemented, which is important for measurement traceability."/>
      </w:tblPr>
      <w:tblGrid>
        <w:gridCol w:w="1368"/>
        <w:gridCol w:w="3330"/>
        <w:gridCol w:w="2070"/>
        <w:gridCol w:w="2700"/>
        <w:gridCol w:w="1512"/>
        <w:gridCol w:w="2196"/>
      </w:tblGrid>
      <w:tr w:rsidR="0097000E" w:rsidTr="00A27438">
        <w:trPr>
          <w:tblHeader/>
        </w:trPr>
        <w:tc>
          <w:tcPr>
            <w:tcW w:w="1368" w:type="dxa"/>
            <w:vAlign w:val="center"/>
          </w:tcPr>
          <w:p w:rsidR="0097000E" w:rsidRDefault="0097000E" w:rsidP="005E39D8">
            <w:pPr>
              <w:jc w:val="center"/>
            </w:pPr>
            <w:r>
              <w:t>SOP #</w:t>
            </w:r>
            <w:r w:rsidR="009F739F">
              <w:t xml:space="preserve"> or reference</w:t>
            </w:r>
          </w:p>
        </w:tc>
        <w:tc>
          <w:tcPr>
            <w:tcW w:w="3330" w:type="dxa"/>
            <w:vAlign w:val="center"/>
          </w:tcPr>
          <w:p w:rsidR="0097000E" w:rsidRDefault="0097000E" w:rsidP="005E39D8">
            <w:pPr>
              <w:jc w:val="center"/>
            </w:pPr>
            <w:r>
              <w:t xml:space="preserve">Title, </w:t>
            </w:r>
            <w:r w:rsidR="009E5123">
              <w:t xml:space="preserve">Revision, </w:t>
            </w:r>
            <w:r>
              <w:t>Date</w:t>
            </w:r>
            <w:r w:rsidR="009F739F">
              <w:t>, and URL (if available)</w:t>
            </w:r>
          </w:p>
        </w:tc>
        <w:tc>
          <w:tcPr>
            <w:tcW w:w="2070" w:type="dxa"/>
            <w:vAlign w:val="center"/>
          </w:tcPr>
          <w:p w:rsidR="0097000E" w:rsidRDefault="0097000E" w:rsidP="005E39D8">
            <w:pPr>
              <w:jc w:val="center"/>
            </w:pPr>
            <w:r>
              <w:t>Originating Organization</w:t>
            </w:r>
          </w:p>
        </w:tc>
        <w:tc>
          <w:tcPr>
            <w:tcW w:w="2700" w:type="dxa"/>
            <w:vAlign w:val="center"/>
          </w:tcPr>
          <w:p w:rsidR="009F739F" w:rsidRDefault="009F739F" w:rsidP="005E39D8">
            <w:pPr>
              <w:jc w:val="center"/>
            </w:pPr>
            <w:r>
              <w:t xml:space="preserve">SOP option or </w:t>
            </w:r>
          </w:p>
          <w:p w:rsidR="0097000E" w:rsidRDefault="005E39D8" w:rsidP="005E39D8">
            <w:pPr>
              <w:jc w:val="center"/>
            </w:pPr>
            <w:r>
              <w:t>Equipment Type</w:t>
            </w:r>
            <w:r w:rsidR="009F739F">
              <w:t xml:space="preserve"> (if SOP provides different options)</w:t>
            </w:r>
          </w:p>
        </w:tc>
        <w:tc>
          <w:tcPr>
            <w:tcW w:w="1512" w:type="dxa"/>
            <w:vAlign w:val="center"/>
          </w:tcPr>
          <w:p w:rsidR="0097000E" w:rsidRDefault="005E39D8" w:rsidP="005E39D8">
            <w:pPr>
              <w:jc w:val="center"/>
            </w:pPr>
            <w:r>
              <w:t>Modified for Project?</w:t>
            </w:r>
          </w:p>
          <w:p w:rsidR="005E39D8" w:rsidRDefault="005E39D8" w:rsidP="005E39D8">
            <w:pPr>
              <w:jc w:val="center"/>
            </w:pPr>
            <w:r>
              <w:t>Y/N</w:t>
            </w:r>
          </w:p>
        </w:tc>
        <w:tc>
          <w:tcPr>
            <w:tcW w:w="2196" w:type="dxa"/>
            <w:vAlign w:val="center"/>
          </w:tcPr>
          <w:p w:rsidR="0097000E" w:rsidRDefault="005E39D8" w:rsidP="005E39D8">
            <w:pPr>
              <w:jc w:val="center"/>
            </w:pPr>
            <w:r>
              <w:t>Comments</w:t>
            </w:r>
          </w:p>
        </w:tc>
      </w:tr>
      <w:tr w:rsidR="0097000E" w:rsidTr="005E39D8">
        <w:tc>
          <w:tcPr>
            <w:tcW w:w="1368" w:type="dxa"/>
          </w:tcPr>
          <w:p w:rsidR="0097000E" w:rsidRPr="009E5123" w:rsidRDefault="009E5123" w:rsidP="005E39D8">
            <w:pPr>
              <w:spacing w:line="360" w:lineRule="auto"/>
              <w:rPr>
                <w:color w:val="4F81BD" w:themeColor="accent1"/>
              </w:rPr>
            </w:pPr>
            <w:r w:rsidRPr="009E5123">
              <w:rPr>
                <w:color w:val="4F81BD" w:themeColor="accent1"/>
              </w:rPr>
              <w:t>DECON-003</w:t>
            </w:r>
          </w:p>
        </w:tc>
        <w:tc>
          <w:tcPr>
            <w:tcW w:w="3330" w:type="dxa"/>
          </w:tcPr>
          <w:p w:rsidR="0097000E" w:rsidRPr="009E5123" w:rsidRDefault="00EF3470" w:rsidP="009E5123">
            <w:pPr>
              <w:rPr>
                <w:color w:val="4F81BD" w:themeColor="accent1"/>
              </w:rPr>
            </w:pPr>
            <w:r>
              <w:rPr>
                <w:color w:val="4F81BD" w:themeColor="accent1"/>
              </w:rPr>
              <w:t xml:space="preserve">Decontamination SOP, </w:t>
            </w:r>
            <w:r w:rsidR="009E5123" w:rsidRPr="009E5123">
              <w:rPr>
                <w:color w:val="4F81BD" w:themeColor="accent1"/>
              </w:rPr>
              <w:t>Revision 3, October 2005</w:t>
            </w:r>
          </w:p>
        </w:tc>
        <w:tc>
          <w:tcPr>
            <w:tcW w:w="2070" w:type="dxa"/>
          </w:tcPr>
          <w:p w:rsidR="0097000E" w:rsidRPr="009E5123" w:rsidRDefault="009E5123" w:rsidP="009E5123">
            <w:pPr>
              <w:rPr>
                <w:color w:val="4F81BD" w:themeColor="accent1"/>
              </w:rPr>
            </w:pPr>
            <w:r w:rsidRPr="009E5123">
              <w:rPr>
                <w:color w:val="4F81BD" w:themeColor="accent1"/>
              </w:rPr>
              <w:t>Ma &amp; Pa Sampling Inc.</w:t>
            </w:r>
          </w:p>
        </w:tc>
        <w:tc>
          <w:tcPr>
            <w:tcW w:w="2700" w:type="dxa"/>
          </w:tcPr>
          <w:p w:rsidR="0097000E" w:rsidRPr="009E5123" w:rsidRDefault="009E5123" w:rsidP="009E5123">
            <w:pPr>
              <w:rPr>
                <w:color w:val="4F81BD" w:themeColor="accent1"/>
              </w:rPr>
            </w:pPr>
            <w:r w:rsidRPr="009E5123">
              <w:rPr>
                <w:color w:val="4F81BD" w:themeColor="accent1"/>
              </w:rPr>
              <w:t>Applies to all equip. used for non-volatile organics</w:t>
            </w:r>
          </w:p>
        </w:tc>
        <w:tc>
          <w:tcPr>
            <w:tcW w:w="1512" w:type="dxa"/>
          </w:tcPr>
          <w:p w:rsidR="0097000E" w:rsidRPr="009E5123" w:rsidRDefault="009E5123" w:rsidP="005E39D8">
            <w:pPr>
              <w:spacing w:line="360" w:lineRule="auto"/>
              <w:rPr>
                <w:color w:val="4F81BD" w:themeColor="accent1"/>
              </w:rPr>
            </w:pPr>
            <w:r w:rsidRPr="009E5123">
              <w:rPr>
                <w:color w:val="4F81BD" w:themeColor="accent1"/>
              </w:rPr>
              <w:t>Y</w:t>
            </w:r>
          </w:p>
        </w:tc>
        <w:tc>
          <w:tcPr>
            <w:tcW w:w="2196" w:type="dxa"/>
          </w:tcPr>
          <w:p w:rsidR="0097000E" w:rsidRPr="009E5123" w:rsidRDefault="009E5123" w:rsidP="009E5123">
            <w:pPr>
              <w:rPr>
                <w:color w:val="4F81BD" w:themeColor="accent1"/>
              </w:rPr>
            </w:pPr>
            <w:r w:rsidRPr="009E5123">
              <w:rPr>
                <w:color w:val="4F81BD" w:themeColor="accent1"/>
              </w:rPr>
              <w:t>Methanol will be used instead of acetone as the final rinse solvent</w:t>
            </w:r>
          </w:p>
        </w:tc>
      </w:tr>
      <w:tr w:rsidR="0097000E" w:rsidTr="005E39D8">
        <w:tc>
          <w:tcPr>
            <w:tcW w:w="1368" w:type="dxa"/>
          </w:tcPr>
          <w:p w:rsidR="0097000E" w:rsidRPr="006B0A68" w:rsidRDefault="006B0A68" w:rsidP="006B0A68">
            <w:pPr>
              <w:rPr>
                <w:color w:val="4F81BD" w:themeColor="accent1"/>
              </w:rPr>
            </w:pPr>
            <w:r w:rsidRPr="006B0A68">
              <w:rPr>
                <w:color w:val="4F81BD" w:themeColor="accent1"/>
              </w:rPr>
              <w:t>Soil-Grab-01A</w:t>
            </w:r>
          </w:p>
        </w:tc>
        <w:tc>
          <w:tcPr>
            <w:tcW w:w="3330" w:type="dxa"/>
          </w:tcPr>
          <w:p w:rsidR="0097000E" w:rsidRPr="006B0A68" w:rsidRDefault="006B0A68" w:rsidP="006B0A68">
            <w:pPr>
              <w:rPr>
                <w:color w:val="4F81BD" w:themeColor="accent1"/>
              </w:rPr>
            </w:pPr>
            <w:r w:rsidRPr="006B0A68">
              <w:rPr>
                <w:color w:val="4F81BD" w:themeColor="accent1"/>
              </w:rPr>
              <w:t>Surface soil sampling SOP, Revision 0, June 2004</w:t>
            </w:r>
          </w:p>
        </w:tc>
        <w:tc>
          <w:tcPr>
            <w:tcW w:w="2070" w:type="dxa"/>
          </w:tcPr>
          <w:p w:rsidR="0097000E" w:rsidRPr="006B0A68" w:rsidRDefault="006B0A68" w:rsidP="006B0A68">
            <w:pPr>
              <w:rPr>
                <w:color w:val="4F81BD" w:themeColor="accent1"/>
              </w:rPr>
            </w:pPr>
            <w:r w:rsidRPr="006B0A68">
              <w:rPr>
                <w:color w:val="4F81BD" w:themeColor="accent1"/>
              </w:rPr>
              <w:t>Ma &amp; Pa sampling Inc.</w:t>
            </w:r>
          </w:p>
        </w:tc>
        <w:tc>
          <w:tcPr>
            <w:tcW w:w="2700" w:type="dxa"/>
          </w:tcPr>
          <w:p w:rsidR="0097000E" w:rsidRPr="006B0A68" w:rsidRDefault="006B0A68" w:rsidP="006B0A68">
            <w:pPr>
              <w:rPr>
                <w:color w:val="4F81BD" w:themeColor="accent1"/>
              </w:rPr>
            </w:pPr>
            <w:r w:rsidRPr="006B0A68">
              <w:rPr>
                <w:color w:val="4F81BD" w:themeColor="accent1"/>
              </w:rPr>
              <w:t>Disposable Trowel</w:t>
            </w:r>
          </w:p>
        </w:tc>
        <w:tc>
          <w:tcPr>
            <w:tcW w:w="1512" w:type="dxa"/>
          </w:tcPr>
          <w:p w:rsidR="0097000E" w:rsidRPr="006B0A68" w:rsidRDefault="006B0A68" w:rsidP="006B0A68">
            <w:pPr>
              <w:rPr>
                <w:color w:val="4F81BD" w:themeColor="accent1"/>
              </w:rPr>
            </w:pPr>
            <w:r w:rsidRPr="006B0A68">
              <w:rPr>
                <w:color w:val="4F81BD" w:themeColor="accent1"/>
              </w:rPr>
              <w:t>Y</w:t>
            </w:r>
          </w:p>
        </w:tc>
        <w:tc>
          <w:tcPr>
            <w:tcW w:w="2196" w:type="dxa"/>
          </w:tcPr>
          <w:p w:rsidR="0097000E" w:rsidRPr="006B0A68" w:rsidRDefault="00EF3470" w:rsidP="006B0A68">
            <w:pPr>
              <w:rPr>
                <w:color w:val="4F81BD" w:themeColor="accent1"/>
              </w:rPr>
            </w:pPr>
            <w:r>
              <w:rPr>
                <w:color w:val="4F81BD" w:themeColor="accent1"/>
              </w:rPr>
              <w:t>Refer</w:t>
            </w:r>
            <w:r w:rsidR="006B0A68" w:rsidRPr="006B0A68">
              <w:rPr>
                <w:color w:val="4F81BD" w:themeColor="accent1"/>
              </w:rPr>
              <w:t xml:space="preserve"> to cover sheet of attached SOP for summary of deviations</w:t>
            </w:r>
          </w:p>
        </w:tc>
      </w:tr>
      <w:tr w:rsidR="0097000E" w:rsidTr="005E39D8">
        <w:tc>
          <w:tcPr>
            <w:tcW w:w="1368" w:type="dxa"/>
          </w:tcPr>
          <w:p w:rsidR="0097000E" w:rsidRDefault="0097000E" w:rsidP="005E39D8">
            <w:pPr>
              <w:spacing w:line="360" w:lineRule="auto"/>
            </w:pPr>
          </w:p>
        </w:tc>
        <w:tc>
          <w:tcPr>
            <w:tcW w:w="3330" w:type="dxa"/>
          </w:tcPr>
          <w:p w:rsidR="0097000E" w:rsidRDefault="0097000E" w:rsidP="005E39D8">
            <w:pPr>
              <w:spacing w:line="360" w:lineRule="auto"/>
            </w:pPr>
          </w:p>
        </w:tc>
        <w:tc>
          <w:tcPr>
            <w:tcW w:w="2070" w:type="dxa"/>
          </w:tcPr>
          <w:p w:rsidR="0097000E" w:rsidRDefault="0097000E" w:rsidP="005E39D8">
            <w:pPr>
              <w:spacing w:line="360" w:lineRule="auto"/>
            </w:pPr>
          </w:p>
        </w:tc>
        <w:tc>
          <w:tcPr>
            <w:tcW w:w="2700" w:type="dxa"/>
          </w:tcPr>
          <w:p w:rsidR="0097000E" w:rsidRDefault="0097000E" w:rsidP="005E39D8">
            <w:pPr>
              <w:spacing w:line="360" w:lineRule="auto"/>
            </w:pPr>
          </w:p>
        </w:tc>
        <w:tc>
          <w:tcPr>
            <w:tcW w:w="1512" w:type="dxa"/>
          </w:tcPr>
          <w:p w:rsidR="0097000E" w:rsidRDefault="0097000E" w:rsidP="005E39D8">
            <w:pPr>
              <w:spacing w:line="360" w:lineRule="auto"/>
            </w:pPr>
          </w:p>
        </w:tc>
        <w:tc>
          <w:tcPr>
            <w:tcW w:w="2196" w:type="dxa"/>
          </w:tcPr>
          <w:p w:rsidR="0097000E" w:rsidRDefault="0097000E" w:rsidP="005E39D8">
            <w:pPr>
              <w:spacing w:line="360" w:lineRule="auto"/>
            </w:pPr>
          </w:p>
        </w:tc>
      </w:tr>
      <w:tr w:rsidR="0097000E" w:rsidTr="005E39D8">
        <w:tc>
          <w:tcPr>
            <w:tcW w:w="1368" w:type="dxa"/>
          </w:tcPr>
          <w:p w:rsidR="0097000E" w:rsidRDefault="0097000E" w:rsidP="005E39D8">
            <w:pPr>
              <w:spacing w:line="360" w:lineRule="auto"/>
            </w:pPr>
          </w:p>
        </w:tc>
        <w:tc>
          <w:tcPr>
            <w:tcW w:w="3330" w:type="dxa"/>
          </w:tcPr>
          <w:p w:rsidR="0097000E" w:rsidRDefault="0097000E" w:rsidP="005E39D8">
            <w:pPr>
              <w:spacing w:line="360" w:lineRule="auto"/>
            </w:pPr>
          </w:p>
        </w:tc>
        <w:tc>
          <w:tcPr>
            <w:tcW w:w="2070" w:type="dxa"/>
          </w:tcPr>
          <w:p w:rsidR="0097000E" w:rsidRDefault="0097000E" w:rsidP="005E39D8">
            <w:pPr>
              <w:spacing w:line="360" w:lineRule="auto"/>
            </w:pPr>
          </w:p>
        </w:tc>
        <w:tc>
          <w:tcPr>
            <w:tcW w:w="2700" w:type="dxa"/>
          </w:tcPr>
          <w:p w:rsidR="0097000E" w:rsidRDefault="0097000E" w:rsidP="005E39D8">
            <w:pPr>
              <w:spacing w:line="360" w:lineRule="auto"/>
            </w:pPr>
          </w:p>
        </w:tc>
        <w:tc>
          <w:tcPr>
            <w:tcW w:w="1512" w:type="dxa"/>
          </w:tcPr>
          <w:p w:rsidR="0097000E" w:rsidRDefault="0097000E" w:rsidP="005E39D8">
            <w:pPr>
              <w:spacing w:line="360" w:lineRule="auto"/>
            </w:pPr>
          </w:p>
        </w:tc>
        <w:tc>
          <w:tcPr>
            <w:tcW w:w="2196" w:type="dxa"/>
          </w:tcPr>
          <w:p w:rsidR="0097000E" w:rsidRDefault="0097000E" w:rsidP="005E39D8">
            <w:pPr>
              <w:spacing w:line="360" w:lineRule="auto"/>
            </w:pPr>
          </w:p>
        </w:tc>
      </w:tr>
    </w:tbl>
    <w:p w:rsidR="002F2EA8" w:rsidRDefault="002F2EA8" w:rsidP="00223128">
      <w:pPr>
        <w:spacing w:after="0"/>
      </w:pPr>
    </w:p>
    <w:sectPr w:rsidR="002F2EA8" w:rsidSect="0035042F">
      <w:headerReference w:type="even" r:id="rId9"/>
      <w:headerReference w:type="default" r:id="rId10"/>
      <w:footerReference w:type="even" r:id="rId11"/>
      <w:footerReference w:type="default" r:id="rId12"/>
      <w:headerReference w:type="first" r:id="rId13"/>
      <w:footerReference w:type="first" r:id="rId14"/>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2A1E" w:rsidRDefault="007C2A1E" w:rsidP="00FF0C16">
      <w:pPr>
        <w:spacing w:after="0" w:line="240" w:lineRule="auto"/>
      </w:pPr>
      <w:r>
        <w:separator/>
      </w:r>
    </w:p>
  </w:endnote>
  <w:endnote w:type="continuationSeparator" w:id="0">
    <w:p w:rsidR="007C2A1E" w:rsidRDefault="007C2A1E" w:rsidP="00FF0C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438" w:rsidRDefault="00A2743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438" w:rsidRDefault="00A2743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438" w:rsidRDefault="00A2743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2A1E" w:rsidRDefault="007C2A1E" w:rsidP="00FF0C16">
      <w:pPr>
        <w:spacing w:after="0" w:line="240" w:lineRule="auto"/>
      </w:pPr>
      <w:r>
        <w:separator/>
      </w:r>
    </w:p>
  </w:footnote>
  <w:footnote w:type="continuationSeparator" w:id="0">
    <w:p w:rsidR="007C2A1E" w:rsidRDefault="007C2A1E" w:rsidP="00FF0C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438" w:rsidRDefault="00A2743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5053189"/>
      <w:docPartObj>
        <w:docPartGallery w:val="Page Numbers (Top of Page)"/>
        <w:docPartUnique/>
      </w:docPartObj>
    </w:sdtPr>
    <w:sdtEndPr/>
    <w:sdtContent>
      <w:p w:rsidR="004512C3" w:rsidRPr="004A0D0A" w:rsidRDefault="004512C3">
        <w:pPr>
          <w:pStyle w:val="Header"/>
          <w:jc w:val="right"/>
          <w:rPr>
            <w:sz w:val="20"/>
            <w:szCs w:val="20"/>
          </w:rPr>
        </w:pPr>
        <w:r w:rsidRPr="004A0D0A">
          <w:rPr>
            <w:sz w:val="20"/>
            <w:szCs w:val="20"/>
          </w:rPr>
          <w:t>Title:</w:t>
        </w:r>
      </w:p>
      <w:p w:rsidR="004512C3" w:rsidRPr="004A0D0A" w:rsidRDefault="004512C3">
        <w:pPr>
          <w:pStyle w:val="Header"/>
          <w:jc w:val="right"/>
          <w:rPr>
            <w:sz w:val="20"/>
            <w:szCs w:val="20"/>
          </w:rPr>
        </w:pPr>
        <w:r w:rsidRPr="004A0D0A">
          <w:rPr>
            <w:sz w:val="20"/>
            <w:szCs w:val="20"/>
          </w:rPr>
          <w:t>Revision Number:</w:t>
        </w:r>
      </w:p>
      <w:p w:rsidR="004512C3" w:rsidRPr="004A0D0A" w:rsidRDefault="004512C3">
        <w:pPr>
          <w:pStyle w:val="Header"/>
          <w:jc w:val="right"/>
          <w:rPr>
            <w:sz w:val="20"/>
            <w:szCs w:val="20"/>
          </w:rPr>
        </w:pPr>
        <w:r w:rsidRPr="004A0D0A">
          <w:rPr>
            <w:sz w:val="20"/>
            <w:szCs w:val="20"/>
          </w:rPr>
          <w:t>Revision Date:</w:t>
        </w:r>
      </w:p>
      <w:p w:rsidR="004512C3" w:rsidRDefault="004512C3">
        <w:pPr>
          <w:pStyle w:val="Header"/>
          <w:jc w:val="right"/>
        </w:pPr>
        <w:r w:rsidRPr="004A0D0A">
          <w:rPr>
            <w:sz w:val="20"/>
            <w:szCs w:val="20"/>
          </w:rPr>
          <w:t xml:space="preserve">Page </w:t>
        </w:r>
        <w:r w:rsidR="00F74AB2" w:rsidRPr="004A0D0A">
          <w:rPr>
            <w:b/>
            <w:sz w:val="20"/>
            <w:szCs w:val="20"/>
          </w:rPr>
          <w:fldChar w:fldCharType="begin"/>
        </w:r>
        <w:r w:rsidRPr="004A0D0A">
          <w:rPr>
            <w:b/>
            <w:sz w:val="20"/>
            <w:szCs w:val="20"/>
          </w:rPr>
          <w:instrText xml:space="preserve"> PAGE </w:instrText>
        </w:r>
        <w:r w:rsidR="00F74AB2" w:rsidRPr="004A0D0A">
          <w:rPr>
            <w:b/>
            <w:sz w:val="20"/>
            <w:szCs w:val="20"/>
          </w:rPr>
          <w:fldChar w:fldCharType="separate"/>
        </w:r>
        <w:r w:rsidR="00A27438">
          <w:rPr>
            <w:b/>
            <w:noProof/>
            <w:sz w:val="20"/>
            <w:szCs w:val="20"/>
          </w:rPr>
          <w:t>1</w:t>
        </w:r>
        <w:r w:rsidR="00F74AB2" w:rsidRPr="004A0D0A">
          <w:rPr>
            <w:b/>
            <w:sz w:val="20"/>
            <w:szCs w:val="20"/>
          </w:rPr>
          <w:fldChar w:fldCharType="end"/>
        </w:r>
        <w:r w:rsidRPr="004A0D0A">
          <w:rPr>
            <w:sz w:val="20"/>
            <w:szCs w:val="20"/>
          </w:rPr>
          <w:t xml:space="preserve"> of </w:t>
        </w:r>
        <w:r w:rsidR="00F74AB2" w:rsidRPr="004A0D0A">
          <w:rPr>
            <w:b/>
            <w:sz w:val="20"/>
            <w:szCs w:val="20"/>
          </w:rPr>
          <w:fldChar w:fldCharType="begin"/>
        </w:r>
        <w:r w:rsidRPr="004A0D0A">
          <w:rPr>
            <w:b/>
            <w:sz w:val="20"/>
            <w:szCs w:val="20"/>
          </w:rPr>
          <w:instrText xml:space="preserve"> NUMPAGES  </w:instrText>
        </w:r>
        <w:r w:rsidR="00F74AB2" w:rsidRPr="004A0D0A">
          <w:rPr>
            <w:b/>
            <w:sz w:val="20"/>
            <w:szCs w:val="20"/>
          </w:rPr>
          <w:fldChar w:fldCharType="separate"/>
        </w:r>
        <w:r w:rsidR="00A27438">
          <w:rPr>
            <w:b/>
            <w:noProof/>
            <w:sz w:val="20"/>
            <w:szCs w:val="20"/>
          </w:rPr>
          <w:t>1</w:t>
        </w:r>
        <w:r w:rsidR="00F74AB2" w:rsidRPr="004A0D0A">
          <w:rPr>
            <w:b/>
            <w:sz w:val="20"/>
            <w:szCs w:val="20"/>
          </w:rPr>
          <w:fldChar w:fldCharType="end"/>
        </w:r>
      </w:p>
    </w:sdtContent>
  </w:sdt>
  <w:p w:rsidR="004512C3" w:rsidRDefault="004512C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438" w:rsidRDefault="00A2743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385964"/>
    <w:multiLevelType w:val="hybridMultilevel"/>
    <w:tmpl w:val="38266D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31A711D"/>
    <w:multiLevelType w:val="hybridMultilevel"/>
    <w:tmpl w:val="493023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1D52"/>
    <w:rsid w:val="00055762"/>
    <w:rsid w:val="000C6E83"/>
    <w:rsid w:val="000E0FFF"/>
    <w:rsid w:val="000F6FB2"/>
    <w:rsid w:val="000F7CBB"/>
    <w:rsid w:val="001151CE"/>
    <w:rsid w:val="0012194D"/>
    <w:rsid w:val="001651B6"/>
    <w:rsid w:val="00190489"/>
    <w:rsid w:val="001E18E9"/>
    <w:rsid w:val="00204B1C"/>
    <w:rsid w:val="00216BF1"/>
    <w:rsid w:val="00223128"/>
    <w:rsid w:val="00296F32"/>
    <w:rsid w:val="002D1D52"/>
    <w:rsid w:val="002E44E2"/>
    <w:rsid w:val="002F2EA8"/>
    <w:rsid w:val="003071EC"/>
    <w:rsid w:val="00332EF5"/>
    <w:rsid w:val="00342920"/>
    <w:rsid w:val="0035042F"/>
    <w:rsid w:val="003B65F7"/>
    <w:rsid w:val="003C5050"/>
    <w:rsid w:val="00402B16"/>
    <w:rsid w:val="004079B8"/>
    <w:rsid w:val="00417892"/>
    <w:rsid w:val="00431685"/>
    <w:rsid w:val="004512C3"/>
    <w:rsid w:val="00460824"/>
    <w:rsid w:val="00487BBF"/>
    <w:rsid w:val="004A0D0A"/>
    <w:rsid w:val="004E4978"/>
    <w:rsid w:val="004E7DCC"/>
    <w:rsid w:val="004F0DF5"/>
    <w:rsid w:val="004F69D6"/>
    <w:rsid w:val="00530548"/>
    <w:rsid w:val="00566B3F"/>
    <w:rsid w:val="00594380"/>
    <w:rsid w:val="005A77C5"/>
    <w:rsid w:val="005D4D70"/>
    <w:rsid w:val="005E39D8"/>
    <w:rsid w:val="006919AF"/>
    <w:rsid w:val="006B0A68"/>
    <w:rsid w:val="006B4AC9"/>
    <w:rsid w:val="00713B7E"/>
    <w:rsid w:val="00737165"/>
    <w:rsid w:val="007C2A1E"/>
    <w:rsid w:val="008D0088"/>
    <w:rsid w:val="008F0996"/>
    <w:rsid w:val="00925C3C"/>
    <w:rsid w:val="00947B9E"/>
    <w:rsid w:val="0096117B"/>
    <w:rsid w:val="0097000E"/>
    <w:rsid w:val="009D3013"/>
    <w:rsid w:val="009E5123"/>
    <w:rsid w:val="009F739F"/>
    <w:rsid w:val="00A27438"/>
    <w:rsid w:val="00A57C3F"/>
    <w:rsid w:val="00B01C25"/>
    <w:rsid w:val="00B35F7C"/>
    <w:rsid w:val="00B712D1"/>
    <w:rsid w:val="00BA2CBC"/>
    <w:rsid w:val="00BB07FB"/>
    <w:rsid w:val="00BE1C70"/>
    <w:rsid w:val="00C10761"/>
    <w:rsid w:val="00C21E2B"/>
    <w:rsid w:val="00C311B2"/>
    <w:rsid w:val="00C603A7"/>
    <w:rsid w:val="00C73291"/>
    <w:rsid w:val="00CF2ED5"/>
    <w:rsid w:val="00D9587C"/>
    <w:rsid w:val="00DB49F4"/>
    <w:rsid w:val="00DC7AB4"/>
    <w:rsid w:val="00DD1D47"/>
    <w:rsid w:val="00DD318E"/>
    <w:rsid w:val="00E57268"/>
    <w:rsid w:val="00E953BD"/>
    <w:rsid w:val="00EF3470"/>
    <w:rsid w:val="00EF6842"/>
    <w:rsid w:val="00F436D8"/>
    <w:rsid w:val="00F74AB2"/>
    <w:rsid w:val="00FC01DF"/>
    <w:rsid w:val="00FF0C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F0C1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0C16"/>
  </w:style>
  <w:style w:type="paragraph" w:styleId="Footer">
    <w:name w:val="footer"/>
    <w:basedOn w:val="Normal"/>
    <w:link w:val="FooterChar"/>
    <w:uiPriority w:val="99"/>
    <w:unhideWhenUsed/>
    <w:rsid w:val="00FF0C1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F0C16"/>
  </w:style>
  <w:style w:type="paragraph" w:styleId="BalloonText">
    <w:name w:val="Balloon Text"/>
    <w:basedOn w:val="Normal"/>
    <w:link w:val="BalloonTextChar"/>
    <w:uiPriority w:val="99"/>
    <w:semiHidden/>
    <w:unhideWhenUsed/>
    <w:rsid w:val="00FF0C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0C16"/>
    <w:rPr>
      <w:rFonts w:ascii="Tahoma" w:hAnsi="Tahoma" w:cs="Tahoma"/>
      <w:sz w:val="16"/>
      <w:szCs w:val="16"/>
    </w:rPr>
  </w:style>
  <w:style w:type="paragraph" w:styleId="ListParagraph">
    <w:name w:val="List Paragraph"/>
    <w:basedOn w:val="Normal"/>
    <w:uiPriority w:val="34"/>
    <w:qFormat/>
    <w:rsid w:val="004F69D6"/>
    <w:pPr>
      <w:ind w:left="720"/>
      <w:contextualSpacing/>
    </w:pPr>
  </w:style>
  <w:style w:type="table" w:styleId="TableGrid">
    <w:name w:val="Table Grid"/>
    <w:basedOn w:val="TableNormal"/>
    <w:uiPriority w:val="59"/>
    <w:rsid w:val="00C732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C7329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73291"/>
    <w:rPr>
      <w:sz w:val="20"/>
      <w:szCs w:val="20"/>
    </w:rPr>
  </w:style>
  <w:style w:type="character" w:styleId="FootnoteReference">
    <w:name w:val="footnote reference"/>
    <w:basedOn w:val="DefaultParagraphFont"/>
    <w:uiPriority w:val="99"/>
    <w:semiHidden/>
    <w:unhideWhenUsed/>
    <w:rsid w:val="00C7329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F0C1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0C16"/>
  </w:style>
  <w:style w:type="paragraph" w:styleId="Footer">
    <w:name w:val="footer"/>
    <w:basedOn w:val="Normal"/>
    <w:link w:val="FooterChar"/>
    <w:uiPriority w:val="99"/>
    <w:unhideWhenUsed/>
    <w:rsid w:val="00FF0C1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F0C16"/>
  </w:style>
  <w:style w:type="paragraph" w:styleId="BalloonText">
    <w:name w:val="Balloon Text"/>
    <w:basedOn w:val="Normal"/>
    <w:link w:val="BalloonTextChar"/>
    <w:uiPriority w:val="99"/>
    <w:semiHidden/>
    <w:unhideWhenUsed/>
    <w:rsid w:val="00FF0C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0C16"/>
    <w:rPr>
      <w:rFonts w:ascii="Tahoma" w:hAnsi="Tahoma" w:cs="Tahoma"/>
      <w:sz w:val="16"/>
      <w:szCs w:val="16"/>
    </w:rPr>
  </w:style>
  <w:style w:type="paragraph" w:styleId="ListParagraph">
    <w:name w:val="List Paragraph"/>
    <w:basedOn w:val="Normal"/>
    <w:uiPriority w:val="34"/>
    <w:qFormat/>
    <w:rsid w:val="004F69D6"/>
    <w:pPr>
      <w:ind w:left="720"/>
      <w:contextualSpacing/>
    </w:pPr>
  </w:style>
  <w:style w:type="table" w:styleId="TableGrid">
    <w:name w:val="Table Grid"/>
    <w:basedOn w:val="TableNormal"/>
    <w:uiPriority w:val="59"/>
    <w:rsid w:val="00C732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C7329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73291"/>
    <w:rPr>
      <w:sz w:val="20"/>
      <w:szCs w:val="20"/>
    </w:rPr>
  </w:style>
  <w:style w:type="character" w:styleId="FootnoteReference">
    <w:name w:val="footnote reference"/>
    <w:basedOn w:val="DefaultParagraphFont"/>
    <w:uiPriority w:val="99"/>
    <w:semiHidden/>
    <w:unhideWhenUsed/>
    <w:rsid w:val="00C7329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3258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8AB709-506C-4949-A908-937F2765CE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298</Words>
  <Characters>1704</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QAPP Worksheet #21: Field SOPs</vt:lpstr>
    </vt:vector>
  </TitlesOfParts>
  <Company/>
  <LinksUpToDate>false</LinksUpToDate>
  <CharactersWithSpaces>1999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QAPP Worksheet #21: Field SOPs</dc:title>
  <dc:subject>This worksheet is intended for use to document the specific field procedures being implemented, which is important for measurement traceability.</dc:subject>
  <dc:creator>US EPA;US Department of Defense;US Department of Energy</dc:creator>
  <cp:keywords>standard operating procedure, SOP, option, equipment</cp:keywords>
  <cp:lastModifiedBy>Kevin O'Donovan</cp:lastModifiedBy>
  <cp:revision>5</cp:revision>
  <dcterms:created xsi:type="dcterms:W3CDTF">2012-05-08T12:46:00Z</dcterms:created>
  <dcterms:modified xsi:type="dcterms:W3CDTF">2012-05-08T12:52:00Z</dcterms:modified>
</cp:coreProperties>
</file>