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2D8E7" w14:textId="77777777" w:rsidR="00345066" w:rsidRDefault="00345066" w:rsidP="001D31D3">
      <w:pPr>
        <w:widowControl/>
        <w:jc w:val="center"/>
        <w:rPr>
          <w:b/>
          <w:bCs/>
        </w:rPr>
      </w:pPr>
      <w:bookmarkStart w:id="0" w:name="_GoBack"/>
      <w:bookmarkEnd w:id="0"/>
      <w:r>
        <w:rPr>
          <w:b/>
          <w:bCs/>
        </w:rPr>
        <w:t xml:space="preserve">MODEL CERCLA ABILITY TO PAY PROVISIONS FOR USE IN </w:t>
      </w:r>
    </w:p>
    <w:p w14:paraId="0C97D636" w14:textId="77777777" w:rsidR="00345066" w:rsidRDefault="00345066" w:rsidP="001D31D3">
      <w:pPr>
        <w:widowControl/>
        <w:jc w:val="center"/>
        <w:rPr>
          <w:b/>
          <w:bCs/>
        </w:rPr>
      </w:pPr>
      <w:r>
        <w:rPr>
          <w:b/>
          <w:bCs/>
        </w:rPr>
        <w:t xml:space="preserve">DE MINIMIS SETTLEMENTS WITH ABILITY TO PAY AND </w:t>
      </w:r>
    </w:p>
    <w:p w14:paraId="38018340" w14:textId="77777777" w:rsidR="00345066" w:rsidRDefault="00345066" w:rsidP="001D31D3">
      <w:pPr>
        <w:widowControl/>
        <w:jc w:val="center"/>
        <w:rPr>
          <w:b/>
          <w:bCs/>
        </w:rPr>
      </w:pPr>
      <w:r>
        <w:rPr>
          <w:b/>
          <w:bCs/>
        </w:rPr>
        <w:t>NON-ABILITY TO PAY PARTIES</w:t>
      </w:r>
    </w:p>
    <w:p w14:paraId="7A0B0455" w14:textId="77777777" w:rsidR="00FC6C85" w:rsidRDefault="00FC6C85" w:rsidP="001D31D3">
      <w:pPr>
        <w:widowControl/>
        <w:jc w:val="center"/>
      </w:pPr>
    </w:p>
    <w:p w14:paraId="0CA7A218" w14:textId="109D77D0" w:rsidR="00FF137C" w:rsidRDefault="00345066" w:rsidP="001D31D3">
      <w:pPr>
        <w:widowControl/>
      </w:pPr>
      <w:r>
        <w:t xml:space="preserve">This document provides recommended language for settling with ability to pay </w:t>
      </w:r>
      <w:r>
        <w:rPr>
          <w:i/>
          <w:iCs/>
        </w:rPr>
        <w:t>de minimis</w:t>
      </w:r>
      <w:r>
        <w:t xml:space="preserve"> parties in accordance with Section 122(g)(7) of </w:t>
      </w:r>
      <w:r w:rsidR="00FF137C">
        <w:t>the Comprehensive Environmental Response, Compensation, and Liability Act (</w:t>
      </w:r>
      <w:r>
        <w:t>CERCLA</w:t>
      </w:r>
      <w:r w:rsidR="00FF137C">
        <w:t>)</w:t>
      </w:r>
      <w:r>
        <w:t>, as amended, 42 U.S.C.</w:t>
      </w:r>
      <w:r w:rsidR="00445B24">
        <w:t xml:space="preserve"> </w:t>
      </w:r>
      <w:r w:rsidR="004B6A15">
        <w:t xml:space="preserve">§ </w:t>
      </w:r>
      <w:r>
        <w:t xml:space="preserve">9622(g)(7). It sets forth the specific changes to be made to the model Section 122(g) </w:t>
      </w:r>
      <w:r>
        <w:rPr>
          <w:i/>
          <w:iCs/>
        </w:rPr>
        <w:t>de minimis</w:t>
      </w:r>
      <w:r>
        <w:t xml:space="preserve"> contributor consent decree (CD) and administrative </w:t>
      </w:r>
      <w:r w:rsidR="00D017D6">
        <w:t xml:space="preserve">settlement agreement and </w:t>
      </w:r>
      <w:r>
        <w:t>order on consent (A</w:t>
      </w:r>
      <w:r w:rsidR="00D017D6">
        <w:t>SA</w:t>
      </w:r>
      <w:r>
        <w:t xml:space="preserve">OC) when entering into such a settlement with both ability to pay (ATP) and non-ATP potentially responsible parties. </w:t>
      </w:r>
    </w:p>
    <w:p w14:paraId="13CF77ED" w14:textId="77777777" w:rsidR="00FF137C" w:rsidRDefault="00FF137C" w:rsidP="001D31D3">
      <w:pPr>
        <w:widowControl/>
      </w:pPr>
    </w:p>
    <w:p w14:paraId="48E1A6F9" w14:textId="3C2E0718" w:rsidR="00FF137C" w:rsidRDefault="00FF137C" w:rsidP="001D31D3">
      <w:pPr>
        <w:widowControl/>
      </w:pPr>
      <w:r>
        <w:t xml:space="preserve">All references in this document are to the language and numbering of the September 2014 “Model CERCLA Section 122(g)(4) </w:t>
      </w:r>
      <w:r>
        <w:rPr>
          <w:i/>
          <w:iCs/>
        </w:rPr>
        <w:t>De Minimis</w:t>
      </w:r>
      <w:r>
        <w:t xml:space="preserve"> Contributor Consent Decree” and the “Model CERCLA Section 122(g)(4) </w:t>
      </w:r>
      <w:r>
        <w:rPr>
          <w:i/>
          <w:iCs/>
        </w:rPr>
        <w:t>De Minimis</w:t>
      </w:r>
      <w:r>
        <w:t xml:space="preserve"> Contributor Administrative Settlement Agreement and Order on Consent.”</w:t>
      </w:r>
      <w:r w:rsidR="00612F02">
        <w:t xml:space="preserve"> </w:t>
      </w:r>
      <w:r w:rsidR="00612F02" w:rsidRPr="00612F02">
        <w:t>When inserting text from this document into a model, ALWAYS use the “Paste Special” function. Press Ctrl-Alt-V; in the pop-up menu, click “Unformatted Text” and OK.</w:t>
      </w:r>
    </w:p>
    <w:p w14:paraId="6E9C5A03" w14:textId="77777777" w:rsidR="00FF137C" w:rsidRDefault="00FF137C" w:rsidP="001D31D3">
      <w:pPr>
        <w:widowControl/>
      </w:pPr>
    </w:p>
    <w:p w14:paraId="18B3A540" w14:textId="16023AF4" w:rsidR="00345066" w:rsidRDefault="00345066" w:rsidP="001D31D3">
      <w:pPr>
        <w:widowControl/>
      </w:pPr>
      <w:r>
        <w:t xml:space="preserve">The changes set forth below may also be tailored for use in any </w:t>
      </w:r>
      <w:r>
        <w:rPr>
          <w:i/>
          <w:iCs/>
        </w:rPr>
        <w:t>de minimis</w:t>
      </w:r>
      <w:r>
        <w:t xml:space="preserve"> landowner CD </w:t>
      </w:r>
      <w:r w:rsidR="00B902BE">
        <w:t xml:space="preserve">or ASAOC </w:t>
      </w:r>
      <w:r>
        <w:t xml:space="preserve">entered into with an ATP party in the event that such settlement calls for a cash payment. If a </w:t>
      </w:r>
      <w:r>
        <w:rPr>
          <w:i/>
          <w:iCs/>
        </w:rPr>
        <w:t>de minimis</w:t>
      </w:r>
      <w:r>
        <w:t xml:space="preserve"> landowner settlement with an ATP party calls for the United States to be paid a percentage of the proceeds of the future sale of land, language may be found in the </w:t>
      </w:r>
      <w:r w:rsidR="00D017D6">
        <w:t xml:space="preserve">September 2014 “Model CERCLA Ability to Pay Peripheral Party Cashout Consent Decree” or “Model CERCLA Section 122(h) Cashout Settlement Agreement for Ability to Pay Peripheral Parties,” as appropriate. </w:t>
      </w:r>
    </w:p>
    <w:p w14:paraId="3ED73941" w14:textId="77777777" w:rsidR="00345066" w:rsidRDefault="00345066" w:rsidP="001D31D3">
      <w:pPr>
        <w:widowControl/>
      </w:pPr>
    </w:p>
    <w:p w14:paraId="3C825F8B" w14:textId="3184B418" w:rsidR="00345066" w:rsidRDefault="00345066" w:rsidP="001D31D3">
      <w:pPr>
        <w:widowControl/>
      </w:pPr>
      <w:r>
        <w:t xml:space="preserve">All ability to pay settlements must be based on an ability to pay analysis and require payment of an appropriate ability to pay amount, </w:t>
      </w:r>
      <w:r w:rsidR="00D017D6">
        <w:t>in accordance with</w:t>
      </w:r>
      <w:r>
        <w:t xml:space="preserve"> the </w:t>
      </w:r>
      <w:r w:rsidR="00D017D6">
        <w:t>“</w:t>
      </w:r>
      <w:r>
        <w:t>General Policy on Superfund Ability to Pay Determinations</w:t>
      </w:r>
      <w:r w:rsidR="00D017D6">
        <w:t>”</w:t>
      </w:r>
      <w:r>
        <w:t xml:space="preserve"> (</w:t>
      </w:r>
      <w:r w:rsidR="00FF137C">
        <w:t xml:space="preserve">Sept. </w:t>
      </w:r>
      <w:r>
        <w:t>30, 1997</w:t>
      </w:r>
      <w:r w:rsidR="00D017D6">
        <w:t xml:space="preserve">; available at </w:t>
      </w:r>
      <w:hyperlink r:id="rId7" w:history="1">
        <w:r w:rsidR="00D017D6" w:rsidRPr="00FC6C85">
          <w:rPr>
            <w:rStyle w:val="Hyperlink"/>
          </w:rPr>
          <w:t>http://www2.epa.gov/enforcement/guidance-superfund-ability-pay-determinations</w:t>
        </w:r>
      </w:hyperlink>
      <w:r w:rsidR="00D017D6">
        <w:t>)</w:t>
      </w:r>
      <w:r w:rsidR="00D017D6" w:rsidRPr="002323E7">
        <w:t>.</w:t>
      </w:r>
    </w:p>
    <w:p w14:paraId="5F3D119A" w14:textId="77777777" w:rsidR="001D5DFC" w:rsidRDefault="001D5DFC" w:rsidP="001D5DFC">
      <w:pPr>
        <w:widowControl/>
      </w:pPr>
    </w:p>
    <w:p w14:paraId="44D91E75" w14:textId="77777777" w:rsidR="001D5DFC" w:rsidRDefault="001D5DFC" w:rsidP="001D5DFC">
      <w:pPr>
        <w:widowControl/>
      </w:pPr>
      <w:r>
        <w:t>This model language and any internal procedures adopted for its implementation and use are intended as guidance for employees of the U.S. Environmental Protection Agency and U.S. Department of Justice. They are not rules and do not create legal obligations. The extent to which EPA and DOJ uses them in a particular case will depend upon the facts of the case.</w:t>
      </w:r>
    </w:p>
    <w:p w14:paraId="7098245F" w14:textId="77777777" w:rsidR="00345066" w:rsidRDefault="00345066" w:rsidP="001D31D3">
      <w:pPr>
        <w:widowControl/>
      </w:pPr>
    </w:p>
    <w:p w14:paraId="17B8384A" w14:textId="4AFDC77F" w:rsidR="00345066" w:rsidRPr="001D31D3" w:rsidRDefault="00FF137C" w:rsidP="001D31D3">
      <w:pPr>
        <w:widowControl/>
        <w:rPr>
          <w:b/>
          <w:bCs/>
        </w:rPr>
      </w:pPr>
      <w:r w:rsidRPr="00FF137C">
        <w:rPr>
          <w:b/>
          <w:bCs/>
        </w:rPr>
        <w:t>1.</w:t>
      </w:r>
      <w:r>
        <w:rPr>
          <w:b/>
          <w:bCs/>
        </w:rPr>
        <w:tab/>
      </w:r>
      <w:r w:rsidR="00345066" w:rsidRPr="001D31D3">
        <w:rPr>
          <w:b/>
          <w:bCs/>
          <w:u w:val="single"/>
        </w:rPr>
        <w:t>STATEMENT OF PURPOSE</w:t>
      </w:r>
    </w:p>
    <w:p w14:paraId="11543864" w14:textId="77777777" w:rsidR="00345066" w:rsidRDefault="00345066" w:rsidP="001D31D3">
      <w:pPr>
        <w:widowControl/>
        <w:rPr>
          <w:b/>
          <w:bCs/>
        </w:rPr>
      </w:pPr>
    </w:p>
    <w:p w14:paraId="67040F12" w14:textId="1EE1C1FF" w:rsidR="00345066" w:rsidRDefault="00345066" w:rsidP="001D31D3">
      <w:pPr>
        <w:widowControl/>
      </w:pPr>
      <w:r>
        <w:rPr>
          <w:b/>
          <w:bCs/>
        </w:rPr>
        <w:t xml:space="preserve">Make the following changes to the Statement of Purpose (Section </w:t>
      </w:r>
      <w:r w:rsidR="00673D66">
        <w:rPr>
          <w:b/>
          <w:bCs/>
        </w:rPr>
        <w:t>V</w:t>
      </w:r>
      <w:r>
        <w:rPr>
          <w:b/>
          <w:bCs/>
        </w:rPr>
        <w:t xml:space="preserve">, Paragraph </w:t>
      </w:r>
      <w:r w:rsidR="00673D66">
        <w:rPr>
          <w:b/>
          <w:bCs/>
        </w:rPr>
        <w:t>4</w:t>
      </w:r>
      <w:r>
        <w:rPr>
          <w:b/>
          <w:bCs/>
        </w:rPr>
        <w:t>, of the CD and Section II</w:t>
      </w:r>
      <w:r w:rsidR="00673D66">
        <w:rPr>
          <w:b/>
          <w:bCs/>
        </w:rPr>
        <w:t>I</w:t>
      </w:r>
      <w:r>
        <w:rPr>
          <w:b/>
          <w:bCs/>
        </w:rPr>
        <w:t xml:space="preserve">, Paragraph </w:t>
      </w:r>
      <w:r w:rsidR="00673D66">
        <w:rPr>
          <w:b/>
          <w:bCs/>
        </w:rPr>
        <w:t>5</w:t>
      </w:r>
      <w:r>
        <w:rPr>
          <w:b/>
          <w:bCs/>
        </w:rPr>
        <w:t>, of the A</w:t>
      </w:r>
      <w:r w:rsidR="00673D66">
        <w:rPr>
          <w:b/>
          <w:bCs/>
        </w:rPr>
        <w:t>SA</w:t>
      </w:r>
      <w:r>
        <w:rPr>
          <w:b/>
          <w:bCs/>
        </w:rPr>
        <w:t>OC). Changes are shown in redline/strikeout:</w:t>
      </w:r>
    </w:p>
    <w:p w14:paraId="21C30EF7" w14:textId="77777777" w:rsidR="00345066" w:rsidRDefault="00345066" w:rsidP="001D31D3">
      <w:pPr>
        <w:widowControl/>
      </w:pPr>
    </w:p>
    <w:p w14:paraId="5321E302" w14:textId="55DC1D11" w:rsidR="00345066" w:rsidRDefault="00345066" w:rsidP="001D31D3">
      <w:pPr>
        <w:widowControl/>
      </w:pPr>
      <w:r>
        <w:t>By entering into this [Consent Decree/</w:t>
      </w:r>
      <w:r w:rsidR="00673D66">
        <w:t>Settlement Agreement</w:t>
      </w:r>
      <w:r>
        <w:t>], the mutual objectives of the Parties are:</w:t>
      </w:r>
    </w:p>
    <w:p w14:paraId="560EB64A" w14:textId="77777777" w:rsidR="00345066" w:rsidRDefault="00345066" w:rsidP="001D31D3">
      <w:pPr>
        <w:widowControl/>
      </w:pPr>
    </w:p>
    <w:p w14:paraId="0D742AAC" w14:textId="0C7DEEFF" w:rsidR="00345066" w:rsidRDefault="00FF137C" w:rsidP="001D31D3">
      <w:pPr>
        <w:widowControl/>
        <w:ind w:firstLine="1440"/>
      </w:pPr>
      <w:r>
        <w:lastRenderedPageBreak/>
        <w:t>a.</w:t>
      </w:r>
      <w:r>
        <w:tab/>
      </w:r>
      <w:r w:rsidR="00345066">
        <w:t>to reach a final settlement among the Parties with respect to the Site pursuant to Sect</w:t>
      </w:r>
      <w:r w:rsidR="00445B24">
        <w:t xml:space="preserve">ion 122(g) of CERCLA, 42 U.S.C. </w:t>
      </w:r>
      <w:r w:rsidR="00DD11FD">
        <w:t xml:space="preserve">§ </w:t>
      </w:r>
      <w:r w:rsidR="00345066">
        <w:t xml:space="preserve">9622(g), that allows [Settling Defendants/ Respondents] to make a cash payment, including a premium, </w:t>
      </w:r>
      <w:r w:rsidR="00345066" w:rsidRPr="00FF137C">
        <w:rPr>
          <w:color w:val="FF0000"/>
        </w:rPr>
        <w:t>[</w:t>
      </w:r>
      <w:r w:rsidR="00345066" w:rsidRPr="00FF137C">
        <w:rPr>
          <w:b/>
          <w:color w:val="FF0000"/>
          <w:u w:val="single"/>
        </w:rPr>
        <w:t>if ATP settlors are not paying a premium, delete</w:t>
      </w:r>
      <w:r w:rsidR="00345066" w:rsidRPr="00FF137C">
        <w:rPr>
          <w:color w:val="FF0000"/>
          <w:u w:val="single"/>
        </w:rPr>
        <w:t xml:space="preserve"> </w:t>
      </w:r>
      <w:r w:rsidR="00673D66" w:rsidRPr="00FF137C">
        <w:rPr>
          <w:color w:val="FF0000"/>
          <w:u w:val="single"/>
        </w:rPr>
        <w:t>“</w:t>
      </w:r>
      <w:r w:rsidR="00345066" w:rsidRPr="00EC39BD">
        <w:rPr>
          <w:color w:val="FF0000"/>
          <w:u w:val="single"/>
        </w:rPr>
        <w:t>including a premium,</w:t>
      </w:r>
      <w:r w:rsidR="00673D66" w:rsidRPr="00EC39BD">
        <w:rPr>
          <w:color w:val="FF0000"/>
          <w:u w:val="single"/>
        </w:rPr>
        <w:t>”</w:t>
      </w:r>
      <w:r w:rsidR="00345066" w:rsidRPr="00EC39BD">
        <w:rPr>
          <w:color w:val="FF0000"/>
          <w:u w:val="single"/>
        </w:rPr>
        <w:t xml:space="preserve"> </w:t>
      </w:r>
      <w:r w:rsidR="00345066" w:rsidRPr="00EC39BD">
        <w:rPr>
          <w:b/>
          <w:color w:val="FF0000"/>
          <w:u w:val="single"/>
        </w:rPr>
        <w:t xml:space="preserve">and insert </w:t>
      </w:r>
      <w:r w:rsidR="00673D66" w:rsidRPr="00EC39BD">
        <w:rPr>
          <w:color w:val="FF0000"/>
          <w:u w:val="single"/>
        </w:rPr>
        <w:t>“</w:t>
      </w:r>
      <w:r w:rsidR="00345066" w:rsidRPr="00EC39BD">
        <w:rPr>
          <w:color w:val="FF0000"/>
          <w:u w:val="single"/>
        </w:rPr>
        <w:t>which, except for Settling ATP Defendants/ATP Respondents, includes a premium</w:t>
      </w:r>
      <w:r w:rsidR="00345066" w:rsidRPr="00D27F6B">
        <w:rPr>
          <w:color w:val="FF0000"/>
        </w:rPr>
        <w:t>,</w:t>
      </w:r>
      <w:r w:rsidR="00673D66" w:rsidRPr="00D27F6B">
        <w:rPr>
          <w:color w:val="FF0000"/>
        </w:rPr>
        <w:t>”</w:t>
      </w:r>
      <w:r w:rsidR="00345066" w:rsidRPr="00D27F6B">
        <w:rPr>
          <w:color w:val="FF0000"/>
        </w:rPr>
        <w:t xml:space="preserve">] </w:t>
      </w:r>
      <w:r w:rsidR="00345066">
        <w:t>to resolve their alleged civil liability under Sections 106 and 107 of CERCLA, 42 U.S.C.</w:t>
      </w:r>
      <w:r w:rsidR="00DD11FD" w:rsidRPr="00DD11FD">
        <w:t xml:space="preserve"> </w:t>
      </w:r>
      <w:r w:rsidR="00DD11FD">
        <w:t>§§</w:t>
      </w:r>
      <w:r w:rsidR="00345066">
        <w:t xml:space="preserve"> 9606 and 9607, for injunctive relief with regard to the Site and for response costs incurred and to be incurred at or in connection with the Site, thereby reducing litigation relating to the Site;</w:t>
      </w:r>
    </w:p>
    <w:p w14:paraId="152A2298" w14:textId="77777777" w:rsidR="001D31D3" w:rsidRDefault="001D31D3" w:rsidP="001D31D3">
      <w:pPr>
        <w:widowControl/>
        <w:ind w:firstLine="1440"/>
      </w:pPr>
    </w:p>
    <w:p w14:paraId="619DE8D8" w14:textId="47FAE947" w:rsidR="00345066" w:rsidRDefault="00345066" w:rsidP="001D31D3">
      <w:pPr>
        <w:widowControl/>
        <w:ind w:firstLine="1440"/>
      </w:pPr>
      <w:r>
        <w:t>b.</w:t>
      </w:r>
      <w:r w:rsidR="00FF137C">
        <w:tab/>
      </w:r>
      <w:r>
        <w:t xml:space="preserve">to simplify any remaining administrative and judicial enforcement activities concerning the Site by eliminating a [substantial] number of potentially responsible parties from further involvement at the Site; </w:t>
      </w:r>
      <w:r>
        <w:rPr>
          <w:strike/>
        </w:rPr>
        <w:t>and</w:t>
      </w:r>
    </w:p>
    <w:p w14:paraId="01FA8F5F" w14:textId="77777777" w:rsidR="00345066" w:rsidRDefault="00345066" w:rsidP="001D31D3">
      <w:pPr>
        <w:widowControl/>
      </w:pPr>
    </w:p>
    <w:p w14:paraId="045AEE61" w14:textId="05F14D2B" w:rsidR="00345066" w:rsidRDefault="00345066" w:rsidP="001D31D3">
      <w:pPr>
        <w:widowControl/>
        <w:ind w:firstLine="1440"/>
      </w:pPr>
      <w:r>
        <w:t>c.</w:t>
      </w:r>
      <w:r w:rsidR="00FF137C">
        <w:tab/>
      </w:r>
      <w:r>
        <w:t xml:space="preserve">to obtain settlement with [Settling Defendants/Respondents] </w:t>
      </w:r>
      <w:r w:rsidRPr="00FC6C85">
        <w:rPr>
          <w:color w:val="FF0000"/>
          <w:u w:val="single"/>
        </w:rPr>
        <w:t>who are not [Settling ATP Defendants/ATP Respondents]</w:t>
      </w:r>
      <w:r>
        <w:t xml:space="preserve"> for their fair share of response costs, incurred and to be incurred at or in connection with the Site by the EPA Hazardous Substance Superfund, and by other persons, and to provide for full and complete contribution protection for [Settling Defendants/Respondents] with regard to the Site pursuant to Sections 113(f)(2) and 122(g)(5) of CERCLA, 42 U.S.C.</w:t>
      </w:r>
      <w:r w:rsidR="00445B24">
        <w:t xml:space="preserve"> </w:t>
      </w:r>
      <w:r w:rsidR="00DD11FD">
        <w:t>§§</w:t>
      </w:r>
      <w:r>
        <w:t xml:space="preserve"> 9613(f)(2) and 9622(g)(5)</w:t>
      </w:r>
      <w:r w:rsidR="00673D66">
        <w:t>, or as otherwise provided by law</w:t>
      </w:r>
      <w:r w:rsidRPr="00FC6C85">
        <w:rPr>
          <w:color w:val="FF0000"/>
          <w:u w:val="single"/>
        </w:rPr>
        <w:t>; and</w:t>
      </w:r>
    </w:p>
    <w:p w14:paraId="2F77C1EE" w14:textId="77777777" w:rsidR="00345066" w:rsidRDefault="00345066" w:rsidP="001D31D3">
      <w:pPr>
        <w:widowControl/>
        <w:ind w:firstLine="1440"/>
      </w:pPr>
    </w:p>
    <w:p w14:paraId="205784E5" w14:textId="214B2453" w:rsidR="00345066" w:rsidRDefault="00345066" w:rsidP="001D31D3">
      <w:pPr>
        <w:widowControl/>
        <w:ind w:firstLine="1440"/>
      </w:pPr>
      <w:r w:rsidRPr="00FC6C85">
        <w:rPr>
          <w:color w:val="FF0000"/>
          <w:u w:val="single"/>
        </w:rPr>
        <w:t>d.</w:t>
      </w:r>
      <w:r w:rsidR="00FF137C">
        <w:rPr>
          <w:color w:val="FF0000"/>
          <w:u w:val="single"/>
        </w:rPr>
        <w:tab/>
      </w:r>
      <w:r w:rsidRPr="00FC6C85">
        <w:rPr>
          <w:color w:val="FF0000"/>
          <w:u w:val="single"/>
        </w:rPr>
        <w:t xml:space="preserve">to reach an expedited settlement with </w:t>
      </w:r>
      <w:r w:rsidR="006C3CB6">
        <w:rPr>
          <w:color w:val="FF0000"/>
          <w:u w:val="single"/>
        </w:rPr>
        <w:t xml:space="preserve">each </w:t>
      </w:r>
      <w:r w:rsidRPr="00FC6C85">
        <w:rPr>
          <w:color w:val="FF0000"/>
          <w:u w:val="single"/>
        </w:rPr>
        <w:t xml:space="preserve">[Settling ATP Defendant/ATP Respondent] for </w:t>
      </w:r>
      <w:r w:rsidR="006C3CB6">
        <w:rPr>
          <w:color w:val="FF0000"/>
          <w:u w:val="single"/>
        </w:rPr>
        <w:t>its</w:t>
      </w:r>
      <w:r w:rsidRPr="00FC6C85">
        <w:rPr>
          <w:color w:val="FF0000"/>
          <w:u w:val="single"/>
        </w:rPr>
        <w:t xml:space="preserve"> fair share of response costs incurred and to be incurred at or in connection with the Site by the EPA Hazardous Substance Superfund, and by other persons, reduced in consideration of </w:t>
      </w:r>
      <w:r w:rsidR="006C3CB6">
        <w:rPr>
          <w:color w:val="FF0000"/>
          <w:u w:val="single"/>
        </w:rPr>
        <w:t>its</w:t>
      </w:r>
      <w:r w:rsidRPr="00FC6C85">
        <w:rPr>
          <w:color w:val="FF0000"/>
          <w:u w:val="single"/>
        </w:rPr>
        <w:t xml:space="preserve"> demonstration of an inability or a limited ability to pay response costs pursuant to Section 122(g)(7) of CERCLA, 42 U.S.C. </w:t>
      </w:r>
      <w:r w:rsidR="00DD11FD" w:rsidRPr="00A276F0">
        <w:rPr>
          <w:color w:val="FF0000"/>
          <w:u w:val="single"/>
        </w:rPr>
        <w:t>§</w:t>
      </w:r>
      <w:r w:rsidRPr="00FC6C85">
        <w:rPr>
          <w:color w:val="FF0000"/>
          <w:u w:val="single"/>
        </w:rPr>
        <w:t xml:space="preserve"> 9622(g)(7), and to provide for full and complete contribution protection for </w:t>
      </w:r>
      <w:r w:rsidR="006C3CB6">
        <w:rPr>
          <w:color w:val="FF0000"/>
          <w:u w:val="single"/>
        </w:rPr>
        <w:t xml:space="preserve">each </w:t>
      </w:r>
      <w:r w:rsidRPr="00FC6C85">
        <w:rPr>
          <w:color w:val="FF0000"/>
          <w:u w:val="single"/>
        </w:rPr>
        <w:t xml:space="preserve">[Settling ATP Defendant/ATP Respondent] with regard to the Site pursuant to Sections 113(f)(2) and 122(g)(5) of CERCLA, 42 U.S.C. </w:t>
      </w:r>
      <w:r w:rsidR="00DD11FD" w:rsidRPr="00A276F0">
        <w:rPr>
          <w:color w:val="FF0000"/>
          <w:u w:val="single"/>
        </w:rPr>
        <w:t>§§</w:t>
      </w:r>
      <w:r w:rsidRPr="00FC6C85">
        <w:rPr>
          <w:color w:val="FF0000"/>
          <w:u w:val="single"/>
        </w:rPr>
        <w:t xml:space="preserve"> 9613(f)(2) and 9622(g)(5)</w:t>
      </w:r>
      <w:r w:rsidR="00FC6C85" w:rsidRPr="00FC6C85">
        <w:rPr>
          <w:color w:val="FF0000"/>
          <w:u w:val="single"/>
        </w:rPr>
        <w:t>, or as otherwise provided by law</w:t>
      </w:r>
      <w:r>
        <w:t>.</w:t>
      </w:r>
    </w:p>
    <w:p w14:paraId="58920DAF" w14:textId="2D7AD624" w:rsidR="00345066" w:rsidRDefault="00345066" w:rsidP="001D31D3">
      <w:pPr>
        <w:widowControl/>
      </w:pPr>
    </w:p>
    <w:p w14:paraId="7623D584" w14:textId="5ABD4291" w:rsidR="00345066" w:rsidRDefault="00345066" w:rsidP="001D31D3">
      <w:pPr>
        <w:widowControl/>
        <w:rPr>
          <w:b/>
          <w:bCs/>
        </w:rPr>
      </w:pPr>
      <w:r>
        <w:rPr>
          <w:b/>
          <w:bCs/>
        </w:rPr>
        <w:t>2.</w:t>
      </w:r>
      <w:r w:rsidR="00EC39BD">
        <w:rPr>
          <w:b/>
          <w:bCs/>
        </w:rPr>
        <w:tab/>
      </w:r>
      <w:r>
        <w:rPr>
          <w:b/>
          <w:bCs/>
          <w:u w:val="single"/>
        </w:rPr>
        <w:t>DEFINITIONS</w:t>
      </w:r>
    </w:p>
    <w:p w14:paraId="57C31081" w14:textId="77777777" w:rsidR="00345066" w:rsidRDefault="00345066" w:rsidP="001D31D3">
      <w:pPr>
        <w:widowControl/>
        <w:rPr>
          <w:b/>
          <w:bCs/>
        </w:rPr>
      </w:pPr>
    </w:p>
    <w:p w14:paraId="715CFFE6" w14:textId="4E22D965" w:rsidR="00345066" w:rsidRDefault="00345066" w:rsidP="001D31D3">
      <w:pPr>
        <w:widowControl/>
      </w:pPr>
      <w:r>
        <w:rPr>
          <w:b/>
          <w:bCs/>
        </w:rPr>
        <w:t xml:space="preserve">Add the following </w:t>
      </w:r>
      <w:r w:rsidR="001D31D3">
        <w:rPr>
          <w:b/>
          <w:bCs/>
        </w:rPr>
        <w:t xml:space="preserve">two or three definitions, as appropriate, </w:t>
      </w:r>
      <w:r>
        <w:rPr>
          <w:b/>
          <w:bCs/>
        </w:rPr>
        <w:t xml:space="preserve">to the Definitions Section (Section </w:t>
      </w:r>
      <w:r w:rsidR="00673D66">
        <w:rPr>
          <w:b/>
          <w:bCs/>
        </w:rPr>
        <w:t>IV</w:t>
      </w:r>
      <w:r>
        <w:rPr>
          <w:b/>
          <w:bCs/>
        </w:rPr>
        <w:t xml:space="preserve"> of the CD and Section </w:t>
      </w:r>
      <w:r w:rsidR="00673D66">
        <w:rPr>
          <w:b/>
          <w:bCs/>
        </w:rPr>
        <w:t>IV</w:t>
      </w:r>
      <w:r>
        <w:rPr>
          <w:b/>
          <w:bCs/>
        </w:rPr>
        <w:t xml:space="preserve"> of the AOC):</w:t>
      </w:r>
    </w:p>
    <w:p w14:paraId="17D20EFF" w14:textId="77777777" w:rsidR="00345066" w:rsidRDefault="00345066" w:rsidP="001D31D3">
      <w:pPr>
        <w:widowControl/>
      </w:pPr>
    </w:p>
    <w:p w14:paraId="70960A9A" w14:textId="142640F9" w:rsidR="00345066" w:rsidRDefault="00D339E3" w:rsidP="001D31D3">
      <w:pPr>
        <w:widowControl/>
        <w:ind w:firstLine="720"/>
      </w:pPr>
      <w:r>
        <w:t>“</w:t>
      </w:r>
      <w:r w:rsidR="00345066">
        <w:t>Financial Information</w:t>
      </w:r>
      <w:r w:rsidR="00673D66">
        <w:t>”</w:t>
      </w:r>
      <w:r w:rsidR="00345066">
        <w:t xml:space="preserve"> shall mean those financial documents </w:t>
      </w:r>
      <w:r w:rsidR="006C3CB6">
        <w:t>provided to EPA by [Settling ATP Defendant/Respondent [</w:t>
      </w:r>
      <w:r w:rsidR="006C3CB6" w:rsidRPr="00D339E3">
        <w:rPr>
          <w:b/>
        </w:rPr>
        <w:t>if multiple insert name</w:t>
      </w:r>
      <w:r w:rsidR="006C3CB6">
        <w:t xml:space="preserve">]] </w:t>
      </w:r>
      <w:r w:rsidR="00345066">
        <w:t>identified in Appendix __</w:t>
      </w:r>
      <w:r w:rsidR="006C3CB6">
        <w:t xml:space="preserve"> [</w:t>
      </w:r>
      <w:r w:rsidR="006C3CB6" w:rsidRPr="008908B8">
        <w:rPr>
          <w:b/>
        </w:rPr>
        <w:t>if multiple use separate Appendix for each settlor</w:t>
      </w:r>
      <w:r w:rsidR="006C3CB6">
        <w:rPr>
          <w:b/>
        </w:rPr>
        <w:t>]</w:t>
      </w:r>
      <w:r w:rsidR="00345066">
        <w:t>.</w:t>
      </w:r>
    </w:p>
    <w:p w14:paraId="4721981A" w14:textId="77777777" w:rsidR="00345066" w:rsidRDefault="00345066" w:rsidP="001D31D3">
      <w:pPr>
        <w:widowControl/>
      </w:pPr>
    </w:p>
    <w:p w14:paraId="026B3F5A" w14:textId="7620480B" w:rsidR="001D31D3" w:rsidRPr="000A4126" w:rsidRDefault="001D31D3" w:rsidP="001D31D3">
      <w:pPr>
        <w:widowControl/>
        <w:rPr>
          <w:b/>
        </w:rPr>
      </w:pPr>
      <w:r w:rsidRPr="000A4126">
        <w:rPr>
          <w:b/>
        </w:rPr>
        <w:t xml:space="preserve">[NOTE: </w:t>
      </w:r>
      <w:r>
        <w:rPr>
          <w:b/>
        </w:rPr>
        <w:t>With regard to each ATP settlor, t</w:t>
      </w:r>
      <w:r w:rsidRPr="000A4126">
        <w:rPr>
          <w:b/>
        </w:rPr>
        <w:t>he negotiating team should</w:t>
      </w:r>
      <w:r>
        <w:rPr>
          <w:b/>
        </w:rPr>
        <w:t>, where appropriate, re</w:t>
      </w:r>
      <w:r w:rsidRPr="000A4126">
        <w:rPr>
          <w:b/>
        </w:rPr>
        <w:t xml:space="preserve">quest and review copies of any applicable insurance policies and any other information relating to potential insurance coverage (including sending </w:t>
      </w:r>
      <w:r>
        <w:rPr>
          <w:b/>
        </w:rPr>
        <w:t>each such ATP settlor</w:t>
      </w:r>
      <w:r w:rsidRPr="000A4126">
        <w:rPr>
          <w:b/>
        </w:rPr>
        <w:t xml:space="preserve"> </w:t>
      </w:r>
      <w:r>
        <w:rPr>
          <w:b/>
        </w:rPr>
        <w:t xml:space="preserve">a </w:t>
      </w:r>
      <w:r w:rsidRPr="000A4126">
        <w:rPr>
          <w:b/>
        </w:rPr>
        <w:t>specific CERCLA</w:t>
      </w:r>
      <w:r>
        <w:rPr>
          <w:b/>
        </w:rPr>
        <w:t xml:space="preserve"> </w:t>
      </w:r>
      <w:r w:rsidRPr="000A4126">
        <w:rPr>
          <w:b/>
        </w:rPr>
        <w:t>§ 104(e) information request targeted at insurance coverage), and should consult with the Office of Site Remediation Enforcement’s (OSRE’s) insurance team regarding approaches to recovery under applicable insurance policies.</w:t>
      </w:r>
      <w:r>
        <w:rPr>
          <w:b/>
        </w:rPr>
        <w:t xml:space="preserve"> When insurance information is reviewed, insert the following definition.</w:t>
      </w:r>
      <w:r w:rsidRPr="000A4126">
        <w:rPr>
          <w:b/>
        </w:rPr>
        <w:t>]</w:t>
      </w:r>
    </w:p>
    <w:p w14:paraId="222BB92A" w14:textId="77777777" w:rsidR="001D31D3" w:rsidRDefault="001D31D3" w:rsidP="001D31D3">
      <w:pPr>
        <w:widowControl/>
      </w:pPr>
    </w:p>
    <w:p w14:paraId="6ED4F57C" w14:textId="64AC152B" w:rsidR="00673D66" w:rsidRDefault="00673D66" w:rsidP="001D31D3">
      <w:pPr>
        <w:widowControl/>
        <w:ind w:firstLine="720"/>
      </w:pPr>
      <w:r>
        <w:t xml:space="preserve">“Insurance Information” shall mean those insurance documents </w:t>
      </w:r>
      <w:r w:rsidR="006C3CB6">
        <w:t>provided to EPA by [</w:t>
      </w:r>
      <w:r w:rsidR="006C3CB6" w:rsidRPr="008908B8">
        <w:rPr>
          <w:b/>
        </w:rPr>
        <w:t xml:space="preserve">Settling </w:t>
      </w:r>
      <w:r w:rsidR="006C3CB6">
        <w:rPr>
          <w:b/>
        </w:rPr>
        <w:t xml:space="preserve">ATP </w:t>
      </w:r>
      <w:r w:rsidR="006C3CB6" w:rsidRPr="008908B8">
        <w:rPr>
          <w:b/>
        </w:rPr>
        <w:t>Defendant/Respondent</w:t>
      </w:r>
      <w:r w:rsidR="006C3CB6">
        <w:rPr>
          <w:b/>
        </w:rPr>
        <w:t xml:space="preserve"> [</w:t>
      </w:r>
      <w:r w:rsidR="006C3CB6" w:rsidRPr="00D339E3">
        <w:rPr>
          <w:b/>
        </w:rPr>
        <w:t>if multiple</w:t>
      </w:r>
      <w:r w:rsidR="006C3CB6" w:rsidRPr="006C3CB6">
        <w:rPr>
          <w:b/>
        </w:rPr>
        <w:t xml:space="preserve"> insert name</w:t>
      </w:r>
      <w:r w:rsidR="006C3CB6">
        <w:t xml:space="preserve">]] </w:t>
      </w:r>
      <w:r>
        <w:t>identified in Appendix __</w:t>
      </w:r>
      <w:r w:rsidR="006C3CB6">
        <w:t xml:space="preserve"> [</w:t>
      </w:r>
      <w:r w:rsidR="006C3CB6" w:rsidRPr="008908B8">
        <w:rPr>
          <w:b/>
        </w:rPr>
        <w:t>if multiple use separate Appendix for each settlor</w:t>
      </w:r>
      <w:r w:rsidR="006C3CB6">
        <w:rPr>
          <w:b/>
        </w:rPr>
        <w:t>]</w:t>
      </w:r>
      <w:r>
        <w:t xml:space="preserve">. </w:t>
      </w:r>
    </w:p>
    <w:p w14:paraId="2B78ACF7" w14:textId="77777777" w:rsidR="00673D66" w:rsidRDefault="00673D66" w:rsidP="001D31D3">
      <w:pPr>
        <w:widowControl/>
      </w:pPr>
    </w:p>
    <w:p w14:paraId="6ECC1317" w14:textId="1FE39713" w:rsidR="00345066" w:rsidRDefault="00673D66" w:rsidP="001D31D3">
      <w:pPr>
        <w:widowControl/>
        <w:ind w:firstLine="720"/>
      </w:pPr>
      <w:r>
        <w:t>“</w:t>
      </w:r>
      <w:r w:rsidR="00345066">
        <w:t>[Settling ATP Defendants/ATP Respondents]</w:t>
      </w:r>
      <w:r>
        <w:t>”</w:t>
      </w:r>
      <w:r w:rsidR="00345066">
        <w:t xml:space="preserve"> are those [Settling Defendants/Respondents] [</w:t>
      </w:r>
      <w:r w:rsidR="00345066" w:rsidRPr="00020C12">
        <w:rPr>
          <w:b/>
        </w:rPr>
        <w:t>insert names or</w:t>
      </w:r>
      <w:r w:rsidR="00345066">
        <w:t xml:space="preserve"> </w:t>
      </w:r>
      <w:r>
        <w:t>“</w:t>
      </w:r>
      <w:r w:rsidR="00345066">
        <w:t>identified in Appendix __</w:t>
      </w:r>
      <w:r>
        <w:t>”</w:t>
      </w:r>
      <w:r w:rsidR="00345066">
        <w:t>] who have submitted Financial Information demonstrating an inability or a limited ability to pay response costs and, as such, have qualified for a reduced settlement amount and/or an alternative payment method as provided in Section [VI of CD/VII of A</w:t>
      </w:r>
      <w:r>
        <w:t>SA</w:t>
      </w:r>
      <w:r w:rsidR="00345066">
        <w:t>OC] (Payment).</w:t>
      </w:r>
    </w:p>
    <w:p w14:paraId="79AFAF25" w14:textId="77777777" w:rsidR="001D31D3" w:rsidRDefault="001D31D3" w:rsidP="001D31D3">
      <w:pPr>
        <w:widowControl/>
      </w:pPr>
    </w:p>
    <w:p w14:paraId="331379AF" w14:textId="19F70EBB" w:rsidR="00345066" w:rsidRDefault="00345066" w:rsidP="001D31D3">
      <w:pPr>
        <w:widowControl/>
      </w:pPr>
      <w:r>
        <w:t>[</w:t>
      </w:r>
      <w:r w:rsidR="0035670D">
        <w:rPr>
          <w:b/>
        </w:rPr>
        <w:t>NOTE: T</w:t>
      </w:r>
      <w:r w:rsidRPr="00020C12">
        <w:rPr>
          <w:b/>
        </w:rPr>
        <w:t xml:space="preserve">he defined term </w:t>
      </w:r>
      <w:r w:rsidR="00445B24">
        <w:rPr>
          <w:b/>
        </w:rPr>
        <w:t>“</w:t>
      </w:r>
      <w:r w:rsidRPr="00020C12">
        <w:rPr>
          <w:b/>
        </w:rPr>
        <w:t>Settling Defendants/Respondents</w:t>
      </w:r>
      <w:r w:rsidR="00445B24">
        <w:rPr>
          <w:b/>
        </w:rPr>
        <w:t>”</w:t>
      </w:r>
      <w:r w:rsidRPr="00020C12">
        <w:rPr>
          <w:b/>
        </w:rPr>
        <w:t xml:space="preserve"> includes both the ATP settlors and the non-ATP settlors.</w:t>
      </w:r>
      <w:r>
        <w:t>]</w:t>
      </w:r>
    </w:p>
    <w:p w14:paraId="0D30044C" w14:textId="77777777" w:rsidR="00345066" w:rsidRDefault="00345066" w:rsidP="001D31D3">
      <w:pPr>
        <w:widowControl/>
      </w:pPr>
    </w:p>
    <w:p w14:paraId="0621834C" w14:textId="79277490" w:rsidR="00345066" w:rsidRDefault="00345066" w:rsidP="001D31D3">
      <w:pPr>
        <w:widowControl/>
        <w:rPr>
          <w:b/>
          <w:bCs/>
          <w:u w:val="single"/>
        </w:rPr>
      </w:pPr>
      <w:r>
        <w:rPr>
          <w:b/>
          <w:bCs/>
        </w:rPr>
        <w:t>3.</w:t>
      </w:r>
      <w:r w:rsidR="00EC39BD">
        <w:rPr>
          <w:b/>
          <w:bCs/>
        </w:rPr>
        <w:tab/>
      </w:r>
      <w:r>
        <w:rPr>
          <w:b/>
          <w:bCs/>
          <w:u w:val="single"/>
        </w:rPr>
        <w:t>BACKGROUND/STATEMENT OF FACTS AND DETERMINATIONS</w:t>
      </w:r>
    </w:p>
    <w:p w14:paraId="4EB6AA1D" w14:textId="77777777" w:rsidR="00345066" w:rsidRDefault="00345066" w:rsidP="001D31D3">
      <w:pPr>
        <w:widowControl/>
        <w:rPr>
          <w:b/>
          <w:bCs/>
        </w:rPr>
      </w:pPr>
    </w:p>
    <w:p w14:paraId="50A8FA85" w14:textId="394C6CC8" w:rsidR="00345066" w:rsidRDefault="00345066" w:rsidP="001D31D3">
      <w:pPr>
        <w:widowControl/>
      </w:pPr>
      <w:r>
        <w:rPr>
          <w:b/>
          <w:bCs/>
        </w:rPr>
        <w:t>If the settlement is a CD, add the following paragraph after Paragraph C in the Background Section</w:t>
      </w:r>
      <w:r>
        <w:t xml:space="preserve"> </w:t>
      </w:r>
      <w:r>
        <w:rPr>
          <w:b/>
          <w:bCs/>
        </w:rPr>
        <w:t xml:space="preserve">(Section </w:t>
      </w:r>
      <w:r w:rsidR="00673D66">
        <w:rPr>
          <w:b/>
          <w:bCs/>
        </w:rPr>
        <w:t>I</w:t>
      </w:r>
      <w:r>
        <w:rPr>
          <w:b/>
          <w:bCs/>
        </w:rPr>
        <w:t>):</w:t>
      </w:r>
    </w:p>
    <w:p w14:paraId="2209BFEA" w14:textId="77777777" w:rsidR="00C46F3D" w:rsidRDefault="00C46F3D" w:rsidP="001D31D3">
      <w:pPr>
        <w:widowControl/>
      </w:pPr>
    </w:p>
    <w:p w14:paraId="61F6B22D" w14:textId="63DF21F0" w:rsidR="00345066" w:rsidRDefault="00C46F3D" w:rsidP="001D31D3">
      <w:pPr>
        <w:widowControl/>
      </w:pPr>
      <w:r>
        <w:t>I</w:t>
      </w:r>
      <w:r w:rsidR="00345066">
        <w:t xml:space="preserve">n accordance with Section 122(g)(7) of CERCLA, </w:t>
      </w:r>
      <w:r w:rsidR="00445B24">
        <w:t xml:space="preserve">42 U.S.C. </w:t>
      </w:r>
      <w:r w:rsidR="00DD11FD">
        <w:t xml:space="preserve">§ </w:t>
      </w:r>
      <w:r w:rsidR="0035670D">
        <w:t xml:space="preserve">9622(g)(7), </w:t>
      </w:r>
      <w:r w:rsidR="00345066">
        <w:t>EPA has reviewed the Financial Information</w:t>
      </w:r>
      <w:r w:rsidR="00673D66">
        <w:t xml:space="preserve"> [and Insurance Information]</w:t>
      </w:r>
      <w:r w:rsidR="00345066">
        <w:t xml:space="preserve"> submitted by </w:t>
      </w:r>
      <w:r w:rsidR="00840461">
        <w:t xml:space="preserve">each </w:t>
      </w:r>
      <w:r w:rsidR="00345066">
        <w:t xml:space="preserve">Settling ATP Defendant to determine whether </w:t>
      </w:r>
      <w:r w:rsidR="00840461">
        <w:t>it</w:t>
      </w:r>
      <w:r w:rsidR="00345066">
        <w:t xml:space="preserve"> ha</w:t>
      </w:r>
      <w:r w:rsidR="00840461">
        <w:t>s</w:t>
      </w:r>
      <w:r w:rsidR="00345066">
        <w:t xml:space="preserve"> an inability or a limited ability to pay response costs incurred and to be incurred at the Site, taking into consideration the ability of such part</w:t>
      </w:r>
      <w:r w:rsidR="00840461">
        <w:t>y</w:t>
      </w:r>
      <w:r w:rsidR="00345066">
        <w:t xml:space="preserve"> to pay response costs and still maintain </w:t>
      </w:r>
      <w:r w:rsidR="00840461">
        <w:t>its</w:t>
      </w:r>
      <w:r w:rsidR="00345066">
        <w:t xml:space="preserve"> basic business operations, including </w:t>
      </w:r>
      <w:r w:rsidR="00840461">
        <w:t>its</w:t>
      </w:r>
      <w:r w:rsidR="00345066">
        <w:t xml:space="preserve"> overall financial condition and demonstrable constraints on </w:t>
      </w:r>
      <w:r w:rsidR="00840461">
        <w:t>its</w:t>
      </w:r>
      <w:r w:rsidR="00345066">
        <w:t xml:space="preserve"> ability to raise revenues. Based upon this Financial Information</w:t>
      </w:r>
      <w:r w:rsidR="00673D66">
        <w:t xml:space="preserve"> [and Insurance Information]</w:t>
      </w:r>
      <w:r w:rsidR="00345066">
        <w:t xml:space="preserve">, EPA has determined that </w:t>
      </w:r>
      <w:r w:rsidR="00840461">
        <w:t xml:space="preserve">each </w:t>
      </w:r>
      <w:r w:rsidR="00345066">
        <w:t>Settling ATP Defendants qualif</w:t>
      </w:r>
      <w:r w:rsidR="00840461">
        <w:t>ies</w:t>
      </w:r>
      <w:r w:rsidR="00345066">
        <w:t xml:space="preserve"> for a reduction in settlement amount and/or an alternative payment method within the meaning of Section 122(g)(7) of CERCLA</w:t>
      </w:r>
      <w:r w:rsidR="0035670D">
        <w:t xml:space="preserve"> </w:t>
      </w:r>
      <w:r w:rsidR="00345066">
        <w:t xml:space="preserve">and </w:t>
      </w:r>
      <w:r w:rsidR="00840461">
        <w:t>is</w:t>
      </w:r>
      <w:r w:rsidR="00345066">
        <w:t xml:space="preserve"> able to make the payment(s) </w:t>
      </w:r>
      <w:r w:rsidR="00E7685C">
        <w:t>[</w:t>
      </w:r>
      <w:r w:rsidR="00E7685C" w:rsidRPr="008908B8">
        <w:rPr>
          <w:b/>
        </w:rPr>
        <w:t>use plural if installments</w:t>
      </w:r>
      <w:r w:rsidR="00E7685C">
        <w:t xml:space="preserve">] </w:t>
      </w:r>
      <w:r w:rsidR="00345066">
        <w:t>specified in Section VI (Payment).</w:t>
      </w:r>
    </w:p>
    <w:p w14:paraId="501E4D47" w14:textId="77777777" w:rsidR="00345066" w:rsidRDefault="00345066" w:rsidP="001D31D3">
      <w:pPr>
        <w:widowControl/>
      </w:pPr>
    </w:p>
    <w:p w14:paraId="358769F8" w14:textId="598444B8" w:rsidR="00345066" w:rsidRDefault="00345066" w:rsidP="001D31D3">
      <w:pPr>
        <w:widowControl/>
      </w:pPr>
      <w:r>
        <w:rPr>
          <w:b/>
          <w:bCs/>
        </w:rPr>
        <w:t>If the settlement is an A</w:t>
      </w:r>
      <w:r w:rsidR="00673D66">
        <w:rPr>
          <w:b/>
          <w:bCs/>
        </w:rPr>
        <w:t>SA</w:t>
      </w:r>
      <w:r>
        <w:rPr>
          <w:b/>
          <w:bCs/>
        </w:rPr>
        <w:t xml:space="preserve">OC, add the first paragraph to the STATEMENT OF FACTS (Section </w:t>
      </w:r>
      <w:r w:rsidR="00673D66">
        <w:rPr>
          <w:b/>
          <w:bCs/>
        </w:rPr>
        <w:t>V</w:t>
      </w:r>
      <w:r>
        <w:rPr>
          <w:b/>
          <w:bCs/>
        </w:rPr>
        <w:t xml:space="preserve">), and add the second paragraph to the DETERMINATIONS (Section </w:t>
      </w:r>
      <w:r w:rsidR="00673D66">
        <w:rPr>
          <w:b/>
          <w:bCs/>
        </w:rPr>
        <w:t>VI</w:t>
      </w:r>
      <w:r>
        <w:rPr>
          <w:b/>
          <w:bCs/>
        </w:rPr>
        <w:t>):</w:t>
      </w:r>
    </w:p>
    <w:p w14:paraId="26F92C62" w14:textId="77777777" w:rsidR="00345066" w:rsidRDefault="00345066" w:rsidP="001D31D3">
      <w:pPr>
        <w:widowControl/>
      </w:pPr>
    </w:p>
    <w:p w14:paraId="4028648C" w14:textId="6A724E3A" w:rsidR="00345066" w:rsidRDefault="00345066" w:rsidP="001D31D3">
      <w:pPr>
        <w:widowControl/>
      </w:pPr>
      <w:r>
        <w:rPr>
          <w:b/>
          <w:bCs/>
        </w:rPr>
        <w:t xml:space="preserve">[ADDITIONAL STATEMENT OF FACT/Insert after Paragraph </w:t>
      </w:r>
      <w:r w:rsidR="00673D66">
        <w:rPr>
          <w:b/>
          <w:bCs/>
        </w:rPr>
        <w:t>12</w:t>
      </w:r>
      <w:r>
        <w:rPr>
          <w:b/>
          <w:bCs/>
        </w:rPr>
        <w:t>]</w:t>
      </w:r>
      <w:r>
        <w:t xml:space="preserve"> The United States has reviewed the Financial Information </w:t>
      </w:r>
      <w:r w:rsidR="00673D66">
        <w:t xml:space="preserve">[and Insurance Information] </w:t>
      </w:r>
      <w:r>
        <w:t xml:space="preserve">submitted by </w:t>
      </w:r>
      <w:r w:rsidR="00091C63">
        <w:t xml:space="preserve">each </w:t>
      </w:r>
      <w:r>
        <w:t xml:space="preserve">ATP Respondent to determine whether </w:t>
      </w:r>
      <w:r w:rsidR="00091C63">
        <w:t>it has</w:t>
      </w:r>
      <w:r>
        <w:t xml:space="preserve"> an inability or a limited ability to pay response costs incurred and to be incurred at the Site, taking into consideration the ability of such part</w:t>
      </w:r>
      <w:r w:rsidR="00091C63">
        <w:t>y</w:t>
      </w:r>
      <w:r>
        <w:t xml:space="preserve"> to pay response costs and still maintain </w:t>
      </w:r>
      <w:r w:rsidR="00091C63">
        <w:t>its</w:t>
      </w:r>
      <w:r>
        <w:t xml:space="preserve"> basic business operations, including </w:t>
      </w:r>
      <w:r w:rsidR="00091C63">
        <w:t>its</w:t>
      </w:r>
      <w:r>
        <w:t xml:space="preserve"> overall financial condition and demonstrable constraints on </w:t>
      </w:r>
      <w:r w:rsidR="00091C63">
        <w:t>its</w:t>
      </w:r>
      <w:r>
        <w:t xml:space="preserve"> ability to raise revenues.</w:t>
      </w:r>
    </w:p>
    <w:p w14:paraId="68A62A7F" w14:textId="77777777" w:rsidR="00345066" w:rsidRDefault="00345066" w:rsidP="001D31D3">
      <w:pPr>
        <w:widowControl/>
      </w:pPr>
    </w:p>
    <w:p w14:paraId="49B92998" w14:textId="0225EC00" w:rsidR="00345066" w:rsidRDefault="00345066" w:rsidP="001D31D3">
      <w:pPr>
        <w:widowControl/>
      </w:pPr>
      <w:r>
        <w:rPr>
          <w:b/>
          <w:bCs/>
        </w:rPr>
        <w:t xml:space="preserve">[ADDITIONAL DETERMINATION/Insert after </w:t>
      </w:r>
      <w:r w:rsidR="00673D66">
        <w:rPr>
          <w:b/>
          <w:bCs/>
        </w:rPr>
        <w:t>P</w:t>
      </w:r>
      <w:r>
        <w:rPr>
          <w:b/>
          <w:bCs/>
        </w:rPr>
        <w:t xml:space="preserve">aragraph </w:t>
      </w:r>
      <w:r w:rsidR="00673D66">
        <w:rPr>
          <w:b/>
          <w:bCs/>
        </w:rPr>
        <w:t>14</w:t>
      </w:r>
      <w:r>
        <w:rPr>
          <w:b/>
          <w:bCs/>
        </w:rPr>
        <w:t>(h)]</w:t>
      </w:r>
      <w:r>
        <w:t xml:space="preserve"> Based upon the Financial Information </w:t>
      </w:r>
      <w:r w:rsidR="00673D66">
        <w:t xml:space="preserve">[and Insurance Information] </w:t>
      </w:r>
      <w:r>
        <w:t xml:space="preserve">provided by </w:t>
      </w:r>
      <w:r w:rsidR="00E7685C">
        <w:t xml:space="preserve">each </w:t>
      </w:r>
      <w:r>
        <w:t xml:space="preserve">ATP Respondent, the United States has determined that </w:t>
      </w:r>
      <w:r w:rsidR="00E7685C">
        <w:t xml:space="preserve">each </w:t>
      </w:r>
      <w:r>
        <w:t>ATP Respondent qualif</w:t>
      </w:r>
      <w:r w:rsidR="00E7685C">
        <w:t>ies</w:t>
      </w:r>
      <w:r>
        <w:t xml:space="preserve"> for a reduction in settlement amount and/or an alternative payment method within the meaning of Section</w:t>
      </w:r>
      <w:r w:rsidR="00445B24">
        <w:t xml:space="preserve"> 122(g)(7) of </w:t>
      </w:r>
      <w:r w:rsidR="00445B24">
        <w:lastRenderedPageBreak/>
        <w:t xml:space="preserve">CERCLA, 42 U.S.C. </w:t>
      </w:r>
      <w:r w:rsidR="00DD11FD">
        <w:t xml:space="preserve">§ </w:t>
      </w:r>
      <w:r>
        <w:t xml:space="preserve">9622(g)(7), and </w:t>
      </w:r>
      <w:r w:rsidR="00E7685C">
        <w:t>is</w:t>
      </w:r>
      <w:r>
        <w:t xml:space="preserve"> able to make the payment(s) </w:t>
      </w:r>
      <w:r w:rsidR="00E7685C">
        <w:t>[</w:t>
      </w:r>
      <w:r w:rsidR="00E7685C" w:rsidRPr="008908B8">
        <w:rPr>
          <w:b/>
        </w:rPr>
        <w:t>use plural if installments</w:t>
      </w:r>
      <w:r w:rsidR="00E7685C">
        <w:t xml:space="preserve">] </w:t>
      </w:r>
      <w:r>
        <w:t>specified in Section VII (Payment).</w:t>
      </w:r>
    </w:p>
    <w:p w14:paraId="5F7D95CB" w14:textId="77777777" w:rsidR="00345066" w:rsidRDefault="00345066" w:rsidP="001D31D3">
      <w:pPr>
        <w:widowControl/>
        <w:ind w:firstLine="1440"/>
      </w:pPr>
    </w:p>
    <w:p w14:paraId="6FE863F6" w14:textId="03DB807D" w:rsidR="00345066" w:rsidRDefault="00345066" w:rsidP="001D5DFC">
      <w:pPr>
        <w:keepNext/>
        <w:widowControl/>
      </w:pPr>
      <w:r>
        <w:rPr>
          <w:b/>
          <w:bCs/>
        </w:rPr>
        <w:t>4.</w:t>
      </w:r>
      <w:r w:rsidR="00EC39BD">
        <w:rPr>
          <w:b/>
          <w:bCs/>
        </w:rPr>
        <w:tab/>
      </w:r>
      <w:r>
        <w:rPr>
          <w:b/>
          <w:bCs/>
          <w:u w:val="single"/>
        </w:rPr>
        <w:t>PAYMENT</w:t>
      </w:r>
    </w:p>
    <w:p w14:paraId="414FBEB1" w14:textId="77777777" w:rsidR="00345066" w:rsidRDefault="00345066" w:rsidP="001D5DFC">
      <w:pPr>
        <w:keepNext/>
        <w:widowControl/>
      </w:pPr>
    </w:p>
    <w:p w14:paraId="2B535C8D" w14:textId="77777777" w:rsidR="00345066" w:rsidRDefault="00345066" w:rsidP="001D5DFC">
      <w:pPr>
        <w:keepNext/>
        <w:widowControl/>
        <w:rPr>
          <w:b/>
          <w:bCs/>
        </w:rPr>
      </w:pPr>
      <w:r>
        <w:rPr>
          <w:b/>
          <w:bCs/>
        </w:rPr>
        <w:t>If the CD or A</w:t>
      </w:r>
      <w:r w:rsidR="00673D66">
        <w:rPr>
          <w:b/>
          <w:bCs/>
        </w:rPr>
        <w:t>SA</w:t>
      </w:r>
      <w:r>
        <w:rPr>
          <w:b/>
          <w:bCs/>
        </w:rPr>
        <w:t>OC includes an installment payment plan for the ATP settlor(s), rather than merely a reduced payment amount, modify the Payment Section (Section VI of the CD and Section VII of the AOC as follows).</w:t>
      </w:r>
    </w:p>
    <w:p w14:paraId="2DC4ED19" w14:textId="77777777" w:rsidR="00C75C49" w:rsidRDefault="00C75C49" w:rsidP="001D31D3">
      <w:pPr>
        <w:widowControl/>
      </w:pPr>
    </w:p>
    <w:p w14:paraId="325F6123" w14:textId="34E221D7" w:rsidR="00345066" w:rsidRDefault="00345066" w:rsidP="001D31D3">
      <w:pPr>
        <w:widowControl/>
      </w:pPr>
      <w:r>
        <w:rPr>
          <w:b/>
          <w:bCs/>
        </w:rPr>
        <w:t>First, if the settlement includes both ATP and non-ATP settling parties, modify Paragraph</w:t>
      </w:r>
      <w:r w:rsidR="00EC39BD">
        <w:rPr>
          <w:b/>
          <w:bCs/>
        </w:rPr>
        <w:t> </w:t>
      </w:r>
      <w:r>
        <w:rPr>
          <w:b/>
          <w:bCs/>
        </w:rPr>
        <w:t xml:space="preserve">5 of the CD and Paragraph </w:t>
      </w:r>
      <w:r w:rsidR="00673D66">
        <w:rPr>
          <w:b/>
          <w:bCs/>
        </w:rPr>
        <w:t>16</w:t>
      </w:r>
      <w:r>
        <w:rPr>
          <w:b/>
          <w:bCs/>
        </w:rPr>
        <w:t xml:space="preserve"> of the A</w:t>
      </w:r>
      <w:r w:rsidR="00673D66">
        <w:rPr>
          <w:b/>
          <w:bCs/>
        </w:rPr>
        <w:t>SA</w:t>
      </w:r>
      <w:r>
        <w:rPr>
          <w:b/>
          <w:bCs/>
        </w:rPr>
        <w:t>OC to exclude the ATP settlor(s) from the lump sum payment obligation by adding the following redlined language:</w:t>
      </w:r>
    </w:p>
    <w:p w14:paraId="101E405A" w14:textId="77777777" w:rsidR="00345066" w:rsidRDefault="00345066" w:rsidP="001D31D3">
      <w:pPr>
        <w:widowControl/>
      </w:pPr>
    </w:p>
    <w:p w14:paraId="73977EDB" w14:textId="281827DC" w:rsidR="00345066" w:rsidRDefault="00345066" w:rsidP="001D31D3">
      <w:pPr>
        <w:widowControl/>
      </w:pPr>
      <w:r>
        <w:t xml:space="preserve">Within 30 days </w:t>
      </w:r>
      <w:r w:rsidR="00D50909">
        <w:t>after the Effective Date</w:t>
      </w:r>
      <w:r>
        <w:t xml:space="preserve">, each [Settling Defendant/Respondent] </w:t>
      </w:r>
      <w:r w:rsidRPr="00020C12">
        <w:rPr>
          <w:color w:val="FF0000"/>
          <w:u w:val="single"/>
        </w:rPr>
        <w:t>who is not a [Settling ATP Defendant/ATP Respondent]</w:t>
      </w:r>
      <w:r w:rsidRPr="00020C12">
        <w:rPr>
          <w:color w:val="FF0000"/>
        </w:rPr>
        <w:t xml:space="preserve"> </w:t>
      </w:r>
      <w:r>
        <w:t>shall pay to EPA [</w:t>
      </w:r>
      <w:r w:rsidRPr="00020C12">
        <w:rPr>
          <w:b/>
        </w:rPr>
        <w:t>insert either</w:t>
      </w:r>
      <w:r>
        <w:t xml:space="preserve"> </w:t>
      </w:r>
      <w:r w:rsidR="0035670D">
        <w:t>“</w:t>
      </w:r>
      <w:r>
        <w:t>the amount set forth below</w:t>
      </w:r>
      <w:r w:rsidR="0035670D">
        <w:t>”</w:t>
      </w:r>
      <w:r>
        <w:t xml:space="preserve"> </w:t>
      </w:r>
      <w:r w:rsidRPr="00020C12">
        <w:rPr>
          <w:b/>
        </w:rPr>
        <w:t>or</w:t>
      </w:r>
      <w:r>
        <w:t xml:space="preserve"> </w:t>
      </w:r>
      <w:r w:rsidR="0035670D">
        <w:t>”</w:t>
      </w:r>
      <w:r>
        <w:t>the amount set forth in Appendix C to this [</w:t>
      </w:r>
      <w:r w:rsidR="0035670D">
        <w:t xml:space="preserve">Consent </w:t>
      </w:r>
      <w:r>
        <w:t>Decree/</w:t>
      </w:r>
      <w:r w:rsidR="0035670D">
        <w:t>Settlement Agreement”</w:t>
      </w:r>
      <w:r>
        <w:t>].</w:t>
      </w:r>
    </w:p>
    <w:p w14:paraId="15EA8050" w14:textId="77777777" w:rsidR="00345066" w:rsidRDefault="00345066" w:rsidP="001D31D3">
      <w:pPr>
        <w:widowControl/>
      </w:pPr>
    </w:p>
    <w:p w14:paraId="727BF3F1" w14:textId="6E4D3EA3" w:rsidR="00345066" w:rsidRDefault="00C46F3D" w:rsidP="001D31D3">
      <w:pPr>
        <w:widowControl/>
      </w:pPr>
      <w:r>
        <w:rPr>
          <w:b/>
          <w:bCs/>
        </w:rPr>
        <w:t>S</w:t>
      </w:r>
      <w:r w:rsidR="00345066">
        <w:rPr>
          <w:b/>
          <w:bCs/>
        </w:rPr>
        <w:t>econd, insert a new paragraph immediately following the above language outlining the installment payment obligations for the ATP settlors. The Regional attorney should discuss all proposed installment payment plans with the Regional Financial Management Office</w:t>
      </w:r>
      <w:r w:rsidR="00D50909">
        <w:rPr>
          <w:b/>
          <w:bCs/>
        </w:rPr>
        <w:t xml:space="preserve"> (and the DOJ attorney should also discuss any such plan with his/her Assistant Section Chief)</w:t>
      </w:r>
      <w:r w:rsidR="00345066">
        <w:rPr>
          <w:b/>
          <w:bCs/>
        </w:rPr>
        <w:t xml:space="preserve">, including the minimum payment that may be processed, the minimum </w:t>
      </w:r>
      <w:r w:rsidR="00D50909">
        <w:rPr>
          <w:b/>
          <w:bCs/>
        </w:rPr>
        <w:t>interval</w:t>
      </w:r>
      <w:r w:rsidR="00345066">
        <w:rPr>
          <w:b/>
          <w:bCs/>
        </w:rPr>
        <w:t xml:space="preserve"> between payments, the maximum length of the payment schedule, and the calculation of interest. When drafting an installment payment plan, keep in mind that Interest is defined in Section </w:t>
      </w:r>
      <w:r w:rsidR="00D50909">
        <w:rPr>
          <w:b/>
          <w:bCs/>
        </w:rPr>
        <w:t>IV</w:t>
      </w:r>
      <w:r w:rsidR="00345066">
        <w:rPr>
          <w:b/>
          <w:bCs/>
        </w:rPr>
        <w:t xml:space="preserve">, Paragraph </w:t>
      </w:r>
      <w:r w:rsidR="00D50909">
        <w:rPr>
          <w:b/>
          <w:bCs/>
        </w:rPr>
        <w:t>3</w:t>
      </w:r>
      <w:r w:rsidR="00345066">
        <w:rPr>
          <w:b/>
          <w:bCs/>
        </w:rPr>
        <w:t>, of the CD</w:t>
      </w:r>
      <w:r w:rsidR="00A91CBA">
        <w:rPr>
          <w:b/>
          <w:bCs/>
        </w:rPr>
        <w:t xml:space="preserve"> </w:t>
      </w:r>
      <w:r w:rsidR="00345066">
        <w:rPr>
          <w:b/>
          <w:bCs/>
        </w:rPr>
        <w:t xml:space="preserve">and Section </w:t>
      </w:r>
      <w:r w:rsidR="00D50909">
        <w:rPr>
          <w:b/>
          <w:bCs/>
        </w:rPr>
        <w:t>IV</w:t>
      </w:r>
      <w:r w:rsidR="00345066">
        <w:rPr>
          <w:b/>
          <w:bCs/>
        </w:rPr>
        <w:t xml:space="preserve">, Paragraph </w:t>
      </w:r>
      <w:r w:rsidR="00D50909">
        <w:rPr>
          <w:b/>
          <w:bCs/>
        </w:rPr>
        <w:t>6</w:t>
      </w:r>
      <w:r w:rsidR="00345066">
        <w:rPr>
          <w:b/>
          <w:bCs/>
        </w:rPr>
        <w:t>, of the A</w:t>
      </w:r>
      <w:r w:rsidR="00D50909">
        <w:rPr>
          <w:b/>
          <w:bCs/>
        </w:rPr>
        <w:t>SA</w:t>
      </w:r>
      <w:r w:rsidR="00345066">
        <w:rPr>
          <w:b/>
          <w:bCs/>
        </w:rPr>
        <w:t>OC</w:t>
      </w:r>
      <w:r w:rsidR="00345066">
        <w:t xml:space="preserve">. </w:t>
      </w:r>
    </w:p>
    <w:p w14:paraId="184A4EBA" w14:textId="77777777" w:rsidR="00345066" w:rsidRDefault="00345066" w:rsidP="001D31D3">
      <w:pPr>
        <w:widowControl/>
      </w:pPr>
    </w:p>
    <w:p w14:paraId="75BAF7E1" w14:textId="3DDBEB3E" w:rsidR="00345066" w:rsidRDefault="00345066" w:rsidP="001D31D3">
      <w:pPr>
        <w:widowControl/>
      </w:pPr>
      <w:r>
        <w:rPr>
          <w:b/>
          <w:bCs/>
        </w:rPr>
        <w:t>For a settlement with a single ATP settlor, insert:</w:t>
      </w:r>
    </w:p>
    <w:p w14:paraId="20C4696D" w14:textId="77777777" w:rsidR="00345066" w:rsidRDefault="00345066" w:rsidP="001D31D3">
      <w:pPr>
        <w:widowControl/>
      </w:pPr>
    </w:p>
    <w:p w14:paraId="7B7FCCA9" w14:textId="38DC8623" w:rsidR="00A25D25" w:rsidRDefault="00345066" w:rsidP="001D31D3">
      <w:pPr>
        <w:widowControl/>
      </w:pPr>
      <w:r>
        <w:t xml:space="preserve">[Settling ATP Defendant/ATP Respondent] </w:t>
      </w:r>
      <w:r w:rsidR="00A25D25">
        <w:t>shall pay to EPA the principal sum of $</w:t>
      </w:r>
      <w:r w:rsidR="00EC39BD">
        <w:t>______</w:t>
      </w:r>
      <w:r w:rsidR="00A25D25">
        <w:t>. Payment of the principal amount shall be made in __ installments. The first installment payment of $______ is due within 30 days after the Effective Date and, if timely paid, shall include no interest. Subsequent installment payments of $______ are due [</w:t>
      </w:r>
      <w:r w:rsidR="00A25D25" w:rsidRPr="00A34DEE">
        <w:rPr>
          <w:b/>
        </w:rPr>
        <w:t>insert schedule for payments, such as:</w:t>
      </w:r>
      <w:r w:rsidR="00A25D25">
        <w:t xml:space="preserve"> “three months, six months, and nine months after the Effective Date” or “on each anniversary of the Effective Date</w:t>
      </w:r>
      <w:r w:rsidR="00171E0F">
        <w:t>”</w:t>
      </w:r>
      <w:r w:rsidR="00A25D25">
        <w:t xml:space="preserve"> or </w:t>
      </w:r>
      <w:r w:rsidR="00171E0F">
        <w:t>“</w:t>
      </w:r>
      <w:r w:rsidR="00A25D25">
        <w:t>on [January 2] of each year following the Effective Date”]. Each installment payment shall also include an additional sum for Interest accrued on the unpaid portion of the principal amount calculated from the 30</w:t>
      </w:r>
      <w:r w:rsidR="00A25D25" w:rsidRPr="00A34DEE">
        <w:rPr>
          <w:vertAlign w:val="superscript"/>
        </w:rPr>
        <w:t>th</w:t>
      </w:r>
      <w:r w:rsidR="00A25D25">
        <w:t xml:space="preserve"> day after the Effective Date until the date of payment. [</w:t>
      </w:r>
      <w:r w:rsidR="00A25D25" w:rsidRPr="00A34DEE">
        <w:rPr>
          <w:b/>
        </w:rPr>
        <w:t>For CDs:</w:t>
      </w:r>
      <w:r w:rsidR="00A25D25">
        <w:t xml:space="preserve"> </w:t>
      </w:r>
      <w:r w:rsidR="00A25D25" w:rsidRPr="00897337">
        <w:t>The Financial Litigation Unit (FLU) of the U.S. Attorney’s Office for the District of ______ shall send a calculation of the Interest due for each payment to Settling Defendant.</w:t>
      </w:r>
      <w:r w:rsidR="00A25D25">
        <w:t>] [</w:t>
      </w:r>
      <w:r w:rsidR="00A25D25" w:rsidRPr="00897337">
        <w:rPr>
          <w:b/>
        </w:rPr>
        <w:t>For ASAOCs:</w:t>
      </w:r>
      <w:r w:rsidR="00A25D25">
        <w:t xml:space="preserve"> </w:t>
      </w:r>
      <w:r w:rsidR="00A25D25" w:rsidRPr="00897337">
        <w:t xml:space="preserve">EPA shall send a calculation of the Interest due for each payment to </w:t>
      </w:r>
      <w:r w:rsidR="00A25D25">
        <w:t>Respondent</w:t>
      </w:r>
      <w:r w:rsidR="00A25D25" w:rsidRPr="00897337">
        <w:t xml:space="preserve"> after the Effective Date.</w:t>
      </w:r>
      <w:r w:rsidR="00A25D25">
        <w:t>]</w:t>
      </w:r>
      <w:r w:rsidR="00A25D25" w:rsidRPr="00897337">
        <w:t xml:space="preserve"> </w:t>
      </w:r>
      <w:r w:rsidR="00A25D25">
        <w:t>[Settling Defendant/ Respondent] may pay any installment payment prior to the due date, but must contact [</w:t>
      </w:r>
      <w:r w:rsidR="00A25D25" w:rsidRPr="00897337">
        <w:rPr>
          <w:b/>
        </w:rPr>
        <w:t>for CDs:</w:t>
      </w:r>
      <w:r w:rsidR="00A25D25">
        <w:t xml:space="preserve"> the FLU] [</w:t>
      </w:r>
      <w:r w:rsidR="00A25D25" w:rsidRPr="00897337">
        <w:rPr>
          <w:b/>
        </w:rPr>
        <w:t>for ASAOC</w:t>
      </w:r>
      <w:r w:rsidR="00A25D25">
        <w:rPr>
          <w:b/>
        </w:rPr>
        <w:t>s</w:t>
      </w:r>
      <w:r w:rsidR="00A25D25" w:rsidRPr="00A34DEE">
        <w:rPr>
          <w:b/>
        </w:rPr>
        <w:t>: insert name and address of contact in Region</w:t>
      </w:r>
      <w:r w:rsidR="00A25D25">
        <w:t>] in advance for a determination regarding the amount of Interest to be included with the payment. In the event any installment payment includes an overpayment, the amount of the overpayment shall be applied to the remaining principal.</w:t>
      </w:r>
    </w:p>
    <w:p w14:paraId="5ACF30FB" w14:textId="3891CFAA" w:rsidR="00345066" w:rsidRDefault="00345066" w:rsidP="001D31D3">
      <w:pPr>
        <w:widowControl/>
        <w:rPr>
          <w:b/>
          <w:bCs/>
        </w:rPr>
      </w:pPr>
    </w:p>
    <w:p w14:paraId="5996F88E" w14:textId="7F12B3AB" w:rsidR="00345066" w:rsidRDefault="00345066" w:rsidP="001D31D3">
      <w:pPr>
        <w:widowControl/>
      </w:pPr>
      <w:r>
        <w:rPr>
          <w:b/>
          <w:bCs/>
        </w:rPr>
        <w:t>For a settlement with multiple ATP settlors, insert a separate paragraph for each settlor as shown above, or if ATP settlors are too numerous (or if otherwise preferred), create a separate Appendix for the ATP payment plans and insert the reduced language that follows into the Payment provision:</w:t>
      </w:r>
    </w:p>
    <w:p w14:paraId="0FCA4498" w14:textId="77777777" w:rsidR="00345066" w:rsidRDefault="00345066" w:rsidP="001D31D3">
      <w:pPr>
        <w:widowControl/>
      </w:pPr>
    </w:p>
    <w:p w14:paraId="67B3762F" w14:textId="47A5B937" w:rsidR="00171E0F" w:rsidRDefault="00345066" w:rsidP="001D31D3">
      <w:pPr>
        <w:widowControl/>
      </w:pPr>
      <w:r>
        <w:t>[Settling ATP Defendants/ATP Respondents]</w:t>
      </w:r>
      <w:r w:rsidR="00A25D25" w:rsidRPr="00A25D25">
        <w:t xml:space="preserve"> </w:t>
      </w:r>
      <w:r w:rsidR="00A25D25">
        <w:t xml:space="preserve">shall make payments to EPA in the </w:t>
      </w:r>
      <w:r w:rsidR="00924EE1">
        <w:t xml:space="preserve">principal </w:t>
      </w:r>
      <w:r w:rsidR="00A25D25">
        <w:t xml:space="preserve">amounts and </w:t>
      </w:r>
      <w:r w:rsidR="00166423">
        <w:t xml:space="preserve">by the due dates </w:t>
      </w:r>
      <w:r w:rsidR="00A25D25">
        <w:t>set forth in Appendix __.</w:t>
      </w:r>
      <w:r w:rsidR="00924EE1">
        <w:t xml:space="preserve"> </w:t>
      </w:r>
      <w:r w:rsidR="00A25D25">
        <w:t>The first installment payment is due within 30 days after the Effective Date and, if timely paid, shall include no interest. Subsequent installment payments shall include an additional sum for Interest accrued on the unpaid portion of the principal amount calculated from the 30</w:t>
      </w:r>
      <w:r w:rsidR="00A25D25" w:rsidRPr="00A34DEE">
        <w:rPr>
          <w:vertAlign w:val="superscript"/>
        </w:rPr>
        <w:t>th</w:t>
      </w:r>
      <w:r w:rsidR="00A25D25">
        <w:t xml:space="preserve"> day after the Effective Date until the date of payment. [</w:t>
      </w:r>
      <w:r w:rsidR="00A25D25" w:rsidRPr="008C7012">
        <w:rPr>
          <w:b/>
        </w:rPr>
        <w:t>For CDs:</w:t>
      </w:r>
      <w:r w:rsidR="00A25D25">
        <w:t xml:space="preserve"> </w:t>
      </w:r>
      <w:r w:rsidR="00A25D25" w:rsidRPr="00897337">
        <w:t>The Financial Litigation Unit (FLU) of the U.S. Attorney’s Office for the District of ______ shall send a calculation of the Interest due for each payment to Settling Defendant</w:t>
      </w:r>
      <w:r w:rsidR="00A25D25">
        <w:t>s</w:t>
      </w:r>
      <w:r w:rsidR="00A25D25" w:rsidRPr="00897337">
        <w:t>.</w:t>
      </w:r>
      <w:r w:rsidR="00A25D25">
        <w:t>] [</w:t>
      </w:r>
      <w:r w:rsidR="00A25D25" w:rsidRPr="00897337">
        <w:rPr>
          <w:b/>
        </w:rPr>
        <w:t>For ASAOCs:</w:t>
      </w:r>
      <w:r w:rsidR="00A25D25">
        <w:t xml:space="preserve"> </w:t>
      </w:r>
      <w:r w:rsidR="00A25D25" w:rsidRPr="00897337">
        <w:t xml:space="preserve">EPA shall send a calculation of the Interest due for each payment to </w:t>
      </w:r>
      <w:r w:rsidR="00A25D25">
        <w:t>Respondents</w:t>
      </w:r>
      <w:r w:rsidR="00A25D25" w:rsidRPr="00897337">
        <w:t xml:space="preserve"> after the Effective Date.</w:t>
      </w:r>
      <w:r w:rsidR="00A25D25">
        <w:t>] [Settling Defendants/Respondents] may pay any installment prior to the due date, but mu</w:t>
      </w:r>
      <w:r w:rsidR="00E7685C">
        <w:t>st</w:t>
      </w:r>
      <w:r w:rsidR="00A25D25">
        <w:t xml:space="preserve"> contact [</w:t>
      </w:r>
      <w:r w:rsidR="00A25D25" w:rsidRPr="00897337">
        <w:rPr>
          <w:b/>
        </w:rPr>
        <w:t>for CDs:</w:t>
      </w:r>
      <w:r w:rsidR="00A25D25">
        <w:t xml:space="preserve"> the FLU] [</w:t>
      </w:r>
      <w:r w:rsidR="00A25D25" w:rsidRPr="00897337">
        <w:rPr>
          <w:b/>
        </w:rPr>
        <w:t>for ASAOC</w:t>
      </w:r>
      <w:r w:rsidR="00A25D25">
        <w:rPr>
          <w:b/>
        </w:rPr>
        <w:t>s</w:t>
      </w:r>
      <w:r w:rsidR="00A25D25" w:rsidRPr="00897337">
        <w:rPr>
          <w:b/>
        </w:rPr>
        <w:t>:</w:t>
      </w:r>
      <w:r w:rsidR="00A25D25">
        <w:t xml:space="preserve"> </w:t>
      </w:r>
      <w:r w:rsidR="00A25D25" w:rsidRPr="004209AF">
        <w:rPr>
          <w:b/>
        </w:rPr>
        <w:t>insert name and address of contact in Region</w:t>
      </w:r>
      <w:r w:rsidR="00A25D25">
        <w:t>] in advance for a determination regarding the amount of Interest to be included with the payment.</w:t>
      </w:r>
      <w:r w:rsidR="00171E0F">
        <w:t xml:space="preserve"> In the event any installment payment includes an overpayment, the amount of the overpayment shall be applied to the remaining principal.</w:t>
      </w:r>
    </w:p>
    <w:p w14:paraId="5DB62900" w14:textId="0B83A7DA" w:rsidR="00345066" w:rsidRDefault="00345066" w:rsidP="001D31D3">
      <w:pPr>
        <w:widowControl/>
      </w:pPr>
    </w:p>
    <w:p w14:paraId="7E3F30F0" w14:textId="54CB0C11" w:rsidR="00345066" w:rsidRDefault="00345066" w:rsidP="001D31D3">
      <w:pPr>
        <w:widowControl/>
        <w:rPr>
          <w:b/>
          <w:bCs/>
        </w:rPr>
      </w:pPr>
      <w:r>
        <w:rPr>
          <w:b/>
          <w:bCs/>
        </w:rPr>
        <w:t>5.</w:t>
      </w:r>
      <w:r w:rsidR="00EC39BD">
        <w:rPr>
          <w:b/>
          <w:bCs/>
        </w:rPr>
        <w:tab/>
      </w:r>
      <w:r>
        <w:rPr>
          <w:b/>
          <w:bCs/>
          <w:u w:val="single"/>
        </w:rPr>
        <w:t>FAILURE TO MAKE PAYMENT</w:t>
      </w:r>
    </w:p>
    <w:p w14:paraId="594565AA" w14:textId="77777777" w:rsidR="00345066" w:rsidRPr="001D31D3" w:rsidRDefault="00345066" w:rsidP="001D31D3">
      <w:pPr>
        <w:widowControl/>
        <w:rPr>
          <w:bCs/>
        </w:rPr>
      </w:pPr>
    </w:p>
    <w:p w14:paraId="565A1BF9" w14:textId="2925AC38" w:rsidR="00345066" w:rsidRDefault="00345066" w:rsidP="001D31D3">
      <w:pPr>
        <w:widowControl/>
      </w:pPr>
      <w:r>
        <w:rPr>
          <w:b/>
          <w:bCs/>
        </w:rPr>
        <w:t xml:space="preserve">Modify the Failure to Make Payment provision (Section VII, Paragraph </w:t>
      </w:r>
      <w:r w:rsidR="00171E0F">
        <w:rPr>
          <w:b/>
          <w:bCs/>
        </w:rPr>
        <w:t>12</w:t>
      </w:r>
      <w:r>
        <w:rPr>
          <w:b/>
          <w:bCs/>
        </w:rPr>
        <w:t xml:space="preserve">, of the CD and Section VIII, Paragraph </w:t>
      </w:r>
      <w:r w:rsidR="00171E0F">
        <w:rPr>
          <w:b/>
          <w:bCs/>
        </w:rPr>
        <w:t>23</w:t>
      </w:r>
      <w:r>
        <w:rPr>
          <w:b/>
          <w:bCs/>
        </w:rPr>
        <w:t>, of the A</w:t>
      </w:r>
      <w:r w:rsidR="00171E0F">
        <w:rPr>
          <w:b/>
          <w:bCs/>
        </w:rPr>
        <w:t>SA</w:t>
      </w:r>
      <w:r>
        <w:rPr>
          <w:b/>
          <w:bCs/>
        </w:rPr>
        <w:t xml:space="preserve">OC) </w:t>
      </w:r>
      <w:r w:rsidR="00575BD0">
        <w:rPr>
          <w:b/>
          <w:bCs/>
        </w:rPr>
        <w:t>as follows</w:t>
      </w:r>
      <w:r>
        <w:rPr>
          <w:b/>
          <w:bCs/>
        </w:rPr>
        <w:t>:</w:t>
      </w:r>
    </w:p>
    <w:p w14:paraId="59F00AE7" w14:textId="77777777" w:rsidR="00345066" w:rsidRDefault="00345066" w:rsidP="001D31D3">
      <w:pPr>
        <w:widowControl/>
        <w:rPr>
          <w:rFonts w:ascii="PMingLiU" w:eastAsia="PMingLiU" w:cs="PMingLiU"/>
        </w:rPr>
      </w:pPr>
    </w:p>
    <w:p w14:paraId="62B94514" w14:textId="0C9AD905" w:rsidR="00575BD0" w:rsidRPr="00575BD0" w:rsidRDefault="00575BD0" w:rsidP="001D31D3">
      <w:pPr>
        <w:widowControl/>
        <w:rPr>
          <w:rFonts w:ascii="PMingLiU" w:eastAsia="PMingLiU" w:cs="PMingLiU"/>
        </w:rPr>
      </w:pPr>
      <w:r w:rsidRPr="00575BD0">
        <w:rPr>
          <w:rFonts w:eastAsia="PMingLiU"/>
        </w:rPr>
        <w:t>[</w:t>
      </w:r>
      <w:r w:rsidR="00166423">
        <w:rPr>
          <w:rFonts w:eastAsia="PMingLiU"/>
          <w:b/>
        </w:rPr>
        <w:t xml:space="preserve">Use </w:t>
      </w:r>
      <w:r w:rsidRPr="00575BD0">
        <w:rPr>
          <w:rFonts w:eastAsia="PMingLiU"/>
          <w:b/>
        </w:rPr>
        <w:t>for ATP and non-ATP settlors whose payment is a lump sum:</w:t>
      </w:r>
      <w:r w:rsidRPr="00575BD0">
        <w:rPr>
          <w:rFonts w:eastAsia="PMingLiU"/>
        </w:rPr>
        <w:t xml:space="preserve"> </w:t>
      </w:r>
      <w:r w:rsidR="00345066" w:rsidRPr="00575BD0">
        <w:rPr>
          <w:rFonts w:eastAsia="PMingLiU"/>
        </w:rPr>
        <w:t>If any [Settling Defendant/Respondent]</w:t>
      </w:r>
      <w:r w:rsidR="00276B2C">
        <w:rPr>
          <w:rFonts w:eastAsia="PMingLiU"/>
        </w:rPr>
        <w:t xml:space="preserve"> / </w:t>
      </w:r>
      <w:r w:rsidR="00345066" w:rsidRPr="00575BD0">
        <w:rPr>
          <w:rFonts w:eastAsia="PMingLiU"/>
          <w:u w:val="single"/>
        </w:rPr>
        <w:t>[Settling ATP Defendant/ATP Respondent]</w:t>
      </w:r>
      <w:r w:rsidR="00345066" w:rsidRPr="00575BD0">
        <w:rPr>
          <w:rFonts w:eastAsia="PMingLiU"/>
        </w:rPr>
        <w:t xml:space="preserve"> fails to make </w:t>
      </w:r>
      <w:r w:rsidR="00DD72AE">
        <w:rPr>
          <w:rFonts w:eastAsia="PMingLiU"/>
        </w:rPr>
        <w:t xml:space="preserve">the full </w:t>
      </w:r>
      <w:r w:rsidR="00345066" w:rsidRPr="00575BD0">
        <w:rPr>
          <w:rFonts w:eastAsia="PMingLiU"/>
        </w:rPr>
        <w:t xml:space="preserve">payment </w:t>
      </w:r>
      <w:r w:rsidR="00DD72AE">
        <w:rPr>
          <w:rFonts w:eastAsia="PMingLiU"/>
        </w:rPr>
        <w:t xml:space="preserve">required </w:t>
      </w:r>
      <w:r w:rsidR="00345066" w:rsidRPr="00575BD0">
        <w:rPr>
          <w:rFonts w:eastAsia="PMingLiU"/>
        </w:rPr>
        <w:t>by Paragraph [5 of the CD/</w:t>
      </w:r>
      <w:r w:rsidR="00171E0F" w:rsidRPr="00575BD0">
        <w:rPr>
          <w:rFonts w:eastAsia="PMingLiU"/>
        </w:rPr>
        <w:t>16</w:t>
      </w:r>
      <w:r w:rsidR="00345066" w:rsidRPr="00575BD0">
        <w:rPr>
          <w:rFonts w:eastAsia="PMingLiU"/>
        </w:rPr>
        <w:t xml:space="preserve"> of the AOC]</w:t>
      </w:r>
      <w:r w:rsidR="00DD72AE">
        <w:rPr>
          <w:rFonts w:eastAsia="PMingLiU"/>
        </w:rPr>
        <w:t xml:space="preserve"> by the required due date</w:t>
      </w:r>
      <w:r w:rsidR="00345066" w:rsidRPr="00575BD0">
        <w:rPr>
          <w:rFonts w:eastAsia="PMingLiU"/>
        </w:rPr>
        <w:t>, that [Settling Defendant/Respondent]</w:t>
      </w:r>
      <w:r w:rsidR="00276B2C">
        <w:rPr>
          <w:rFonts w:eastAsia="PMingLiU"/>
        </w:rPr>
        <w:t xml:space="preserve"> </w:t>
      </w:r>
      <w:r>
        <w:rPr>
          <w:rFonts w:eastAsia="PMingLiU"/>
        </w:rPr>
        <w:t>/</w:t>
      </w:r>
      <w:r w:rsidR="00276B2C">
        <w:rPr>
          <w:rFonts w:eastAsia="PMingLiU"/>
        </w:rPr>
        <w:t xml:space="preserve"> </w:t>
      </w:r>
      <w:r w:rsidRPr="00575BD0">
        <w:rPr>
          <w:rFonts w:eastAsia="PMingLiU"/>
        </w:rPr>
        <w:t>[Settling ATP Defendant/ATP Respondent]</w:t>
      </w:r>
      <w:r w:rsidR="00345066" w:rsidRPr="00575BD0">
        <w:rPr>
          <w:rFonts w:eastAsia="PMingLiU"/>
        </w:rPr>
        <w:t xml:space="preserve"> shall pay Interest on the unpaid balance</w:t>
      </w:r>
      <w:r w:rsidR="007946C2" w:rsidRPr="00575BD0">
        <w:rPr>
          <w:rFonts w:eastAsia="PMingLiU"/>
        </w:rPr>
        <w:t>, which shall accrue from the Effective Date until the date of payment</w:t>
      </w:r>
      <w:r w:rsidR="00345066" w:rsidRPr="00575BD0">
        <w:rPr>
          <w:rFonts w:eastAsia="PMingLiU"/>
        </w:rPr>
        <w:t>.</w:t>
      </w:r>
      <w:r w:rsidRPr="00575BD0">
        <w:rPr>
          <w:rFonts w:eastAsia="PMingLiU"/>
        </w:rPr>
        <w:t>]</w:t>
      </w:r>
    </w:p>
    <w:p w14:paraId="114595EA" w14:textId="77777777" w:rsidR="00575BD0" w:rsidRPr="00575BD0" w:rsidRDefault="00575BD0" w:rsidP="001D31D3">
      <w:pPr>
        <w:widowControl/>
        <w:rPr>
          <w:rFonts w:ascii="PMingLiU" w:eastAsia="PMingLiU" w:cs="PMingLiU"/>
        </w:rPr>
      </w:pPr>
    </w:p>
    <w:p w14:paraId="3594E6FC" w14:textId="2B845D6C" w:rsidR="00575BD0" w:rsidRPr="00575BD0" w:rsidRDefault="00575BD0" w:rsidP="001D31D3">
      <w:pPr>
        <w:widowControl/>
      </w:pPr>
      <w:r w:rsidRPr="00575BD0">
        <w:rPr>
          <w:rFonts w:eastAsia="PMingLiU"/>
        </w:rPr>
        <w:t>[</w:t>
      </w:r>
      <w:r w:rsidRPr="00575BD0">
        <w:rPr>
          <w:rFonts w:eastAsia="PMingLiU"/>
          <w:b/>
        </w:rPr>
        <w:t>Use for any ATP settlors whose payment is in installments:</w:t>
      </w:r>
      <w:r w:rsidRPr="00575BD0">
        <w:rPr>
          <w:rFonts w:eastAsia="PMingLiU"/>
        </w:rPr>
        <w:t xml:space="preserve"> </w:t>
      </w:r>
      <w:r w:rsidR="00345066" w:rsidRPr="00575BD0">
        <w:t>If any [Settling ATP Defendant/ATP Respondent] fails to make any payment under Paragraph __ [</w:t>
      </w:r>
      <w:r w:rsidR="00345066" w:rsidRPr="00575BD0">
        <w:rPr>
          <w:b/>
        </w:rPr>
        <w:t>reference ATP installment plan paragraph</w:t>
      </w:r>
      <w:r w:rsidR="00276B2C">
        <w:rPr>
          <w:b/>
        </w:rPr>
        <w:t>(s)</w:t>
      </w:r>
      <w:r w:rsidR="00345066" w:rsidRPr="00575BD0">
        <w:t>] by the required due date, all remaining installment payments and all accrued Interest</w:t>
      </w:r>
      <w:r w:rsidR="00E7685C" w:rsidRPr="00575BD0">
        <w:t xml:space="preserve"> </w:t>
      </w:r>
      <w:r w:rsidR="00DD72AE">
        <w:t xml:space="preserve">for </w:t>
      </w:r>
      <w:r w:rsidR="00E7685C" w:rsidRPr="00575BD0">
        <w:t>such [Settling ATP Defendant/Respondent]</w:t>
      </w:r>
      <w:r w:rsidR="00345066" w:rsidRPr="00575BD0">
        <w:t xml:space="preserve"> shall become due immediately upon such failure, and</w:t>
      </w:r>
      <w:r w:rsidR="00A25D25" w:rsidRPr="00575BD0">
        <w:t xml:space="preserve"> if </w:t>
      </w:r>
      <w:r w:rsidR="00E7685C" w:rsidRPr="00575BD0">
        <w:t>such [Settling ATP Defendant’s/Respondent’s]</w:t>
      </w:r>
      <w:r w:rsidR="00A25D25" w:rsidRPr="00575BD0">
        <w:t xml:space="preserve"> first payment is not timely </w:t>
      </w:r>
      <w:r w:rsidR="00DD72AE">
        <w:t>paid</w:t>
      </w:r>
      <w:r w:rsidR="00A25D25" w:rsidRPr="00575BD0">
        <w:t>,</w:t>
      </w:r>
      <w:r w:rsidR="00345066" w:rsidRPr="00575BD0">
        <w:t xml:space="preserve"> </w:t>
      </w:r>
      <w:r w:rsidR="00A25D25" w:rsidRPr="00575BD0">
        <w:t xml:space="preserve">Interest shall accrue from the Effective Date. </w:t>
      </w:r>
      <w:r w:rsidR="00345066" w:rsidRPr="00575BD0">
        <w:t>Interest shall continue to accrue on any unpaid amounts until the total amount due has been received.</w:t>
      </w:r>
      <w:r w:rsidRPr="00575BD0">
        <w:t>]</w:t>
      </w:r>
    </w:p>
    <w:p w14:paraId="162D8D0D" w14:textId="77777777" w:rsidR="00575BD0" w:rsidRPr="00575BD0" w:rsidRDefault="00575BD0" w:rsidP="001D31D3">
      <w:pPr>
        <w:widowControl/>
      </w:pPr>
    </w:p>
    <w:p w14:paraId="54A399DA" w14:textId="1000D274" w:rsidR="00345066" w:rsidRPr="00575BD0" w:rsidRDefault="00575BD0" w:rsidP="001D31D3">
      <w:pPr>
        <w:widowControl/>
      </w:pPr>
      <w:r w:rsidRPr="00575BD0">
        <w:t>[</w:t>
      </w:r>
      <w:r w:rsidR="00166423">
        <w:rPr>
          <w:b/>
        </w:rPr>
        <w:t xml:space="preserve">Use </w:t>
      </w:r>
      <w:r w:rsidRPr="00575BD0">
        <w:rPr>
          <w:b/>
        </w:rPr>
        <w:t>for all settlors:</w:t>
      </w:r>
      <w:r w:rsidRPr="00575BD0">
        <w:t xml:space="preserve"> </w:t>
      </w:r>
      <w:r w:rsidR="00345066" w:rsidRPr="00575BD0">
        <w:t>In addition, if any [Settling Defendant/Respondent</w:t>
      </w:r>
      <w:r w:rsidR="007165B6">
        <w:t>]</w:t>
      </w:r>
      <w:r w:rsidR="008A6D6A">
        <w:t xml:space="preserve"> or</w:t>
      </w:r>
      <w:r w:rsidR="005013D5" w:rsidRPr="00575BD0">
        <w:t xml:space="preserve"> </w:t>
      </w:r>
      <w:r w:rsidR="007165B6">
        <w:t>[</w:t>
      </w:r>
      <w:r w:rsidR="005013D5" w:rsidRPr="00575BD0">
        <w:t>Settling ATP Defendant/Respondent</w:t>
      </w:r>
      <w:r w:rsidR="00345066" w:rsidRPr="00575BD0">
        <w:t xml:space="preserve">] fails to make </w:t>
      </w:r>
      <w:r w:rsidR="008A6D6A">
        <w:t xml:space="preserve">any </w:t>
      </w:r>
      <w:r w:rsidR="00345066" w:rsidRPr="00575BD0">
        <w:t xml:space="preserve">payment </w:t>
      </w:r>
      <w:r w:rsidR="008A6D6A">
        <w:t xml:space="preserve">in the amount and </w:t>
      </w:r>
      <w:r w:rsidR="00DD72AE">
        <w:t xml:space="preserve">by the due date </w:t>
      </w:r>
      <w:r w:rsidR="00345066" w:rsidRPr="00575BD0">
        <w:t xml:space="preserve">required by Paragraph </w:t>
      </w:r>
      <w:r w:rsidR="00345066" w:rsidRPr="00575BD0">
        <w:rPr>
          <w:rFonts w:eastAsia="PMingLiU"/>
        </w:rPr>
        <w:t>[5 of the CD/</w:t>
      </w:r>
      <w:r w:rsidR="007946C2" w:rsidRPr="00575BD0">
        <w:rPr>
          <w:rFonts w:eastAsia="PMingLiU"/>
        </w:rPr>
        <w:t>16</w:t>
      </w:r>
      <w:r w:rsidR="00171E0F" w:rsidRPr="00575BD0">
        <w:rPr>
          <w:rFonts w:eastAsia="PMingLiU"/>
        </w:rPr>
        <w:t xml:space="preserve"> </w:t>
      </w:r>
      <w:r w:rsidR="00345066" w:rsidRPr="00575BD0">
        <w:rPr>
          <w:rFonts w:eastAsia="PMingLiU"/>
        </w:rPr>
        <w:t>of the A</w:t>
      </w:r>
      <w:r w:rsidR="007946C2" w:rsidRPr="00575BD0">
        <w:rPr>
          <w:rFonts w:eastAsia="PMingLiU"/>
        </w:rPr>
        <w:t>SA</w:t>
      </w:r>
      <w:r w:rsidR="00345066" w:rsidRPr="00575BD0">
        <w:rPr>
          <w:rFonts w:eastAsia="PMingLiU"/>
        </w:rPr>
        <w:t>OC]</w:t>
      </w:r>
      <w:r w:rsidR="008A6D6A">
        <w:rPr>
          <w:rFonts w:eastAsia="PMingLiU"/>
        </w:rPr>
        <w:t xml:space="preserve"> </w:t>
      </w:r>
      <w:r w:rsidR="008A6D6A">
        <w:t>or Paragraph __ [</w:t>
      </w:r>
      <w:r w:rsidR="008A6D6A" w:rsidRPr="00A724EF">
        <w:rPr>
          <w:b/>
        </w:rPr>
        <w:t>reference ATP installment plan paragraph</w:t>
      </w:r>
      <w:r w:rsidR="00276B2C">
        <w:rPr>
          <w:b/>
        </w:rPr>
        <w:t>(s)</w:t>
      </w:r>
      <w:r w:rsidR="008A6D6A">
        <w:t>]</w:t>
      </w:r>
      <w:r w:rsidR="008A6D6A" w:rsidRPr="00BD64E9">
        <w:t>,</w:t>
      </w:r>
      <w:r w:rsidR="008A6D6A">
        <w:t xml:space="preserve"> as applicable,</w:t>
      </w:r>
      <w:r w:rsidR="00171E0F" w:rsidRPr="002A308C">
        <w:t xml:space="preserve"> </w:t>
      </w:r>
      <w:r w:rsidR="00345066" w:rsidRPr="00575BD0">
        <w:t xml:space="preserve">the United States may, in addition to any other available remedies or sanctions, bring an action against that [Settling Defendant/Respondent] seeking injunctive </w:t>
      </w:r>
      <w:r w:rsidR="00345066" w:rsidRPr="00575BD0">
        <w:lastRenderedPageBreak/>
        <w:t>relief to compel payment and/or seeking civil penalties under Section 122(</w:t>
      </w:r>
      <w:r w:rsidR="00345066" w:rsidRPr="00575BD0">
        <w:rPr>
          <w:i/>
          <w:iCs/>
        </w:rPr>
        <w:t>l</w:t>
      </w:r>
      <w:r w:rsidR="00345066" w:rsidRPr="00575BD0">
        <w:t xml:space="preserve">) of CERCLA, 42 U.S.C. </w:t>
      </w:r>
      <w:r w:rsidR="00DD11FD">
        <w:t xml:space="preserve">§ </w:t>
      </w:r>
      <w:r w:rsidR="00345066" w:rsidRPr="00575BD0">
        <w:t>9622(</w:t>
      </w:r>
      <w:r w:rsidR="00345066" w:rsidRPr="00575BD0">
        <w:rPr>
          <w:i/>
          <w:iCs/>
        </w:rPr>
        <w:t>l</w:t>
      </w:r>
      <w:r w:rsidR="00345066" w:rsidRPr="00575BD0">
        <w:t>), for failure to make timely payment.</w:t>
      </w:r>
      <w:r w:rsidRPr="00575BD0">
        <w:t>]</w:t>
      </w:r>
    </w:p>
    <w:p w14:paraId="235219BD" w14:textId="77777777" w:rsidR="00345066" w:rsidRDefault="00345066" w:rsidP="001D31D3">
      <w:pPr>
        <w:widowControl/>
      </w:pPr>
    </w:p>
    <w:p w14:paraId="1FB21D76" w14:textId="0A9653EE" w:rsidR="00345066" w:rsidRDefault="00345066" w:rsidP="001D5DFC">
      <w:pPr>
        <w:keepNext/>
        <w:widowControl/>
      </w:pPr>
      <w:r>
        <w:rPr>
          <w:b/>
          <w:bCs/>
        </w:rPr>
        <w:t>6.</w:t>
      </w:r>
      <w:r w:rsidR="00EC39BD">
        <w:rPr>
          <w:b/>
          <w:bCs/>
        </w:rPr>
        <w:tab/>
      </w:r>
      <w:r>
        <w:rPr>
          <w:b/>
          <w:bCs/>
          <w:u w:val="single"/>
        </w:rPr>
        <w:t>CERTIFICATION</w:t>
      </w:r>
    </w:p>
    <w:p w14:paraId="0F20FB62" w14:textId="77777777" w:rsidR="00345066" w:rsidRDefault="00345066" w:rsidP="001D5DFC">
      <w:pPr>
        <w:keepNext/>
        <w:widowControl/>
      </w:pPr>
    </w:p>
    <w:p w14:paraId="7F5884F6" w14:textId="495A3EFC" w:rsidR="00345066" w:rsidRDefault="00345066" w:rsidP="001D5DFC">
      <w:pPr>
        <w:keepNext/>
        <w:widowControl/>
      </w:pPr>
      <w:r>
        <w:rPr>
          <w:b/>
          <w:bCs/>
        </w:rPr>
        <w:t>Add the following additional paragraph to the Certification provision (</w:t>
      </w:r>
      <w:r w:rsidR="002176AE">
        <w:rPr>
          <w:b/>
          <w:bCs/>
        </w:rPr>
        <w:t xml:space="preserve">insert after </w:t>
      </w:r>
      <w:r>
        <w:rPr>
          <w:b/>
          <w:bCs/>
        </w:rPr>
        <w:t xml:space="preserve">Section </w:t>
      </w:r>
      <w:r w:rsidR="00CA2CD5">
        <w:rPr>
          <w:b/>
          <w:bCs/>
        </w:rPr>
        <w:t>XII</w:t>
      </w:r>
      <w:r>
        <w:rPr>
          <w:b/>
          <w:bCs/>
        </w:rPr>
        <w:t xml:space="preserve">, Paragraph </w:t>
      </w:r>
      <w:r w:rsidR="00CA2CD5">
        <w:rPr>
          <w:b/>
          <w:bCs/>
        </w:rPr>
        <w:t>26</w:t>
      </w:r>
      <w:r>
        <w:rPr>
          <w:b/>
          <w:bCs/>
        </w:rPr>
        <w:t xml:space="preserve">, of the CD and Section IX, Paragraph </w:t>
      </w:r>
      <w:r w:rsidR="00CA2CD5">
        <w:rPr>
          <w:b/>
          <w:bCs/>
        </w:rPr>
        <w:t>24</w:t>
      </w:r>
      <w:r>
        <w:rPr>
          <w:b/>
          <w:bCs/>
        </w:rPr>
        <w:t>, of the A</w:t>
      </w:r>
      <w:r w:rsidR="00CA2CD5">
        <w:rPr>
          <w:b/>
          <w:bCs/>
        </w:rPr>
        <w:t>SA</w:t>
      </w:r>
      <w:r>
        <w:rPr>
          <w:b/>
          <w:bCs/>
        </w:rPr>
        <w:t>OC):</w:t>
      </w:r>
    </w:p>
    <w:p w14:paraId="01F1D193" w14:textId="77777777" w:rsidR="00345066" w:rsidRDefault="00345066" w:rsidP="001D31D3">
      <w:pPr>
        <w:widowControl/>
      </w:pPr>
    </w:p>
    <w:p w14:paraId="35019FC9" w14:textId="43698EDC" w:rsidR="00345066" w:rsidRDefault="00345066" w:rsidP="001D31D3">
      <w:pPr>
        <w:widowControl/>
      </w:pPr>
      <w:r>
        <w:t xml:space="preserve">Each [Settling ATP Defendant/ATP Respondent] further certifies individually that it </w:t>
      </w:r>
      <w:r w:rsidR="0034343D">
        <w:t>[</w:t>
      </w:r>
      <w:r w:rsidR="00CA2CD5">
        <w:t>a)</w:t>
      </w:r>
      <w:r w:rsidR="0034343D">
        <w:t>]</w:t>
      </w:r>
      <w:r w:rsidR="00CA2CD5">
        <w:t xml:space="preserve"> </w:t>
      </w:r>
      <w:r>
        <w:t xml:space="preserve">has submitted </w:t>
      </w:r>
      <w:r w:rsidR="00CA2CD5">
        <w:t xml:space="preserve">to EPA </w:t>
      </w:r>
      <w:r>
        <w:t>Financial Information that</w:t>
      </w:r>
      <w:r>
        <w:rPr>
          <w:rFonts w:ascii="PMingLiU" w:eastAsia="PMingLiU" w:cs="PMingLiU"/>
        </w:rPr>
        <w:t xml:space="preserve"> </w:t>
      </w:r>
      <w:r>
        <w:t xml:space="preserve">fairly, accurately, and materially sets forth its financial circumstances, and that those circumstances have not materially changed between the time the </w:t>
      </w:r>
      <w:r w:rsidR="00CA2CD5">
        <w:t>f</w:t>
      </w:r>
      <w:r>
        <w:t xml:space="preserve">inancial </w:t>
      </w:r>
      <w:r w:rsidR="00CA2CD5">
        <w:t>i</w:t>
      </w:r>
      <w:r>
        <w:t>nformation was submitted to EPA and the time [Settling ATP Defendant/ATP Respondent] executes this [Consent Decree/</w:t>
      </w:r>
      <w:r w:rsidR="00CA2CD5">
        <w:t>Settlement Agreement</w:t>
      </w:r>
      <w:r>
        <w:t>]</w:t>
      </w:r>
      <w:r w:rsidR="00CA2CD5">
        <w:t xml:space="preserve"> [</w:t>
      </w:r>
      <w:r w:rsidR="00CA2CD5" w:rsidRPr="00020C12">
        <w:rPr>
          <w:b/>
          <w:color w:val="FF0000"/>
          <w:u w:val="single"/>
        </w:rPr>
        <w:t>when applicable:</w:t>
      </w:r>
      <w:r w:rsidR="00CA2CD5" w:rsidRPr="00020C12">
        <w:rPr>
          <w:color w:val="FF0000"/>
          <w:u w:val="single"/>
        </w:rPr>
        <w:t xml:space="preserve"> ;</w:t>
      </w:r>
      <w:r w:rsidR="00CA2CD5" w:rsidRPr="00020C12">
        <w:rPr>
          <w:color w:val="FF0000"/>
        </w:rPr>
        <w:t xml:space="preserve"> </w:t>
      </w:r>
      <w:r w:rsidR="00CA2CD5" w:rsidRPr="004209AF">
        <w:rPr>
          <w:color w:val="FF0000"/>
          <w:u w:val="single"/>
        </w:rPr>
        <w:t>and b) fully disclosed any information regarding the existence of any insurance policies or indemnity agreements that may cover claims relating to cleanup of the Site, and submitted to EPA upon request such insurance policies, indemnity agreements, and information</w:t>
      </w:r>
      <w:r w:rsidR="00CA2CD5">
        <w:rPr>
          <w:color w:val="FF0000"/>
          <w:u w:val="single"/>
        </w:rPr>
        <w:t>]</w:t>
      </w:r>
      <w:r w:rsidR="00CA2CD5">
        <w:t>.</w:t>
      </w:r>
    </w:p>
    <w:p w14:paraId="1A5BC262" w14:textId="77777777" w:rsidR="00345066" w:rsidRDefault="00345066" w:rsidP="001D31D3">
      <w:pPr>
        <w:widowControl/>
      </w:pPr>
    </w:p>
    <w:p w14:paraId="4D3CE458" w14:textId="441E963F" w:rsidR="00345066" w:rsidRDefault="00345066" w:rsidP="001D31D3">
      <w:pPr>
        <w:widowControl/>
        <w:rPr>
          <w:b/>
          <w:bCs/>
        </w:rPr>
      </w:pPr>
      <w:r>
        <w:rPr>
          <w:b/>
          <w:bCs/>
        </w:rPr>
        <w:t>7.</w:t>
      </w:r>
      <w:r w:rsidR="00EC39BD">
        <w:rPr>
          <w:b/>
          <w:bCs/>
        </w:rPr>
        <w:tab/>
      </w:r>
      <w:r>
        <w:rPr>
          <w:b/>
          <w:bCs/>
          <w:u w:val="single"/>
        </w:rPr>
        <w:t>COVENANT</w:t>
      </w:r>
      <w:r w:rsidR="0095556F">
        <w:rPr>
          <w:b/>
          <w:bCs/>
          <w:u w:val="single"/>
        </w:rPr>
        <w:t>S</w:t>
      </w:r>
      <w:r>
        <w:rPr>
          <w:b/>
          <w:bCs/>
          <w:u w:val="single"/>
        </w:rPr>
        <w:t xml:space="preserve"> BY UNITED STATES</w:t>
      </w:r>
    </w:p>
    <w:p w14:paraId="3410ED65" w14:textId="77777777" w:rsidR="00345066" w:rsidRPr="001D31D3" w:rsidRDefault="00345066" w:rsidP="001D31D3">
      <w:pPr>
        <w:widowControl/>
        <w:rPr>
          <w:bCs/>
        </w:rPr>
      </w:pPr>
    </w:p>
    <w:p w14:paraId="087004FA" w14:textId="468CE81D" w:rsidR="00345066" w:rsidRDefault="00345066" w:rsidP="001D31D3">
      <w:pPr>
        <w:widowControl/>
      </w:pPr>
      <w:r>
        <w:rPr>
          <w:b/>
          <w:bCs/>
        </w:rPr>
        <w:t>Make the following changes to the Covenant</w:t>
      </w:r>
      <w:r w:rsidR="0095556F">
        <w:rPr>
          <w:b/>
          <w:bCs/>
        </w:rPr>
        <w:t>s</w:t>
      </w:r>
      <w:r>
        <w:rPr>
          <w:b/>
          <w:bCs/>
        </w:rPr>
        <w:t xml:space="preserve"> by United States (Section </w:t>
      </w:r>
      <w:r w:rsidR="00CA2CD5">
        <w:rPr>
          <w:b/>
          <w:bCs/>
        </w:rPr>
        <w:t>VIII</w:t>
      </w:r>
      <w:r>
        <w:rPr>
          <w:b/>
          <w:bCs/>
        </w:rPr>
        <w:t xml:space="preserve">, Paragraph </w:t>
      </w:r>
      <w:r w:rsidR="00CA2CD5">
        <w:rPr>
          <w:b/>
          <w:bCs/>
        </w:rPr>
        <w:t>13</w:t>
      </w:r>
      <w:r>
        <w:rPr>
          <w:b/>
          <w:bCs/>
        </w:rPr>
        <w:t xml:space="preserve">, of the CD and Section X, Paragraph </w:t>
      </w:r>
      <w:r w:rsidR="00CA2CD5">
        <w:rPr>
          <w:b/>
          <w:bCs/>
        </w:rPr>
        <w:t>26</w:t>
      </w:r>
      <w:r>
        <w:rPr>
          <w:b/>
          <w:bCs/>
        </w:rPr>
        <w:t>, of the A</w:t>
      </w:r>
      <w:r w:rsidR="00CA2CD5">
        <w:rPr>
          <w:b/>
          <w:bCs/>
        </w:rPr>
        <w:t>SA</w:t>
      </w:r>
      <w:r>
        <w:rPr>
          <w:b/>
          <w:bCs/>
        </w:rPr>
        <w:t>OC):</w:t>
      </w:r>
    </w:p>
    <w:p w14:paraId="4C7B90A9" w14:textId="77777777" w:rsidR="00345066" w:rsidRDefault="00345066" w:rsidP="001D31D3">
      <w:pPr>
        <w:widowControl/>
      </w:pPr>
    </w:p>
    <w:p w14:paraId="18A5AE2F" w14:textId="3F660163" w:rsidR="00345066" w:rsidRDefault="0042200A" w:rsidP="001D31D3">
      <w:pPr>
        <w:widowControl/>
      </w:pPr>
      <w:r>
        <w:t>E</w:t>
      </w:r>
      <w:r w:rsidR="00345066">
        <w:t>xcept as specifically provided in Section [</w:t>
      </w:r>
      <w:r>
        <w:t>IX</w:t>
      </w:r>
      <w:r w:rsidR="00345066">
        <w:t xml:space="preserve"> of the CD/XI of the A</w:t>
      </w:r>
      <w:r>
        <w:t>SA</w:t>
      </w:r>
      <w:r w:rsidR="00345066">
        <w:t>OC] (Reservations of Rights by United States), the United States covenants not to sue or take administrative action against any of the [Settling Defendants/ Respondents] pursuant to Sections 106 or 107 of CERCLA, 42 U.S.C.</w:t>
      </w:r>
      <w:r w:rsidR="00DD11FD">
        <w:t xml:space="preserve"> §§</w:t>
      </w:r>
      <w:r w:rsidR="00345066">
        <w:t xml:space="preserve"> 9606 or 9607</w:t>
      </w:r>
      <w:r>
        <w:t xml:space="preserve"> </w:t>
      </w:r>
      <w:r w:rsidR="00345066">
        <w:t xml:space="preserve">[, and Section 3007 of the Resource Conservation and Recovery Act, 42 U.S.C. </w:t>
      </w:r>
      <w:r w:rsidR="00345066">
        <w:sym w:font="WP TypographicSymbols" w:char="0027"/>
      </w:r>
      <w:r w:rsidR="00345066">
        <w:t xml:space="preserve"> 6973], relating to the Site. With respect to present and future liability, this covenant not to sue shall take effect</w:t>
      </w:r>
      <w:r w:rsidR="00D27E16">
        <w:t xml:space="preserve"> </w:t>
      </w:r>
      <w:r w:rsidR="00345066">
        <w:t>for each [Settling Defendant/Respondent]</w:t>
      </w:r>
      <w:r w:rsidR="00D27E16">
        <w:t xml:space="preserve"> upon the Effective Date</w:t>
      </w:r>
      <w:r w:rsidR="00345066">
        <w:t xml:space="preserve">. With respect to [Settling Defendants/Respondents] individually, this covenant not to sue is conditioned upon: a) the satisfactory performance by </w:t>
      </w:r>
      <w:r w:rsidR="00345066" w:rsidRPr="00D27E16">
        <w:t>each</w:t>
      </w:r>
      <w:r w:rsidR="00345066">
        <w:t xml:space="preserve"> [Settling Defendant/Respondent] of all obligations under this [Consent Decree/</w:t>
      </w:r>
      <w:r w:rsidR="00D27E16">
        <w:t>Settlement Agreement</w:t>
      </w:r>
      <w:r w:rsidR="00345066">
        <w:t>], including but not limited to, payment of all amounts due under Section [Section VI of CD/VII of A</w:t>
      </w:r>
      <w:r w:rsidR="00D27E16">
        <w:t>SA</w:t>
      </w:r>
      <w:r w:rsidR="00345066">
        <w:t>OC] (Payment); and b) the veracity of the information provided to EPA by [Settling Defendant/Respondent] relating to [Settling Defendant</w:t>
      </w:r>
      <w:r w:rsidR="00D27E16">
        <w:t>’</w:t>
      </w:r>
      <w:r w:rsidR="00345066">
        <w:t>s/Respondent</w:t>
      </w:r>
      <w:r w:rsidR="00D27E16">
        <w:t>’</w:t>
      </w:r>
      <w:r w:rsidR="00345066">
        <w:t xml:space="preserve">s] involvement with the Site. </w:t>
      </w:r>
      <w:r w:rsidR="00345066" w:rsidRPr="00C4224D">
        <w:rPr>
          <w:color w:val="FF0000"/>
          <w:u w:val="single"/>
        </w:rPr>
        <w:t xml:space="preserve">With respect to [Settling ATP Defendants/ATP Respondents] individually, this covenant not to sue is also conditioned upon the veracity and completeness of the Financial Information </w:t>
      </w:r>
      <w:r w:rsidR="00D27E16" w:rsidRPr="00C4224D">
        <w:rPr>
          <w:color w:val="FF0000"/>
          <w:u w:val="single"/>
        </w:rPr>
        <w:t xml:space="preserve">[and the Insurance Information] </w:t>
      </w:r>
      <w:r w:rsidR="00345066" w:rsidRPr="00C4224D">
        <w:rPr>
          <w:color w:val="FF0000"/>
          <w:u w:val="single"/>
        </w:rPr>
        <w:t>provided to EPA by each [Settling ATP Defendant/ATP Respondent]</w:t>
      </w:r>
      <w:r w:rsidR="00D27E16" w:rsidRPr="00C4224D">
        <w:rPr>
          <w:color w:val="FF0000"/>
          <w:u w:val="single"/>
        </w:rPr>
        <w:t xml:space="preserve"> and the financial [, insurance, and indemnity] certification made by each [Settling ATP Defendant/ATP Respondent] in Paragraph [26 of the CD/24 of the ASAOC]</w:t>
      </w:r>
      <w:r w:rsidR="00345066" w:rsidRPr="00C4224D">
        <w:rPr>
          <w:color w:val="FF0000"/>
          <w:u w:val="single"/>
        </w:rPr>
        <w:t>.</w:t>
      </w:r>
      <w:r w:rsidR="00345066">
        <w:t xml:space="preserve"> This covenant not to sue extends only to [Settling Defendants/ Respondents] and does not extend to any other person.</w:t>
      </w:r>
    </w:p>
    <w:p w14:paraId="27180197" w14:textId="77777777" w:rsidR="00345066" w:rsidRDefault="00345066" w:rsidP="001D31D3">
      <w:pPr>
        <w:widowControl/>
      </w:pPr>
    </w:p>
    <w:p w14:paraId="5F01C064" w14:textId="6476BEFC" w:rsidR="00345066" w:rsidRDefault="00345066" w:rsidP="001D31D3">
      <w:pPr>
        <w:widowControl/>
        <w:rPr>
          <w:b/>
          <w:bCs/>
        </w:rPr>
      </w:pPr>
      <w:r>
        <w:rPr>
          <w:b/>
          <w:bCs/>
        </w:rPr>
        <w:t>8.</w:t>
      </w:r>
      <w:r w:rsidR="00EC39BD">
        <w:rPr>
          <w:b/>
          <w:bCs/>
        </w:rPr>
        <w:tab/>
      </w:r>
      <w:r>
        <w:rPr>
          <w:b/>
          <w:bCs/>
          <w:u w:val="single"/>
        </w:rPr>
        <w:t>RESERVATIONS OF RIGHTS BY UNITED STATES</w:t>
      </w:r>
    </w:p>
    <w:p w14:paraId="613EA18E" w14:textId="77777777" w:rsidR="00345066" w:rsidRDefault="00345066" w:rsidP="001D31D3">
      <w:pPr>
        <w:widowControl/>
        <w:rPr>
          <w:b/>
          <w:bCs/>
        </w:rPr>
      </w:pPr>
    </w:p>
    <w:p w14:paraId="3AC8ADA3" w14:textId="30EBC88E" w:rsidR="00345066" w:rsidRDefault="00345066" w:rsidP="001D31D3">
      <w:pPr>
        <w:widowControl/>
      </w:pPr>
      <w:r>
        <w:rPr>
          <w:b/>
          <w:bCs/>
        </w:rPr>
        <w:lastRenderedPageBreak/>
        <w:t xml:space="preserve">First, add the following paragraph to the end of the Reservations of Rights by United States provision (Section </w:t>
      </w:r>
      <w:r w:rsidR="00917316">
        <w:rPr>
          <w:b/>
          <w:bCs/>
        </w:rPr>
        <w:t>IX</w:t>
      </w:r>
      <w:r>
        <w:rPr>
          <w:b/>
          <w:bCs/>
        </w:rPr>
        <w:t xml:space="preserve"> of the CD and Section XI of the A</w:t>
      </w:r>
      <w:r w:rsidR="00917316">
        <w:rPr>
          <w:b/>
          <w:bCs/>
        </w:rPr>
        <w:t>SA</w:t>
      </w:r>
      <w:r>
        <w:rPr>
          <w:b/>
          <w:bCs/>
        </w:rPr>
        <w:t xml:space="preserve">OC): </w:t>
      </w:r>
    </w:p>
    <w:p w14:paraId="3FBA1304" w14:textId="77777777" w:rsidR="00345066" w:rsidRDefault="00345066" w:rsidP="001D31D3">
      <w:pPr>
        <w:widowControl/>
      </w:pPr>
    </w:p>
    <w:p w14:paraId="60786142" w14:textId="3A89AA0E" w:rsidR="00345066" w:rsidRDefault="00345066" w:rsidP="001D31D3">
      <w:pPr>
        <w:widowControl/>
      </w:pPr>
      <w:r>
        <w:t>Notwithstanding any other provision of this [Consent Decree/</w:t>
      </w:r>
      <w:r w:rsidR="00917316">
        <w:t>Settlement Agreement</w:t>
      </w:r>
      <w:r>
        <w:t>], the United States reserves, and this [Consent Decree/</w:t>
      </w:r>
      <w:r w:rsidR="00917316">
        <w:t>Settlement Agreement</w:t>
      </w:r>
      <w:r>
        <w:t xml:space="preserve">] is without prejudice to, the right to reinstitute or reopen </w:t>
      </w:r>
      <w:r w:rsidR="00497782">
        <w:t>this action, or to commence a new action</w:t>
      </w:r>
      <w:r>
        <w:t xml:space="preserve"> against any individual [Settling ATP Defendant/ATP Respondent] seeking relief other than as provided in this [Consent Decree/</w:t>
      </w:r>
      <w:r w:rsidR="00497782">
        <w:t>Settlement Agreement</w:t>
      </w:r>
      <w:r>
        <w:t xml:space="preserve">], if the Financial Information </w:t>
      </w:r>
      <w:r w:rsidR="00497782">
        <w:t xml:space="preserve">[or the Insurance Information] </w:t>
      </w:r>
      <w:r>
        <w:t xml:space="preserve">provided by any such [Settling ATP Defendant/ATP Respondent], or the financial </w:t>
      </w:r>
      <w:r w:rsidR="00497782">
        <w:t xml:space="preserve">[insurance, or indemnity] </w:t>
      </w:r>
      <w:r>
        <w:t>certification made by any such [Settling ATP Defendant/ATP Respondent] in Section</w:t>
      </w:r>
      <w:r w:rsidR="00EC39BD">
        <w:t> </w:t>
      </w:r>
      <w:r>
        <w:t>[</w:t>
      </w:r>
      <w:r w:rsidR="00E13F31">
        <w:t>XII of the</w:t>
      </w:r>
      <w:r>
        <w:t xml:space="preserve"> CD/</w:t>
      </w:r>
      <w:r w:rsidR="00E13F31">
        <w:t>IX</w:t>
      </w:r>
      <w:r w:rsidR="00497782">
        <w:t xml:space="preserve"> </w:t>
      </w:r>
      <w:r>
        <w:t>of the AOC] is false or, in an</w:t>
      </w:r>
      <w:r w:rsidR="006A4156">
        <w:t>y</w:t>
      </w:r>
      <w:r>
        <w:t xml:space="preserve"> material respect, inaccurate.</w:t>
      </w:r>
    </w:p>
    <w:p w14:paraId="053814E5" w14:textId="77777777" w:rsidR="00345066" w:rsidRDefault="00345066" w:rsidP="001D31D3">
      <w:pPr>
        <w:widowControl/>
      </w:pPr>
    </w:p>
    <w:p w14:paraId="53864897" w14:textId="56019758" w:rsidR="00345066" w:rsidRDefault="00345066" w:rsidP="001D31D3">
      <w:pPr>
        <w:widowControl/>
      </w:pPr>
      <w:r>
        <w:rPr>
          <w:b/>
          <w:bCs/>
        </w:rPr>
        <w:t xml:space="preserve">Second, note that the cost overrun reopener (in Paragraph </w:t>
      </w:r>
      <w:r w:rsidR="00497782">
        <w:rPr>
          <w:b/>
          <w:bCs/>
        </w:rPr>
        <w:t>16</w:t>
      </w:r>
      <w:r>
        <w:rPr>
          <w:b/>
          <w:bCs/>
        </w:rPr>
        <w:t xml:space="preserve">(b) of the CD and </w:t>
      </w:r>
      <w:r w:rsidR="00497782">
        <w:rPr>
          <w:b/>
          <w:bCs/>
        </w:rPr>
        <w:t>29</w:t>
      </w:r>
      <w:r>
        <w:rPr>
          <w:b/>
          <w:bCs/>
        </w:rPr>
        <w:t>(b) of the A</w:t>
      </w:r>
      <w:r w:rsidR="00497782">
        <w:rPr>
          <w:b/>
          <w:bCs/>
        </w:rPr>
        <w:t>SA</w:t>
      </w:r>
      <w:r>
        <w:rPr>
          <w:b/>
          <w:bCs/>
        </w:rPr>
        <w:t xml:space="preserve">OC) may be excluded for ATP settlors even if they are unable to pay a premium in the percentage required, or by the due date required, of the non-ATP settlors, if the inability to pay the premium is supported by the ATP analysis. </w:t>
      </w:r>
    </w:p>
    <w:p w14:paraId="619BB9EC" w14:textId="4E4DB320" w:rsidR="00345066" w:rsidRDefault="00345066" w:rsidP="001D31D3">
      <w:pPr>
        <w:widowControl/>
      </w:pPr>
    </w:p>
    <w:p w14:paraId="2E38703F" w14:textId="15DDBCE0" w:rsidR="00345066" w:rsidRDefault="00345066" w:rsidP="001D5DFC">
      <w:pPr>
        <w:widowControl/>
        <w:rPr>
          <w:b/>
          <w:bCs/>
        </w:rPr>
      </w:pPr>
      <w:r>
        <w:rPr>
          <w:b/>
          <w:bCs/>
        </w:rPr>
        <w:t>9.</w:t>
      </w:r>
      <w:r w:rsidR="00D27F6B">
        <w:rPr>
          <w:b/>
          <w:bCs/>
        </w:rPr>
        <w:tab/>
      </w:r>
      <w:r>
        <w:rPr>
          <w:b/>
          <w:bCs/>
          <w:u w:val="single"/>
        </w:rPr>
        <w:t>INTEGRATION/APPENDICES</w:t>
      </w:r>
    </w:p>
    <w:p w14:paraId="4636EEBD" w14:textId="77777777" w:rsidR="00345066" w:rsidRDefault="00345066" w:rsidP="001D5DFC">
      <w:pPr>
        <w:widowControl/>
        <w:rPr>
          <w:b/>
          <w:bCs/>
        </w:rPr>
      </w:pPr>
    </w:p>
    <w:p w14:paraId="447197EF" w14:textId="4534E37F" w:rsidR="00345066" w:rsidRDefault="00345066" w:rsidP="001D5DFC">
      <w:pPr>
        <w:widowControl/>
      </w:pPr>
      <w:r>
        <w:rPr>
          <w:b/>
          <w:bCs/>
        </w:rPr>
        <w:t xml:space="preserve">In the Integration/Appendices provision (Section XIV, Paragraph </w:t>
      </w:r>
      <w:r w:rsidR="00497782">
        <w:rPr>
          <w:b/>
          <w:bCs/>
        </w:rPr>
        <w:t>29</w:t>
      </w:r>
      <w:r>
        <w:rPr>
          <w:b/>
          <w:bCs/>
        </w:rPr>
        <w:t xml:space="preserve">, of the CD and Section </w:t>
      </w:r>
      <w:r w:rsidR="00497782">
        <w:rPr>
          <w:b/>
          <w:bCs/>
        </w:rPr>
        <w:t>XIV</w:t>
      </w:r>
      <w:r>
        <w:rPr>
          <w:b/>
          <w:bCs/>
        </w:rPr>
        <w:t xml:space="preserve">, Paragraph </w:t>
      </w:r>
      <w:r w:rsidR="00497782">
        <w:rPr>
          <w:b/>
          <w:bCs/>
        </w:rPr>
        <w:t>40</w:t>
      </w:r>
      <w:r>
        <w:rPr>
          <w:b/>
          <w:bCs/>
        </w:rPr>
        <w:t>, of the A</w:t>
      </w:r>
      <w:r w:rsidR="00497782">
        <w:rPr>
          <w:b/>
          <w:bCs/>
        </w:rPr>
        <w:t>SA</w:t>
      </w:r>
      <w:r>
        <w:rPr>
          <w:b/>
          <w:bCs/>
        </w:rPr>
        <w:t>OC), include references to all additional appendices used, which may include:</w:t>
      </w:r>
    </w:p>
    <w:p w14:paraId="54DE8C68" w14:textId="77777777" w:rsidR="00345066" w:rsidRDefault="00345066" w:rsidP="001D5DFC">
      <w:pPr>
        <w:widowControl/>
      </w:pPr>
    </w:p>
    <w:p w14:paraId="78BD50CA" w14:textId="1908499E" w:rsidR="00345066" w:rsidRDefault="00345066" w:rsidP="001D31D3">
      <w:pPr>
        <w:pStyle w:val="ListParagraph"/>
        <w:widowControl/>
        <w:numPr>
          <w:ilvl w:val="0"/>
          <w:numId w:val="1"/>
        </w:numPr>
      </w:pPr>
      <w:r>
        <w:t>the list of financial documents submitted to EPA by each [Settling ATP Defendant/ATP Respondent];</w:t>
      </w:r>
    </w:p>
    <w:p w14:paraId="6628FF45" w14:textId="77777777" w:rsidR="00497782" w:rsidRDefault="00497782" w:rsidP="001D31D3">
      <w:pPr>
        <w:pStyle w:val="ListParagraph"/>
        <w:widowControl/>
        <w:ind w:left="1080"/>
      </w:pPr>
    </w:p>
    <w:p w14:paraId="19966E5E" w14:textId="7FEA9A28" w:rsidR="00497782" w:rsidRDefault="00497782" w:rsidP="001D31D3">
      <w:pPr>
        <w:pStyle w:val="ListParagraph"/>
        <w:widowControl/>
        <w:numPr>
          <w:ilvl w:val="0"/>
          <w:numId w:val="1"/>
        </w:numPr>
      </w:pPr>
      <w:r>
        <w:t>the list of insurance documents submitted to EPA by each [Settling ATP Defendant/ATP Respondent];</w:t>
      </w:r>
    </w:p>
    <w:p w14:paraId="11D13B83" w14:textId="77777777" w:rsidR="00345066" w:rsidRDefault="00345066" w:rsidP="001D31D3">
      <w:pPr>
        <w:widowControl/>
      </w:pPr>
    </w:p>
    <w:p w14:paraId="22E4DA3F" w14:textId="7F3A675C" w:rsidR="00345066" w:rsidRDefault="00345066" w:rsidP="001D31D3">
      <w:pPr>
        <w:pStyle w:val="ListParagraph"/>
        <w:widowControl/>
        <w:numPr>
          <w:ilvl w:val="0"/>
          <w:numId w:val="1"/>
        </w:numPr>
      </w:pPr>
      <w:r>
        <w:t>the list of [Settling ATP Defendants/ATP Respondents]; and</w:t>
      </w:r>
    </w:p>
    <w:p w14:paraId="40956B91" w14:textId="77777777" w:rsidR="00345066" w:rsidRDefault="00345066" w:rsidP="001D31D3">
      <w:pPr>
        <w:widowControl/>
      </w:pPr>
    </w:p>
    <w:p w14:paraId="3F4C7ADC" w14:textId="48AA3ABC" w:rsidR="00345066" w:rsidRDefault="00345066" w:rsidP="001D31D3">
      <w:pPr>
        <w:pStyle w:val="ListParagraph"/>
        <w:widowControl/>
        <w:numPr>
          <w:ilvl w:val="0"/>
          <w:numId w:val="1"/>
        </w:numPr>
      </w:pPr>
      <w:r>
        <w:t>the payment schedules for the [Settling ATP Defendants/ATP Respondents].</w:t>
      </w:r>
    </w:p>
    <w:p w14:paraId="741213F3" w14:textId="77777777" w:rsidR="00345066" w:rsidRDefault="00345066" w:rsidP="001D31D3">
      <w:pPr>
        <w:widowControl/>
        <w:ind w:firstLine="720"/>
      </w:pPr>
    </w:p>
    <w:p w14:paraId="2C4E0B92" w14:textId="7F1CCBBF" w:rsidR="00345066" w:rsidRDefault="00345066" w:rsidP="001D31D3">
      <w:pPr>
        <w:widowControl/>
      </w:pPr>
    </w:p>
    <w:sectPr w:rsidR="00345066" w:rsidSect="001D31D3">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15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75022" w14:textId="77777777" w:rsidR="00CD3424" w:rsidRDefault="00CD3424" w:rsidP="00345066">
      <w:r>
        <w:separator/>
      </w:r>
    </w:p>
  </w:endnote>
  <w:endnote w:type="continuationSeparator" w:id="0">
    <w:p w14:paraId="5E35F967" w14:textId="77777777" w:rsidR="00CD3424" w:rsidRDefault="00CD3424" w:rsidP="0034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45D51" w14:textId="77777777" w:rsidR="00682AC7" w:rsidRDefault="00682A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124976"/>
      <w:docPartObj>
        <w:docPartGallery w:val="Page Numbers (Bottom of Page)"/>
        <w:docPartUnique/>
      </w:docPartObj>
    </w:sdtPr>
    <w:sdtEndPr>
      <w:rPr>
        <w:noProof/>
      </w:rPr>
    </w:sdtEndPr>
    <w:sdtContent>
      <w:p w14:paraId="2A695A8C" w14:textId="10DD7043" w:rsidR="00D27F6B" w:rsidRDefault="00D27F6B" w:rsidP="001D31D3">
        <w:pPr>
          <w:pStyle w:val="Footer"/>
          <w:jc w:val="center"/>
        </w:pPr>
        <w:r>
          <w:fldChar w:fldCharType="begin"/>
        </w:r>
        <w:r>
          <w:instrText xml:space="preserve"> PAGE   \* MERGEFORMAT </w:instrText>
        </w:r>
        <w:r>
          <w:fldChar w:fldCharType="separate"/>
        </w:r>
        <w:r w:rsidR="00682AC7">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8CF9" w14:textId="77777777" w:rsidR="00682AC7" w:rsidRDefault="0068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A1B1D" w14:textId="77777777" w:rsidR="00CD3424" w:rsidRDefault="00CD3424" w:rsidP="00345066">
      <w:r>
        <w:separator/>
      </w:r>
    </w:p>
  </w:footnote>
  <w:footnote w:type="continuationSeparator" w:id="0">
    <w:p w14:paraId="22B27046" w14:textId="77777777" w:rsidR="00CD3424" w:rsidRDefault="00CD3424" w:rsidP="00345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3012" w14:textId="77777777" w:rsidR="00682AC7" w:rsidRDefault="00682A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E0C3" w14:textId="77777777" w:rsidR="00682AC7" w:rsidRDefault="00682A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CF036" w14:textId="77777777" w:rsidR="00682AC7" w:rsidRDefault="00682A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C05B5"/>
    <w:multiLevelType w:val="hybridMultilevel"/>
    <w:tmpl w:val="9B907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16E9C"/>
    <w:multiLevelType w:val="hybridMultilevel"/>
    <w:tmpl w:val="3DEE442E"/>
    <w:lvl w:ilvl="0" w:tplc="C618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55762B"/>
    <w:multiLevelType w:val="hybridMultilevel"/>
    <w:tmpl w:val="15B28B6C"/>
    <w:lvl w:ilvl="0" w:tplc="EF484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66"/>
    <w:rsid w:val="000143C2"/>
    <w:rsid w:val="00020C12"/>
    <w:rsid w:val="000775A7"/>
    <w:rsid w:val="00091C63"/>
    <w:rsid w:val="000A5753"/>
    <w:rsid w:val="000F0F24"/>
    <w:rsid w:val="00166423"/>
    <w:rsid w:val="00171E0F"/>
    <w:rsid w:val="001D31D3"/>
    <w:rsid w:val="001D5DFC"/>
    <w:rsid w:val="001E6704"/>
    <w:rsid w:val="001E7859"/>
    <w:rsid w:val="0021581A"/>
    <w:rsid w:val="002176AE"/>
    <w:rsid w:val="00276B2C"/>
    <w:rsid w:val="00284EB6"/>
    <w:rsid w:val="002A308C"/>
    <w:rsid w:val="002B7FC1"/>
    <w:rsid w:val="002F32D0"/>
    <w:rsid w:val="003201B1"/>
    <w:rsid w:val="0033349D"/>
    <w:rsid w:val="0034343D"/>
    <w:rsid w:val="00345066"/>
    <w:rsid w:val="0035670D"/>
    <w:rsid w:val="00400F62"/>
    <w:rsid w:val="004033D6"/>
    <w:rsid w:val="0042200A"/>
    <w:rsid w:val="00445B24"/>
    <w:rsid w:val="00497782"/>
    <w:rsid w:val="004B6A15"/>
    <w:rsid w:val="005013D5"/>
    <w:rsid w:val="00513A4F"/>
    <w:rsid w:val="005236D7"/>
    <w:rsid w:val="00527DDC"/>
    <w:rsid w:val="00563239"/>
    <w:rsid w:val="00575BD0"/>
    <w:rsid w:val="00580943"/>
    <w:rsid w:val="00612F02"/>
    <w:rsid w:val="00664390"/>
    <w:rsid w:val="0066466B"/>
    <w:rsid w:val="00673D66"/>
    <w:rsid w:val="00682AC7"/>
    <w:rsid w:val="006A4156"/>
    <w:rsid w:val="006A649F"/>
    <w:rsid w:val="006C3CB6"/>
    <w:rsid w:val="007165B6"/>
    <w:rsid w:val="007410E3"/>
    <w:rsid w:val="00773FE4"/>
    <w:rsid w:val="007946C2"/>
    <w:rsid w:val="008074E0"/>
    <w:rsid w:val="00840461"/>
    <w:rsid w:val="00891E3B"/>
    <w:rsid w:val="008A6D6A"/>
    <w:rsid w:val="00917316"/>
    <w:rsid w:val="00924EE1"/>
    <w:rsid w:val="0095556F"/>
    <w:rsid w:val="009B3B25"/>
    <w:rsid w:val="009E142C"/>
    <w:rsid w:val="00A25D25"/>
    <w:rsid w:val="00A276F0"/>
    <w:rsid w:val="00A91CBA"/>
    <w:rsid w:val="00AA125E"/>
    <w:rsid w:val="00AB0D7F"/>
    <w:rsid w:val="00B902BE"/>
    <w:rsid w:val="00BC68EE"/>
    <w:rsid w:val="00BD13DF"/>
    <w:rsid w:val="00C319A5"/>
    <w:rsid w:val="00C3392A"/>
    <w:rsid w:val="00C4224D"/>
    <w:rsid w:val="00C46F3D"/>
    <w:rsid w:val="00C75C49"/>
    <w:rsid w:val="00CA2CD5"/>
    <w:rsid w:val="00CD3424"/>
    <w:rsid w:val="00D017D6"/>
    <w:rsid w:val="00D25B1C"/>
    <w:rsid w:val="00D27E16"/>
    <w:rsid w:val="00D27F6B"/>
    <w:rsid w:val="00D339E3"/>
    <w:rsid w:val="00D50909"/>
    <w:rsid w:val="00DD11FD"/>
    <w:rsid w:val="00DD72AE"/>
    <w:rsid w:val="00DE5FB0"/>
    <w:rsid w:val="00DF11E0"/>
    <w:rsid w:val="00E13F31"/>
    <w:rsid w:val="00E20DF3"/>
    <w:rsid w:val="00E7685C"/>
    <w:rsid w:val="00E81F25"/>
    <w:rsid w:val="00EC39BD"/>
    <w:rsid w:val="00F832C1"/>
    <w:rsid w:val="00FC6C85"/>
    <w:rsid w:val="00FF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81E1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673D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D66"/>
    <w:rPr>
      <w:rFonts w:ascii="Segoe UI" w:hAnsi="Segoe UI" w:cs="Segoe UI"/>
      <w:sz w:val="18"/>
      <w:szCs w:val="18"/>
    </w:rPr>
  </w:style>
  <w:style w:type="character" w:styleId="CommentReference">
    <w:name w:val="annotation reference"/>
    <w:basedOn w:val="DefaultParagraphFont"/>
    <w:uiPriority w:val="99"/>
    <w:semiHidden/>
    <w:unhideWhenUsed/>
    <w:rsid w:val="00673D66"/>
    <w:rPr>
      <w:sz w:val="16"/>
      <w:szCs w:val="16"/>
    </w:rPr>
  </w:style>
  <w:style w:type="paragraph" w:styleId="CommentText">
    <w:name w:val="annotation text"/>
    <w:basedOn w:val="Normal"/>
    <w:link w:val="CommentTextChar"/>
    <w:uiPriority w:val="99"/>
    <w:semiHidden/>
    <w:unhideWhenUsed/>
    <w:rsid w:val="00673D66"/>
    <w:rPr>
      <w:sz w:val="20"/>
      <w:szCs w:val="20"/>
    </w:rPr>
  </w:style>
  <w:style w:type="character" w:customStyle="1" w:styleId="CommentTextChar">
    <w:name w:val="Comment Text Char"/>
    <w:basedOn w:val="DefaultParagraphFont"/>
    <w:link w:val="CommentText"/>
    <w:uiPriority w:val="99"/>
    <w:semiHidden/>
    <w:rsid w:val="00673D6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3D66"/>
    <w:rPr>
      <w:b/>
      <w:bCs/>
    </w:rPr>
  </w:style>
  <w:style w:type="character" w:customStyle="1" w:styleId="CommentSubjectChar">
    <w:name w:val="Comment Subject Char"/>
    <w:basedOn w:val="CommentTextChar"/>
    <w:link w:val="CommentSubject"/>
    <w:uiPriority w:val="99"/>
    <w:semiHidden/>
    <w:rsid w:val="00673D66"/>
    <w:rPr>
      <w:rFonts w:ascii="Times New Roman" w:hAnsi="Times New Roman" w:cs="Times New Roman"/>
      <w:b/>
      <w:bCs/>
      <w:sz w:val="20"/>
      <w:szCs w:val="20"/>
    </w:rPr>
  </w:style>
  <w:style w:type="paragraph" w:styleId="ListParagraph">
    <w:name w:val="List Paragraph"/>
    <w:basedOn w:val="Normal"/>
    <w:uiPriority w:val="34"/>
    <w:qFormat/>
    <w:rsid w:val="00497782"/>
    <w:pPr>
      <w:ind w:left="720"/>
      <w:contextualSpacing/>
    </w:pPr>
  </w:style>
  <w:style w:type="character" w:styleId="Hyperlink">
    <w:name w:val="Hyperlink"/>
    <w:basedOn w:val="DefaultParagraphFont"/>
    <w:uiPriority w:val="99"/>
    <w:unhideWhenUsed/>
    <w:rsid w:val="00FC6C85"/>
    <w:rPr>
      <w:color w:val="0563C1" w:themeColor="hyperlink"/>
      <w:u w:val="single"/>
    </w:rPr>
  </w:style>
  <w:style w:type="paragraph" w:styleId="Header">
    <w:name w:val="header"/>
    <w:basedOn w:val="Normal"/>
    <w:link w:val="HeaderChar"/>
    <w:uiPriority w:val="99"/>
    <w:unhideWhenUsed/>
    <w:rsid w:val="00EC39BD"/>
    <w:pPr>
      <w:tabs>
        <w:tab w:val="center" w:pos="4680"/>
        <w:tab w:val="right" w:pos="9360"/>
      </w:tabs>
    </w:pPr>
  </w:style>
  <w:style w:type="character" w:customStyle="1" w:styleId="HeaderChar">
    <w:name w:val="Header Char"/>
    <w:basedOn w:val="DefaultParagraphFont"/>
    <w:link w:val="Header"/>
    <w:uiPriority w:val="99"/>
    <w:rsid w:val="00EC39BD"/>
    <w:rPr>
      <w:rFonts w:ascii="Times New Roman" w:hAnsi="Times New Roman" w:cs="Times New Roman"/>
      <w:sz w:val="24"/>
      <w:szCs w:val="24"/>
    </w:rPr>
  </w:style>
  <w:style w:type="paragraph" w:styleId="Footer">
    <w:name w:val="footer"/>
    <w:basedOn w:val="Normal"/>
    <w:link w:val="FooterChar"/>
    <w:uiPriority w:val="99"/>
    <w:unhideWhenUsed/>
    <w:rsid w:val="00EC39BD"/>
    <w:pPr>
      <w:tabs>
        <w:tab w:val="center" w:pos="4680"/>
        <w:tab w:val="right" w:pos="9360"/>
      </w:tabs>
    </w:pPr>
  </w:style>
  <w:style w:type="character" w:customStyle="1" w:styleId="FooterChar">
    <w:name w:val="Footer Char"/>
    <w:basedOn w:val="DefaultParagraphFont"/>
    <w:link w:val="Footer"/>
    <w:uiPriority w:val="99"/>
    <w:rsid w:val="00EC39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2.epa.gov/enforcement/guidance-superfund-ability-pay-determination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2943</Words>
  <Characters>16779</Characters>
  <Application>Microsoft Office Word</Application>
  <DocSecurity>0</DocSecurity>
  <Lines>139</Lines>
  <Paragraphs>39</Paragraphs>
  <ScaleCrop>false</ScaleCrop>
  <Company/>
  <LinksUpToDate>false</LinksUpToDate>
  <CharactersWithSpaces>19683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2014-09-25T14:36:00Z</dcterms:created>
  <dcterms:modified xsi:type="dcterms:W3CDTF">2014-09-25T14:36:00Z</dcterms:modified>
</cp:coreProperties>
</file>