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404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*** Note:  This checklist is an electronic version of the original document found in the 1986 State Consolidated RCRA Authorization Manual (SCRAM).  The checklist has not undergone any fo</w:t>
      </w:r>
      <w:r>
        <w:rPr>
          <w:rFonts w:ascii="Times New Roman" w:hAnsi="Times New Roman" w:cs="Times New Roman"/>
          <w:b/>
          <w:bCs/>
          <w:sz w:val="24"/>
          <w:szCs w:val="24"/>
        </w:rPr>
        <w:t>rmal legal review since publication in the SCRAM.</w:t>
      </w:r>
    </w:p>
    <w:p w:rsidR="00000000" w:rsidRDefault="0084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</w:t>
      </w:r>
    </w:p>
    <w:p w:rsidR="00000000" w:rsidRDefault="008404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8404D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000000" w:rsidRDefault="008404D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00000" w:rsidRDefault="008404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OSWER DIRECTIVE 9541.00</w:t>
      </w:r>
      <w:r>
        <w:rPr>
          <w:rFonts w:ascii="Times New Roman" w:hAnsi="Times New Roman" w:cs="Times New Roman"/>
          <w:b/>
          <w:bCs/>
          <w:sz w:val="22"/>
          <w:szCs w:val="22"/>
        </w:rPr>
        <w:t>-1</w:t>
      </w:r>
    </w:p>
    <w:p w:rsidR="00000000" w:rsidRDefault="008404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APPENDIX D</w:t>
      </w:r>
    </w:p>
    <w:p w:rsidR="00000000" w:rsidRDefault="008404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[STATE] REVISION CHECKLIST FOR</w:t>
      </w:r>
    </w:p>
    <w:p w:rsidR="00000000" w:rsidRDefault="008404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SECTION 3006(f):  AVAILABILITY OF INFORMATION </w:t>
      </w:r>
    </w:p>
    <w:p w:rsidR="00000000" w:rsidRDefault="008404D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November 8, 1984</w:t>
      </w:r>
    </w:p>
    <w:p w:rsidR="00000000" w:rsidRDefault="008404D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(Non-HSWA Cluster I) </w:t>
      </w:r>
    </w:p>
    <w:p w:rsidR="00000000" w:rsidRDefault="008404D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00000" w:rsidRDefault="008404DC">
      <w:pPr>
        <w:rPr>
          <w:sz w:val="24"/>
          <w:szCs w:val="24"/>
        </w:rPr>
        <w:sectPr w:rsidR="00000000">
          <w:headerReference w:type="default" r:id="rId7"/>
          <w:footerReference w:type="even" r:id="rId8"/>
          <w:footerReference w:type="default" r:id="rId9"/>
          <w:pgSz w:w="15840" w:h="12240" w:orient="landscape"/>
          <w:pgMar w:top="720" w:right="1008" w:bottom="720" w:left="1008" w:header="720" w:footer="1440" w:gutter="0"/>
          <w:cols w:space="720"/>
          <w:noEndnote/>
          <w:titlePg/>
        </w:sectPr>
      </w:pPr>
    </w:p>
    <w:p w:rsidR="00000000" w:rsidRDefault="008404DC">
      <w:pPr>
        <w:rPr>
          <w:sz w:val="24"/>
          <w:szCs w:val="24"/>
        </w:rPr>
        <w:sectPr w:rsidR="00000000">
          <w:headerReference w:type="default" r:id="rId10"/>
          <w:footerReference w:type="default" r:id="rId11"/>
          <w:type w:val="continuous"/>
          <w:pgSz w:w="15840" w:h="12240" w:orient="landscape"/>
          <w:pgMar w:top="720" w:right="1008" w:bottom="720" w:left="1008" w:header="720" w:footer="1440" w:gutter="0"/>
          <w:cols w:space="720"/>
          <w:noEndnote/>
          <w:titlePg/>
        </w:sectPr>
      </w:pPr>
    </w:p>
    <w:tbl>
      <w:tblPr>
        <w:tblW w:w="0" w:type="auto"/>
        <w:tblInd w:w="-7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4"/>
        <w:gridCol w:w="1656"/>
        <w:gridCol w:w="2790"/>
        <w:gridCol w:w="2250"/>
        <w:gridCol w:w="3896"/>
      </w:tblGrid>
      <w:tr w:rsidR="005909CB" w:rsidTr="005909C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74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00000" w:rsidRDefault="008404D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Titles of Legislation: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000000" w:rsidRDefault="008404DC" w:rsidP="005909CB">
            <w:pPr>
              <w:pStyle w:val="1AutoList1"/>
              <w:numPr>
                <w:ilvl w:val="0"/>
                <w:numId w:val="1"/>
              </w:numPr>
              <w:tabs>
                <w:tab w:val="left" w:pos="1440"/>
                <w:tab w:val="left" w:pos="216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0000" w:rsidRDefault="008404DC" w:rsidP="005909CB">
            <w:pPr>
              <w:pStyle w:val="1AutoList1"/>
              <w:numPr>
                <w:ilvl w:val="0"/>
                <w:numId w:val="1"/>
              </w:numPr>
              <w:tabs>
                <w:tab w:val="left" w:pos="1440"/>
                <w:tab w:val="left" w:pos="216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000000" w:rsidRDefault="008404DC" w:rsidP="005909CB">
            <w:pPr>
              <w:pStyle w:val="1AutoList1"/>
              <w:numPr>
                <w:ilvl w:val="0"/>
                <w:numId w:val="1"/>
              </w:numPr>
              <w:tabs>
                <w:tab w:val="left" w:pos="1440"/>
                <w:tab w:val="left" w:pos="216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000000" w:rsidRDefault="008404DC" w:rsidP="005909CB">
            <w:pPr>
              <w:pStyle w:val="1AutoList1"/>
              <w:numPr>
                <w:ilvl w:val="0"/>
                <w:numId w:val="1"/>
              </w:numPr>
              <w:tabs>
                <w:tab w:val="left" w:pos="1440"/>
                <w:tab w:val="left" w:pos="216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000000" w:rsidRDefault="008404DC" w:rsidP="005909CB">
            <w:pPr>
              <w:pStyle w:val="1AutoList1"/>
              <w:numPr>
                <w:ilvl w:val="0"/>
                <w:numId w:val="1"/>
              </w:numPr>
              <w:tabs>
                <w:tab w:val="left" w:pos="1440"/>
                <w:tab w:val="left" w:pos="216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0000" w:rsidRDefault="008404DC" w:rsidP="005909CB">
            <w:pPr>
              <w:pStyle w:val="1AutoList1"/>
              <w:numPr>
                <w:ilvl w:val="0"/>
                <w:numId w:val="1"/>
              </w:numPr>
              <w:tabs>
                <w:tab w:val="left" w:pos="1440"/>
                <w:tab w:val="left" w:pos="2160"/>
              </w:tabs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 Submitted: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</w:t>
            </w: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5" w:color="auto" w:fill="FFFFFF"/>
          </w:tcPr>
          <w:p w:rsidR="00000000" w:rsidRDefault="008404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FEDERAL REQUIREMENT</w:t>
            </w:r>
          </w:p>
        </w:tc>
        <w:tc>
          <w:tcPr>
            <w:tcW w:w="1656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</w:tcPr>
          <w:p w:rsidR="00000000" w:rsidRDefault="008404D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RCRA CITATION</w:t>
            </w:r>
          </w:p>
          <w:p w:rsidR="00000000" w:rsidRDefault="008404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 CFR</w:t>
            </w:r>
          </w:p>
        </w:tc>
        <w:tc>
          <w:tcPr>
            <w:tcW w:w="279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</w:tcPr>
          <w:p w:rsidR="00000000" w:rsidRDefault="008404D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STATE AUTHORITY</w:t>
            </w:r>
          </w:p>
          <w:p w:rsidR="00000000" w:rsidRDefault="008404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Statute/Regulation/MOA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</w:tcPr>
          <w:p w:rsidR="00000000" w:rsidRDefault="008404D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REQUIRED</w:t>
            </w:r>
          </w:p>
          <w:p w:rsidR="00000000" w:rsidRDefault="008404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AUTHORITY</w:t>
            </w:r>
          </w:p>
        </w:tc>
        <w:tc>
          <w:tcPr>
            <w:tcW w:w="3896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</w:tcPr>
          <w:p w:rsidR="00000000" w:rsidRDefault="008404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COMMENT</w:t>
            </w:r>
          </w:p>
        </w:tc>
      </w:tr>
      <w:tr w:rsidR="005909CB" w:rsidTr="005909C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388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1.  PROCEDURAL REQUIREMENTS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55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 xml:space="preserve">Scope of records subject to State requests as broad as scope of records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defined by EPA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2.100(b)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Statute/Regulation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73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Certain materials routinely available without formal FOI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2.104(b)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MOA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1.3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Reasonable effort to assist requestor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2.109(b)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MOA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24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1.4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 xml:space="preserve">Respond to request within 20 days.  Failure to do so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is basis for judicial or administrative review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2.112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Statute/Regulation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96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1.5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If request is denied, provide basis for denial and notice of judicial/administrative appeal procedures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2.113(f) and</w:t>
            </w:r>
          </w:p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2.114(a)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MOA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55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1.6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 xml:space="preserve">Denial of judicial appeal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because of untimely filing, provide 30 days to file timely appeal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2.114(b)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Statute/Regulation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14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1.7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Decision on administrative appeal within 30 days or by next meeting of appellate body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2.117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Statute/Regulation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14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1.8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 xml:space="preserve">Failure to decide on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appeal by deadline constitutes final agency action and requestor's right to judicial review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 U.S.C. 552 (a)(6)(C)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Statute/Regulation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14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1.9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Opportunity for judicial review of any final agency action denying the request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2.116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Statute/Regulation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32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1.10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Consider waiver of fees for copies of information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2.120(d)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MOA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77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1.11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Attorney's fees and expense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 U.S.C. 552(a)(4)(E)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Statute/Regulation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5909CB" w:rsidTr="005909C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388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2.  SUBSTANTIVE REQUIREMENTS</w:t>
            </w:r>
          </w:p>
        </w:tc>
      </w:tr>
      <w:tr w:rsidR="005909CB" w:rsidTr="005909C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7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Based on statute, regulation or case law, the Attorney General must certify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that: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2.1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All records are available to the public unless exempt from disclosure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See 5 U.S.C. 552 for exemptions (See 40 CFR 2.118)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Attorney General General Statement, as part of application for authorization for §3006(f)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77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 xml:space="preserve">All non-exempt records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available to the public regardless of whether any justification or need for records shown by requestor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See 2.1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Attorney General General Statement, as part of application for authorization for §3006(f)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18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2.3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Same types of records available as EPA provides</w:t>
            </w:r>
            <w:r w:rsidRPr="005909CB">
              <w:rPr>
                <w:rStyle w:val="FootnoteReference"/>
              </w:rPr>
              <w:footnoteReference w:id="1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See 2.1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Attorney General General State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ment, as part of application for authorization for §3006(f)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96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2.4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State agrees to fullest possible disclosure of records to public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§3006(f)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MOA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5909CB" w:rsidTr="005909C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388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3.  CONFIDENTIAL BUSINESS INFORMATION (CBI)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18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3.1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 xml:space="preserve">CBI not defined any more broadly than 40 CFR Part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2, Subpart A and B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2.201(e) and 2.208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Statute/Regulation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3.2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If no claim of CBI at first opportunity, release information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270.12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Statute/Regulation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96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3.3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 xml:space="preserve">If CBI claim cannot be resolved within 20 days of request, requestor must be notified of claim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within 20 days and told that State denied claim so as to resolve CBI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2.204(d)(1)(ii)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MOA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5909CB" w:rsidTr="005909C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388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4.  OVERSIGHT OF STATE PROGRAM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59"/>
        </w:trPr>
        <w:tc>
          <w:tcPr>
            <w:tcW w:w="32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4.1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>State must keep log or file of denials of requests available for inspection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MOA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5"/>
        </w:trPr>
        <w:tc>
          <w:tcPr>
            <w:tcW w:w="3294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4.2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  <w:t xml:space="preserve">State informs EPA of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proposed modification of its basic statutory/regulatory authority, forms, procedures, or priorities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271.21(a)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MOA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000000" w:rsidRDefault="008404DC">
            <w:pPr>
              <w:rPr>
                <w:sz w:val="24"/>
                <w:szCs w:val="24"/>
              </w:rPr>
            </w:pPr>
          </w:p>
        </w:tc>
      </w:tr>
    </w:tbl>
    <w:p w:rsidR="008404DC" w:rsidRDefault="008404DC"/>
    <w:sectPr w:rsidR="008404DC">
      <w:headerReference w:type="default" r:id="rId12"/>
      <w:footerReference w:type="default" r:id="rId13"/>
      <w:type w:val="continuous"/>
      <w:pgSz w:w="15840" w:h="12240" w:orient="landscape"/>
      <w:pgMar w:top="720" w:right="1008" w:bottom="720" w:left="1008" w:header="72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DC" w:rsidRDefault="008404DC">
      <w:r>
        <w:separator/>
      </w:r>
    </w:p>
  </w:endnote>
  <w:endnote w:type="continuationSeparator" w:id="0">
    <w:p w:rsidR="008404DC" w:rsidRDefault="0084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04DC">
    <w:pPr>
      <w:pStyle w:val="Footer"/>
      <w:framePr w:w="576" w:wrap="around" w:vAnchor="page" w:hAnchor="page" w:x="91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000000" w:rsidRDefault="008404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04DC">
    <w:pPr>
      <w:pStyle w:val="Footer"/>
      <w:framePr w:w="576" w:wrap="around" w:vAnchor="page" w:hAnchor="page" w:x="91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000000" w:rsidRDefault="008404DC">
    <w:pPr>
      <w:jc w:val="right"/>
      <w:rPr>
        <w:rFonts w:ascii="Times" w:hAnsi="Times" w:cs="Times"/>
        <w:sz w:val="18"/>
        <w:szCs w:val="18"/>
      </w:rPr>
    </w:pPr>
    <w:r>
      <w:rPr>
        <w:rFonts w:ascii="Times" w:hAnsi="Times" w:cs="Times"/>
        <w:sz w:val="18"/>
        <w:szCs w:val="18"/>
      </w:rPr>
      <w:t>Continued. . .</w:t>
    </w:r>
  </w:p>
  <w:p w:rsidR="00000000" w:rsidRDefault="008404DC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>
      <w:rPr>
        <w:rFonts w:ascii="Times" w:hAnsi="Times" w:cs="Times"/>
        <w:sz w:val="18"/>
        <w:szCs w:val="18"/>
      </w:rPr>
      <w:t>ai</w:t>
    </w:r>
    <w:r>
      <w:rPr>
        <w:rFonts w:ascii="Times" w:hAnsi="Times" w:cs="Times"/>
        <w:sz w:val="18"/>
        <w:szCs w:val="18"/>
      </w:rPr>
      <w:noBreakHyphen/>
      <w:t>cl.wp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[Revised: 5/29/98][Printed: DATE \@ "M/d/yy"</w:t>
    </w:r>
    <w:r>
      <w:rPr>
        <w:sz w:val="24"/>
        <w:szCs w:val="24"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04DC">
    <w:pPr>
      <w:jc w:val="right"/>
      <w:rPr>
        <w:rFonts w:ascii="Times" w:hAnsi="Times" w:cs="Times"/>
        <w:sz w:val="18"/>
        <w:szCs w:val="18"/>
      </w:rPr>
    </w:pPr>
    <w:r>
      <w:rPr>
        <w:rFonts w:ascii="Times" w:hAnsi="Times" w:cs="Times"/>
        <w:sz w:val="18"/>
        <w:szCs w:val="18"/>
      </w:rPr>
      <w:t>Continued. . .</w:t>
    </w:r>
  </w:p>
  <w:p w:rsidR="00000000" w:rsidRDefault="008404DC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>
      <w:rPr>
        <w:rFonts w:ascii="Times" w:hAnsi="Times" w:cs="Times"/>
        <w:sz w:val="18"/>
        <w:szCs w:val="18"/>
      </w:rPr>
      <w:t>ai</w:t>
    </w:r>
    <w:r>
      <w:rPr>
        <w:rFonts w:ascii="Times" w:hAnsi="Times" w:cs="Times"/>
        <w:sz w:val="18"/>
        <w:szCs w:val="18"/>
      </w:rPr>
      <w:noBreakHyphen/>
      <w:t>cl.wp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[Revised: 5/29/98][Printed: DATE \@ "M/d/yy"</w:t>
    </w:r>
    <w:r>
      <w:rPr>
        <w:sz w:val="24"/>
        <w:szCs w:val="24"/>
      </w:rPr>
      <w:t>]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04DC">
    <w:pPr>
      <w:jc w:val="right"/>
      <w:rPr>
        <w:rFonts w:ascii="Times" w:hAnsi="Times" w:cs="Times"/>
        <w:sz w:val="18"/>
        <w:szCs w:val="18"/>
      </w:rPr>
    </w:pPr>
    <w:r>
      <w:rPr>
        <w:rFonts w:ascii="Times" w:hAnsi="Times" w:cs="Times"/>
        <w:sz w:val="18"/>
        <w:szCs w:val="18"/>
      </w:rPr>
      <w:t>Continued. . .</w:t>
    </w:r>
  </w:p>
  <w:p w:rsidR="00000000" w:rsidRDefault="008404DC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>
      <w:rPr>
        <w:rFonts w:ascii="Times" w:hAnsi="Times" w:cs="Times"/>
        <w:sz w:val="18"/>
        <w:szCs w:val="18"/>
      </w:rPr>
      <w:t>ai</w:t>
    </w:r>
    <w:r>
      <w:rPr>
        <w:rFonts w:ascii="Times" w:hAnsi="Times" w:cs="Times"/>
        <w:sz w:val="18"/>
        <w:szCs w:val="18"/>
      </w:rPr>
      <w:noBreakHyphen/>
      <w:t>cl.wp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[Revised: 5/29/98][Printed: DATE \@ "M/d/yy"</w:t>
    </w:r>
    <w:r>
      <w:rPr>
        <w:sz w:val="24"/>
        <w:szCs w:val="24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DC" w:rsidRDefault="008404DC">
      <w:r>
        <w:separator/>
      </w:r>
    </w:p>
  </w:footnote>
  <w:footnote w:type="continuationSeparator" w:id="0">
    <w:p w:rsidR="008404DC" w:rsidRDefault="008404DC">
      <w:r>
        <w:continuationSeparator/>
      </w:r>
    </w:p>
  </w:footnote>
  <w:footnote w:id="1">
    <w:p w:rsidR="00000000" w:rsidRDefault="008404DC">
      <w:pPr>
        <w:spacing w:after="240"/>
        <w:rPr>
          <w:sz w:val="24"/>
          <w:szCs w:val="24"/>
        </w:rPr>
      </w:pPr>
      <w:r w:rsidRPr="005909CB">
        <w:rPr>
          <w:rStyle w:val="FootnoteReference"/>
        </w:rPr>
        <w:footnoteRef/>
      </w:r>
      <w:r>
        <w:rPr>
          <w:rFonts w:ascii="Times New Roman" w:hAnsi="Times New Roman" w:cs="Times New Roman"/>
          <w:sz w:val="22"/>
          <w:szCs w:val="22"/>
        </w:rPr>
        <w:t>Examples of records subject to release: Permit applications and modifications; Biennial reports; Closure plans; Notification of a facility closure; Contingency plan incident reports; Delisting petitions and other petitions for variances or waivers; Financ</w:t>
      </w:r>
      <w:r>
        <w:rPr>
          <w:rFonts w:ascii="Times New Roman" w:hAnsi="Times New Roman" w:cs="Times New Roman"/>
          <w:sz w:val="22"/>
          <w:szCs w:val="22"/>
        </w:rPr>
        <w:t>ial responsibility instruments; Environmental monitoring data (exemption 5 U.S.C. 522(b)(9) of the FOIA generally applies to such wells as oil and gas, rather than to ground-water wells); Transporter spills reports, International shipment reports; Manifest</w:t>
      </w:r>
      <w:r>
        <w:rPr>
          <w:rFonts w:ascii="Times New Roman" w:hAnsi="Times New Roman" w:cs="Times New Roman"/>
          <w:sz w:val="22"/>
          <w:szCs w:val="22"/>
        </w:rPr>
        <w:t xml:space="preserve"> exception; discrepancy and unmanifested waste reports; EPA facility identification numbers; General correspondence with facility; Enforcement orders; Inspection reports; and Corrective action investigation results.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04DC">
    <w:pPr>
      <w:jc w:val="right"/>
      <w:rPr>
        <w:rFonts w:ascii="Times New Roman" w:hAnsi="Times New Roman" w:cs="Times New Roman"/>
        <w:sz w:val="26"/>
        <w:szCs w:val="26"/>
      </w:rPr>
    </w:pPr>
  </w:p>
  <w:p w:rsidR="00000000" w:rsidRDefault="008404DC">
    <w:pPr>
      <w:rPr>
        <w:rFonts w:ascii="Times New Roman" w:hAnsi="Times New Roman" w:cs="Times New Roman"/>
        <w:sz w:val="26"/>
        <w:szCs w:val="26"/>
      </w:rPr>
    </w:pP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OSWER DIRECTIVE 9541.00-1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APPENDIX D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[STATE] REVISION CHECKLIST FOR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SECTION 3006(f):  AVAILABILITY OF INFORMATION (cont’d)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November 8, 1984</w:t>
    </w:r>
  </w:p>
  <w:p w:rsidR="00000000" w:rsidRDefault="008404DC">
    <w:pPr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Non-HSWA Cluster I</w:t>
    </w:r>
    <w:r>
      <w:rPr>
        <w:rFonts w:ascii="Times New Roman" w:hAnsi="Times New Roman" w:cs="Times New Roman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04DC">
    <w:pPr>
      <w:jc w:val="right"/>
      <w:rPr>
        <w:rFonts w:ascii="Times New Roman" w:hAnsi="Times New Roman" w:cs="Times New Roman"/>
        <w:sz w:val="26"/>
        <w:szCs w:val="26"/>
      </w:rPr>
    </w:pPr>
  </w:p>
  <w:p w:rsidR="00000000" w:rsidRDefault="008404DC">
    <w:pPr>
      <w:rPr>
        <w:rFonts w:ascii="Times New Roman" w:hAnsi="Times New Roman" w:cs="Times New Roman"/>
        <w:sz w:val="26"/>
        <w:szCs w:val="26"/>
      </w:rPr>
    </w:pP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OSWER DIRECTIVE 9541.00-1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APPENDIX D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[STATE] REVISION CHECKLIST FOR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SECTION 3006(f):  AVAILABILITY O</w:t>
    </w:r>
    <w:r>
      <w:rPr>
        <w:rFonts w:ascii="Times New Roman" w:hAnsi="Times New Roman" w:cs="Times New Roman"/>
        <w:b/>
        <w:bCs/>
        <w:sz w:val="22"/>
        <w:szCs w:val="22"/>
      </w:rPr>
      <w:t>F INFORMATION (cont’d)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November 8, 1984</w:t>
    </w:r>
  </w:p>
  <w:p w:rsidR="00000000" w:rsidRDefault="008404DC">
    <w:pPr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Non-HSWA Cluster I</w:t>
    </w:r>
    <w:r>
      <w:rPr>
        <w:rFonts w:ascii="Times New Roman" w:hAnsi="Times New Roman" w:cs="Times New Roman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04DC">
    <w:pPr>
      <w:jc w:val="right"/>
      <w:rPr>
        <w:rFonts w:ascii="Times New Roman" w:hAnsi="Times New Roman" w:cs="Times New Roman"/>
        <w:sz w:val="26"/>
        <w:szCs w:val="26"/>
      </w:rPr>
    </w:pPr>
  </w:p>
  <w:p w:rsidR="00000000" w:rsidRDefault="008404DC">
    <w:pPr>
      <w:rPr>
        <w:rFonts w:ascii="Times New Roman" w:hAnsi="Times New Roman" w:cs="Times New Roman"/>
        <w:sz w:val="26"/>
        <w:szCs w:val="26"/>
      </w:rPr>
    </w:pP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OSWER DIRECTIVE 9541.00-1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APPENDIX D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[STATE] REVISION CHECKLIST FOR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SECTION 3006(f):  AVAILABILITY O</w:t>
    </w:r>
    <w:r>
      <w:rPr>
        <w:rFonts w:ascii="Times New Roman" w:hAnsi="Times New Roman" w:cs="Times New Roman"/>
        <w:b/>
        <w:bCs/>
        <w:sz w:val="22"/>
        <w:szCs w:val="22"/>
      </w:rPr>
      <w:t>F INFORMATION (cont’d)</w:t>
    </w:r>
  </w:p>
  <w:p w:rsidR="00000000" w:rsidRDefault="008404DC">
    <w:pPr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November 8, 1984</w:t>
    </w:r>
  </w:p>
  <w:p w:rsidR="00000000" w:rsidRDefault="008404DC">
    <w:pPr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Non-HSWA Cluster I</w:t>
    </w:r>
    <w:r>
      <w:rPr>
        <w:rFonts w:ascii="Times New Roman" w:hAnsi="Times New Roman" w:cs="Times New Roman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E1689"/>
    <w:multiLevelType w:val="multilevel"/>
    <w:tmpl w:val="67A45602"/>
    <w:lvl w:ilvl="0">
      <w:start w:val="4"/>
      <w:numFmt w:val="decimal"/>
      <w:lvlText w:val="%1."/>
      <w:legacy w:legacy="1" w:legacySpace="0" w:legacyIndent="2802"/>
      <w:lvlJc w:val="left"/>
      <w:pPr>
        <w:ind w:left="2802" w:hanging="2802"/>
      </w:pPr>
    </w:lvl>
    <w:lvl w:ilvl="1">
      <w:start w:val="1"/>
      <w:numFmt w:val="decimal"/>
      <w:lvlText w:val="%2."/>
      <w:legacy w:legacy="1" w:legacySpace="0" w:legacyIndent="2802"/>
      <w:lvlJc w:val="left"/>
      <w:pPr>
        <w:ind w:left="5604" w:hanging="2802"/>
      </w:pPr>
    </w:lvl>
    <w:lvl w:ilvl="2">
      <w:start w:val="1"/>
      <w:numFmt w:val="decimal"/>
      <w:lvlText w:val="%3."/>
      <w:legacy w:legacy="1" w:legacySpace="0" w:legacyIndent="2802"/>
      <w:lvlJc w:val="left"/>
      <w:pPr>
        <w:ind w:left="8406" w:hanging="2802"/>
      </w:pPr>
    </w:lvl>
    <w:lvl w:ilvl="3">
      <w:start w:val="1"/>
      <w:numFmt w:val="decimal"/>
      <w:lvlText w:val="%4."/>
      <w:legacy w:legacy="1" w:legacySpace="0" w:legacyIndent="2802"/>
      <w:lvlJc w:val="left"/>
      <w:pPr>
        <w:ind w:left="11208" w:hanging="2802"/>
      </w:pPr>
    </w:lvl>
    <w:lvl w:ilvl="4">
      <w:start w:val="1"/>
      <w:numFmt w:val="decimal"/>
      <w:lvlText w:val="%5."/>
      <w:legacy w:legacy="1" w:legacySpace="0" w:legacyIndent="2802"/>
      <w:lvlJc w:val="left"/>
      <w:pPr>
        <w:ind w:left="14010" w:hanging="2802"/>
      </w:pPr>
    </w:lvl>
    <w:lvl w:ilvl="5">
      <w:start w:val="1"/>
      <w:numFmt w:val="decimal"/>
      <w:lvlText w:val="%6."/>
      <w:legacy w:legacy="1" w:legacySpace="0" w:legacyIndent="2802"/>
      <w:lvlJc w:val="left"/>
      <w:pPr>
        <w:ind w:left="16812" w:hanging="2802"/>
      </w:pPr>
    </w:lvl>
    <w:lvl w:ilvl="6">
      <w:start w:val="1"/>
      <w:numFmt w:val="decimal"/>
      <w:lvlText w:val="%7."/>
      <w:legacy w:legacy="1" w:legacySpace="0" w:legacyIndent="2802"/>
      <w:lvlJc w:val="left"/>
      <w:pPr>
        <w:ind w:left="19614" w:hanging="2802"/>
      </w:pPr>
    </w:lvl>
    <w:lvl w:ilvl="7">
      <w:start w:val="1"/>
      <w:numFmt w:val="decimal"/>
      <w:lvlText w:val="%8."/>
      <w:legacy w:legacy="1" w:legacySpace="0" w:legacyIndent="2802"/>
      <w:lvlJc w:val="left"/>
      <w:pPr>
        <w:ind w:left="22416" w:hanging="2802"/>
      </w:pPr>
    </w:lvl>
    <w:lvl w:ilvl="8">
      <w:start w:val="1"/>
      <w:numFmt w:val="lowerRoman"/>
      <w:lvlText w:val="%9"/>
      <w:legacy w:legacy="1" w:legacySpace="0" w:legacyIndent="2802"/>
      <w:lvlJc w:val="left"/>
      <w:pPr>
        <w:ind w:left="25218" w:hanging="28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B"/>
    <w:rsid w:val="005909CB"/>
    <w:rsid w:val="0084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B7E409-2E4E-4312-9DCC-54C2C1DE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" w:hAnsi="Courier"/>
      <w:sz w:val="24"/>
      <w:szCs w:val="24"/>
    </w:rPr>
  </w:style>
  <w:style w:type="paragraph" w:customStyle="1" w:styleId="2AutoList2">
    <w:name w:val="2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3AutoList2">
    <w:name w:val="3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4AutoList2">
    <w:name w:val="4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5AutoList2">
    <w:name w:val="5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6AutoList2">
    <w:name w:val="6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7AutoList2">
    <w:name w:val="7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8AutoList2">
    <w:name w:val="8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" w:hAnsi="Courier"/>
      <w:sz w:val="24"/>
      <w:szCs w:val="24"/>
    </w:rPr>
  </w:style>
  <w:style w:type="paragraph" w:customStyle="1" w:styleId="2AutoList1">
    <w:name w:val="2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3AutoList1">
    <w:name w:val="3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4AutoList1">
    <w:name w:val="4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5AutoList1">
    <w:name w:val="5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6AutoList1">
    <w:name w:val="6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7AutoList1">
    <w:name w:val="7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8AutoList1">
    <w:name w:val="8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ourier" w:hAnsi="Courier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5909CB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909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Haley, Jacqueline</dc:creator>
  <cp:keywords/>
  <dc:description/>
  <cp:lastModifiedBy>Haley, Jacqueline</cp:lastModifiedBy>
  <cp:revision>2</cp:revision>
  <dcterms:created xsi:type="dcterms:W3CDTF">2016-04-27T12:37:00Z</dcterms:created>
  <dcterms:modified xsi:type="dcterms:W3CDTF">2016-04-27T12:37:00Z</dcterms:modified>
</cp:coreProperties>
</file>