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D8541" w14:textId="77777777" w:rsidR="00AA2C06" w:rsidRPr="00AA2C06" w:rsidRDefault="00AA2C06" w:rsidP="00AA2C06">
      <w:pPr>
        <w:autoSpaceDE w:val="0"/>
        <w:autoSpaceDN w:val="0"/>
        <w:adjustRightInd w:val="0"/>
        <w:spacing w:before="0" w:after="0"/>
        <w:rPr>
          <w:rFonts w:eastAsia="Times New Roman"/>
          <w:szCs w:val="24"/>
        </w:rPr>
      </w:pPr>
      <w:r w:rsidRPr="00AA2C06">
        <w:rPr>
          <w:rFonts w:eastAsia="Times New Roman"/>
          <w:szCs w:val="24"/>
        </w:rPr>
        <w:t>_____</w:t>
      </w:r>
      <w:r w:rsidR="008057A1">
        <w:rPr>
          <w:rFonts w:eastAsia="Times New Roman"/>
          <w:szCs w:val="24"/>
        </w:rPr>
        <w:t>______________________________</w:t>
      </w:r>
      <w:r w:rsidR="008057A1">
        <w:rPr>
          <w:rFonts w:eastAsia="Times New Roman"/>
          <w:szCs w:val="24"/>
        </w:rPr>
        <w:tab/>
      </w:r>
    </w:p>
    <w:p w14:paraId="5E2DC9F4" w14:textId="77777777" w:rsidR="00AA2C06" w:rsidRPr="00AA2C06" w:rsidRDefault="0024712A" w:rsidP="0024712A">
      <w:pPr>
        <w:tabs>
          <w:tab w:val="left" w:pos="4320"/>
          <w:tab w:val="left" w:pos="4770"/>
        </w:tabs>
        <w:autoSpaceDE w:val="0"/>
        <w:autoSpaceDN w:val="0"/>
        <w:adjustRightInd w:val="0"/>
        <w:spacing w:before="0" w:after="0"/>
        <w:rPr>
          <w:rFonts w:eastAsia="Times New Roman"/>
          <w:szCs w:val="24"/>
        </w:rPr>
      </w:pPr>
      <w:r>
        <w:rPr>
          <w:rFonts w:eastAsia="Times New Roman"/>
          <w:szCs w:val="24"/>
        </w:rPr>
        <w:tab/>
      </w:r>
      <w:r w:rsidR="00AA2C06" w:rsidRPr="00AA2C06">
        <w:rPr>
          <w:rFonts w:eastAsia="Times New Roman"/>
          <w:szCs w:val="24"/>
        </w:rPr>
        <w:t>)</w:t>
      </w:r>
    </w:p>
    <w:p w14:paraId="1DA99073" w14:textId="75E2367F" w:rsidR="00AA2C06" w:rsidRPr="00AA2C06" w:rsidRDefault="00AA2C06" w:rsidP="0024712A">
      <w:pPr>
        <w:tabs>
          <w:tab w:val="left" w:pos="4320"/>
          <w:tab w:val="left" w:pos="4770"/>
          <w:tab w:val="left" w:pos="5040"/>
        </w:tabs>
        <w:autoSpaceDE w:val="0"/>
        <w:autoSpaceDN w:val="0"/>
        <w:adjustRightInd w:val="0"/>
        <w:spacing w:before="0" w:after="0"/>
        <w:rPr>
          <w:rFonts w:eastAsia="Times New Roman"/>
          <w:szCs w:val="24"/>
        </w:rPr>
      </w:pPr>
      <w:r w:rsidRPr="00AA2C06">
        <w:rPr>
          <w:rFonts w:eastAsia="Times New Roman"/>
          <w:szCs w:val="24"/>
        </w:rPr>
        <w:t>IN THE MATTER OF:</w:t>
      </w:r>
      <w:r w:rsidR="0024712A">
        <w:rPr>
          <w:rFonts w:eastAsia="Times New Roman"/>
          <w:szCs w:val="24"/>
        </w:rPr>
        <w:tab/>
      </w:r>
      <w:r w:rsidRPr="00AA2C06">
        <w:rPr>
          <w:rFonts w:eastAsia="Times New Roman"/>
          <w:szCs w:val="24"/>
        </w:rPr>
        <w:t>)</w:t>
      </w:r>
      <w:r w:rsidRPr="00AA2C06">
        <w:rPr>
          <w:rFonts w:eastAsia="Times New Roman"/>
          <w:szCs w:val="24"/>
        </w:rPr>
        <w:tab/>
        <w:t xml:space="preserve">U.S. EPA Docket No. </w:t>
      </w:r>
      <w:r w:rsidR="002928AC">
        <w:rPr>
          <w:rFonts w:eastAsia="Times New Roman"/>
          <w:szCs w:val="24"/>
        </w:rPr>
        <w:t>______</w:t>
      </w:r>
    </w:p>
    <w:p w14:paraId="0D175A75" w14:textId="77777777" w:rsidR="00AA2C06" w:rsidRPr="00AA2C06" w:rsidRDefault="0024712A" w:rsidP="0024712A">
      <w:pPr>
        <w:tabs>
          <w:tab w:val="left" w:pos="4320"/>
          <w:tab w:val="left" w:pos="4770"/>
        </w:tabs>
        <w:autoSpaceDE w:val="0"/>
        <w:autoSpaceDN w:val="0"/>
        <w:adjustRightInd w:val="0"/>
        <w:spacing w:before="0" w:after="0"/>
        <w:rPr>
          <w:rFonts w:eastAsia="Times New Roman"/>
          <w:szCs w:val="24"/>
        </w:rPr>
      </w:pPr>
      <w:r>
        <w:rPr>
          <w:rFonts w:eastAsia="Times New Roman"/>
          <w:szCs w:val="24"/>
        </w:rPr>
        <w:tab/>
      </w:r>
      <w:r w:rsidR="00AA2C06" w:rsidRPr="00AA2C06">
        <w:rPr>
          <w:rFonts w:eastAsia="Times New Roman"/>
          <w:szCs w:val="24"/>
        </w:rPr>
        <w:t>)</w:t>
      </w:r>
    </w:p>
    <w:p w14:paraId="53F5E357" w14:textId="12A91ADF" w:rsidR="00AA2C06" w:rsidRPr="00AA2C06" w:rsidRDefault="00AA2C06" w:rsidP="0024712A">
      <w:pPr>
        <w:tabs>
          <w:tab w:val="left" w:pos="4320"/>
          <w:tab w:val="left" w:pos="4770"/>
        </w:tabs>
        <w:autoSpaceDE w:val="0"/>
        <w:autoSpaceDN w:val="0"/>
        <w:adjustRightInd w:val="0"/>
        <w:spacing w:before="0" w:after="0"/>
        <w:rPr>
          <w:rFonts w:eastAsia="Times New Roman"/>
          <w:szCs w:val="24"/>
        </w:rPr>
      </w:pPr>
      <w:r w:rsidRPr="00AA2C06">
        <w:rPr>
          <w:rFonts w:eastAsia="Times New Roman"/>
          <w:szCs w:val="24"/>
        </w:rPr>
        <w:t>[</w:t>
      </w:r>
      <w:r w:rsidRPr="00FC679C">
        <w:rPr>
          <w:rFonts w:eastAsia="Times New Roman"/>
          <w:szCs w:val="24"/>
        </w:rPr>
        <w:t>Site Name and Location</w:t>
      </w:r>
      <w:r w:rsidRPr="0000579B">
        <w:rPr>
          <w:rFonts w:eastAsia="Times New Roman"/>
          <w:szCs w:val="24"/>
        </w:rPr>
        <w:t>]</w:t>
      </w:r>
      <w:r w:rsidR="0024712A">
        <w:rPr>
          <w:rFonts w:eastAsia="Times New Roman"/>
          <w:szCs w:val="24"/>
        </w:rPr>
        <w:tab/>
      </w:r>
      <w:r w:rsidRPr="00AA2C06">
        <w:rPr>
          <w:rFonts w:eastAsia="Times New Roman"/>
          <w:szCs w:val="24"/>
        </w:rPr>
        <w:t>)</w:t>
      </w:r>
      <w:r w:rsidR="0024712A">
        <w:rPr>
          <w:szCs w:val="24"/>
          <w:lang w:val="en-CA"/>
        </w:rPr>
        <w:fldChar w:fldCharType="begin"/>
      </w:r>
      <w:r w:rsidR="0024712A">
        <w:rPr>
          <w:szCs w:val="24"/>
          <w:lang w:val="en-CA"/>
        </w:rPr>
        <w:instrText xml:space="preserve"> SEQ CHAPTER \h \r 1</w:instrText>
      </w:r>
      <w:r w:rsidR="0024712A">
        <w:rPr>
          <w:szCs w:val="24"/>
          <w:lang w:val="en-CA"/>
        </w:rPr>
        <w:fldChar w:fldCharType="end"/>
      </w:r>
    </w:p>
    <w:p w14:paraId="1B1F5A39" w14:textId="39180AE7" w:rsidR="00AA2C06" w:rsidRPr="00AA2C06" w:rsidRDefault="0024712A" w:rsidP="0070267C">
      <w:pPr>
        <w:tabs>
          <w:tab w:val="left" w:pos="4320"/>
          <w:tab w:val="left" w:pos="4770"/>
        </w:tabs>
        <w:autoSpaceDE w:val="0"/>
        <w:autoSpaceDN w:val="0"/>
        <w:adjustRightInd w:val="0"/>
        <w:spacing w:before="0" w:after="0"/>
        <w:ind w:left="4770" w:hanging="4770"/>
        <w:rPr>
          <w:rFonts w:eastAsia="Times New Roman"/>
          <w:szCs w:val="24"/>
        </w:rPr>
      </w:pPr>
      <w:r>
        <w:rPr>
          <w:rFonts w:eastAsia="Times New Roman"/>
          <w:szCs w:val="24"/>
        </w:rPr>
        <w:tab/>
      </w:r>
      <w:r w:rsidR="00AA2C06" w:rsidRPr="00AA2C06">
        <w:rPr>
          <w:rFonts w:eastAsia="Times New Roman"/>
          <w:szCs w:val="24"/>
        </w:rPr>
        <w:t>)</w:t>
      </w:r>
      <w:r>
        <w:rPr>
          <w:szCs w:val="24"/>
          <w:lang w:val="en-CA"/>
        </w:rPr>
        <w:fldChar w:fldCharType="begin"/>
      </w:r>
      <w:r>
        <w:rPr>
          <w:szCs w:val="24"/>
          <w:lang w:val="en-CA"/>
        </w:rPr>
        <w:instrText xml:space="preserve"> SEQ CHAPTER \h \r 1</w:instrText>
      </w:r>
      <w:r>
        <w:rPr>
          <w:szCs w:val="24"/>
          <w:lang w:val="en-CA"/>
        </w:rPr>
        <w:fldChar w:fldCharType="end"/>
      </w:r>
    </w:p>
    <w:p w14:paraId="1CD4F97A" w14:textId="6B533BB2" w:rsidR="00AA2C06" w:rsidRPr="00AA2C06" w:rsidRDefault="00AA2C06" w:rsidP="0024712A">
      <w:pPr>
        <w:tabs>
          <w:tab w:val="left" w:pos="4320"/>
          <w:tab w:val="left" w:pos="4770"/>
        </w:tabs>
        <w:autoSpaceDE w:val="0"/>
        <w:autoSpaceDN w:val="0"/>
        <w:adjustRightInd w:val="0"/>
        <w:spacing w:before="0" w:after="0"/>
        <w:rPr>
          <w:rFonts w:eastAsia="Times New Roman"/>
          <w:szCs w:val="24"/>
        </w:rPr>
      </w:pPr>
      <w:r w:rsidRPr="00AA2C06">
        <w:rPr>
          <w:rFonts w:eastAsia="Times New Roman"/>
          <w:szCs w:val="24"/>
        </w:rPr>
        <w:t>Proceeding under Section 122(g</w:t>
      </w:r>
      <w:proofErr w:type="gramStart"/>
      <w:r w:rsidRPr="00AA2C06">
        <w:rPr>
          <w:rFonts w:eastAsia="Times New Roman"/>
          <w:szCs w:val="24"/>
        </w:rPr>
        <w:t>)(</w:t>
      </w:r>
      <w:proofErr w:type="gramEnd"/>
      <w:r w:rsidRPr="00AA2C06">
        <w:rPr>
          <w:rFonts w:eastAsia="Times New Roman"/>
          <w:szCs w:val="24"/>
        </w:rPr>
        <w:t>4)</w:t>
      </w:r>
      <w:r w:rsidR="0024712A">
        <w:rPr>
          <w:rFonts w:eastAsia="Times New Roman"/>
          <w:szCs w:val="24"/>
        </w:rPr>
        <w:tab/>
      </w:r>
      <w:r w:rsidRPr="00AA2C06">
        <w:rPr>
          <w:rFonts w:eastAsia="Times New Roman"/>
          <w:szCs w:val="24"/>
        </w:rPr>
        <w:t>)</w:t>
      </w:r>
    </w:p>
    <w:p w14:paraId="218C7BDB" w14:textId="793795EF" w:rsidR="0038697E" w:rsidRDefault="0024712A" w:rsidP="0024712A">
      <w:pPr>
        <w:tabs>
          <w:tab w:val="left" w:pos="4320"/>
          <w:tab w:val="left" w:pos="4770"/>
          <w:tab w:val="left" w:pos="5040"/>
        </w:tabs>
        <w:autoSpaceDE w:val="0"/>
        <w:autoSpaceDN w:val="0"/>
        <w:adjustRightInd w:val="0"/>
        <w:spacing w:before="0" w:after="0"/>
        <w:rPr>
          <w:szCs w:val="24"/>
        </w:rPr>
      </w:pPr>
      <w:r>
        <w:rPr>
          <w:szCs w:val="24"/>
          <w:lang w:val="en-CA"/>
        </w:rPr>
        <w:fldChar w:fldCharType="begin"/>
      </w:r>
      <w:r>
        <w:rPr>
          <w:szCs w:val="24"/>
          <w:lang w:val="en-CA"/>
        </w:rPr>
        <w:instrText xml:space="preserve"> SEQ CHAPTER \h \r 1</w:instrText>
      </w:r>
      <w:r>
        <w:rPr>
          <w:szCs w:val="24"/>
          <w:lang w:val="en-CA"/>
        </w:rPr>
        <w:fldChar w:fldCharType="end"/>
      </w:r>
      <w:proofErr w:type="gramStart"/>
      <w:r>
        <w:rPr>
          <w:szCs w:val="24"/>
        </w:rPr>
        <w:t>of</w:t>
      </w:r>
      <w:proofErr w:type="gramEnd"/>
      <w:r>
        <w:rPr>
          <w:szCs w:val="24"/>
        </w:rPr>
        <w:t xml:space="preserve"> </w:t>
      </w:r>
      <w:r w:rsidR="0038697E">
        <w:rPr>
          <w:szCs w:val="24"/>
        </w:rPr>
        <w:t>the Comprehensive Environmental</w:t>
      </w:r>
      <w:r w:rsidR="0038697E">
        <w:rPr>
          <w:szCs w:val="24"/>
        </w:rPr>
        <w:tab/>
        <w:t>)</w:t>
      </w:r>
      <w:r w:rsidR="0038697E">
        <w:rPr>
          <w:szCs w:val="24"/>
        </w:rPr>
        <w:tab/>
      </w:r>
      <w:r w:rsidR="0038697E">
        <w:rPr>
          <w:b/>
          <w:bCs/>
          <w:szCs w:val="24"/>
        </w:rPr>
        <w:t>ADMINISTRATIVE SETTLEMENT</w:t>
      </w:r>
    </w:p>
    <w:p w14:paraId="0F1AD2D3" w14:textId="3D4A1C18" w:rsidR="0038697E" w:rsidRDefault="0038697E" w:rsidP="0024712A">
      <w:pPr>
        <w:tabs>
          <w:tab w:val="left" w:pos="4320"/>
          <w:tab w:val="left" w:pos="4770"/>
          <w:tab w:val="left" w:pos="5040"/>
        </w:tabs>
        <w:autoSpaceDE w:val="0"/>
        <w:autoSpaceDN w:val="0"/>
        <w:adjustRightInd w:val="0"/>
        <w:spacing w:before="0" w:after="0"/>
        <w:rPr>
          <w:szCs w:val="24"/>
        </w:rPr>
      </w:pPr>
      <w:r>
        <w:rPr>
          <w:szCs w:val="24"/>
        </w:rPr>
        <w:t>Response, Compensation, and</w:t>
      </w:r>
      <w:r>
        <w:rPr>
          <w:szCs w:val="24"/>
        </w:rPr>
        <w:tab/>
        <w:t>)</w:t>
      </w:r>
      <w:r>
        <w:rPr>
          <w:szCs w:val="24"/>
        </w:rPr>
        <w:tab/>
      </w:r>
      <w:r w:rsidRPr="0070267C">
        <w:rPr>
          <w:rFonts w:eastAsia="Times New Roman"/>
          <w:b/>
          <w:szCs w:val="24"/>
        </w:rPr>
        <w:t>AGREEMENT AND</w:t>
      </w:r>
      <w:r>
        <w:rPr>
          <w:rFonts w:eastAsia="Times New Roman"/>
          <w:szCs w:val="24"/>
        </w:rPr>
        <w:t xml:space="preserve"> </w:t>
      </w:r>
      <w:r>
        <w:rPr>
          <w:szCs w:val="24"/>
          <w:lang w:val="en-CA"/>
        </w:rPr>
        <w:fldChar w:fldCharType="begin"/>
      </w:r>
      <w:r>
        <w:rPr>
          <w:szCs w:val="24"/>
          <w:lang w:val="en-CA"/>
        </w:rPr>
        <w:instrText xml:space="preserve"> SEQ CHAPTER \h \r 1</w:instrText>
      </w:r>
      <w:r>
        <w:rPr>
          <w:szCs w:val="24"/>
          <w:lang w:val="en-CA"/>
        </w:rPr>
        <w:fldChar w:fldCharType="end"/>
      </w:r>
      <w:r>
        <w:rPr>
          <w:b/>
          <w:bCs/>
          <w:szCs w:val="24"/>
        </w:rPr>
        <w:t>ORDER</w:t>
      </w:r>
    </w:p>
    <w:p w14:paraId="31737CB6" w14:textId="1C492338" w:rsidR="0024712A" w:rsidRDefault="0038697E" w:rsidP="0024712A">
      <w:pPr>
        <w:tabs>
          <w:tab w:val="left" w:pos="4320"/>
          <w:tab w:val="left" w:pos="4770"/>
          <w:tab w:val="left" w:pos="5040"/>
        </w:tabs>
        <w:autoSpaceDE w:val="0"/>
        <w:autoSpaceDN w:val="0"/>
        <w:adjustRightInd w:val="0"/>
        <w:spacing w:before="0" w:after="0"/>
        <w:rPr>
          <w:rFonts w:eastAsia="Times New Roman"/>
          <w:b/>
          <w:bCs/>
          <w:szCs w:val="24"/>
        </w:rPr>
      </w:pPr>
      <w:r>
        <w:rPr>
          <w:szCs w:val="24"/>
        </w:rPr>
        <w:t>Liability Act</w:t>
      </w:r>
      <w:r w:rsidR="0024712A">
        <w:rPr>
          <w:szCs w:val="24"/>
        </w:rPr>
        <w:t>, 42 U.S.C. § 9622(g</w:t>
      </w:r>
      <w:proofErr w:type="gramStart"/>
      <w:r w:rsidR="0024712A">
        <w:rPr>
          <w:szCs w:val="24"/>
        </w:rPr>
        <w:t>)(</w:t>
      </w:r>
      <w:proofErr w:type="gramEnd"/>
      <w:r w:rsidR="0024712A">
        <w:rPr>
          <w:szCs w:val="24"/>
        </w:rPr>
        <w:t>4)</w:t>
      </w:r>
      <w:r w:rsidR="0024712A">
        <w:rPr>
          <w:szCs w:val="24"/>
        </w:rPr>
        <w:tab/>
      </w:r>
      <w:r w:rsidR="00AA2C06" w:rsidRPr="00AA2C06">
        <w:rPr>
          <w:rFonts w:eastAsia="Times New Roman"/>
          <w:szCs w:val="24"/>
        </w:rPr>
        <w:t>)</w:t>
      </w:r>
      <w:r>
        <w:rPr>
          <w:rFonts w:eastAsia="Times New Roman"/>
          <w:szCs w:val="24"/>
        </w:rPr>
        <w:tab/>
      </w:r>
      <w:r>
        <w:rPr>
          <w:b/>
          <w:bCs/>
          <w:szCs w:val="24"/>
        </w:rPr>
        <w:t>ON CONSENT</w:t>
      </w:r>
      <w:r w:rsidR="0024712A">
        <w:rPr>
          <w:szCs w:val="24"/>
          <w:lang w:val="en-CA"/>
        </w:rPr>
        <w:fldChar w:fldCharType="begin"/>
      </w:r>
      <w:r w:rsidR="0024712A">
        <w:rPr>
          <w:szCs w:val="24"/>
          <w:lang w:val="en-CA"/>
        </w:rPr>
        <w:instrText xml:space="preserve"> SEQ CHAPTER \h \r 1</w:instrText>
      </w:r>
      <w:r w:rsidR="0024712A">
        <w:rPr>
          <w:szCs w:val="24"/>
          <w:lang w:val="en-CA"/>
        </w:rPr>
        <w:fldChar w:fldCharType="end"/>
      </w:r>
    </w:p>
    <w:p w14:paraId="36841F38" w14:textId="77777777" w:rsidR="00AA2C06" w:rsidRPr="00AA2C06" w:rsidRDefault="00AA2C06" w:rsidP="0024712A">
      <w:pPr>
        <w:tabs>
          <w:tab w:val="left" w:pos="4320"/>
          <w:tab w:val="left" w:pos="4770"/>
        </w:tabs>
        <w:autoSpaceDE w:val="0"/>
        <w:autoSpaceDN w:val="0"/>
        <w:adjustRightInd w:val="0"/>
        <w:spacing w:before="0" w:after="0"/>
        <w:rPr>
          <w:rFonts w:eastAsia="Times New Roman"/>
          <w:szCs w:val="24"/>
        </w:rPr>
      </w:pPr>
      <w:r w:rsidRPr="00AA2C06">
        <w:rPr>
          <w:rFonts w:eastAsia="Times New Roman"/>
          <w:szCs w:val="24"/>
        </w:rPr>
        <w:t>___________________________________</w:t>
      </w:r>
      <w:r w:rsidR="008057A1">
        <w:rPr>
          <w:rFonts w:eastAsia="Times New Roman"/>
          <w:szCs w:val="24"/>
        </w:rPr>
        <w:tab/>
        <w:t>)</w:t>
      </w:r>
    </w:p>
    <w:p w14:paraId="05AE7DAA" w14:textId="77777777" w:rsidR="00AA2C06" w:rsidRDefault="00AA2C06" w:rsidP="008E3DFE">
      <w:pPr>
        <w:autoSpaceDE w:val="0"/>
        <w:autoSpaceDN w:val="0"/>
        <w:adjustRightInd w:val="0"/>
        <w:spacing w:before="0" w:after="0"/>
        <w:rPr>
          <w:rFonts w:eastAsia="Times New Roman"/>
          <w:szCs w:val="24"/>
        </w:rPr>
      </w:pPr>
    </w:p>
    <w:p w14:paraId="45DAF16F" w14:textId="77777777" w:rsidR="0038697E" w:rsidRPr="008E3DFE" w:rsidRDefault="0038697E" w:rsidP="008E3DFE">
      <w:pPr>
        <w:autoSpaceDE w:val="0"/>
        <w:autoSpaceDN w:val="0"/>
        <w:adjustRightInd w:val="0"/>
        <w:spacing w:before="0" w:after="0"/>
        <w:rPr>
          <w:rFonts w:eastAsia="Times New Roman"/>
          <w:szCs w:val="24"/>
        </w:rPr>
      </w:pPr>
    </w:p>
    <w:p w14:paraId="12179FD4" w14:textId="77777777" w:rsidR="0024712A" w:rsidRDefault="0024712A" w:rsidP="0070267C">
      <w:pPr>
        <w:autoSpaceDE w:val="0"/>
        <w:autoSpaceDN w:val="0"/>
        <w:adjustRightInd w:val="0"/>
        <w:spacing w:before="0" w:after="0"/>
        <w:jc w:val="center"/>
        <w:rPr>
          <w:szCs w:val="24"/>
        </w:rPr>
      </w:pPr>
      <w:r w:rsidRPr="0024712A">
        <w:rPr>
          <w:rFonts w:ascii="Courier 12pt" w:hAnsi="Courier 12pt"/>
          <w:szCs w:val="24"/>
          <w:lang w:val="en-CA"/>
        </w:rPr>
        <w:fldChar w:fldCharType="begin"/>
      </w:r>
      <w:r w:rsidRPr="0024712A">
        <w:rPr>
          <w:rFonts w:ascii="Courier 12pt" w:hAnsi="Courier 12pt"/>
          <w:szCs w:val="24"/>
          <w:lang w:val="en-CA"/>
        </w:rPr>
        <w:instrText xml:space="preserve"> SEQ CHAPTER \h \r 1</w:instrText>
      </w:r>
      <w:r w:rsidRPr="0024712A">
        <w:rPr>
          <w:rFonts w:ascii="Courier 12pt" w:hAnsi="Courier 12pt"/>
          <w:szCs w:val="24"/>
          <w:lang w:val="en-CA"/>
        </w:rPr>
        <w:fldChar w:fldCharType="end"/>
      </w:r>
      <w:r w:rsidRPr="0024712A">
        <w:rPr>
          <w:b/>
          <w:bCs/>
          <w:szCs w:val="24"/>
        </w:rPr>
        <w:t>MODEL CERCLA SECTION 122(g</w:t>
      </w:r>
      <w:proofErr w:type="gramStart"/>
      <w:r w:rsidRPr="0024712A">
        <w:rPr>
          <w:b/>
          <w:bCs/>
          <w:szCs w:val="24"/>
        </w:rPr>
        <w:t>)(</w:t>
      </w:r>
      <w:proofErr w:type="gramEnd"/>
      <w:r w:rsidRPr="0024712A">
        <w:rPr>
          <w:b/>
          <w:bCs/>
          <w:szCs w:val="24"/>
        </w:rPr>
        <w:t>4) NON-EXEMPT DE MICROMIS PARTY</w:t>
      </w:r>
      <w:r w:rsidR="008945EC">
        <w:rPr>
          <w:b/>
          <w:bCs/>
          <w:szCs w:val="24"/>
        </w:rPr>
        <w:t xml:space="preserve"> ADMINISTRATIVE </w:t>
      </w:r>
      <w:r w:rsidRPr="0024712A">
        <w:rPr>
          <w:b/>
          <w:bCs/>
          <w:szCs w:val="24"/>
        </w:rPr>
        <w:t>SETTLEMENT AGREEMENT AND ORDER ON CONSENT</w:t>
      </w:r>
    </w:p>
    <w:p w14:paraId="2F5B3CEB" w14:textId="77777777" w:rsidR="00157322" w:rsidRDefault="00157322" w:rsidP="0024712A">
      <w:pPr>
        <w:autoSpaceDE w:val="0"/>
        <w:autoSpaceDN w:val="0"/>
        <w:adjustRightInd w:val="0"/>
        <w:spacing w:before="0" w:after="0"/>
        <w:rPr>
          <w:szCs w:val="24"/>
        </w:rPr>
      </w:pPr>
    </w:p>
    <w:p w14:paraId="5A3CBFFD" w14:textId="77777777" w:rsidR="00157322" w:rsidRDefault="00A40240" w:rsidP="00157322">
      <w:pPr>
        <w:autoSpaceDE w:val="0"/>
        <w:autoSpaceDN w:val="0"/>
        <w:adjustRightInd w:val="0"/>
        <w:spacing w:before="0" w:after="0"/>
        <w:jc w:val="center"/>
        <w:rPr>
          <w:b/>
          <w:szCs w:val="24"/>
        </w:rPr>
      </w:pPr>
      <w:r>
        <w:rPr>
          <w:b/>
          <w:szCs w:val="24"/>
        </w:rPr>
        <w:t>September</w:t>
      </w:r>
      <w:r w:rsidR="00C11CDA">
        <w:rPr>
          <w:b/>
          <w:szCs w:val="24"/>
        </w:rPr>
        <w:t xml:space="preserve"> </w:t>
      </w:r>
      <w:r w:rsidR="00722F18">
        <w:rPr>
          <w:b/>
          <w:szCs w:val="24"/>
        </w:rPr>
        <w:t>2014</w:t>
      </w:r>
    </w:p>
    <w:p w14:paraId="679E24B9" w14:textId="77777777" w:rsidR="00F170D7" w:rsidRPr="00157322" w:rsidRDefault="00F170D7" w:rsidP="00157322">
      <w:pPr>
        <w:autoSpaceDE w:val="0"/>
        <w:autoSpaceDN w:val="0"/>
        <w:adjustRightInd w:val="0"/>
        <w:spacing w:before="0" w:after="0"/>
        <w:jc w:val="center"/>
        <w:rPr>
          <w:b/>
          <w:bCs/>
          <w:szCs w:val="24"/>
        </w:rPr>
      </w:pPr>
    </w:p>
    <w:tbl>
      <w:tblPr>
        <w:tblStyle w:val="TableGrid"/>
        <w:tblW w:w="0" w:type="auto"/>
        <w:tblLook w:val="04A0" w:firstRow="1" w:lastRow="0" w:firstColumn="1" w:lastColumn="0" w:noHBand="0" w:noVBand="1"/>
      </w:tblPr>
      <w:tblGrid>
        <w:gridCol w:w="9350"/>
      </w:tblGrid>
      <w:tr w:rsidR="00A40240" w14:paraId="7B6F8E93" w14:textId="77777777" w:rsidTr="00A40240">
        <w:tc>
          <w:tcPr>
            <w:tcW w:w="9576" w:type="dxa"/>
          </w:tcPr>
          <w:p w14:paraId="38F3C8EA" w14:textId="23B8C6F1" w:rsidR="00A40240" w:rsidRPr="00153F72" w:rsidRDefault="00A40240" w:rsidP="00062B82">
            <w:pPr>
              <w:pStyle w:val="Note"/>
              <w:spacing w:before="0" w:after="0"/>
              <w:rPr>
                <w:rFonts w:eastAsia="Times New Roman"/>
                <w:b w:val="0"/>
                <w:lang w:val="en-US"/>
              </w:rPr>
            </w:pPr>
            <w:r>
              <w:rPr>
                <w:b w:val="0"/>
                <w:szCs w:val="24"/>
                <w:lang w:val="en-US"/>
              </w:rPr>
              <w:t>S</w:t>
            </w:r>
            <w:proofErr w:type="spellStart"/>
            <w:r w:rsidRPr="00153F72">
              <w:rPr>
                <w:b w:val="0"/>
                <w:szCs w:val="24"/>
              </w:rPr>
              <w:t>ee</w:t>
            </w:r>
            <w:proofErr w:type="spellEnd"/>
            <w:r w:rsidRPr="00153F72">
              <w:rPr>
                <w:b w:val="0"/>
                <w:szCs w:val="24"/>
              </w:rPr>
              <w:t xml:space="preserve"> the “Revised Settlement Policy and Contribution Waiver Language Regarding Exempt De Micromis and Non-Exempt De Micromis Parties” (Nov. 6, 2002)</w:t>
            </w:r>
            <w:r w:rsidR="00153F72">
              <w:rPr>
                <w:b w:val="0"/>
                <w:szCs w:val="24"/>
                <w:lang w:val="en-US"/>
              </w:rPr>
              <w:t xml:space="preserve">, available </w:t>
            </w:r>
            <w:r w:rsidR="00765993">
              <w:rPr>
                <w:b w:val="0"/>
                <w:szCs w:val="24"/>
                <w:lang w:val="en-US"/>
              </w:rPr>
              <w:t xml:space="preserve">online </w:t>
            </w:r>
            <w:r w:rsidR="00153F72">
              <w:rPr>
                <w:b w:val="0"/>
                <w:szCs w:val="24"/>
                <w:lang w:val="en-US"/>
              </w:rPr>
              <w:t xml:space="preserve">at </w:t>
            </w:r>
            <w:hyperlink r:id="rId8" w:history="1">
              <w:r w:rsidR="00062B82" w:rsidRPr="006F0842">
                <w:rPr>
                  <w:rStyle w:val="Hyperlink"/>
                  <w:b w:val="0"/>
                  <w:szCs w:val="24"/>
                </w:rPr>
                <w:t>http</w:t>
              </w:r>
              <w:r w:rsidR="00062B82" w:rsidRPr="006F0842">
                <w:rPr>
                  <w:rStyle w:val="Hyperlink"/>
                  <w:b w:val="0"/>
                  <w:szCs w:val="24"/>
                  <w:lang w:val="en-US"/>
                </w:rPr>
                <w:t>s</w:t>
              </w:r>
              <w:r w:rsidR="00062B82" w:rsidRPr="006F0842">
                <w:rPr>
                  <w:rStyle w:val="Hyperlink"/>
                  <w:b w:val="0"/>
                  <w:szCs w:val="24"/>
                </w:rPr>
                <w:t>://www.epa.gov/enforcement/guidance-settlement-policy-contribution-waiver-language-regarding-de-micromis-parties</w:t>
              </w:r>
            </w:hyperlink>
            <w:r w:rsidR="0043667C" w:rsidRPr="00062B82">
              <w:rPr>
                <w:rStyle w:val="Hyperlink"/>
                <w:b w:val="0"/>
                <w:color w:val="auto"/>
                <w:szCs w:val="24"/>
                <w:u w:val="none"/>
                <w:lang w:val="en-US"/>
              </w:rPr>
              <w:t>,</w:t>
            </w:r>
            <w:r w:rsidRPr="00153F72">
              <w:rPr>
                <w:b w:val="0"/>
                <w:szCs w:val="24"/>
              </w:rPr>
              <w:t xml:space="preserve"> for the factors to consider when determining whether a party should be treated as a non-exempt de micromis party. As noted in the policy, Regions should consider offering settlements to non-exempt de micromis parties only if such parties (1)</w:t>
            </w:r>
            <w:r w:rsidR="0038697E">
              <w:rPr>
                <w:b w:val="0"/>
                <w:szCs w:val="24"/>
                <w:lang w:val="en-US"/>
              </w:rPr>
              <w:t> </w:t>
            </w:r>
            <w:r w:rsidRPr="00153F72">
              <w:rPr>
                <w:b w:val="0"/>
                <w:szCs w:val="24"/>
              </w:rPr>
              <w:t xml:space="preserve">have been sued by other potentially responsible parties (PRPs) at the site, or (2) face the concrete threat of litigation from other PRPs at the site. </w:t>
            </w:r>
          </w:p>
        </w:tc>
      </w:tr>
    </w:tbl>
    <w:p w14:paraId="01BD87E1" w14:textId="77777777" w:rsidR="00C11CDA" w:rsidRPr="00C11CDA" w:rsidRDefault="00C11CDA" w:rsidP="00FC679C">
      <w:pPr>
        <w:pStyle w:val="Note"/>
        <w:spacing w:before="0" w:after="0"/>
        <w:rPr>
          <w:rFonts w:eastAsia="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62F4A627" w14:textId="77777777" w:rsidTr="00CA3F00">
        <w:tc>
          <w:tcPr>
            <w:tcW w:w="9576" w:type="dxa"/>
            <w:vAlign w:val="center"/>
          </w:tcPr>
          <w:p w14:paraId="5F127A8F" w14:textId="77777777" w:rsidR="00770EC1" w:rsidRDefault="00770EC1" w:rsidP="00FC679C">
            <w:pPr>
              <w:spacing w:before="0" w:after="0"/>
            </w:pPr>
            <w:r w:rsidRPr="00770EC1">
              <w:t>This model and any internal procedures adopted for its implementation and use are intended solely as guidance for employees of the U.S. Environmental Protection Agency.</w:t>
            </w:r>
            <w:r w:rsidR="00C11304">
              <w:t xml:space="preserve"> </w:t>
            </w:r>
            <w:r w:rsidRPr="00770EC1">
              <w:t>They do not constitute rulemaking by the Agency and may not be relied upon to create a right or benefit, substantive or procedural, enforceable at law or in equity, by any person.</w:t>
            </w:r>
            <w:r w:rsidR="00C11304">
              <w:t xml:space="preserve"> </w:t>
            </w:r>
            <w:r w:rsidRPr="00770EC1">
              <w:t>The Agency may take action at variance with this model or its internal implementing procedures.</w:t>
            </w:r>
          </w:p>
        </w:tc>
      </w:tr>
    </w:tbl>
    <w:p w14:paraId="5E970DB8" w14:textId="77777777" w:rsidR="00770EC1" w:rsidRDefault="00770EC1" w:rsidP="00770EC1">
      <w:pPr>
        <w:jc w:val="center"/>
      </w:pPr>
    </w:p>
    <w:p w14:paraId="3035E564" w14:textId="77777777" w:rsidR="001D3E7A" w:rsidRDefault="001D3E7A" w:rsidP="008057A1">
      <w:pPr>
        <w:pStyle w:val="LVL1"/>
        <w:sectPr w:rsidR="001D3E7A" w:rsidSect="00FD3CA5">
          <w:footerReference w:type="default" r:id="rId9"/>
          <w:footerReference w:type="first" r:id="rId10"/>
          <w:pgSz w:w="12240" w:h="15840"/>
          <w:pgMar w:top="1440" w:right="1440" w:bottom="1440" w:left="1440" w:header="720" w:footer="570" w:gutter="0"/>
          <w:pgNumType w:start="1"/>
          <w:cols w:space="720"/>
          <w:titlePg/>
          <w:docGrid w:linePitch="360"/>
        </w:sectPr>
      </w:pPr>
    </w:p>
    <w:bookmarkStart w:id="0" w:name="_Toc318891573"/>
    <w:p w14:paraId="63F626BB" w14:textId="196483E1" w:rsidR="004C188E" w:rsidRPr="004C188E" w:rsidRDefault="004C188E" w:rsidP="008057A1">
      <w:pPr>
        <w:pStyle w:val="LVL1"/>
      </w:pPr>
      <w:r w:rsidRPr="004C188E">
        <w:rPr>
          <w:rFonts w:ascii="Courier 12pt" w:hAnsi="Courier 12pt"/>
          <w:szCs w:val="24"/>
          <w:lang w:val="en-CA"/>
        </w:rPr>
        <w:lastRenderedPageBreak/>
        <w:fldChar w:fldCharType="begin"/>
      </w:r>
      <w:r w:rsidRPr="004C188E">
        <w:rPr>
          <w:rFonts w:ascii="Courier 12pt" w:hAnsi="Courier 12pt"/>
          <w:szCs w:val="24"/>
          <w:lang w:val="en-CA"/>
        </w:rPr>
        <w:instrText xml:space="preserve"> SEQ CHAPTER \h \r 1</w:instrText>
      </w:r>
      <w:r w:rsidRPr="004C188E">
        <w:rPr>
          <w:rFonts w:ascii="Courier 12pt" w:hAnsi="Courier 12pt"/>
          <w:szCs w:val="24"/>
          <w:lang w:val="en-CA"/>
        </w:rPr>
        <w:fldChar w:fldCharType="end"/>
      </w:r>
      <w:r w:rsidRPr="008057A1">
        <w:rPr>
          <w:bCs/>
          <w:u w:val="single"/>
        </w:rPr>
        <w:t>Jurisdiction/Parties Bound</w:t>
      </w:r>
      <w:r w:rsidRPr="008057A1">
        <w:rPr>
          <w:bCs/>
        </w:rPr>
        <w:t>.</w:t>
      </w:r>
      <w:r w:rsidR="00C11304">
        <w:t xml:space="preserve"> </w:t>
      </w:r>
      <w:r w:rsidRPr="004C188E">
        <w:t xml:space="preserve">This </w:t>
      </w:r>
      <w:r w:rsidR="008945EC">
        <w:rPr>
          <w:lang w:val="en-US"/>
        </w:rPr>
        <w:t xml:space="preserve">Administrative </w:t>
      </w:r>
      <w:r w:rsidRPr="004C188E">
        <w:t>Settlement Agreement and Order on Consent (“Settlement Agreement”) is issued under Section 122(g)(4) of the Comprehensive Environmental Response, Compensation, and Liability Ac</w:t>
      </w:r>
      <w:r w:rsidR="008057A1">
        <w:t>t (CERCLA or “Superfund”), 42</w:t>
      </w:r>
      <w:r w:rsidR="008057A1">
        <w:rPr>
          <w:lang w:val="en-US"/>
        </w:rPr>
        <w:t> </w:t>
      </w:r>
      <w:r w:rsidRPr="004C188E">
        <w:t>U.S.C. § 9622(g)(4).</w:t>
      </w:r>
      <w:r w:rsidR="00C11304">
        <w:t xml:space="preserve"> </w:t>
      </w:r>
      <w:r w:rsidRPr="004C188E">
        <w:t>This Settlement Agreement is binding upon the United States Environmental Protection Agency (EPA) and upon the parties who are identified in Attachment</w:t>
      </w:r>
      <w:r w:rsidR="00ED5959">
        <w:rPr>
          <w:lang w:val="en-US"/>
        </w:rPr>
        <w:t> </w:t>
      </w:r>
      <w:r w:rsidRPr="004C188E">
        <w:t>__ who are signatories to this Settlement Agreement (“</w:t>
      </w:r>
      <w:r w:rsidR="00970149">
        <w:t>Settl</w:t>
      </w:r>
      <w:r w:rsidR="00970149">
        <w:rPr>
          <w:lang w:val="en-US"/>
        </w:rPr>
        <w:t>or</w:t>
      </w:r>
      <w:r w:rsidRPr="004C188E">
        <w:t>s”).</w:t>
      </w:r>
      <w:r w:rsidR="00C11304">
        <w:t xml:space="preserve"> </w:t>
      </w:r>
      <w:r w:rsidR="00970149">
        <w:t>Settl</w:t>
      </w:r>
      <w:r w:rsidR="00970149">
        <w:rPr>
          <w:lang w:val="en-US"/>
        </w:rPr>
        <w:t>or</w:t>
      </w:r>
      <w:r w:rsidRPr="004C188E">
        <w:t>s do not admit any liability.</w:t>
      </w:r>
      <w:r w:rsidR="00C11304">
        <w:t xml:space="preserve"> </w:t>
      </w:r>
    </w:p>
    <w:p w14:paraId="7538BA6F" w14:textId="77777777" w:rsidR="004C188E" w:rsidRPr="004C188E" w:rsidRDefault="004C188E" w:rsidP="008057A1">
      <w:pPr>
        <w:pStyle w:val="LVL1"/>
      </w:pPr>
      <w:r w:rsidRPr="008057A1">
        <w:rPr>
          <w:bCs/>
          <w:u w:val="single"/>
        </w:rPr>
        <w:t>Purpose</w:t>
      </w:r>
      <w:r w:rsidRPr="008057A1">
        <w:rPr>
          <w:bCs/>
        </w:rPr>
        <w:t>.</w:t>
      </w:r>
      <w:r w:rsidR="00C11304">
        <w:t xml:space="preserve"> </w:t>
      </w:r>
      <w:r w:rsidRPr="004C188E">
        <w:t xml:space="preserve">The purpose of this Settlement Agreement is to reach a final “non-exempt de micromis party” settlement with </w:t>
      </w:r>
      <w:r w:rsidR="00970149">
        <w:t>Settl</w:t>
      </w:r>
      <w:r w:rsidR="00970149">
        <w:rPr>
          <w:lang w:val="en-US"/>
        </w:rPr>
        <w:t>or</w:t>
      </w:r>
      <w:r w:rsidRPr="004C188E">
        <w:t xml:space="preserve">s, which: a) </w:t>
      </w:r>
      <w:bookmarkStart w:id="1" w:name="BM_1_"/>
      <w:bookmarkEnd w:id="1"/>
      <w:r w:rsidRPr="004C188E">
        <w:t xml:space="preserve">resolves </w:t>
      </w:r>
      <w:r w:rsidR="00970149">
        <w:t>Settl</w:t>
      </w:r>
      <w:r w:rsidR="00970149">
        <w:rPr>
          <w:lang w:val="en-US"/>
        </w:rPr>
        <w:t>or</w:t>
      </w:r>
      <w:r w:rsidRPr="004C188E">
        <w:t>s’ potential civil liability to the United States under Superfund for payment of response costs and for performance of cleanup at the [</w:t>
      </w:r>
      <w:r w:rsidRPr="004C188E">
        <w:rPr>
          <w:b/>
          <w:bCs/>
        </w:rPr>
        <w:t xml:space="preserve">insert </w:t>
      </w:r>
      <w:r w:rsidR="00C11CDA">
        <w:rPr>
          <w:b/>
          <w:bCs/>
          <w:lang w:val="en-US"/>
        </w:rPr>
        <w:t>s</w:t>
      </w:r>
      <w:proofErr w:type="spellStart"/>
      <w:r w:rsidRPr="004C188E">
        <w:rPr>
          <w:b/>
          <w:bCs/>
        </w:rPr>
        <w:t>ite</w:t>
      </w:r>
      <w:proofErr w:type="spellEnd"/>
      <w:r w:rsidRPr="004C188E">
        <w:rPr>
          <w:b/>
          <w:bCs/>
        </w:rPr>
        <w:t xml:space="preserve"> name</w:t>
      </w:r>
      <w:r w:rsidRPr="004C188E">
        <w:t xml:space="preserve">]; and b) protects </w:t>
      </w:r>
      <w:r w:rsidR="00970149">
        <w:t>Settl</w:t>
      </w:r>
      <w:r w:rsidR="00970149">
        <w:rPr>
          <w:lang w:val="en-US"/>
        </w:rPr>
        <w:t>or</w:t>
      </w:r>
      <w:r w:rsidRPr="004C188E">
        <w:t xml:space="preserve">s from any lawsuits seeking recovery of Site cleanup costs. </w:t>
      </w:r>
    </w:p>
    <w:p w14:paraId="1C5520BF" w14:textId="77777777" w:rsidR="004C188E" w:rsidRPr="004C188E" w:rsidRDefault="004C188E" w:rsidP="008057A1">
      <w:pPr>
        <w:pStyle w:val="LVL1"/>
      </w:pPr>
      <w:r w:rsidRPr="008057A1">
        <w:rPr>
          <w:bCs/>
          <w:u w:val="single"/>
        </w:rPr>
        <w:t>Statement of Facts</w:t>
      </w:r>
      <w:r w:rsidRPr="008057A1">
        <w:rPr>
          <w:bCs/>
        </w:rPr>
        <w:t>.</w:t>
      </w:r>
      <w:r w:rsidR="00C11304">
        <w:t xml:space="preserve"> </w:t>
      </w:r>
      <w:r w:rsidRPr="004C188E">
        <w:t>The [</w:t>
      </w:r>
      <w:r w:rsidRPr="004C188E">
        <w:rPr>
          <w:b/>
          <w:bCs/>
        </w:rPr>
        <w:t>insert site name</w:t>
      </w:r>
      <w:r w:rsidRPr="004C188E">
        <w:t>] (“the Site”) is located at [</w:t>
      </w:r>
      <w:r w:rsidRPr="004C188E">
        <w:rPr>
          <w:b/>
          <w:bCs/>
        </w:rPr>
        <w:t>insert address or location</w:t>
      </w:r>
      <w:r w:rsidRPr="004C188E">
        <w:t>] in [</w:t>
      </w:r>
      <w:r w:rsidRPr="004C188E">
        <w:rPr>
          <w:b/>
          <w:bCs/>
        </w:rPr>
        <w:t>city, county, state</w:t>
      </w:r>
      <w:r w:rsidRPr="004C188E">
        <w:t>], and is generally [</w:t>
      </w:r>
      <w:r w:rsidRPr="004C188E">
        <w:rPr>
          <w:b/>
          <w:bCs/>
        </w:rPr>
        <w:t>shown on/described by</w:t>
      </w:r>
      <w:r w:rsidRPr="004C188E">
        <w:t>] the [</w:t>
      </w:r>
      <w:r w:rsidRPr="004C188E">
        <w:rPr>
          <w:b/>
          <w:bCs/>
        </w:rPr>
        <w:t>map/property description</w:t>
      </w:r>
      <w:r w:rsidRPr="004C188E">
        <w:t>] attached to this Settlement Agreement as Attachment __.</w:t>
      </w:r>
      <w:r w:rsidR="00C11304">
        <w:t xml:space="preserve"> </w:t>
      </w:r>
      <w:r w:rsidRPr="004C188E">
        <w:t>Under Section 104 of CERCLA, 42 U.S.C. § 9604, EPA has incurred [</w:t>
      </w:r>
      <w:r w:rsidRPr="004C188E">
        <w:rPr>
          <w:b/>
          <w:bCs/>
        </w:rPr>
        <w:t>approximately $</w:t>
      </w:r>
      <w:r w:rsidR="00A40240" w:rsidRPr="00153F72">
        <w:rPr>
          <w:bCs/>
          <w:lang w:val="en-US"/>
        </w:rPr>
        <w:t>______</w:t>
      </w:r>
      <w:r w:rsidRPr="004C188E">
        <w:rPr>
          <w:b/>
          <w:bCs/>
        </w:rPr>
        <w:t xml:space="preserve"> in</w:t>
      </w:r>
      <w:r w:rsidRPr="004C188E">
        <w:t>] response costs at the Site and [</w:t>
      </w:r>
      <w:r w:rsidRPr="004C188E">
        <w:rPr>
          <w:b/>
          <w:bCs/>
        </w:rPr>
        <w:t>will/may</w:t>
      </w:r>
      <w:r w:rsidRPr="004C188E">
        <w:t>] incur additional costs.</w:t>
      </w:r>
      <w:r w:rsidR="00C11304">
        <w:t xml:space="preserve"> </w:t>
      </w:r>
      <w:r w:rsidRPr="004C188E">
        <w:t>EPA currently estimates that total past and future response costs at the Site, including the costs of EPA and CERCLA potentially responsible parties, will be [</w:t>
      </w:r>
      <w:r w:rsidRPr="004C188E">
        <w:rPr>
          <w:b/>
          <w:bCs/>
        </w:rPr>
        <w:t>insert either “$</w:t>
      </w:r>
      <w:r w:rsidR="00A40240" w:rsidRPr="00153F72">
        <w:rPr>
          <w:bCs/>
          <w:lang w:val="en-US"/>
        </w:rPr>
        <w:t>______</w:t>
      </w:r>
      <w:r w:rsidRPr="004C188E">
        <w:rPr>
          <w:b/>
          <w:bCs/>
        </w:rPr>
        <w:t>” or “between $</w:t>
      </w:r>
      <w:r w:rsidR="00A40240" w:rsidRPr="00153F72">
        <w:rPr>
          <w:bCs/>
          <w:lang w:val="en-US"/>
        </w:rPr>
        <w:t>______</w:t>
      </w:r>
      <w:r w:rsidRPr="004C188E">
        <w:rPr>
          <w:b/>
          <w:bCs/>
        </w:rPr>
        <w:t xml:space="preserve"> and $</w:t>
      </w:r>
      <w:r w:rsidR="00970149">
        <w:rPr>
          <w:b/>
          <w:bCs/>
          <w:lang w:val="en-US"/>
        </w:rPr>
        <w:t> </w:t>
      </w:r>
      <w:r w:rsidR="00A40240" w:rsidRPr="00153F72">
        <w:rPr>
          <w:bCs/>
          <w:lang w:val="en-US"/>
        </w:rPr>
        <w:t>______</w:t>
      </w:r>
      <w:r w:rsidRPr="004C188E">
        <w:rPr>
          <w:b/>
          <w:bCs/>
        </w:rPr>
        <w:t>” or “in excess of $</w:t>
      </w:r>
      <w:r w:rsidR="00A40240" w:rsidRPr="00153F72">
        <w:rPr>
          <w:bCs/>
          <w:lang w:val="en-US"/>
        </w:rPr>
        <w:t>______</w:t>
      </w:r>
      <w:r w:rsidRPr="004C188E">
        <w:rPr>
          <w:b/>
          <w:bCs/>
        </w:rPr>
        <w:t>”</w:t>
      </w:r>
      <w:r w:rsidRPr="004C188E">
        <w:t>].</w:t>
      </w:r>
      <w:r w:rsidR="00C11304">
        <w:t xml:space="preserve"> </w:t>
      </w:r>
      <w:r w:rsidRPr="004C188E">
        <w:t xml:space="preserve">Each </w:t>
      </w:r>
      <w:r w:rsidR="00A40240">
        <w:t>Settl</w:t>
      </w:r>
      <w:r w:rsidR="00A40240">
        <w:rPr>
          <w:lang w:val="en-US"/>
        </w:rPr>
        <w:t>or</w:t>
      </w:r>
      <w:r w:rsidRPr="004C188E">
        <w:t xml:space="preserve"> may have contributed hazardous substances to the Site that are not in excess of [</w:t>
      </w:r>
      <w:r w:rsidRPr="004C188E">
        <w:rPr>
          <w:b/>
          <w:bCs/>
        </w:rPr>
        <w:t>insert number of pounds or gallons</w:t>
      </w:r>
      <w:r w:rsidRPr="004C188E">
        <w:t>] of materials containing hazardous substances [</w:t>
      </w:r>
      <w:r w:rsidRPr="004C188E">
        <w:rPr>
          <w:b/>
          <w:bCs/>
        </w:rPr>
        <w:t xml:space="preserve">or, stated as a percentage, </w:t>
      </w:r>
      <w:r w:rsidRPr="00FC679C">
        <w:rPr>
          <w:bCs/>
        </w:rPr>
        <w:t>___</w:t>
      </w:r>
      <w:r w:rsidRPr="004C188E">
        <w:rPr>
          <w:b/>
          <w:bCs/>
        </w:rPr>
        <w:t>% of the hazardous substances at the Site</w:t>
      </w:r>
      <w:r w:rsidRPr="004C188E">
        <w:t xml:space="preserve">] and that are not significantly more toxic or of significantly greater hazardous effect than other hazardous substances at the Site. </w:t>
      </w:r>
    </w:p>
    <w:p w14:paraId="08D612EF" w14:textId="77777777" w:rsidR="004C188E" w:rsidRPr="004C188E" w:rsidRDefault="004C188E" w:rsidP="008057A1">
      <w:pPr>
        <w:pStyle w:val="LVL1"/>
      </w:pPr>
      <w:r w:rsidRPr="008057A1">
        <w:rPr>
          <w:bCs/>
          <w:u w:val="single"/>
        </w:rPr>
        <w:t>Determinations</w:t>
      </w:r>
      <w:r w:rsidRPr="008057A1">
        <w:rPr>
          <w:bCs/>
        </w:rPr>
        <w:t>.</w:t>
      </w:r>
      <w:r w:rsidR="00C11304">
        <w:t xml:space="preserve"> </w:t>
      </w:r>
      <w:r w:rsidRPr="004C188E">
        <w:t>EPA determines that: a) in accordance with Section 122(g) of CERCLA, 42 U.S.C. § 9622(g), it is practicable and in the public interest to reach this final settlement, involving only a minor portion of the response costs at the [</w:t>
      </w:r>
      <w:r w:rsidRPr="004C188E">
        <w:rPr>
          <w:b/>
          <w:bCs/>
        </w:rPr>
        <w:t>insert site name</w:t>
      </w:r>
      <w:r w:rsidRPr="004C188E">
        <w:t xml:space="preserve">] facility, with </w:t>
      </w:r>
      <w:r w:rsidR="00A40240">
        <w:t>Settl</w:t>
      </w:r>
      <w:r w:rsidR="00A40240">
        <w:rPr>
          <w:lang w:val="en-US"/>
        </w:rPr>
        <w:t>or</w:t>
      </w:r>
      <w:r w:rsidRPr="004C188E">
        <w:t xml:space="preserve">s who may be potentially responsible parties who each may have contributed a minimal amount of hazardous substances to the Site, the toxic or other hazardous effects of which are minimal in comparison to other hazardous substances at the Site; and b) </w:t>
      </w:r>
      <w:r w:rsidR="00A40240">
        <w:t>Sett</w:t>
      </w:r>
      <w:r w:rsidR="00A40240">
        <w:rPr>
          <w:lang w:val="en-US"/>
        </w:rPr>
        <w:t>lor</w:t>
      </w:r>
      <w:r w:rsidRPr="004C188E">
        <w:t>s are eligible for a non-exempt de micromis party settlement because they each contributed no more than a minuscule amount of hazardous substances to the Site, an amount that is so minor that it would be inequitable to require them to help finance or perform cleanup at the Site[.]</w:t>
      </w:r>
      <w:r w:rsidR="00C11304">
        <w:t xml:space="preserve"> </w:t>
      </w:r>
      <w:r w:rsidRPr="004C188E">
        <w:t>[</w:t>
      </w:r>
      <w:r w:rsidRPr="004C188E">
        <w:rPr>
          <w:b/>
          <w:bCs/>
        </w:rPr>
        <w:t>Insert if applicable:</w:t>
      </w:r>
      <w:r w:rsidRPr="004C188E">
        <w:t xml:space="preserve"> ; and c) total past and projected response costs of the United States at the Site will not exceed $500,000, excluding interest.]</w:t>
      </w:r>
    </w:p>
    <w:p w14:paraId="17A1229C" w14:textId="77777777" w:rsidR="004C188E" w:rsidRPr="00C11CDA" w:rsidRDefault="004C188E" w:rsidP="008057A1">
      <w:pPr>
        <w:pStyle w:val="LVL1"/>
      </w:pPr>
      <w:r w:rsidRPr="008057A1">
        <w:rPr>
          <w:bCs/>
          <w:u w:val="single"/>
        </w:rPr>
        <w:t>Certification</w:t>
      </w:r>
      <w:r w:rsidRPr="008057A1">
        <w:rPr>
          <w:bCs/>
        </w:rPr>
        <w:t>.</w:t>
      </w:r>
      <w:r w:rsidR="00C11304">
        <w:t xml:space="preserve"> </w:t>
      </w:r>
      <w:r w:rsidRPr="004C188E">
        <w:t xml:space="preserve">Each </w:t>
      </w:r>
      <w:r w:rsidR="00A40240">
        <w:t>Settl</w:t>
      </w:r>
      <w:r w:rsidR="00A40240">
        <w:rPr>
          <w:lang w:val="en-US"/>
        </w:rPr>
        <w:t>or</w:t>
      </w:r>
      <w:r w:rsidRPr="004C188E">
        <w:t xml:space="preserve"> certifies that to the best of its knowledge it: a) has conducted a thorough, comprehensive, good faith search for documents, and has fully and accurately disclosed to EPA all information currently in its possession, or in the possession of its officers, directors, employees, contractors or agents, if any, that relates in any way to the generation, treatment, transportation, storage, or disposal of a hazardous substance at or in connection with the Site; b) has not altered, destroyed, or disposed of any records, reports, </w:t>
      </w:r>
      <w:r w:rsidR="00C81DCB">
        <w:rPr>
          <w:lang w:val="en-US"/>
        </w:rPr>
        <w:t xml:space="preserve">documents, </w:t>
      </w:r>
      <w:r w:rsidRPr="004C188E">
        <w:t xml:space="preserve">or </w:t>
      </w:r>
      <w:r w:rsidR="00C81DCB">
        <w:rPr>
          <w:lang w:val="en-US"/>
        </w:rPr>
        <w:t xml:space="preserve">other </w:t>
      </w:r>
      <w:r w:rsidRPr="004C188E">
        <w:t xml:space="preserve">information </w:t>
      </w:r>
      <w:r w:rsidR="00C81DCB">
        <w:rPr>
          <w:lang w:val="en-US"/>
        </w:rPr>
        <w:t xml:space="preserve">(including </w:t>
      </w:r>
      <w:r w:rsidR="00C81DCB" w:rsidRPr="004C188E">
        <w:t xml:space="preserve">records, reports, </w:t>
      </w:r>
      <w:r w:rsidR="00C81DCB">
        <w:rPr>
          <w:lang w:val="en-US"/>
        </w:rPr>
        <w:t xml:space="preserve">documents, </w:t>
      </w:r>
      <w:r w:rsidR="00C81DCB" w:rsidRPr="004C188E">
        <w:t xml:space="preserve">or </w:t>
      </w:r>
      <w:r w:rsidR="00C81DCB">
        <w:rPr>
          <w:lang w:val="en-US"/>
        </w:rPr>
        <w:t xml:space="preserve">other </w:t>
      </w:r>
      <w:r w:rsidR="00C81DCB" w:rsidRPr="004C188E">
        <w:t xml:space="preserve">information </w:t>
      </w:r>
      <w:r w:rsidR="00C81DCB">
        <w:rPr>
          <w:lang w:val="en-US"/>
        </w:rPr>
        <w:t xml:space="preserve">in </w:t>
      </w:r>
      <w:r w:rsidR="00C81DCB">
        <w:rPr>
          <w:lang w:val="en-US"/>
        </w:rPr>
        <w:lastRenderedPageBreak/>
        <w:t xml:space="preserve">electronic form) </w:t>
      </w:r>
      <w:r w:rsidRPr="004C188E">
        <w:t xml:space="preserve">(other than identical copies) relating to its potential liability at the Site after notification of potential liability by the United States or the </w:t>
      </w:r>
      <w:r w:rsidR="004256DD" w:rsidRPr="00C11CDA">
        <w:t>s</w:t>
      </w:r>
      <w:r w:rsidRPr="00C11CDA">
        <w:t xml:space="preserve">tate; and c) has and will fully comply with any and all EPA </w:t>
      </w:r>
      <w:r w:rsidR="004256DD" w:rsidRPr="00C11CDA">
        <w:t xml:space="preserve">and state </w:t>
      </w:r>
      <w:r w:rsidRPr="00C11CDA">
        <w:t>requests for information concerning the Site pursuant to Sections 104(e) and 122(e)</w:t>
      </w:r>
      <w:r w:rsidR="008945EC">
        <w:rPr>
          <w:lang w:val="en-US"/>
        </w:rPr>
        <w:t>(3)(B)</w:t>
      </w:r>
      <w:r w:rsidRPr="00C11CDA">
        <w:t xml:space="preserve"> </w:t>
      </w:r>
      <w:r w:rsidR="001A46BF">
        <w:rPr>
          <w:lang w:val="en-US"/>
        </w:rPr>
        <w:t>and (g)</w:t>
      </w:r>
      <w:r w:rsidR="008945EC">
        <w:rPr>
          <w:lang w:val="en-US"/>
        </w:rPr>
        <w:t>(8)</w:t>
      </w:r>
      <w:r w:rsidR="001A46BF">
        <w:rPr>
          <w:lang w:val="en-US"/>
        </w:rPr>
        <w:t xml:space="preserve"> </w:t>
      </w:r>
      <w:r w:rsidRPr="00C11CDA">
        <w:t>of CERCLA, 42 U.S.C. §§ 9604(e) and 9622(e)</w:t>
      </w:r>
      <w:r w:rsidR="008945EC">
        <w:rPr>
          <w:lang w:val="en-US"/>
        </w:rPr>
        <w:t>(3)(B)</w:t>
      </w:r>
      <w:r w:rsidR="001A46BF">
        <w:rPr>
          <w:lang w:val="en-US"/>
        </w:rPr>
        <w:t xml:space="preserve"> and (g)</w:t>
      </w:r>
      <w:r w:rsidR="008945EC">
        <w:rPr>
          <w:lang w:val="en-US"/>
        </w:rPr>
        <w:t>(8)</w:t>
      </w:r>
      <w:r w:rsidRPr="00C11CDA">
        <w:t>, and Section 3007 of RCRA, 42 U.S.C. § 6927</w:t>
      </w:r>
      <w:r w:rsidR="004256DD" w:rsidRPr="00C11CDA">
        <w:t>, and state law</w:t>
      </w:r>
      <w:r w:rsidRPr="00C11CDA">
        <w:t>.</w:t>
      </w:r>
    </w:p>
    <w:p w14:paraId="1BB96E9A" w14:textId="77777777" w:rsidR="004C188E" w:rsidRPr="004C188E" w:rsidRDefault="004C188E" w:rsidP="008057A1">
      <w:pPr>
        <w:pStyle w:val="LVL1"/>
      </w:pPr>
      <w:r w:rsidRPr="008057A1">
        <w:rPr>
          <w:bCs/>
          <w:u w:val="single"/>
        </w:rPr>
        <w:t>United States’ Covenant Not to Sue</w:t>
      </w:r>
      <w:r w:rsidRPr="008057A1">
        <w:rPr>
          <w:bCs/>
        </w:rPr>
        <w:t>.</w:t>
      </w:r>
      <w:r w:rsidR="00C11304">
        <w:t xml:space="preserve"> </w:t>
      </w:r>
      <w:r w:rsidRPr="004C188E">
        <w:t xml:space="preserve">In consideration of </w:t>
      </w:r>
      <w:r w:rsidR="00A40240">
        <w:t>Settl</w:t>
      </w:r>
      <w:r w:rsidR="00A40240">
        <w:rPr>
          <w:lang w:val="en-US"/>
        </w:rPr>
        <w:t>or</w:t>
      </w:r>
      <w:r w:rsidRPr="004C188E">
        <w:t xml:space="preserve">s’ agreement to this Settlement Agreement, and except as specifically provided in Paragraph 7, the United States covenants not to sue or take administrative action against </w:t>
      </w:r>
      <w:r w:rsidR="00A40240">
        <w:t>Settl</w:t>
      </w:r>
      <w:r w:rsidR="00A40240">
        <w:rPr>
          <w:lang w:val="en-US"/>
        </w:rPr>
        <w:t>or</w:t>
      </w:r>
      <w:r w:rsidRPr="004C188E">
        <w:t>s under Sections 106 or 107 of CERCLA, 42 U.S.C. §§ 9606 and 9607, [and Section 7003 of the Resource Conservation and Recovery Act, 42 U.S.C. § 6973,]</w:t>
      </w:r>
      <w:r w:rsidR="004256DD" w:rsidRPr="004256DD">
        <w:rPr>
          <w:rFonts w:eastAsia="Times New Roman"/>
          <w:vertAlign w:val="superscript"/>
        </w:rPr>
        <w:t xml:space="preserve"> </w:t>
      </w:r>
      <w:r w:rsidR="004256DD" w:rsidRPr="0053365F">
        <w:rPr>
          <w:rFonts w:eastAsia="Times New Roman"/>
          <w:vertAlign w:val="superscript"/>
        </w:rPr>
        <w:footnoteReference w:id="1"/>
      </w:r>
      <w:r w:rsidRPr="004C188E">
        <w:t xml:space="preserve"> relating to the Site.</w:t>
      </w:r>
      <w:r>
        <w:rPr>
          <w:rStyle w:val="FootnoteReference"/>
          <w:szCs w:val="24"/>
        </w:rPr>
        <w:footnoteReference w:id="2"/>
      </w:r>
      <w:r w:rsidRPr="004C188E">
        <w:t xml:space="preserve"> </w:t>
      </w:r>
      <w:r w:rsidR="00C11304">
        <w:rPr>
          <w:lang w:val="en-US"/>
        </w:rPr>
        <w:t xml:space="preserve">These covenants shall take effect on the effective date as defined by Paragraph </w:t>
      </w:r>
      <w:r w:rsidR="008945EC">
        <w:rPr>
          <w:lang w:val="en-US"/>
        </w:rPr>
        <w:t>12</w:t>
      </w:r>
      <w:r w:rsidR="00C11304">
        <w:rPr>
          <w:lang w:val="en-US"/>
        </w:rPr>
        <w:t xml:space="preserve">. </w:t>
      </w:r>
    </w:p>
    <w:p w14:paraId="33D4B8B4" w14:textId="77777777" w:rsidR="004C188E" w:rsidRDefault="004C188E" w:rsidP="008057A1">
      <w:pPr>
        <w:pStyle w:val="LVL1"/>
      </w:pPr>
      <w:bookmarkStart w:id="3" w:name="_Ref376968049"/>
      <w:r w:rsidRPr="008057A1">
        <w:rPr>
          <w:bCs/>
          <w:u w:val="single"/>
        </w:rPr>
        <w:t>United States’ Reservations of Rights</w:t>
      </w:r>
      <w:r w:rsidRPr="008057A1">
        <w:rPr>
          <w:bCs/>
        </w:rPr>
        <w:t>.</w:t>
      </w:r>
      <w:r w:rsidR="00C11304">
        <w:t xml:space="preserve"> </w:t>
      </w:r>
      <w:r w:rsidRPr="004C188E">
        <w:t xml:space="preserve">The United States reserves the right to seek additional relief from any </w:t>
      </w:r>
      <w:r w:rsidR="00A40240">
        <w:t>Settl</w:t>
      </w:r>
      <w:r w:rsidR="00A40240">
        <w:rPr>
          <w:lang w:val="en-US"/>
        </w:rPr>
        <w:t>or</w:t>
      </w:r>
      <w:r w:rsidRPr="004C188E">
        <w:t xml:space="preserve"> if: 1) information is discovered indicating that such </w:t>
      </w:r>
      <w:proofErr w:type="spellStart"/>
      <w:r w:rsidR="008E3DFE">
        <w:t>Settl</w:t>
      </w:r>
      <w:r w:rsidR="00C11CDA">
        <w:rPr>
          <w:lang w:val="en-US"/>
        </w:rPr>
        <w:t>o</w:t>
      </w:r>
      <w:proofErr w:type="spellEnd"/>
      <w:r w:rsidR="008E3DFE">
        <w:t>r</w:t>
      </w:r>
      <w:r w:rsidRPr="004C188E">
        <w:t xml:space="preserve">’s contribution of hazardous substances to the Site is of such greater amount or of such greater toxic or other hazardous effect that it no longer qualifies for settlement under the criteria stated in Paragraph 3; or 2) after </w:t>
      </w:r>
      <w:r w:rsidR="00A40240">
        <w:t>Settl</w:t>
      </w:r>
      <w:r w:rsidR="00A40240">
        <w:rPr>
          <w:lang w:val="en-US"/>
        </w:rPr>
        <w:t>or</w:t>
      </w:r>
      <w:r w:rsidRPr="004C188E">
        <w:t xml:space="preserve"> signs this Settlement Agreement, such </w:t>
      </w:r>
      <w:r w:rsidR="00A40240">
        <w:t>Settl</w:t>
      </w:r>
      <w:r w:rsidR="00A40240">
        <w:rPr>
          <w:lang w:val="en-US"/>
        </w:rPr>
        <w:t>or</w:t>
      </w:r>
      <w:r w:rsidRPr="004C188E">
        <w:t xml:space="preserve"> becomes an owner or operator of the Site or undertakes any activity with regard to hazardous substances or solid wastes at the Site.</w:t>
      </w:r>
      <w:r w:rsidR="00C11304">
        <w:t xml:space="preserve"> </w:t>
      </w:r>
      <w:r w:rsidRPr="004C188E">
        <w:t>The United States also reserves all rights that it may have as to any matter relating in any way to the Site against any person who is not a party to this Settlement Agreement.</w:t>
      </w:r>
      <w:bookmarkEnd w:id="3"/>
      <w:r w:rsidR="00C11304">
        <w:t xml:space="preserve"> </w:t>
      </w:r>
    </w:p>
    <w:p w14:paraId="02BE920F" w14:textId="77777777" w:rsidR="004C188E" w:rsidRPr="004C188E" w:rsidRDefault="004C188E" w:rsidP="008057A1">
      <w:pPr>
        <w:pStyle w:val="LVL1"/>
      </w:pPr>
      <w:r w:rsidRPr="004C188E">
        <w:rPr>
          <w:szCs w:val="24"/>
        </w:rPr>
        <w:t xml:space="preserve"> </w:t>
      </w:r>
      <w:bookmarkStart w:id="4" w:name="_Ref376968069"/>
      <w:r w:rsidR="00970149">
        <w:rPr>
          <w:bCs/>
          <w:u w:val="single"/>
        </w:rPr>
        <w:t>Settl</w:t>
      </w:r>
      <w:r w:rsidR="00970149">
        <w:rPr>
          <w:bCs/>
          <w:u w:val="single"/>
          <w:lang w:val="en-US"/>
        </w:rPr>
        <w:t>or</w:t>
      </w:r>
      <w:r w:rsidRPr="008057A1">
        <w:rPr>
          <w:bCs/>
          <w:u w:val="single"/>
        </w:rPr>
        <w:t>s’ Covenant Not to Sue</w:t>
      </w:r>
      <w:r w:rsidRPr="008057A1">
        <w:rPr>
          <w:bCs/>
        </w:rPr>
        <w:t>.</w:t>
      </w:r>
      <w:r w:rsidR="00C11304">
        <w:rPr>
          <w:b/>
          <w:bCs/>
        </w:rPr>
        <w:t xml:space="preserve"> </w:t>
      </w:r>
      <w:r w:rsidR="00970149">
        <w:t>Settl</w:t>
      </w:r>
      <w:r w:rsidR="00970149">
        <w:rPr>
          <w:lang w:val="en-US"/>
        </w:rPr>
        <w:t>or</w:t>
      </w:r>
      <w:r w:rsidRPr="004C188E">
        <w:t xml:space="preserve">s covenant not to sue and agree not to assert any claims against the United States or its contractors or employees with respect to the Site or </w:t>
      </w:r>
      <w:r w:rsidRPr="004C188E">
        <w:lastRenderedPageBreak/>
        <w:t>this Settlement Agreement.</w:t>
      </w:r>
      <w:r w:rsidR="00C11304">
        <w:t xml:space="preserve"> </w:t>
      </w:r>
      <w:proofErr w:type="spellStart"/>
      <w:r w:rsidR="008E3DFE">
        <w:t>Settl</w:t>
      </w:r>
      <w:r w:rsidR="00C11CDA">
        <w:rPr>
          <w:lang w:val="en-US"/>
        </w:rPr>
        <w:t>o</w:t>
      </w:r>
      <w:r w:rsidR="008E3DFE">
        <w:t>r</w:t>
      </w:r>
      <w:r w:rsidRPr="004C188E">
        <w:t>s</w:t>
      </w:r>
      <w:proofErr w:type="spellEnd"/>
      <w:r w:rsidRPr="004C188E">
        <w:t xml:space="preserve"> also agree not to assert and to waive all claims with respect to the Site against each other or against any other person who is a potentially responsible party under CERCLA at the Site</w:t>
      </w:r>
      <w:r w:rsidR="00D80A40">
        <w:t>, provided, however, that t</w:t>
      </w:r>
      <w:r w:rsidR="00D80A40" w:rsidRPr="00B86DEF">
        <w:t xml:space="preserve">his waiver shall not apply with respect to any defense, claim, or cause of action that a </w:t>
      </w:r>
      <w:proofErr w:type="spellStart"/>
      <w:r w:rsidR="008E3DFE">
        <w:t>Settl</w:t>
      </w:r>
      <w:r w:rsidR="00C11CDA">
        <w:rPr>
          <w:lang w:val="en-US"/>
        </w:rPr>
        <w:t>o</w:t>
      </w:r>
      <w:proofErr w:type="spellEnd"/>
      <w:r w:rsidR="008E3DFE">
        <w:t>r</w:t>
      </w:r>
      <w:r w:rsidR="00D80A40" w:rsidRPr="00B86DEF">
        <w:t xml:space="preserve"> may have against any person if such person asserts a claim or cause of action relating to the Site against such </w:t>
      </w:r>
      <w:proofErr w:type="spellStart"/>
      <w:r w:rsidR="008E3DFE">
        <w:t>Settl</w:t>
      </w:r>
      <w:r w:rsidR="00C11CDA">
        <w:rPr>
          <w:lang w:val="en-US"/>
        </w:rPr>
        <w:t>o</w:t>
      </w:r>
      <w:proofErr w:type="spellEnd"/>
      <w:r w:rsidR="008E3DFE">
        <w:t>r</w:t>
      </w:r>
      <w:r w:rsidR="00D80A40" w:rsidRPr="00B86DEF">
        <w:t>.</w:t>
      </w:r>
      <w:r w:rsidR="00C11304">
        <w:t xml:space="preserve"> </w:t>
      </w:r>
      <w:r w:rsidRPr="004C188E">
        <w:t>[</w:t>
      </w:r>
      <w:r w:rsidRPr="004C188E">
        <w:rPr>
          <w:b/>
          <w:bCs/>
        </w:rPr>
        <w:t xml:space="preserve">NOTE: If a </w:t>
      </w:r>
      <w:r w:rsidR="00A40240">
        <w:rPr>
          <w:b/>
          <w:bCs/>
        </w:rPr>
        <w:t>Settl</w:t>
      </w:r>
      <w:r w:rsidR="00A40240">
        <w:rPr>
          <w:b/>
          <w:bCs/>
          <w:lang w:val="en-US"/>
        </w:rPr>
        <w:t>or</w:t>
      </w:r>
      <w:r w:rsidRPr="004C188E">
        <w:rPr>
          <w:b/>
          <w:bCs/>
        </w:rPr>
        <w:t xml:space="preserve"> asserts that it has a claim against a PRP within the scope of this waiver that is unrelated to the PRP’s de micromis CERCLA liability at the Site, e.g., a claim for contractual indemnification, insert exception for such claim to end of </w:t>
      </w:r>
      <w:r w:rsidR="00D80A40">
        <w:rPr>
          <w:b/>
          <w:bCs/>
        </w:rPr>
        <w:t>proviso</w:t>
      </w:r>
      <w:r w:rsidRPr="004C188E">
        <w:rPr>
          <w:b/>
          <w:bCs/>
        </w:rPr>
        <w:t xml:space="preserve">, such as: </w:t>
      </w:r>
      <w:r w:rsidR="00D80A40">
        <w:t>, and</w:t>
      </w:r>
      <w:r w:rsidRPr="004C188E">
        <w:t xml:space="preserve"> provided</w:t>
      </w:r>
      <w:r w:rsidR="00D80A40">
        <w:t xml:space="preserve"> further</w:t>
      </w:r>
      <w:r w:rsidRPr="004C188E">
        <w:t xml:space="preserve"> that this waiver shall not apply to </w:t>
      </w:r>
      <w:r w:rsidR="00A40240">
        <w:t>Settl</w:t>
      </w:r>
      <w:r w:rsidR="00A40240">
        <w:rPr>
          <w:lang w:val="en-US"/>
        </w:rPr>
        <w:t>or</w:t>
      </w:r>
      <w:r w:rsidRPr="004C188E">
        <w:rPr>
          <w:b/>
          <w:bCs/>
        </w:rPr>
        <w:t xml:space="preserve"> </w:t>
      </w:r>
      <w:r w:rsidRPr="004C188E">
        <w:t>[</w:t>
      </w:r>
      <w:r w:rsidRPr="004C188E">
        <w:rPr>
          <w:b/>
          <w:bCs/>
        </w:rPr>
        <w:t>insert name</w:t>
      </w:r>
      <w:r w:rsidRPr="004C188E">
        <w:t>]’s contractual indemnification claim against [</w:t>
      </w:r>
      <w:r w:rsidRPr="004C188E">
        <w:rPr>
          <w:b/>
          <w:bCs/>
        </w:rPr>
        <w:t>insert name</w:t>
      </w:r>
      <w:r w:rsidRPr="004C188E">
        <w:t>].]</w:t>
      </w:r>
      <w:bookmarkEnd w:id="4"/>
      <w:r w:rsidRPr="004C188E">
        <w:t xml:space="preserve"> </w:t>
      </w:r>
    </w:p>
    <w:p w14:paraId="63F5F38F" w14:textId="77777777" w:rsidR="008A4F92" w:rsidRDefault="004C188E" w:rsidP="008057A1">
      <w:pPr>
        <w:pStyle w:val="LVL1"/>
      </w:pPr>
      <w:r w:rsidRPr="008057A1">
        <w:rPr>
          <w:bCs/>
          <w:u w:val="single"/>
        </w:rPr>
        <w:t>Contribution</w:t>
      </w:r>
      <w:r w:rsidR="008A4F92">
        <w:rPr>
          <w:bCs/>
          <w:u w:val="single"/>
          <w:lang w:val="en-US"/>
        </w:rPr>
        <w:t xml:space="preserve"> Protection</w:t>
      </w:r>
      <w:r w:rsidRPr="008057A1">
        <w:rPr>
          <w:bCs/>
        </w:rPr>
        <w:t>.</w:t>
      </w:r>
      <w:r w:rsidR="00C11304">
        <w:t xml:space="preserve"> </w:t>
      </w:r>
      <w:r w:rsidRPr="004C188E">
        <w:t xml:space="preserve">The Parties agree that this Settlement Agreement is an administrative settlement </w:t>
      </w:r>
      <w:r w:rsidR="008E546C">
        <w:rPr>
          <w:lang w:val="en-US"/>
        </w:rPr>
        <w:t>under</w:t>
      </w:r>
      <w:r w:rsidR="001A46BF">
        <w:rPr>
          <w:lang w:val="en-US"/>
        </w:rPr>
        <w:t xml:space="preserve"> which each Settlor has, as of the effective date </w:t>
      </w:r>
      <w:r w:rsidR="00C11304">
        <w:rPr>
          <w:lang w:val="en-US"/>
        </w:rPr>
        <w:t xml:space="preserve">as defined by Paragraph </w:t>
      </w:r>
      <w:r w:rsidR="008945EC">
        <w:rPr>
          <w:lang w:val="en-US"/>
        </w:rPr>
        <w:t>12</w:t>
      </w:r>
      <w:r w:rsidR="001A46BF">
        <w:rPr>
          <w:lang w:val="en-US"/>
        </w:rPr>
        <w:t xml:space="preserve">, resolved liability to the United States within the meaning </w:t>
      </w:r>
      <w:r w:rsidRPr="004C188E">
        <w:t xml:space="preserve">of Sections 113(f)(2) and 122(g)(5) of CERCLA, 42 U.S.C. §§ 9613(f)(2) and 9622(g)(5), and that each </w:t>
      </w:r>
      <w:r w:rsidR="00A40240">
        <w:t>Settl</w:t>
      </w:r>
      <w:r w:rsidR="00A40240">
        <w:rPr>
          <w:lang w:val="en-US"/>
        </w:rPr>
        <w:t>or</w:t>
      </w:r>
      <w:r w:rsidRPr="004C188E">
        <w:t xml:space="preserve"> is entitled</w:t>
      </w:r>
      <w:r w:rsidR="00C11304">
        <w:rPr>
          <w:lang w:val="en-US"/>
        </w:rPr>
        <w:t>, as of the effective date,</w:t>
      </w:r>
      <w:r w:rsidRPr="004C188E">
        <w:t xml:space="preserve"> to protection from contribution actions or claims as provided by Sections 113(f)(2) and 122(g)(5) of CERCLA, or as may be otherwise provided by law, for </w:t>
      </w:r>
      <w:r w:rsidR="001A46BF">
        <w:rPr>
          <w:lang w:val="en-US"/>
        </w:rPr>
        <w:t xml:space="preserve">the </w:t>
      </w:r>
      <w:r w:rsidRPr="004C188E">
        <w:t>“matters addressed” in this Settlement Agreement.</w:t>
      </w:r>
      <w:r w:rsidR="00C11304">
        <w:t xml:space="preserve"> </w:t>
      </w:r>
      <w:r w:rsidRPr="004C188E">
        <w:t xml:space="preserve">The “matters addressed” in this Settlement Agreement are all response actions taken and to be taken and all response costs incurred and to be incurred, </w:t>
      </w:r>
      <w:r w:rsidR="008E546C">
        <w:rPr>
          <w:lang w:val="en-US"/>
        </w:rPr>
        <w:t xml:space="preserve">at or </w:t>
      </w:r>
      <w:r w:rsidRPr="004C188E">
        <w:t>in connection with the Site, by the United States or by any person</w:t>
      </w:r>
      <w:r w:rsidR="008E546C">
        <w:rPr>
          <w:lang w:val="en-US"/>
        </w:rPr>
        <w:t xml:space="preserve"> </w:t>
      </w:r>
      <w:r w:rsidR="00C11304">
        <w:rPr>
          <w:lang w:val="en-US"/>
        </w:rPr>
        <w:t>(</w:t>
      </w:r>
      <w:r w:rsidR="008E546C">
        <w:rPr>
          <w:lang w:val="en-US"/>
        </w:rPr>
        <w:t>except for the state</w:t>
      </w:r>
      <w:r w:rsidR="00C11304">
        <w:rPr>
          <w:lang w:val="en-US"/>
        </w:rPr>
        <w:t>)</w:t>
      </w:r>
      <w:r w:rsidR="008E546C">
        <w:rPr>
          <w:lang w:val="en-US"/>
        </w:rPr>
        <w:t>,</w:t>
      </w:r>
      <w:r w:rsidRPr="004C188E">
        <w:t xml:space="preserve"> except for those limited areas in Paragraph</w:t>
      </w:r>
      <w:r w:rsidR="008E3DFE">
        <w:rPr>
          <w:lang w:val="en-US"/>
        </w:rPr>
        <w:t xml:space="preserve"> </w:t>
      </w:r>
      <w:r w:rsidR="008E3DFE">
        <w:rPr>
          <w:lang w:val="en-US"/>
        </w:rPr>
        <w:fldChar w:fldCharType="begin"/>
      </w:r>
      <w:r w:rsidR="008E3DFE">
        <w:rPr>
          <w:lang w:val="en-US"/>
        </w:rPr>
        <w:instrText xml:space="preserve"> REF _Ref376968049 \w \h </w:instrText>
      </w:r>
      <w:r w:rsidR="008E3DFE">
        <w:rPr>
          <w:lang w:val="en-US"/>
        </w:rPr>
      </w:r>
      <w:r w:rsidR="008E3DFE">
        <w:rPr>
          <w:lang w:val="en-US"/>
        </w:rPr>
        <w:fldChar w:fldCharType="separate"/>
      </w:r>
      <w:r w:rsidR="007539ED">
        <w:rPr>
          <w:lang w:val="en-US"/>
        </w:rPr>
        <w:t>7</w:t>
      </w:r>
      <w:r w:rsidR="008E3DFE">
        <w:rPr>
          <w:lang w:val="en-US"/>
        </w:rPr>
        <w:fldChar w:fldCharType="end"/>
      </w:r>
      <w:r w:rsidRPr="004C188E">
        <w:t xml:space="preserve"> for which the United States has reserved its rights.</w:t>
      </w:r>
      <w:r w:rsidR="00C11304">
        <w:t xml:space="preserve"> </w:t>
      </w:r>
    </w:p>
    <w:p w14:paraId="6D8D91EF" w14:textId="77777777" w:rsidR="004C188E" w:rsidRPr="004C188E" w:rsidRDefault="008A4F92" w:rsidP="008057A1">
      <w:pPr>
        <w:pStyle w:val="LVL1"/>
      </w:pPr>
      <w:r>
        <w:rPr>
          <w:bCs/>
          <w:u w:val="single"/>
          <w:lang w:val="en-US"/>
        </w:rPr>
        <w:t>Contribution Rights</w:t>
      </w:r>
      <w:r w:rsidRPr="00C11304">
        <w:rPr>
          <w:rFonts w:eastAsia="Times New Roman"/>
        </w:rPr>
        <w:t>.</w:t>
      </w:r>
      <w:r w:rsidR="00C11304">
        <w:rPr>
          <w:rFonts w:eastAsia="Times New Roman"/>
          <w:lang w:val="en-US"/>
        </w:rPr>
        <w:t xml:space="preserve"> The </w:t>
      </w:r>
      <w:r w:rsidR="004A01F4" w:rsidRPr="002F53C5">
        <w:rPr>
          <w:rFonts w:eastAsia="Times New Roman"/>
        </w:rPr>
        <w:t xml:space="preserve">Parties further agree </w:t>
      </w:r>
      <w:r w:rsidR="00E911F5">
        <w:rPr>
          <w:rFonts w:eastAsia="Times New Roman"/>
          <w:lang w:val="en-US"/>
        </w:rPr>
        <w:t xml:space="preserve">and this Court finds </w:t>
      </w:r>
      <w:r w:rsidR="004A01F4" w:rsidRPr="002F53C5">
        <w:rPr>
          <w:rFonts w:eastAsia="Times New Roman"/>
        </w:rPr>
        <w:t xml:space="preserve">that this Settlement Agreement </w:t>
      </w:r>
      <w:r w:rsidR="008E546C">
        <w:rPr>
          <w:rFonts w:eastAsia="Times New Roman"/>
          <w:lang w:val="en-US"/>
        </w:rPr>
        <w:t>is</w:t>
      </w:r>
      <w:r w:rsidR="004A01F4" w:rsidRPr="002F53C5">
        <w:rPr>
          <w:rFonts w:eastAsia="Times New Roman"/>
        </w:rPr>
        <w:t xml:space="preserve"> an </w:t>
      </w:r>
      <w:r w:rsidR="00C11304">
        <w:rPr>
          <w:rFonts w:eastAsia="Times New Roman"/>
          <w:lang w:val="en-US"/>
        </w:rPr>
        <w:t>administrative</w:t>
      </w:r>
      <w:r w:rsidR="004A01F4" w:rsidRPr="002F53C5">
        <w:rPr>
          <w:rFonts w:eastAsia="Times New Roman"/>
        </w:rPr>
        <w:t xml:space="preserve"> settlement </w:t>
      </w:r>
      <w:r w:rsidR="008E546C">
        <w:rPr>
          <w:rFonts w:eastAsia="Times New Roman"/>
          <w:lang w:val="en-US"/>
        </w:rPr>
        <w:t>under</w:t>
      </w:r>
      <w:r w:rsidR="004A01F4" w:rsidRPr="002F53C5">
        <w:rPr>
          <w:rFonts w:eastAsia="Times New Roman"/>
        </w:rPr>
        <w:t xml:space="preserve"> which each </w:t>
      </w:r>
      <w:proofErr w:type="spellStart"/>
      <w:r w:rsidR="008E3DFE">
        <w:rPr>
          <w:rFonts w:eastAsia="Times New Roman"/>
        </w:rPr>
        <w:t>Settl</w:t>
      </w:r>
      <w:r w:rsidR="00C11CDA">
        <w:rPr>
          <w:rFonts w:eastAsia="Times New Roman"/>
          <w:lang w:val="en-US"/>
        </w:rPr>
        <w:t>o</w:t>
      </w:r>
      <w:proofErr w:type="spellEnd"/>
      <w:r w:rsidR="008E3DFE">
        <w:rPr>
          <w:rFonts w:eastAsia="Times New Roman"/>
        </w:rPr>
        <w:t>r</w:t>
      </w:r>
      <w:r w:rsidR="004A01F4">
        <w:rPr>
          <w:rFonts w:eastAsia="Times New Roman"/>
        </w:rPr>
        <w:t xml:space="preserve"> </w:t>
      </w:r>
      <w:r w:rsidR="004A01F4" w:rsidRPr="002F53C5">
        <w:rPr>
          <w:rFonts w:eastAsia="Times New Roman"/>
        </w:rPr>
        <w:t xml:space="preserve">has, as of the </w:t>
      </w:r>
      <w:r w:rsidR="00970149" w:rsidRPr="002F53C5">
        <w:rPr>
          <w:rFonts w:eastAsia="Times New Roman"/>
        </w:rPr>
        <w:t>effective</w:t>
      </w:r>
      <w:r w:rsidR="004A01F4" w:rsidRPr="002F53C5">
        <w:rPr>
          <w:rFonts w:eastAsia="Times New Roman"/>
        </w:rPr>
        <w:t xml:space="preserve"> </w:t>
      </w:r>
      <w:r w:rsidR="001A46BF">
        <w:rPr>
          <w:rFonts w:eastAsia="Times New Roman"/>
          <w:lang w:val="en-US"/>
        </w:rPr>
        <w:t>d</w:t>
      </w:r>
      <w:r w:rsidR="004A01F4" w:rsidRPr="002F53C5">
        <w:rPr>
          <w:rFonts w:eastAsia="Times New Roman"/>
        </w:rPr>
        <w:t>ate</w:t>
      </w:r>
      <w:r w:rsidR="001A46BF">
        <w:rPr>
          <w:rFonts w:eastAsia="Times New Roman"/>
          <w:lang w:val="en-US"/>
        </w:rPr>
        <w:t xml:space="preserve"> of this Settlement Agreement</w:t>
      </w:r>
      <w:r w:rsidR="004A01F4" w:rsidRPr="002F53C5">
        <w:rPr>
          <w:rFonts w:eastAsia="Times New Roman"/>
        </w:rPr>
        <w:t>,</w:t>
      </w:r>
      <w:r w:rsidR="001A46BF">
        <w:rPr>
          <w:rFonts w:eastAsia="Times New Roman"/>
          <w:lang w:val="en-US"/>
        </w:rPr>
        <w:t xml:space="preserve"> </w:t>
      </w:r>
      <w:r w:rsidR="004A01F4" w:rsidRPr="002F53C5">
        <w:rPr>
          <w:rFonts w:eastAsia="Times New Roman"/>
        </w:rPr>
        <w:t>resolved liability to the United States</w:t>
      </w:r>
      <w:r w:rsidR="008E546C">
        <w:rPr>
          <w:rFonts w:eastAsia="Times New Roman"/>
          <w:lang w:val="en-US"/>
        </w:rPr>
        <w:t xml:space="preserve"> </w:t>
      </w:r>
      <w:r w:rsidR="001A46BF">
        <w:rPr>
          <w:rFonts w:eastAsia="Times New Roman"/>
          <w:lang w:val="en-US"/>
        </w:rPr>
        <w:t xml:space="preserve">within the meaning of </w:t>
      </w:r>
      <w:r w:rsidR="001A46BF" w:rsidRPr="002F53C5">
        <w:rPr>
          <w:rFonts w:eastAsia="Times New Roman"/>
        </w:rPr>
        <w:t>Section 113(f)(3)(B) of CERCLA, 42 U.S.C. § 9613(f)(3)(B)</w:t>
      </w:r>
      <w:r w:rsidR="001A46BF">
        <w:rPr>
          <w:rFonts w:eastAsia="Times New Roman"/>
          <w:lang w:val="en-US"/>
        </w:rPr>
        <w:t>.</w:t>
      </w:r>
    </w:p>
    <w:p w14:paraId="6B247EA0" w14:textId="77777777" w:rsidR="004C188E" w:rsidRPr="004C188E" w:rsidRDefault="004C188E" w:rsidP="008057A1">
      <w:pPr>
        <w:pStyle w:val="LVL1"/>
      </w:pPr>
      <w:r w:rsidRPr="008E3DFE">
        <w:t>[</w:t>
      </w:r>
      <w:r w:rsidRPr="008057A1">
        <w:rPr>
          <w:b/>
        </w:rPr>
        <w:t>NOTE:</w:t>
      </w:r>
      <w:r w:rsidR="00C11304">
        <w:rPr>
          <w:b/>
        </w:rPr>
        <w:t xml:space="preserve"> </w:t>
      </w:r>
      <w:r w:rsidRPr="008057A1">
        <w:rPr>
          <w:b/>
        </w:rPr>
        <w:t>Insert if total past and projected response costs at the site will exceed $500,000, excluding interest.</w:t>
      </w:r>
      <w:r w:rsidRPr="008E3DFE">
        <w:t>]</w:t>
      </w:r>
      <w:r w:rsidR="00C11304">
        <w:t xml:space="preserve"> </w:t>
      </w:r>
      <w:r w:rsidRPr="004C188E">
        <w:rPr>
          <w:u w:val="single"/>
        </w:rPr>
        <w:t>Attorney General Approval</w:t>
      </w:r>
      <w:r w:rsidRPr="004C188E">
        <w:t>.</w:t>
      </w:r>
      <w:r w:rsidR="00C11304">
        <w:t xml:space="preserve"> </w:t>
      </w:r>
      <w:r w:rsidRPr="004C188E">
        <w:t>The Attorney General has approved this settlement as required by Section 122(g)(4) of CERCLA, 42 U.S.C. §</w:t>
      </w:r>
      <w:r w:rsidR="00A40240">
        <w:rPr>
          <w:lang w:val="en-US"/>
        </w:rPr>
        <w:t> </w:t>
      </w:r>
      <w:r w:rsidRPr="004C188E">
        <w:t>9622(g)(4).</w:t>
      </w:r>
    </w:p>
    <w:p w14:paraId="721AA341" w14:textId="77777777" w:rsidR="004C188E" w:rsidRPr="004C188E" w:rsidRDefault="004C188E" w:rsidP="008057A1">
      <w:pPr>
        <w:pStyle w:val="LVL1"/>
      </w:pPr>
      <w:r w:rsidRPr="008057A1">
        <w:rPr>
          <w:bCs/>
          <w:u w:val="single"/>
        </w:rPr>
        <w:t>Public Comment/Effective Date</w:t>
      </w:r>
      <w:r w:rsidRPr="008057A1">
        <w:rPr>
          <w:bCs/>
        </w:rPr>
        <w:t>.</w:t>
      </w:r>
      <w:r w:rsidR="00C11304">
        <w:t xml:space="preserve"> </w:t>
      </w:r>
      <w:r w:rsidRPr="004C188E">
        <w:t>This Settlement Agreement is subject to public comment under Section 122(</w:t>
      </w:r>
      <w:proofErr w:type="spellStart"/>
      <w:r w:rsidRPr="004C188E">
        <w:t>i</w:t>
      </w:r>
      <w:proofErr w:type="spellEnd"/>
      <w:r w:rsidRPr="004C188E">
        <w:t>) of CERCLA, 42 U.S.C. § 9622(</w:t>
      </w:r>
      <w:proofErr w:type="spellStart"/>
      <w:r w:rsidRPr="004C188E">
        <w:t>i</w:t>
      </w:r>
      <w:proofErr w:type="spellEnd"/>
      <w:r w:rsidRPr="004C188E">
        <w:t>), and is effective on the date that EPA issues written notice that the public comment period has closed and that comments received, if any, do not require modification of or EPA withdrawal from this Settlement Agreement.</w:t>
      </w:r>
    </w:p>
    <w:p w14:paraId="02F5DA72" w14:textId="77777777" w:rsidR="004C188E" w:rsidRPr="004C188E" w:rsidRDefault="004C188E" w:rsidP="004C188E">
      <w:pPr>
        <w:autoSpaceDE w:val="0"/>
        <w:autoSpaceDN w:val="0"/>
        <w:adjustRightInd w:val="0"/>
        <w:spacing w:before="0" w:after="0"/>
        <w:rPr>
          <w:szCs w:val="24"/>
        </w:rPr>
      </w:pPr>
    </w:p>
    <w:p w14:paraId="2CC9F532" w14:textId="77777777" w:rsidR="004C188E" w:rsidRPr="004C188E" w:rsidRDefault="004C188E" w:rsidP="004C188E">
      <w:pPr>
        <w:autoSpaceDE w:val="0"/>
        <w:autoSpaceDN w:val="0"/>
        <w:adjustRightInd w:val="0"/>
        <w:spacing w:before="0" w:after="0"/>
        <w:rPr>
          <w:szCs w:val="24"/>
        </w:rPr>
      </w:pPr>
      <w:r w:rsidRPr="004C188E">
        <w:rPr>
          <w:szCs w:val="24"/>
        </w:rPr>
        <w:t>IT IS SO AGREED AND ORDERED:</w:t>
      </w:r>
    </w:p>
    <w:p w14:paraId="5AD05854" w14:textId="77777777" w:rsidR="004C188E" w:rsidRPr="004C188E" w:rsidRDefault="004C188E" w:rsidP="004C188E">
      <w:pPr>
        <w:autoSpaceDE w:val="0"/>
        <w:autoSpaceDN w:val="0"/>
        <w:adjustRightInd w:val="0"/>
        <w:spacing w:before="0" w:after="0"/>
        <w:rPr>
          <w:szCs w:val="24"/>
        </w:rPr>
      </w:pPr>
    </w:p>
    <w:p w14:paraId="05D98535" w14:textId="77777777" w:rsidR="004C188E" w:rsidRPr="004C188E" w:rsidRDefault="008057A1" w:rsidP="008057A1">
      <w:pPr>
        <w:pStyle w:val="NoSpacing"/>
      </w:pPr>
      <w:r>
        <w:tab/>
      </w:r>
      <w:r>
        <w:tab/>
      </w:r>
      <w:r>
        <w:tab/>
      </w:r>
      <w:r>
        <w:tab/>
      </w:r>
      <w:r>
        <w:tab/>
      </w:r>
      <w:r>
        <w:tab/>
      </w:r>
      <w:r w:rsidR="004C188E" w:rsidRPr="004C188E">
        <w:t>U.S. Environmental Protection Agency</w:t>
      </w:r>
    </w:p>
    <w:p w14:paraId="04D7EAF2" w14:textId="77777777" w:rsidR="004C188E" w:rsidRDefault="004C188E" w:rsidP="008057A1">
      <w:pPr>
        <w:pStyle w:val="NoSpacing"/>
      </w:pPr>
    </w:p>
    <w:p w14:paraId="6A5CEB3A" w14:textId="77777777" w:rsidR="00A40240" w:rsidRPr="004C188E" w:rsidRDefault="00A40240" w:rsidP="008057A1">
      <w:pPr>
        <w:pStyle w:val="NoSpacing"/>
      </w:pPr>
    </w:p>
    <w:p w14:paraId="09B8FB72" w14:textId="77777777" w:rsidR="004C188E" w:rsidRPr="004C188E" w:rsidRDefault="001B6BFF" w:rsidP="008057A1">
      <w:pPr>
        <w:pStyle w:val="NoSpacing"/>
      </w:pPr>
      <w:r>
        <w:t xml:space="preserve">Date: </w:t>
      </w:r>
      <w:r w:rsidR="008057A1">
        <w:t>__________</w:t>
      </w:r>
      <w:r>
        <w:t>_</w:t>
      </w:r>
      <w:r w:rsidR="008057A1">
        <w:tab/>
      </w:r>
      <w:r w:rsidR="008057A1">
        <w:tab/>
      </w:r>
      <w:r w:rsidR="008057A1">
        <w:tab/>
      </w:r>
      <w:r w:rsidR="008057A1">
        <w:tab/>
        <w:t>____________________________</w:t>
      </w:r>
    </w:p>
    <w:p w14:paraId="1893030F" w14:textId="77777777" w:rsidR="008057A1" w:rsidRDefault="008057A1" w:rsidP="008057A1">
      <w:pPr>
        <w:pStyle w:val="NoSpacing"/>
      </w:pPr>
      <w:r>
        <w:tab/>
      </w:r>
      <w:r>
        <w:tab/>
      </w:r>
      <w:r>
        <w:tab/>
      </w:r>
      <w:r>
        <w:tab/>
      </w:r>
      <w:r>
        <w:tab/>
      </w:r>
      <w:r w:rsidR="001B6BFF">
        <w:tab/>
      </w:r>
      <w:r w:rsidR="004C188E" w:rsidRPr="004C188E">
        <w:t>[Name</w:t>
      </w:r>
      <w:r>
        <w:t>]</w:t>
      </w:r>
    </w:p>
    <w:p w14:paraId="5AE9043B" w14:textId="77777777" w:rsidR="004C188E" w:rsidRDefault="008057A1" w:rsidP="008057A1">
      <w:pPr>
        <w:pStyle w:val="NoSpacing"/>
      </w:pPr>
      <w:r>
        <w:tab/>
      </w:r>
      <w:r>
        <w:tab/>
      </w:r>
      <w:r>
        <w:tab/>
      </w:r>
      <w:r>
        <w:tab/>
      </w:r>
      <w:r>
        <w:tab/>
      </w:r>
      <w:r>
        <w:tab/>
      </w:r>
      <w:r w:rsidR="004C188E" w:rsidRPr="004C188E">
        <w:t>[Insert Title of Delegated Official]</w:t>
      </w:r>
    </w:p>
    <w:p w14:paraId="38542499" w14:textId="77777777" w:rsidR="00A40240" w:rsidRDefault="008057A1" w:rsidP="004C188E">
      <w:pPr>
        <w:autoSpaceDE w:val="0"/>
        <w:autoSpaceDN w:val="0"/>
        <w:adjustRightInd w:val="0"/>
        <w:spacing w:before="0" w:after="0"/>
      </w:pPr>
      <w:r>
        <w:tab/>
      </w:r>
      <w:r>
        <w:tab/>
      </w:r>
      <w:r>
        <w:tab/>
      </w:r>
      <w:r>
        <w:tab/>
      </w:r>
      <w:r>
        <w:tab/>
      </w:r>
      <w:r>
        <w:tab/>
        <w:t>U.S. EPA Region __</w:t>
      </w:r>
    </w:p>
    <w:p w14:paraId="27C24AD1" w14:textId="77777777" w:rsidR="000E6DB1" w:rsidRDefault="00A40240" w:rsidP="004C188E">
      <w:pPr>
        <w:autoSpaceDE w:val="0"/>
        <w:autoSpaceDN w:val="0"/>
        <w:adjustRightInd w:val="0"/>
        <w:spacing w:before="0" w:after="0"/>
        <w:sectPr w:rsidR="000E6DB1" w:rsidSect="00246F5E">
          <w:footerReference w:type="first" r:id="rId11"/>
          <w:pgSz w:w="12240" w:h="15840"/>
          <w:pgMar w:top="1440" w:right="1440" w:bottom="1440" w:left="1440" w:header="720" w:footer="570" w:gutter="0"/>
          <w:pgNumType w:start="1"/>
          <w:cols w:space="720"/>
          <w:docGrid w:linePitch="360"/>
        </w:sectPr>
      </w:pPr>
      <w:r>
        <w:tab/>
      </w:r>
      <w:r>
        <w:tab/>
      </w:r>
      <w:r>
        <w:tab/>
      </w:r>
      <w:r>
        <w:tab/>
      </w:r>
      <w:r>
        <w:tab/>
      </w:r>
      <w:r>
        <w:tab/>
        <w:t>[Address]</w:t>
      </w:r>
    </w:p>
    <w:p w14:paraId="181E549A" w14:textId="5FC4424D" w:rsidR="004C188E" w:rsidRPr="004C188E" w:rsidRDefault="008057A1" w:rsidP="008E3FD8">
      <w:pPr>
        <w:tabs>
          <w:tab w:val="left" w:pos="1080"/>
        </w:tabs>
        <w:autoSpaceDE w:val="0"/>
        <w:autoSpaceDN w:val="0"/>
        <w:adjustRightInd w:val="0"/>
        <w:spacing w:before="0" w:after="0"/>
        <w:jc w:val="center"/>
        <w:rPr>
          <w:szCs w:val="24"/>
        </w:rPr>
      </w:pPr>
      <w:r>
        <w:rPr>
          <w:szCs w:val="24"/>
        </w:rPr>
        <w:lastRenderedPageBreak/>
        <w:t xml:space="preserve">Signature Page </w:t>
      </w:r>
      <w:r w:rsidR="008E546C">
        <w:rPr>
          <w:szCs w:val="24"/>
        </w:rPr>
        <w:t>f</w:t>
      </w:r>
      <w:r>
        <w:rPr>
          <w:szCs w:val="24"/>
        </w:rPr>
        <w:t xml:space="preserve">or </w:t>
      </w:r>
      <w:r w:rsidR="004C188E" w:rsidRPr="004C188E">
        <w:rPr>
          <w:szCs w:val="24"/>
        </w:rPr>
        <w:t xml:space="preserve">Settlement Agreement </w:t>
      </w:r>
      <w:r>
        <w:rPr>
          <w:szCs w:val="24"/>
        </w:rPr>
        <w:t xml:space="preserve">Regarding </w:t>
      </w:r>
      <w:r w:rsidR="00A40240">
        <w:rPr>
          <w:szCs w:val="24"/>
        </w:rPr>
        <w:t>______</w:t>
      </w:r>
      <w:r>
        <w:rPr>
          <w:szCs w:val="24"/>
        </w:rPr>
        <w:t xml:space="preserve"> Superfund Site</w:t>
      </w:r>
    </w:p>
    <w:p w14:paraId="5EA06485" w14:textId="77777777" w:rsidR="004C188E" w:rsidRDefault="004C188E" w:rsidP="004C188E">
      <w:pPr>
        <w:autoSpaceDE w:val="0"/>
        <w:autoSpaceDN w:val="0"/>
        <w:adjustRightInd w:val="0"/>
        <w:spacing w:before="0" w:after="0"/>
        <w:rPr>
          <w:szCs w:val="24"/>
        </w:rPr>
      </w:pPr>
    </w:p>
    <w:p w14:paraId="7AE1FF92" w14:textId="77777777" w:rsidR="000E6DB1" w:rsidRDefault="000E6DB1" w:rsidP="004C188E">
      <w:pPr>
        <w:autoSpaceDE w:val="0"/>
        <w:autoSpaceDN w:val="0"/>
        <w:adjustRightInd w:val="0"/>
        <w:spacing w:before="0" w:after="0"/>
        <w:rPr>
          <w:szCs w:val="24"/>
        </w:rPr>
      </w:pPr>
    </w:p>
    <w:p w14:paraId="4B166F7C" w14:textId="77777777" w:rsidR="000E6DB1" w:rsidRPr="004C188E" w:rsidRDefault="000E6DB1" w:rsidP="004C188E">
      <w:pPr>
        <w:autoSpaceDE w:val="0"/>
        <w:autoSpaceDN w:val="0"/>
        <w:adjustRightInd w:val="0"/>
        <w:spacing w:before="0" w:after="0"/>
        <w:rPr>
          <w:szCs w:val="24"/>
        </w:rPr>
      </w:pPr>
    </w:p>
    <w:p w14:paraId="4A3D3495" w14:textId="77777777" w:rsidR="004C188E" w:rsidRPr="004C188E" w:rsidRDefault="004C188E" w:rsidP="004C188E">
      <w:pPr>
        <w:autoSpaceDE w:val="0"/>
        <w:autoSpaceDN w:val="0"/>
        <w:adjustRightInd w:val="0"/>
        <w:spacing w:before="0" w:after="0"/>
        <w:rPr>
          <w:szCs w:val="24"/>
        </w:rPr>
      </w:pPr>
    </w:p>
    <w:p w14:paraId="2917120B" w14:textId="77777777" w:rsidR="008057A1" w:rsidRDefault="008057A1" w:rsidP="004C188E">
      <w:pPr>
        <w:autoSpaceDE w:val="0"/>
        <w:autoSpaceDN w:val="0"/>
        <w:adjustRightInd w:val="0"/>
        <w:spacing w:before="0" w:after="0"/>
        <w:rPr>
          <w:szCs w:val="24"/>
        </w:rPr>
      </w:pPr>
    </w:p>
    <w:p w14:paraId="751C08A2" w14:textId="4D29C758" w:rsidR="008057A1" w:rsidRDefault="008057A1" w:rsidP="008057A1">
      <w:pPr>
        <w:pStyle w:val="NoSpacing"/>
        <w:rPr>
          <w:b/>
        </w:rPr>
      </w:pPr>
      <w:r w:rsidRPr="008E4F07">
        <w:tab/>
      </w:r>
      <w:r w:rsidRPr="008E4F07">
        <w:tab/>
      </w:r>
      <w:r w:rsidRPr="008E4F07">
        <w:tab/>
      </w:r>
      <w:r w:rsidRPr="008E4F07">
        <w:tab/>
      </w:r>
      <w:r w:rsidRPr="008E4F07">
        <w:tab/>
      </w:r>
      <w:r w:rsidRPr="008E4F07">
        <w:tab/>
      </w:r>
      <w:r w:rsidRPr="008057A1">
        <w:rPr>
          <w:b/>
        </w:rPr>
        <w:t xml:space="preserve">FOR </w:t>
      </w:r>
      <w:r w:rsidR="00575486">
        <w:rPr>
          <w:b/>
        </w:rPr>
        <w:t>_______</w:t>
      </w:r>
      <w:r w:rsidRPr="008E3FD8">
        <w:t>______________________</w:t>
      </w:r>
      <w:r w:rsidR="00575486">
        <w:t>_______</w:t>
      </w:r>
      <w:r w:rsidRPr="008057A1">
        <w:rPr>
          <w:b/>
        </w:rPr>
        <w:t>:</w:t>
      </w:r>
    </w:p>
    <w:p w14:paraId="717B1B95" w14:textId="56D1509C" w:rsidR="00575486" w:rsidRPr="00583996" w:rsidRDefault="00575486" w:rsidP="00575486">
      <w:pPr>
        <w:pStyle w:val="NoSpacing"/>
      </w:pPr>
      <w:r w:rsidRPr="00575486">
        <w:rPr>
          <w:b/>
        </w:rPr>
        <w:tab/>
      </w:r>
      <w:r w:rsidRPr="00575486">
        <w:rPr>
          <w:b/>
        </w:rPr>
        <w:tab/>
      </w:r>
      <w:r w:rsidRPr="00575486">
        <w:rPr>
          <w:b/>
        </w:rPr>
        <w:tab/>
      </w:r>
      <w:r w:rsidRPr="00575486">
        <w:rPr>
          <w:b/>
        </w:rPr>
        <w:tab/>
      </w:r>
      <w:r w:rsidRPr="00575486">
        <w:rPr>
          <w:b/>
        </w:rPr>
        <w:tab/>
      </w:r>
      <w:r w:rsidRPr="00575486">
        <w:rPr>
          <w:b/>
        </w:rPr>
        <w:tab/>
      </w:r>
      <w:r>
        <w:rPr>
          <w:b/>
        </w:rPr>
        <w:tab/>
      </w:r>
      <w:r w:rsidR="00583996">
        <w:rPr>
          <w:b/>
        </w:rPr>
        <w:tab/>
      </w:r>
      <w:r w:rsidRPr="00583996">
        <w:t>[Print name of Settl</w:t>
      </w:r>
      <w:r w:rsidR="00583996" w:rsidRPr="00583996">
        <w:rPr>
          <w:sz w:val="20"/>
          <w:szCs w:val="20"/>
        </w:rPr>
        <w:t>or</w:t>
      </w:r>
      <w:r w:rsidRPr="00583996">
        <w:t>]</w:t>
      </w:r>
    </w:p>
    <w:p w14:paraId="4F842A7C" w14:textId="77777777" w:rsidR="008057A1" w:rsidRDefault="008057A1" w:rsidP="008057A1">
      <w:pPr>
        <w:autoSpaceDE w:val="0"/>
        <w:autoSpaceDN w:val="0"/>
        <w:adjustRightInd w:val="0"/>
        <w:spacing w:before="0" w:after="0"/>
        <w:rPr>
          <w:szCs w:val="24"/>
        </w:rPr>
      </w:pPr>
    </w:p>
    <w:p w14:paraId="36BFD42B" w14:textId="77777777" w:rsidR="000E6DB1" w:rsidRPr="00575486" w:rsidRDefault="000E6DB1" w:rsidP="008057A1">
      <w:pPr>
        <w:autoSpaceDE w:val="0"/>
        <w:autoSpaceDN w:val="0"/>
        <w:adjustRightInd w:val="0"/>
        <w:spacing w:before="0" w:after="0"/>
        <w:rPr>
          <w:szCs w:val="24"/>
        </w:rPr>
      </w:pPr>
    </w:p>
    <w:p w14:paraId="1C5EA5CD" w14:textId="77777777" w:rsidR="008057A1" w:rsidRPr="008E4F07" w:rsidRDefault="008057A1" w:rsidP="008057A1">
      <w:pPr>
        <w:autoSpaceDE w:val="0"/>
        <w:autoSpaceDN w:val="0"/>
        <w:adjustRightInd w:val="0"/>
        <w:spacing w:before="0" w:after="0"/>
        <w:rPr>
          <w:szCs w:val="24"/>
        </w:rPr>
      </w:pPr>
    </w:p>
    <w:p w14:paraId="760B5946" w14:textId="77777777" w:rsidR="008057A1" w:rsidRDefault="001B6BFF" w:rsidP="008057A1">
      <w:pPr>
        <w:pStyle w:val="NoSpacing"/>
      </w:pPr>
      <w:r>
        <w:t xml:space="preserve">Date: </w:t>
      </w:r>
      <w:r w:rsidR="008057A1">
        <w:t>___________</w:t>
      </w:r>
      <w:r w:rsidR="008057A1">
        <w:tab/>
      </w:r>
      <w:r w:rsidR="008057A1" w:rsidRPr="008E4F07">
        <w:tab/>
      </w:r>
      <w:r>
        <w:tab/>
      </w:r>
      <w:r>
        <w:tab/>
      </w:r>
      <w:r w:rsidR="008057A1" w:rsidRPr="008E4F07">
        <w:t>___________________________________</w:t>
      </w:r>
      <w:r w:rsidR="008057A1">
        <w:t>______</w:t>
      </w:r>
    </w:p>
    <w:p w14:paraId="2C6CCE4A" w14:textId="77777777" w:rsidR="0024712A" w:rsidRDefault="008057A1" w:rsidP="008E3DFE">
      <w:pPr>
        <w:pStyle w:val="NoSpacing"/>
      </w:pPr>
      <w:r>
        <w:tab/>
      </w:r>
      <w:r>
        <w:tab/>
      </w:r>
      <w:r>
        <w:tab/>
      </w:r>
      <w:r>
        <w:tab/>
      </w:r>
      <w:r>
        <w:tab/>
      </w:r>
      <w:r>
        <w:tab/>
      </w:r>
      <w:r w:rsidRPr="008E4F07">
        <w:t xml:space="preserve">[Name and address of </w:t>
      </w:r>
      <w:r>
        <w:t>Settl</w:t>
      </w:r>
      <w:r w:rsidR="00C11CDA">
        <w:t>o</w:t>
      </w:r>
      <w:r>
        <w:t>r</w:t>
      </w:r>
      <w:r w:rsidRPr="008E4F07">
        <w:t xml:space="preserve"> or </w:t>
      </w:r>
      <w:r>
        <w:t>Settl</w:t>
      </w:r>
      <w:r w:rsidR="00C11CDA">
        <w:t>o</w:t>
      </w:r>
      <w:r>
        <w:t>r</w:t>
      </w:r>
      <w:r w:rsidRPr="008E4F07">
        <w:t>’s</w:t>
      </w:r>
      <w:r>
        <w:t xml:space="preserve"> signatory]</w:t>
      </w:r>
      <w:bookmarkEnd w:id="0"/>
    </w:p>
    <w:p w14:paraId="5CE27D97" w14:textId="77777777" w:rsidR="006504F5" w:rsidRDefault="006504F5" w:rsidP="008E3DFE">
      <w:pPr>
        <w:pStyle w:val="NoSpacing"/>
      </w:pPr>
    </w:p>
    <w:p w14:paraId="738EFBD9" w14:textId="793C88F9" w:rsidR="006504F5" w:rsidRPr="006504F5" w:rsidRDefault="006504F5" w:rsidP="006504F5">
      <w:pPr>
        <w:pStyle w:val="Note"/>
      </w:pPr>
      <w:r w:rsidRPr="006504F5">
        <w:rPr>
          <w:lang w:val="en-US"/>
        </w:rPr>
        <w:t>[</w:t>
      </w:r>
      <w:r w:rsidRPr="006504F5">
        <w:t>NOTE: A separate signature page must be signed by each settlor.</w:t>
      </w:r>
      <w:r w:rsidRPr="006504F5">
        <w:rPr>
          <w:lang w:val="en-US"/>
        </w:rPr>
        <w:t>]</w:t>
      </w:r>
    </w:p>
    <w:sectPr w:rsidR="006504F5" w:rsidRPr="006504F5" w:rsidSect="00FD3CA5">
      <w:pgSz w:w="12240" w:h="15840"/>
      <w:pgMar w:top="1440" w:right="1440" w:bottom="1440" w:left="1440" w:header="720" w:footer="57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0AA3" w14:textId="77777777" w:rsidR="00290A68" w:rsidRDefault="00290A68" w:rsidP="00872359">
      <w:pPr>
        <w:spacing w:before="0" w:after="0"/>
      </w:pPr>
      <w:r>
        <w:separator/>
      </w:r>
    </w:p>
  </w:endnote>
  <w:endnote w:type="continuationSeparator" w:id="0">
    <w:p w14:paraId="60D275C7" w14:textId="77777777" w:rsidR="00290A68" w:rsidRDefault="00290A68" w:rsidP="0087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12pt">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8DFE6" w14:textId="77777777" w:rsidR="00FD3CA5" w:rsidRPr="008057A1" w:rsidRDefault="00FD3CA5">
    <w:pPr>
      <w:pStyle w:val="Footer"/>
      <w:jc w:val="center"/>
      <w:rPr>
        <w:rFonts w:ascii="Times New Roman" w:hAnsi="Times New Roman"/>
      </w:rPr>
    </w:pPr>
    <w:r w:rsidRPr="008057A1">
      <w:rPr>
        <w:rFonts w:ascii="Times New Roman" w:hAnsi="Times New Roman"/>
      </w:rPr>
      <w:fldChar w:fldCharType="begin"/>
    </w:r>
    <w:r w:rsidRPr="008057A1">
      <w:rPr>
        <w:rFonts w:ascii="Times New Roman" w:hAnsi="Times New Roman"/>
      </w:rPr>
      <w:instrText xml:space="preserve"> PAGE   \* MERGEFORMAT </w:instrText>
    </w:r>
    <w:r w:rsidRPr="008057A1">
      <w:rPr>
        <w:rFonts w:ascii="Times New Roman" w:hAnsi="Times New Roman"/>
      </w:rPr>
      <w:fldChar w:fldCharType="separate"/>
    </w:r>
    <w:r w:rsidR="00062B82">
      <w:rPr>
        <w:rFonts w:ascii="Times New Roman" w:hAnsi="Times New Roman"/>
        <w:noProof/>
      </w:rPr>
      <w:t>3</w:t>
    </w:r>
    <w:r w:rsidRPr="008057A1">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A1E77" w14:textId="7E289FD7" w:rsidR="001D3E7A" w:rsidRDefault="001D3E7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79856" w14:textId="7B8CEA29" w:rsidR="001D3E7A" w:rsidRDefault="001D3E7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0327E" w14:textId="77777777" w:rsidR="00290A68" w:rsidRDefault="00290A68" w:rsidP="00872359">
      <w:pPr>
        <w:spacing w:before="0" w:after="0"/>
      </w:pPr>
      <w:r>
        <w:separator/>
      </w:r>
    </w:p>
  </w:footnote>
  <w:footnote w:type="continuationSeparator" w:id="0">
    <w:p w14:paraId="5ECCD881" w14:textId="77777777" w:rsidR="00290A68" w:rsidRDefault="00290A68" w:rsidP="00872359">
      <w:pPr>
        <w:spacing w:before="0" w:after="0"/>
      </w:pPr>
      <w:r>
        <w:continuationSeparator/>
      </w:r>
    </w:p>
  </w:footnote>
  <w:footnote w:id="1">
    <w:p w14:paraId="08568C63" w14:textId="3211BB4D" w:rsidR="004256DD" w:rsidRPr="00153F72" w:rsidRDefault="004256DD" w:rsidP="00153F72">
      <w:pPr>
        <w:pStyle w:val="FootnoteText"/>
        <w:spacing w:before="0" w:after="180"/>
        <w:rPr>
          <w:sz w:val="22"/>
        </w:rPr>
      </w:pPr>
      <w:r>
        <w:rPr>
          <w:rStyle w:val="FootnoteReference"/>
        </w:rPr>
        <w:footnoteRef/>
      </w:r>
      <w:r w:rsidR="00C11304">
        <w:t xml:space="preserve"> </w:t>
      </w:r>
      <w:r w:rsidRPr="00153F72">
        <w:rPr>
          <w:sz w:val="22"/>
          <w:szCs w:val="24"/>
        </w:rPr>
        <w:t xml:space="preserve">If including a RCRA </w:t>
      </w:r>
      <w:r w:rsidR="00A40240" w:rsidRPr="00153F72">
        <w:rPr>
          <w:sz w:val="22"/>
          <w:szCs w:val="24"/>
        </w:rPr>
        <w:t>§</w:t>
      </w:r>
      <w:r w:rsidRPr="00153F72">
        <w:rPr>
          <w:sz w:val="22"/>
          <w:szCs w:val="24"/>
        </w:rPr>
        <w:t xml:space="preserve"> 7003 covenant</w:t>
      </w:r>
      <w:r w:rsidRPr="00153F72">
        <w:rPr>
          <w:sz w:val="22"/>
          <w:szCs w:val="24"/>
          <w:lang w:val="en-US"/>
        </w:rPr>
        <w:t>,</w:t>
      </w:r>
      <w:r w:rsidRPr="00153F72">
        <w:rPr>
          <w:sz w:val="22"/>
          <w:szCs w:val="24"/>
        </w:rPr>
        <w:t xml:space="preserve"> pursuant to Section</w:t>
      </w:r>
      <w:r w:rsidR="00970149" w:rsidRPr="00970149">
        <w:rPr>
          <w:sz w:val="22"/>
          <w:szCs w:val="24"/>
          <w:lang w:val="en-US"/>
        </w:rPr>
        <w:t xml:space="preserve"> </w:t>
      </w:r>
      <w:r w:rsidRPr="00153F72">
        <w:rPr>
          <w:sz w:val="22"/>
          <w:szCs w:val="24"/>
        </w:rPr>
        <w:t>7003(d) of RCRA, you must offer to have a public meeting regarding the settlement and hold such a meeting if requested.</w:t>
      </w:r>
      <w:r w:rsidR="00C11304" w:rsidRPr="00153F72">
        <w:rPr>
          <w:sz w:val="22"/>
          <w:szCs w:val="24"/>
        </w:rPr>
        <w:t xml:space="preserve"> </w:t>
      </w:r>
      <w:r w:rsidRPr="00153F72">
        <w:rPr>
          <w:sz w:val="22"/>
          <w:szCs w:val="24"/>
        </w:rPr>
        <w:t>To do this, please include language in the Federal Register notice providing for an opportunity for a public meeting in the affected area.</w:t>
      </w:r>
      <w:r w:rsidR="00C11304" w:rsidRPr="00153F72">
        <w:rPr>
          <w:sz w:val="22"/>
          <w:szCs w:val="24"/>
        </w:rPr>
        <w:t xml:space="preserve"> </w:t>
      </w:r>
      <w:r w:rsidRPr="00153F72">
        <w:rPr>
          <w:sz w:val="22"/>
          <w:szCs w:val="24"/>
        </w:rPr>
        <w:t xml:space="preserve">For guidance regarding how to comply with this requirement, </w:t>
      </w:r>
      <w:r w:rsidRPr="001343AC">
        <w:rPr>
          <w:sz w:val="22"/>
          <w:szCs w:val="24"/>
        </w:rPr>
        <w:t>see</w:t>
      </w:r>
      <w:r w:rsidRPr="00153F72">
        <w:rPr>
          <w:sz w:val="22"/>
          <w:szCs w:val="24"/>
        </w:rPr>
        <w:t xml:space="preserve"> “Revised Model Notice Language for Compliance with Public Participation Requirements of Section 7003(d) of RCRA” (</w:t>
      </w:r>
      <w:r w:rsidR="00A40240" w:rsidRPr="00153F72">
        <w:rPr>
          <w:sz w:val="22"/>
          <w:szCs w:val="24"/>
        </w:rPr>
        <w:t>Oct</w:t>
      </w:r>
      <w:r w:rsidR="00A40240" w:rsidRPr="00153F72">
        <w:rPr>
          <w:sz w:val="22"/>
          <w:szCs w:val="24"/>
          <w:lang w:val="en-US"/>
        </w:rPr>
        <w:t>.</w:t>
      </w:r>
      <w:r w:rsidR="00A40240" w:rsidRPr="00153F72">
        <w:rPr>
          <w:sz w:val="22"/>
          <w:szCs w:val="24"/>
        </w:rPr>
        <w:t xml:space="preserve"> </w:t>
      </w:r>
      <w:r w:rsidRPr="00153F72">
        <w:rPr>
          <w:sz w:val="22"/>
          <w:szCs w:val="24"/>
        </w:rPr>
        <w:t>30, 1996)</w:t>
      </w:r>
      <w:r w:rsidR="00AE0520" w:rsidRPr="00153F72">
        <w:rPr>
          <w:sz w:val="22"/>
          <w:szCs w:val="24"/>
          <w:lang w:val="en-US"/>
        </w:rPr>
        <w:t>,</w:t>
      </w:r>
      <w:r w:rsidRPr="00153F72">
        <w:rPr>
          <w:sz w:val="22"/>
          <w:szCs w:val="24"/>
        </w:rPr>
        <w:t xml:space="preserve"> available at</w:t>
      </w:r>
      <w:r w:rsidR="00AE0520" w:rsidRPr="00153F72">
        <w:rPr>
          <w:sz w:val="22"/>
          <w:lang w:val="en-US"/>
        </w:rPr>
        <w:t xml:space="preserve"> </w:t>
      </w:r>
      <w:hyperlink r:id="rId1" w:history="1">
        <w:r w:rsidR="00062B82">
          <w:rPr>
            <w:rStyle w:val="Hyperlink"/>
            <w:sz w:val="22"/>
          </w:rPr>
          <w:t>https://www.epa.gov/enforcement/guidance-model-language-compliance-public-participation-requirements-under-rcra-section</w:t>
        </w:r>
      </w:hyperlink>
      <w:r w:rsidRPr="00153F72">
        <w:rPr>
          <w:sz w:val="22"/>
          <w:szCs w:val="24"/>
        </w:rPr>
        <w:t>.</w:t>
      </w:r>
    </w:p>
  </w:footnote>
  <w:footnote w:id="2">
    <w:p w14:paraId="7B547938" w14:textId="281376D6" w:rsidR="004C188E" w:rsidRPr="00153F72" w:rsidRDefault="004C188E" w:rsidP="00153F72">
      <w:pPr>
        <w:pStyle w:val="FootnoteText"/>
        <w:spacing w:before="0" w:after="180"/>
        <w:rPr>
          <w:sz w:val="22"/>
          <w:lang w:val="en-US"/>
        </w:rPr>
      </w:pPr>
      <w:r>
        <w:rPr>
          <w:rStyle w:val="FootnoteReference"/>
        </w:rPr>
        <w:footnoteRef/>
      </w:r>
      <w:r w:rsidR="00C11304">
        <w:rPr>
          <w:szCs w:val="24"/>
          <w:lang w:val="en-CA"/>
        </w:rPr>
        <w:t xml:space="preserve"> </w:t>
      </w:r>
      <w:r w:rsidRPr="00153F72">
        <w:rPr>
          <w:sz w:val="22"/>
          <w:szCs w:val="24"/>
        </w:rPr>
        <w:t xml:space="preserve">The federal natural resource trustees have agreed to waive the natural resource damage claim against de micromis </w:t>
      </w:r>
      <w:r w:rsidR="00A40240" w:rsidRPr="00153F72">
        <w:rPr>
          <w:sz w:val="22"/>
          <w:szCs w:val="24"/>
        </w:rPr>
        <w:t>settl</w:t>
      </w:r>
      <w:r w:rsidR="00A40240" w:rsidRPr="00153F72">
        <w:rPr>
          <w:sz w:val="22"/>
          <w:szCs w:val="24"/>
          <w:lang w:val="en-US"/>
        </w:rPr>
        <w:t>or</w:t>
      </w:r>
      <w:r w:rsidRPr="00153F72">
        <w:rPr>
          <w:sz w:val="22"/>
          <w:szCs w:val="24"/>
        </w:rPr>
        <w:t>s whose monetary consideration is $1.00 or less, subject to a right to withdraw that consent in a given case.</w:t>
      </w:r>
      <w:r w:rsidR="00C11304" w:rsidRPr="00153F72">
        <w:rPr>
          <w:sz w:val="22"/>
          <w:szCs w:val="24"/>
        </w:rPr>
        <w:t xml:space="preserve"> </w:t>
      </w:r>
      <w:r w:rsidRPr="00153F72">
        <w:rPr>
          <w:sz w:val="22"/>
          <w:szCs w:val="24"/>
        </w:rPr>
        <w:t>The Region should notify the trustees as early in the process as possible after it has decided to develop a de micromis settlement offer and must give potentially interested federal trustees 30</w:t>
      </w:r>
      <w:r w:rsidR="00A40240">
        <w:rPr>
          <w:sz w:val="22"/>
          <w:szCs w:val="24"/>
          <w:lang w:val="en-US"/>
        </w:rPr>
        <w:t> </w:t>
      </w:r>
      <w:r w:rsidRPr="00153F72">
        <w:rPr>
          <w:sz w:val="22"/>
          <w:szCs w:val="24"/>
        </w:rPr>
        <w:t>days to review the proposed settlement prior to EPA’s signing it.</w:t>
      </w:r>
      <w:r w:rsidR="00C11304" w:rsidRPr="00153F72">
        <w:rPr>
          <w:sz w:val="22"/>
          <w:szCs w:val="24"/>
        </w:rPr>
        <w:t xml:space="preserve"> </w:t>
      </w:r>
      <w:r w:rsidRPr="00153F72">
        <w:rPr>
          <w:sz w:val="22"/>
          <w:szCs w:val="24"/>
        </w:rPr>
        <w:t>(The 30 days may run concurrently with the period given to the de micromis parties to review and sign the proposed settlement.)</w:t>
      </w:r>
      <w:r w:rsidR="00C11304" w:rsidRPr="00153F72">
        <w:rPr>
          <w:sz w:val="22"/>
          <w:szCs w:val="24"/>
        </w:rPr>
        <w:t xml:space="preserve"> </w:t>
      </w:r>
      <w:r w:rsidRPr="00153F72">
        <w:rPr>
          <w:sz w:val="22"/>
          <w:szCs w:val="24"/>
        </w:rPr>
        <w:t>Unless a trustee objects within the 30-day period (or an enlarged time period agreed to by the Region and the trustee), the trustee’s generic waiver of natural resource claims applies.</w:t>
      </w:r>
      <w:r w:rsidR="00C11304" w:rsidRPr="00153F72">
        <w:rPr>
          <w:sz w:val="22"/>
          <w:szCs w:val="24"/>
        </w:rPr>
        <w:t xml:space="preserve"> </w:t>
      </w:r>
      <w:r w:rsidRPr="00153F72">
        <w:rPr>
          <w:sz w:val="22"/>
          <w:szCs w:val="24"/>
        </w:rPr>
        <w:t>This process was outlined in the “Revised Guidance on CERCLA Settlements with De Micromis Waste Contributors” (June 3, 1996</w:t>
      </w:r>
      <w:r w:rsidR="004256DD" w:rsidRPr="00153F72">
        <w:rPr>
          <w:sz w:val="22"/>
          <w:szCs w:val="24"/>
          <w:lang w:val="en-US"/>
        </w:rPr>
        <w:t>, p.</w:t>
      </w:r>
      <w:r w:rsidR="005204A5">
        <w:rPr>
          <w:sz w:val="22"/>
          <w:szCs w:val="24"/>
          <w:lang w:val="en-US"/>
        </w:rPr>
        <w:t> </w:t>
      </w:r>
      <w:r w:rsidR="004256DD" w:rsidRPr="00153F72">
        <w:rPr>
          <w:sz w:val="22"/>
          <w:szCs w:val="24"/>
          <w:lang w:val="en-US"/>
        </w:rPr>
        <w:t>10</w:t>
      </w:r>
      <w:r w:rsidRPr="00153F72">
        <w:rPr>
          <w:sz w:val="22"/>
          <w:szCs w:val="24"/>
        </w:rPr>
        <w:t>)</w:t>
      </w:r>
      <w:r w:rsidR="004256DD" w:rsidRPr="00153F72">
        <w:rPr>
          <w:sz w:val="22"/>
          <w:szCs w:val="24"/>
          <w:lang w:val="en-US"/>
        </w:rPr>
        <w:t xml:space="preserve">, available to EPA employees at </w:t>
      </w:r>
      <w:hyperlink r:id="rId2" w:history="1">
        <w:r w:rsidR="00062B82">
          <w:rPr>
            <w:rStyle w:val="Hyperlink"/>
            <w:sz w:val="22"/>
            <w:szCs w:val="24"/>
            <w:lang w:val="en-US"/>
          </w:rPr>
          <w:t>https://intranet.epa.gov/oeca/docket/ec-2003-053/cercla-sett-rpt.pdf</w:t>
        </w:r>
      </w:hyperlink>
      <w:r w:rsidRPr="00153F72">
        <w:rPr>
          <w:sz w:val="22"/>
          <w:szCs w:val="24"/>
        </w:rPr>
        <w:t>.</w:t>
      </w:r>
      <w:r w:rsidR="00C11304" w:rsidRPr="00153F72">
        <w:rPr>
          <w:sz w:val="22"/>
          <w:szCs w:val="24"/>
        </w:rPr>
        <w:t xml:space="preserve"> </w:t>
      </w:r>
      <w:r w:rsidRPr="00153F72">
        <w:rPr>
          <w:sz w:val="22"/>
          <w:szCs w:val="24"/>
        </w:rPr>
        <w:t>Although this guidance was superseded by the “Revised Settlement Policy and Contribution Waiver Language Regarding Exempt De Micromis and Non-Exempt De Micromis Parties”</w:t>
      </w:r>
      <w:r w:rsidR="00153F72">
        <w:rPr>
          <w:sz w:val="22"/>
          <w:szCs w:val="24"/>
          <w:lang w:val="en-US"/>
        </w:rPr>
        <w:t xml:space="preserve"> </w:t>
      </w:r>
      <w:r w:rsidR="00153F72" w:rsidRPr="00153F72">
        <w:rPr>
          <w:szCs w:val="24"/>
        </w:rPr>
        <w:t>(Nov. 6, 2002)</w:t>
      </w:r>
      <w:r w:rsidR="00153F72">
        <w:rPr>
          <w:b/>
          <w:szCs w:val="24"/>
          <w:lang w:val="en-US"/>
        </w:rPr>
        <w:t xml:space="preserve">, </w:t>
      </w:r>
      <w:r w:rsidR="00153F72" w:rsidRPr="00153F72">
        <w:rPr>
          <w:szCs w:val="24"/>
          <w:lang w:val="en-US"/>
        </w:rPr>
        <w:t>available at</w:t>
      </w:r>
      <w:r w:rsidR="00153F72">
        <w:rPr>
          <w:b/>
          <w:szCs w:val="24"/>
          <w:lang w:val="en-US"/>
        </w:rPr>
        <w:t xml:space="preserve"> </w:t>
      </w:r>
      <w:hyperlink r:id="rId3" w:history="1">
        <w:r w:rsidR="00062B82">
          <w:rPr>
            <w:rStyle w:val="Hyperlink"/>
            <w:sz w:val="22"/>
            <w:szCs w:val="22"/>
          </w:rPr>
          <w:t>https://www.epa.gov/enforcement/guidance-settlement-policy-contribution-waiver-language-regarding-de-micromis-parties</w:t>
        </w:r>
      </w:hyperlink>
      <w:bookmarkStart w:id="2" w:name="_GoBack"/>
      <w:bookmarkEnd w:id="2"/>
      <w:r w:rsidR="004256DD" w:rsidRPr="00D36637">
        <w:rPr>
          <w:sz w:val="22"/>
          <w:szCs w:val="22"/>
          <w:lang w:val="en-US"/>
        </w:rPr>
        <w:t>,</w:t>
      </w:r>
      <w:r w:rsidR="004256DD" w:rsidRPr="00153F72">
        <w:rPr>
          <w:sz w:val="22"/>
          <w:szCs w:val="24"/>
          <w:lang w:val="en-US"/>
        </w:rPr>
        <w:t xml:space="preserve"> </w:t>
      </w:r>
      <w:r w:rsidRPr="00153F72">
        <w:rPr>
          <w:sz w:val="22"/>
          <w:szCs w:val="24"/>
        </w:rPr>
        <w:t>the trustee review process is still in effect</w:t>
      </w:r>
      <w:r w:rsidR="00505E50" w:rsidRPr="00153F72">
        <w:rPr>
          <w:sz w:val="22"/>
          <w:szCs w:val="24"/>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2C1D"/>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 w15:restartNumberingAfterBreak="0">
    <w:nsid w:val="10D43AD3"/>
    <w:multiLevelType w:val="hybridMultilevel"/>
    <w:tmpl w:val="07CA41E0"/>
    <w:lvl w:ilvl="0" w:tplc="A470E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C034F"/>
    <w:multiLevelType w:val="hybridMultilevel"/>
    <w:tmpl w:val="54ACD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2073D"/>
    <w:multiLevelType w:val="multilevel"/>
    <w:tmpl w:val="20C2378A"/>
    <w:numStyleLink w:val="ENRDCD"/>
  </w:abstractNum>
  <w:abstractNum w:abstractNumId="4" w15:restartNumberingAfterBreak="0">
    <w:nsid w:val="275D4F04"/>
    <w:multiLevelType w:val="hybridMultilevel"/>
    <w:tmpl w:val="13C489C0"/>
    <w:lvl w:ilvl="0" w:tplc="9AB20E0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108C9"/>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6" w15:restartNumberingAfterBreak="0">
    <w:nsid w:val="2F297260"/>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7" w15:restartNumberingAfterBreak="0">
    <w:nsid w:val="31815A92"/>
    <w:multiLevelType w:val="hybridMultilevel"/>
    <w:tmpl w:val="A8A2DC22"/>
    <w:lvl w:ilvl="0" w:tplc="9662A1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22C0718"/>
    <w:multiLevelType w:val="multilevel"/>
    <w:tmpl w:val="410487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 w15:restartNumberingAfterBreak="0">
    <w:nsid w:val="38A60808"/>
    <w:multiLevelType w:val="hybridMultilevel"/>
    <w:tmpl w:val="9DC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A60C1"/>
    <w:multiLevelType w:val="multilevel"/>
    <w:tmpl w:val="77E884C6"/>
    <w:numStyleLink w:val="ENRDLegal"/>
  </w:abstractNum>
  <w:abstractNum w:abstractNumId="12" w15:restartNumberingAfterBreak="0">
    <w:nsid w:val="3D6F102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5E6B9E"/>
    <w:multiLevelType w:val="multilevel"/>
    <w:tmpl w:val="319ED0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4BD02E4C"/>
    <w:multiLevelType w:val="multilevel"/>
    <w:tmpl w:val="20C2378A"/>
    <w:numStyleLink w:val="ENRDCD"/>
  </w:abstractNum>
  <w:abstractNum w:abstractNumId="15" w15:restartNumberingAfterBreak="0">
    <w:nsid w:val="4F1F134B"/>
    <w:multiLevelType w:val="hybridMultilevel"/>
    <w:tmpl w:val="AFA0F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3240B"/>
    <w:multiLevelType w:val="multilevel"/>
    <w:tmpl w:val="6ACC8F9A"/>
    <w:numStyleLink w:val="ENRDRoman"/>
  </w:abstractNum>
  <w:abstractNum w:abstractNumId="17" w15:restartNumberingAfterBreak="0">
    <w:nsid w:val="5462796D"/>
    <w:multiLevelType w:val="hybridMultilevel"/>
    <w:tmpl w:val="392CA8DC"/>
    <w:lvl w:ilvl="0" w:tplc="FA924E08">
      <w:start w:val="1"/>
      <w:numFmt w:val="decimal"/>
      <w:lvlText w:val="%1."/>
      <w:lvlJc w:val="left"/>
      <w:pPr>
        <w:ind w:left="1080" w:hanging="360"/>
      </w:pPr>
    </w:lvl>
    <w:lvl w:ilvl="1" w:tplc="02827252" w:tentative="1">
      <w:start w:val="1"/>
      <w:numFmt w:val="lowerLetter"/>
      <w:lvlText w:val="%2."/>
      <w:lvlJc w:val="left"/>
      <w:pPr>
        <w:ind w:left="1800" w:hanging="360"/>
      </w:pPr>
    </w:lvl>
    <w:lvl w:ilvl="2" w:tplc="2B8E6902" w:tentative="1">
      <w:start w:val="1"/>
      <w:numFmt w:val="lowerRoman"/>
      <w:lvlText w:val="%3."/>
      <w:lvlJc w:val="right"/>
      <w:pPr>
        <w:ind w:left="2520" w:hanging="180"/>
      </w:pPr>
    </w:lvl>
    <w:lvl w:ilvl="3" w:tplc="DD884C68" w:tentative="1">
      <w:start w:val="1"/>
      <w:numFmt w:val="decimal"/>
      <w:lvlText w:val="%4."/>
      <w:lvlJc w:val="left"/>
      <w:pPr>
        <w:ind w:left="3240" w:hanging="360"/>
      </w:pPr>
    </w:lvl>
    <w:lvl w:ilvl="4" w:tplc="9384AAE2" w:tentative="1">
      <w:start w:val="1"/>
      <w:numFmt w:val="lowerLetter"/>
      <w:lvlText w:val="%5."/>
      <w:lvlJc w:val="left"/>
      <w:pPr>
        <w:ind w:left="3960" w:hanging="360"/>
      </w:pPr>
    </w:lvl>
    <w:lvl w:ilvl="5" w:tplc="180A8590" w:tentative="1">
      <w:start w:val="1"/>
      <w:numFmt w:val="lowerRoman"/>
      <w:lvlText w:val="%6."/>
      <w:lvlJc w:val="right"/>
      <w:pPr>
        <w:ind w:left="4680" w:hanging="180"/>
      </w:pPr>
    </w:lvl>
    <w:lvl w:ilvl="6" w:tplc="84121DAE" w:tentative="1">
      <w:start w:val="1"/>
      <w:numFmt w:val="decimal"/>
      <w:lvlText w:val="%7."/>
      <w:lvlJc w:val="left"/>
      <w:pPr>
        <w:ind w:left="5400" w:hanging="360"/>
      </w:pPr>
    </w:lvl>
    <w:lvl w:ilvl="7" w:tplc="09484C2E" w:tentative="1">
      <w:start w:val="1"/>
      <w:numFmt w:val="lowerLetter"/>
      <w:lvlText w:val="%8."/>
      <w:lvlJc w:val="left"/>
      <w:pPr>
        <w:ind w:left="6120" w:hanging="360"/>
      </w:pPr>
    </w:lvl>
    <w:lvl w:ilvl="8" w:tplc="0B82F196" w:tentative="1">
      <w:start w:val="1"/>
      <w:numFmt w:val="lowerRoman"/>
      <w:lvlText w:val="%9."/>
      <w:lvlJc w:val="right"/>
      <w:pPr>
        <w:ind w:left="6840" w:hanging="180"/>
      </w:pPr>
    </w:lvl>
  </w:abstractNum>
  <w:abstractNum w:abstractNumId="18" w15:restartNumberingAfterBreak="0">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hint="default"/>
        <w:sz w:val="24"/>
      </w:rPr>
    </w:lvl>
    <w:lvl w:ilvl="1">
      <w:start w:val="1"/>
      <w:numFmt w:val="lowerLetter"/>
      <w:pStyle w:val="LVL2"/>
      <w:lvlText w:val="%2."/>
      <w:lvlJc w:val="left"/>
      <w:pPr>
        <w:ind w:left="2160" w:hanging="720"/>
      </w:pPr>
      <w:rPr>
        <w:rFonts w:hint="default"/>
      </w:rPr>
    </w:lvl>
    <w:lvl w:ilvl="2">
      <w:start w:val="1"/>
      <w:numFmt w:val="decimal"/>
      <w:pStyle w:val="LVL3"/>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9" w15:restartNumberingAfterBreak="0">
    <w:nsid w:val="644C12A5"/>
    <w:multiLevelType w:val="hybridMultilevel"/>
    <w:tmpl w:val="2B92D74C"/>
    <w:lvl w:ilvl="0" w:tplc="6B3A2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E53F07"/>
    <w:multiLevelType w:val="hybridMultilevel"/>
    <w:tmpl w:val="700AC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01870"/>
    <w:multiLevelType w:val="hybridMultilevel"/>
    <w:tmpl w:val="2572EA46"/>
    <w:lvl w:ilvl="0" w:tplc="A378BE72">
      <w:start w:val="3"/>
      <w:numFmt w:val="bullet"/>
      <w:lvlText w:val="-"/>
      <w:lvlJc w:val="left"/>
      <w:pPr>
        <w:ind w:left="720" w:hanging="360"/>
      </w:pPr>
      <w:rPr>
        <w:rFonts w:ascii="Calibri" w:eastAsia="Calibri" w:hAnsi="Calibri" w:cs="Times New Roman" w:hint="default"/>
      </w:rPr>
    </w:lvl>
    <w:lvl w:ilvl="1" w:tplc="C8C252D6" w:tentative="1">
      <w:start w:val="1"/>
      <w:numFmt w:val="bullet"/>
      <w:lvlText w:val="o"/>
      <w:lvlJc w:val="left"/>
      <w:pPr>
        <w:ind w:left="1440" w:hanging="360"/>
      </w:pPr>
      <w:rPr>
        <w:rFonts w:ascii="Courier New" w:hAnsi="Courier New" w:cs="Courier New" w:hint="default"/>
      </w:rPr>
    </w:lvl>
    <w:lvl w:ilvl="2" w:tplc="3AF64982" w:tentative="1">
      <w:start w:val="1"/>
      <w:numFmt w:val="bullet"/>
      <w:lvlText w:val=""/>
      <w:lvlJc w:val="left"/>
      <w:pPr>
        <w:ind w:left="2160" w:hanging="360"/>
      </w:pPr>
      <w:rPr>
        <w:rFonts w:ascii="Wingdings" w:hAnsi="Wingdings" w:hint="default"/>
      </w:rPr>
    </w:lvl>
    <w:lvl w:ilvl="3" w:tplc="67547A4A" w:tentative="1">
      <w:start w:val="1"/>
      <w:numFmt w:val="bullet"/>
      <w:lvlText w:val=""/>
      <w:lvlJc w:val="left"/>
      <w:pPr>
        <w:ind w:left="2880" w:hanging="360"/>
      </w:pPr>
      <w:rPr>
        <w:rFonts w:ascii="Symbol" w:hAnsi="Symbol" w:hint="default"/>
      </w:rPr>
    </w:lvl>
    <w:lvl w:ilvl="4" w:tplc="F8C4FFB2" w:tentative="1">
      <w:start w:val="1"/>
      <w:numFmt w:val="bullet"/>
      <w:lvlText w:val="o"/>
      <w:lvlJc w:val="left"/>
      <w:pPr>
        <w:ind w:left="3600" w:hanging="360"/>
      </w:pPr>
      <w:rPr>
        <w:rFonts w:ascii="Courier New" w:hAnsi="Courier New" w:cs="Courier New" w:hint="default"/>
      </w:rPr>
    </w:lvl>
    <w:lvl w:ilvl="5" w:tplc="15501A22" w:tentative="1">
      <w:start w:val="1"/>
      <w:numFmt w:val="bullet"/>
      <w:lvlText w:val=""/>
      <w:lvlJc w:val="left"/>
      <w:pPr>
        <w:ind w:left="4320" w:hanging="360"/>
      </w:pPr>
      <w:rPr>
        <w:rFonts w:ascii="Wingdings" w:hAnsi="Wingdings" w:hint="default"/>
      </w:rPr>
    </w:lvl>
    <w:lvl w:ilvl="6" w:tplc="EE92DE8E" w:tentative="1">
      <w:start w:val="1"/>
      <w:numFmt w:val="bullet"/>
      <w:lvlText w:val=""/>
      <w:lvlJc w:val="left"/>
      <w:pPr>
        <w:ind w:left="5040" w:hanging="360"/>
      </w:pPr>
      <w:rPr>
        <w:rFonts w:ascii="Symbol" w:hAnsi="Symbol" w:hint="default"/>
      </w:rPr>
    </w:lvl>
    <w:lvl w:ilvl="7" w:tplc="8BB6423E" w:tentative="1">
      <w:start w:val="1"/>
      <w:numFmt w:val="bullet"/>
      <w:lvlText w:val="o"/>
      <w:lvlJc w:val="left"/>
      <w:pPr>
        <w:ind w:left="5760" w:hanging="360"/>
      </w:pPr>
      <w:rPr>
        <w:rFonts w:ascii="Courier New" w:hAnsi="Courier New" w:cs="Courier New" w:hint="default"/>
      </w:rPr>
    </w:lvl>
    <w:lvl w:ilvl="8" w:tplc="D1E82A94" w:tentative="1">
      <w:start w:val="1"/>
      <w:numFmt w:val="bullet"/>
      <w:lvlText w:val=""/>
      <w:lvlJc w:val="left"/>
      <w:pPr>
        <w:ind w:left="6480" w:hanging="360"/>
      </w:pPr>
      <w:rPr>
        <w:rFonts w:ascii="Wingdings" w:hAnsi="Wingdings" w:hint="default"/>
      </w:rPr>
    </w:lvl>
  </w:abstractNum>
  <w:abstractNum w:abstractNumId="22"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abstractNumId w:val="18"/>
  </w:num>
  <w:num w:numId="2">
    <w:abstractNumId w:val="22"/>
  </w:num>
  <w:num w:numId="3">
    <w:abstractNumId w:val="9"/>
  </w:num>
  <w:num w:numId="4">
    <w:abstractNumId w:val="22"/>
  </w:num>
  <w:num w:numId="5">
    <w:abstractNumId w:val="18"/>
  </w:num>
  <w:num w:numId="6">
    <w:abstractNumId w:val="11"/>
  </w:num>
  <w:num w:numId="7">
    <w:abstractNumId w:val="16"/>
  </w:num>
  <w:num w:numId="8">
    <w:abstractNumId w:val="14"/>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9">
    <w:abstractNumId w:val="13"/>
  </w:num>
  <w:num w:numId="10">
    <w:abstractNumId w:val="3"/>
  </w:num>
  <w:num w:numId="11">
    <w:abstractNumId w:val="10"/>
  </w:num>
  <w:num w:numId="12">
    <w:abstractNumId w:val="17"/>
  </w:num>
  <w:num w:numId="13">
    <w:abstractNumId w:val="13"/>
  </w:num>
  <w:num w:numId="14">
    <w:abstractNumId w:val="13"/>
  </w:num>
  <w:num w:numId="15">
    <w:abstractNumId w:val="21"/>
  </w:num>
  <w:num w:numId="16">
    <w:abstractNumId w:val="8"/>
  </w:num>
  <w:num w:numId="17">
    <w:abstractNumId w:val="13"/>
  </w:num>
  <w:num w:numId="18">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19">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0">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1">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2">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3">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4">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5">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6">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7">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8">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9">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30">
    <w:abstractNumId w:val="14"/>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31">
    <w:abstractNumId w:val="2"/>
  </w:num>
  <w:num w:numId="32">
    <w:abstractNumId w:val="20"/>
  </w:num>
  <w:num w:numId="33">
    <w:abstractNumId w:val="7"/>
  </w:num>
  <w:num w:numId="34">
    <w:abstractNumId w:val="0"/>
  </w:num>
  <w:num w:numId="35">
    <w:abstractNumId w:val="14"/>
    <w:lvlOverride w:ilvl="0">
      <w:lvl w:ilvl="0">
        <w:start w:val="1"/>
        <w:numFmt w:val="decimal"/>
        <w:pStyle w:val="LVL1"/>
        <w:lvlText w:val="%1."/>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6">
    <w:abstractNumId w:val="4"/>
  </w:num>
  <w:num w:numId="37">
    <w:abstractNumId w:val="15"/>
  </w:num>
  <w:num w:numId="38">
    <w:abstractNumId w:val="6"/>
  </w:num>
  <w:num w:numId="39">
    <w:abstractNumId w:val="5"/>
  </w:num>
  <w:num w:numId="40">
    <w:abstractNumId w:val="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BC"/>
    <w:rsid w:val="0000579B"/>
    <w:rsid w:val="00005DF6"/>
    <w:rsid w:val="00043977"/>
    <w:rsid w:val="00047C7E"/>
    <w:rsid w:val="00062B82"/>
    <w:rsid w:val="000A7CA5"/>
    <w:rsid w:val="000B7CEF"/>
    <w:rsid w:val="000B7F51"/>
    <w:rsid w:val="000C4041"/>
    <w:rsid w:val="000D19C3"/>
    <w:rsid w:val="000D4D3B"/>
    <w:rsid w:val="000E1CAA"/>
    <w:rsid w:val="000E5DD8"/>
    <w:rsid w:val="000E6DB1"/>
    <w:rsid w:val="000F1AB1"/>
    <w:rsid w:val="00100327"/>
    <w:rsid w:val="0010393A"/>
    <w:rsid w:val="00106041"/>
    <w:rsid w:val="00114737"/>
    <w:rsid w:val="00116448"/>
    <w:rsid w:val="001164A6"/>
    <w:rsid w:val="00121F1C"/>
    <w:rsid w:val="00122680"/>
    <w:rsid w:val="00130421"/>
    <w:rsid w:val="001309D1"/>
    <w:rsid w:val="001328C8"/>
    <w:rsid w:val="001343AC"/>
    <w:rsid w:val="00143BB5"/>
    <w:rsid w:val="0014406A"/>
    <w:rsid w:val="00145818"/>
    <w:rsid w:val="001504A3"/>
    <w:rsid w:val="00150997"/>
    <w:rsid w:val="00151CBD"/>
    <w:rsid w:val="001529A1"/>
    <w:rsid w:val="00153F72"/>
    <w:rsid w:val="00155865"/>
    <w:rsid w:val="00157322"/>
    <w:rsid w:val="00176851"/>
    <w:rsid w:val="001820AB"/>
    <w:rsid w:val="00182A28"/>
    <w:rsid w:val="00184BF7"/>
    <w:rsid w:val="00190C5D"/>
    <w:rsid w:val="00191125"/>
    <w:rsid w:val="00192B33"/>
    <w:rsid w:val="001941F8"/>
    <w:rsid w:val="0019631D"/>
    <w:rsid w:val="001A0315"/>
    <w:rsid w:val="001A46BF"/>
    <w:rsid w:val="001A61BC"/>
    <w:rsid w:val="001B4AA2"/>
    <w:rsid w:val="001B6BFF"/>
    <w:rsid w:val="001C08B9"/>
    <w:rsid w:val="001C1484"/>
    <w:rsid w:val="001C26C7"/>
    <w:rsid w:val="001C3B9C"/>
    <w:rsid w:val="001C401C"/>
    <w:rsid w:val="001D3E7A"/>
    <w:rsid w:val="001E2ADE"/>
    <w:rsid w:val="001F60A8"/>
    <w:rsid w:val="0020353A"/>
    <w:rsid w:val="00206021"/>
    <w:rsid w:val="0020684B"/>
    <w:rsid w:val="002208D3"/>
    <w:rsid w:val="0022166F"/>
    <w:rsid w:val="002347D9"/>
    <w:rsid w:val="00234F86"/>
    <w:rsid w:val="00236EBC"/>
    <w:rsid w:val="002414E4"/>
    <w:rsid w:val="00246F5E"/>
    <w:rsid w:val="0024712A"/>
    <w:rsid w:val="00252017"/>
    <w:rsid w:val="00252C59"/>
    <w:rsid w:val="002567D7"/>
    <w:rsid w:val="002625E2"/>
    <w:rsid w:val="0027434A"/>
    <w:rsid w:val="0027637D"/>
    <w:rsid w:val="002824EE"/>
    <w:rsid w:val="0029006E"/>
    <w:rsid w:val="00290A68"/>
    <w:rsid w:val="00290C55"/>
    <w:rsid w:val="002928AC"/>
    <w:rsid w:val="002960AE"/>
    <w:rsid w:val="002A1369"/>
    <w:rsid w:val="002B2AA6"/>
    <w:rsid w:val="002C0EC3"/>
    <w:rsid w:val="002C490B"/>
    <w:rsid w:val="002C4A80"/>
    <w:rsid w:val="002D0E09"/>
    <w:rsid w:val="002D4142"/>
    <w:rsid w:val="002E2AE4"/>
    <w:rsid w:val="002F4799"/>
    <w:rsid w:val="002F748D"/>
    <w:rsid w:val="00304626"/>
    <w:rsid w:val="00310524"/>
    <w:rsid w:val="00310EBC"/>
    <w:rsid w:val="00311B8B"/>
    <w:rsid w:val="00313865"/>
    <w:rsid w:val="00327FEF"/>
    <w:rsid w:val="00346FDC"/>
    <w:rsid w:val="00347BE9"/>
    <w:rsid w:val="00351315"/>
    <w:rsid w:val="00360B0A"/>
    <w:rsid w:val="003668EF"/>
    <w:rsid w:val="00380BC6"/>
    <w:rsid w:val="00385C67"/>
    <w:rsid w:val="0038697E"/>
    <w:rsid w:val="003871CB"/>
    <w:rsid w:val="00397C4C"/>
    <w:rsid w:val="003A20EF"/>
    <w:rsid w:val="003A2245"/>
    <w:rsid w:val="003A34A7"/>
    <w:rsid w:val="003A4789"/>
    <w:rsid w:val="003A6AB3"/>
    <w:rsid w:val="003B4164"/>
    <w:rsid w:val="003B6026"/>
    <w:rsid w:val="003C6434"/>
    <w:rsid w:val="003D00AF"/>
    <w:rsid w:val="003D3A1A"/>
    <w:rsid w:val="003E2243"/>
    <w:rsid w:val="004009E6"/>
    <w:rsid w:val="00405AC5"/>
    <w:rsid w:val="004115FE"/>
    <w:rsid w:val="00420636"/>
    <w:rsid w:val="004256DD"/>
    <w:rsid w:val="0043667C"/>
    <w:rsid w:val="00436A7C"/>
    <w:rsid w:val="0043731D"/>
    <w:rsid w:val="0044266E"/>
    <w:rsid w:val="00445649"/>
    <w:rsid w:val="00445916"/>
    <w:rsid w:val="004512A6"/>
    <w:rsid w:val="0047480F"/>
    <w:rsid w:val="00474EF2"/>
    <w:rsid w:val="004822C8"/>
    <w:rsid w:val="0049269E"/>
    <w:rsid w:val="0049295E"/>
    <w:rsid w:val="004A01F4"/>
    <w:rsid w:val="004B14E8"/>
    <w:rsid w:val="004B23FC"/>
    <w:rsid w:val="004B587E"/>
    <w:rsid w:val="004C188E"/>
    <w:rsid w:val="004D14D4"/>
    <w:rsid w:val="004E22A2"/>
    <w:rsid w:val="004E3438"/>
    <w:rsid w:val="00505381"/>
    <w:rsid w:val="00505E50"/>
    <w:rsid w:val="005066AE"/>
    <w:rsid w:val="005069F1"/>
    <w:rsid w:val="0051153D"/>
    <w:rsid w:val="0051394C"/>
    <w:rsid w:val="00513997"/>
    <w:rsid w:val="005159E6"/>
    <w:rsid w:val="005204A5"/>
    <w:rsid w:val="00520C05"/>
    <w:rsid w:val="00522514"/>
    <w:rsid w:val="00522FE9"/>
    <w:rsid w:val="005374AE"/>
    <w:rsid w:val="00543FF4"/>
    <w:rsid w:val="005506E7"/>
    <w:rsid w:val="00554B9E"/>
    <w:rsid w:val="00566F56"/>
    <w:rsid w:val="00567FE9"/>
    <w:rsid w:val="00575486"/>
    <w:rsid w:val="00577547"/>
    <w:rsid w:val="00583996"/>
    <w:rsid w:val="0058657D"/>
    <w:rsid w:val="005908EC"/>
    <w:rsid w:val="0059281E"/>
    <w:rsid w:val="00597BDD"/>
    <w:rsid w:val="005A1F0D"/>
    <w:rsid w:val="005A4574"/>
    <w:rsid w:val="005B1BAE"/>
    <w:rsid w:val="005D4941"/>
    <w:rsid w:val="005D67B6"/>
    <w:rsid w:val="005F3511"/>
    <w:rsid w:val="006076DC"/>
    <w:rsid w:val="006231C6"/>
    <w:rsid w:val="0063092F"/>
    <w:rsid w:val="00632881"/>
    <w:rsid w:val="00642801"/>
    <w:rsid w:val="00642B48"/>
    <w:rsid w:val="00642B73"/>
    <w:rsid w:val="0064707D"/>
    <w:rsid w:val="006504F5"/>
    <w:rsid w:val="006520F3"/>
    <w:rsid w:val="0065356A"/>
    <w:rsid w:val="0066384D"/>
    <w:rsid w:val="00672C14"/>
    <w:rsid w:val="006937C6"/>
    <w:rsid w:val="006961E3"/>
    <w:rsid w:val="00697F74"/>
    <w:rsid w:val="006A2B3B"/>
    <w:rsid w:val="006A4EC2"/>
    <w:rsid w:val="006B138B"/>
    <w:rsid w:val="006B5089"/>
    <w:rsid w:val="006D5B0A"/>
    <w:rsid w:val="006E23B1"/>
    <w:rsid w:val="006F1AAF"/>
    <w:rsid w:val="006F7325"/>
    <w:rsid w:val="00700BAD"/>
    <w:rsid w:val="0070267C"/>
    <w:rsid w:val="00702E3E"/>
    <w:rsid w:val="00710FB1"/>
    <w:rsid w:val="00715ACA"/>
    <w:rsid w:val="00716541"/>
    <w:rsid w:val="007167F7"/>
    <w:rsid w:val="00722F18"/>
    <w:rsid w:val="007256ED"/>
    <w:rsid w:val="00726939"/>
    <w:rsid w:val="00741A57"/>
    <w:rsid w:val="007539ED"/>
    <w:rsid w:val="00765993"/>
    <w:rsid w:val="007709EB"/>
    <w:rsid w:val="00770EC1"/>
    <w:rsid w:val="00774487"/>
    <w:rsid w:val="00791A9F"/>
    <w:rsid w:val="007A2931"/>
    <w:rsid w:val="007A2E99"/>
    <w:rsid w:val="007A57CD"/>
    <w:rsid w:val="007A5995"/>
    <w:rsid w:val="007B028D"/>
    <w:rsid w:val="007B235E"/>
    <w:rsid w:val="007B5048"/>
    <w:rsid w:val="007C6CD7"/>
    <w:rsid w:val="007D3552"/>
    <w:rsid w:val="007E4525"/>
    <w:rsid w:val="007E6AFA"/>
    <w:rsid w:val="007F0C4C"/>
    <w:rsid w:val="0080064F"/>
    <w:rsid w:val="00803CBB"/>
    <w:rsid w:val="008057A1"/>
    <w:rsid w:val="0080585F"/>
    <w:rsid w:val="008144B5"/>
    <w:rsid w:val="0081672E"/>
    <w:rsid w:val="00817CE3"/>
    <w:rsid w:val="0082077C"/>
    <w:rsid w:val="00821947"/>
    <w:rsid w:val="00826EA2"/>
    <w:rsid w:val="00832481"/>
    <w:rsid w:val="00832984"/>
    <w:rsid w:val="0083586D"/>
    <w:rsid w:val="008453AC"/>
    <w:rsid w:val="00847519"/>
    <w:rsid w:val="00850950"/>
    <w:rsid w:val="008509B6"/>
    <w:rsid w:val="00853B8E"/>
    <w:rsid w:val="00854757"/>
    <w:rsid w:val="00860163"/>
    <w:rsid w:val="00861992"/>
    <w:rsid w:val="00867F7F"/>
    <w:rsid w:val="008717BC"/>
    <w:rsid w:val="00872359"/>
    <w:rsid w:val="00894058"/>
    <w:rsid w:val="008945EC"/>
    <w:rsid w:val="00895616"/>
    <w:rsid w:val="008958EA"/>
    <w:rsid w:val="008A319A"/>
    <w:rsid w:val="008A4F92"/>
    <w:rsid w:val="008B0CC3"/>
    <w:rsid w:val="008B2684"/>
    <w:rsid w:val="008B7468"/>
    <w:rsid w:val="008C3269"/>
    <w:rsid w:val="008D559A"/>
    <w:rsid w:val="008D607E"/>
    <w:rsid w:val="008D65F9"/>
    <w:rsid w:val="008E3DFE"/>
    <w:rsid w:val="008E3FD8"/>
    <w:rsid w:val="008E546C"/>
    <w:rsid w:val="008E65E6"/>
    <w:rsid w:val="00910AF7"/>
    <w:rsid w:val="00914565"/>
    <w:rsid w:val="00936F25"/>
    <w:rsid w:val="009463FD"/>
    <w:rsid w:val="00951652"/>
    <w:rsid w:val="009633C4"/>
    <w:rsid w:val="009643CC"/>
    <w:rsid w:val="00964B65"/>
    <w:rsid w:val="00970149"/>
    <w:rsid w:val="00973377"/>
    <w:rsid w:val="00973DC8"/>
    <w:rsid w:val="00976A23"/>
    <w:rsid w:val="0097746B"/>
    <w:rsid w:val="009802EE"/>
    <w:rsid w:val="00980658"/>
    <w:rsid w:val="00993C4F"/>
    <w:rsid w:val="0099591A"/>
    <w:rsid w:val="009972B1"/>
    <w:rsid w:val="009A1131"/>
    <w:rsid w:val="009B131E"/>
    <w:rsid w:val="009C3E36"/>
    <w:rsid w:val="009D08D1"/>
    <w:rsid w:val="009D4F32"/>
    <w:rsid w:val="009D7E5D"/>
    <w:rsid w:val="009E2449"/>
    <w:rsid w:val="009E514D"/>
    <w:rsid w:val="009F29B7"/>
    <w:rsid w:val="00A02D37"/>
    <w:rsid w:val="00A11F49"/>
    <w:rsid w:val="00A20336"/>
    <w:rsid w:val="00A25316"/>
    <w:rsid w:val="00A31E93"/>
    <w:rsid w:val="00A335D1"/>
    <w:rsid w:val="00A3377F"/>
    <w:rsid w:val="00A340BE"/>
    <w:rsid w:val="00A40240"/>
    <w:rsid w:val="00A478D1"/>
    <w:rsid w:val="00A530B5"/>
    <w:rsid w:val="00A73C7B"/>
    <w:rsid w:val="00A75AF7"/>
    <w:rsid w:val="00A806C6"/>
    <w:rsid w:val="00A82750"/>
    <w:rsid w:val="00A84A47"/>
    <w:rsid w:val="00A84A67"/>
    <w:rsid w:val="00A965F0"/>
    <w:rsid w:val="00AA2C06"/>
    <w:rsid w:val="00AA3BF2"/>
    <w:rsid w:val="00AB180A"/>
    <w:rsid w:val="00AB35EC"/>
    <w:rsid w:val="00AD2703"/>
    <w:rsid w:val="00AD2D1B"/>
    <w:rsid w:val="00AD6BA0"/>
    <w:rsid w:val="00AE0520"/>
    <w:rsid w:val="00AE7363"/>
    <w:rsid w:val="00AE74D7"/>
    <w:rsid w:val="00AF31BE"/>
    <w:rsid w:val="00AF401A"/>
    <w:rsid w:val="00AF48C7"/>
    <w:rsid w:val="00AF7234"/>
    <w:rsid w:val="00B07149"/>
    <w:rsid w:val="00B12286"/>
    <w:rsid w:val="00B16D69"/>
    <w:rsid w:val="00B465EC"/>
    <w:rsid w:val="00B47BAF"/>
    <w:rsid w:val="00B52B13"/>
    <w:rsid w:val="00B540BD"/>
    <w:rsid w:val="00B62E63"/>
    <w:rsid w:val="00B66DED"/>
    <w:rsid w:val="00B7191B"/>
    <w:rsid w:val="00B92256"/>
    <w:rsid w:val="00B9232A"/>
    <w:rsid w:val="00B94C6B"/>
    <w:rsid w:val="00B94FA5"/>
    <w:rsid w:val="00BA0EC4"/>
    <w:rsid w:val="00BA55E5"/>
    <w:rsid w:val="00BB510C"/>
    <w:rsid w:val="00BB69FA"/>
    <w:rsid w:val="00BB6C58"/>
    <w:rsid w:val="00BC1ADE"/>
    <w:rsid w:val="00BC6621"/>
    <w:rsid w:val="00BD0AA3"/>
    <w:rsid w:val="00BD594D"/>
    <w:rsid w:val="00BE0BC8"/>
    <w:rsid w:val="00BE1660"/>
    <w:rsid w:val="00BE2048"/>
    <w:rsid w:val="00BE6B9F"/>
    <w:rsid w:val="00BE6F77"/>
    <w:rsid w:val="00BF6D1F"/>
    <w:rsid w:val="00C05E26"/>
    <w:rsid w:val="00C10711"/>
    <w:rsid w:val="00C11304"/>
    <w:rsid w:val="00C114F0"/>
    <w:rsid w:val="00C11CDA"/>
    <w:rsid w:val="00C169B9"/>
    <w:rsid w:val="00C172D8"/>
    <w:rsid w:val="00C27C0B"/>
    <w:rsid w:val="00C362D3"/>
    <w:rsid w:val="00C36F2B"/>
    <w:rsid w:val="00C37CCD"/>
    <w:rsid w:val="00C4584E"/>
    <w:rsid w:val="00C50A22"/>
    <w:rsid w:val="00C5459B"/>
    <w:rsid w:val="00C7072C"/>
    <w:rsid w:val="00C72829"/>
    <w:rsid w:val="00C758F0"/>
    <w:rsid w:val="00C8187F"/>
    <w:rsid w:val="00C81DCB"/>
    <w:rsid w:val="00C946A1"/>
    <w:rsid w:val="00C97368"/>
    <w:rsid w:val="00C974BE"/>
    <w:rsid w:val="00CA3F00"/>
    <w:rsid w:val="00CB3EDE"/>
    <w:rsid w:val="00CB3FA8"/>
    <w:rsid w:val="00CC6B47"/>
    <w:rsid w:val="00CD4FFE"/>
    <w:rsid w:val="00CD68E7"/>
    <w:rsid w:val="00CE0611"/>
    <w:rsid w:val="00CF24E2"/>
    <w:rsid w:val="00CF35A8"/>
    <w:rsid w:val="00D022C4"/>
    <w:rsid w:val="00D10E05"/>
    <w:rsid w:val="00D20E93"/>
    <w:rsid w:val="00D27814"/>
    <w:rsid w:val="00D3396E"/>
    <w:rsid w:val="00D36637"/>
    <w:rsid w:val="00D550FC"/>
    <w:rsid w:val="00D60000"/>
    <w:rsid w:val="00D658FE"/>
    <w:rsid w:val="00D71B2C"/>
    <w:rsid w:val="00D80A40"/>
    <w:rsid w:val="00D856E5"/>
    <w:rsid w:val="00D92C8E"/>
    <w:rsid w:val="00D96A7E"/>
    <w:rsid w:val="00DA08A7"/>
    <w:rsid w:val="00DA2CA6"/>
    <w:rsid w:val="00DA7849"/>
    <w:rsid w:val="00DB4C1E"/>
    <w:rsid w:val="00DC364F"/>
    <w:rsid w:val="00DC4439"/>
    <w:rsid w:val="00DC7D10"/>
    <w:rsid w:val="00DD3501"/>
    <w:rsid w:val="00DD6818"/>
    <w:rsid w:val="00DE3991"/>
    <w:rsid w:val="00DE3F69"/>
    <w:rsid w:val="00DE4388"/>
    <w:rsid w:val="00E019CB"/>
    <w:rsid w:val="00E051C1"/>
    <w:rsid w:val="00E05422"/>
    <w:rsid w:val="00E220C0"/>
    <w:rsid w:val="00E24105"/>
    <w:rsid w:val="00E33F39"/>
    <w:rsid w:val="00E37ED3"/>
    <w:rsid w:val="00E46761"/>
    <w:rsid w:val="00E5038D"/>
    <w:rsid w:val="00E53867"/>
    <w:rsid w:val="00E54B66"/>
    <w:rsid w:val="00E56B42"/>
    <w:rsid w:val="00E56F13"/>
    <w:rsid w:val="00E67C74"/>
    <w:rsid w:val="00E7467B"/>
    <w:rsid w:val="00E74877"/>
    <w:rsid w:val="00E85031"/>
    <w:rsid w:val="00E90F68"/>
    <w:rsid w:val="00E911F5"/>
    <w:rsid w:val="00E9217C"/>
    <w:rsid w:val="00EA1BE4"/>
    <w:rsid w:val="00EC584B"/>
    <w:rsid w:val="00ED0C4A"/>
    <w:rsid w:val="00ED5959"/>
    <w:rsid w:val="00ED7357"/>
    <w:rsid w:val="00EE5C6F"/>
    <w:rsid w:val="00EE7E0F"/>
    <w:rsid w:val="00EF5EC7"/>
    <w:rsid w:val="00F01862"/>
    <w:rsid w:val="00F108A8"/>
    <w:rsid w:val="00F170D7"/>
    <w:rsid w:val="00F22B9D"/>
    <w:rsid w:val="00F30CD3"/>
    <w:rsid w:val="00F32A9F"/>
    <w:rsid w:val="00F34D75"/>
    <w:rsid w:val="00F533B9"/>
    <w:rsid w:val="00F72506"/>
    <w:rsid w:val="00F72A49"/>
    <w:rsid w:val="00F76FBF"/>
    <w:rsid w:val="00F83498"/>
    <w:rsid w:val="00F87CA9"/>
    <w:rsid w:val="00FB2E60"/>
    <w:rsid w:val="00FB7017"/>
    <w:rsid w:val="00FB7AD4"/>
    <w:rsid w:val="00FC679C"/>
    <w:rsid w:val="00FD3CA5"/>
    <w:rsid w:val="00FD5242"/>
    <w:rsid w:val="00FF5757"/>
    <w:rsid w:val="00FF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71FA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FD"/>
    <w:pPr>
      <w:spacing w:before="240" w:after="60"/>
    </w:pPr>
    <w:rPr>
      <w:rFonts w:ascii="Times New Roman" w:hAnsi="Times New Roman"/>
      <w:sz w:val="24"/>
      <w:szCs w:val="22"/>
    </w:rPr>
  </w:style>
  <w:style w:type="paragraph" w:styleId="Heading1">
    <w:name w:val="heading 1"/>
    <w:aliases w:val="SECTION"/>
    <w:basedOn w:val="Normal"/>
    <w:next w:val="LVL1"/>
    <w:link w:val="Heading1Char"/>
    <w:uiPriority w:val="9"/>
    <w:qFormat/>
    <w:rsid w:val="007E4525"/>
    <w:pPr>
      <w:keepNext/>
      <w:keepLines/>
      <w:numPr>
        <w:numId w:val="9"/>
      </w:numPr>
      <w:jc w:val="center"/>
      <w:outlineLvl w:val="0"/>
    </w:pPr>
    <w:rPr>
      <w:rFonts w:eastAsia="Times New Roman"/>
      <w:bCs/>
      <w:szCs w:val="28"/>
      <w:lang w:val="x-none" w:eastAsia="x-none"/>
    </w:rPr>
  </w:style>
  <w:style w:type="paragraph" w:styleId="Heading2">
    <w:name w:val="heading 2"/>
    <w:basedOn w:val="Heading1"/>
    <w:next w:val="Normal"/>
    <w:link w:val="Heading2Char"/>
    <w:uiPriority w:val="9"/>
    <w:unhideWhenUsed/>
    <w:rsid w:val="002960AE"/>
    <w:pPr>
      <w:numPr>
        <w:ilvl w:val="1"/>
      </w:numPr>
      <w:jc w:val="left"/>
      <w:outlineLvl w:val="1"/>
    </w:pPr>
    <w:rPr>
      <w:b/>
      <w:sz w:val="26"/>
      <w:szCs w:val="26"/>
    </w:rPr>
  </w:style>
  <w:style w:type="paragraph" w:styleId="Heading3">
    <w:name w:val="heading 3"/>
    <w:aliases w:val="Level 1"/>
    <w:basedOn w:val="Normal"/>
    <w:next w:val="Normal"/>
    <w:link w:val="Heading3Char"/>
    <w:uiPriority w:val="9"/>
    <w:unhideWhenUsed/>
    <w:rsid w:val="002960AE"/>
    <w:pPr>
      <w:keepNext/>
      <w:keepLines/>
      <w:numPr>
        <w:ilvl w:val="2"/>
        <w:numId w:val="9"/>
      </w:numPr>
      <w:outlineLvl w:val="2"/>
    </w:pPr>
    <w:rPr>
      <w:rFonts w:eastAsia="Times New Roman"/>
      <w:b/>
      <w:bCs/>
      <w:szCs w:val="24"/>
      <w:u w:val="single"/>
      <w:lang w:val="x-none" w:eastAsia="x-none"/>
    </w:rPr>
  </w:style>
  <w:style w:type="paragraph" w:styleId="Heading4">
    <w:name w:val="heading 4"/>
    <w:aliases w:val="Level 3"/>
    <w:basedOn w:val="Normal"/>
    <w:next w:val="Normal"/>
    <w:link w:val="Heading4Char"/>
    <w:uiPriority w:val="9"/>
    <w:unhideWhenUsed/>
    <w:rsid w:val="002960AE"/>
    <w:pPr>
      <w:keepNext/>
      <w:keepLines/>
      <w:numPr>
        <w:ilvl w:val="3"/>
        <w:numId w:val="9"/>
      </w:numPr>
      <w:outlineLvl w:val="3"/>
    </w:pPr>
    <w:rPr>
      <w:rFonts w:eastAsia="Times New Roman"/>
      <w:b/>
      <w:bCs/>
      <w:iCs/>
      <w:szCs w:val="24"/>
      <w:lang w:val="x-none" w:eastAsia="x-none"/>
    </w:rPr>
  </w:style>
  <w:style w:type="paragraph" w:styleId="Heading5">
    <w:name w:val="heading 5"/>
    <w:basedOn w:val="Normal"/>
    <w:next w:val="Normal"/>
    <w:link w:val="Heading5Char"/>
    <w:uiPriority w:val="9"/>
    <w:unhideWhenUsed/>
    <w:rsid w:val="004E22A2"/>
    <w:pPr>
      <w:keepNext/>
      <w:keepLines/>
      <w:numPr>
        <w:ilvl w:val="4"/>
        <w:numId w:val="9"/>
      </w:numPr>
      <w:outlineLvl w:val="4"/>
    </w:pPr>
    <w:rPr>
      <w:rFonts w:eastAsia="Times New Roman"/>
      <w:i/>
      <w:lang w:val="x-none" w:eastAsia="x-none"/>
    </w:rPr>
  </w:style>
  <w:style w:type="paragraph" w:styleId="Heading6">
    <w:name w:val="heading 6"/>
    <w:basedOn w:val="Normal"/>
    <w:next w:val="Normal"/>
    <w:link w:val="Heading6Char"/>
    <w:uiPriority w:val="9"/>
    <w:unhideWhenUsed/>
    <w:rsid w:val="00993C4F"/>
    <w:pPr>
      <w:numPr>
        <w:ilvl w:val="5"/>
        <w:numId w:val="9"/>
      </w:numPr>
      <w:outlineLvl w:val="5"/>
    </w:pPr>
    <w:rPr>
      <w:color w:val="262626"/>
      <w:szCs w:val="24"/>
      <w:lang w:val="x-none" w:eastAsia="x-none"/>
    </w:rPr>
  </w:style>
  <w:style w:type="paragraph" w:styleId="Heading7">
    <w:name w:val="heading 7"/>
    <w:basedOn w:val="Normal"/>
    <w:next w:val="Normal"/>
    <w:link w:val="Heading7Char"/>
    <w:uiPriority w:val="9"/>
    <w:unhideWhenUsed/>
    <w:rsid w:val="002960AE"/>
    <w:pPr>
      <w:keepNext/>
      <w:keepLines/>
      <w:numPr>
        <w:ilvl w:val="6"/>
        <w:numId w:val="9"/>
      </w:numPr>
      <w:outlineLvl w:val="6"/>
    </w:pPr>
    <w:rPr>
      <w:rFonts w:eastAsia="Times New Roman"/>
      <w:iCs/>
      <w:u w:val="single"/>
      <w:lang w:val="x-none" w:eastAsia="x-none"/>
    </w:rPr>
  </w:style>
  <w:style w:type="paragraph" w:styleId="Heading8">
    <w:name w:val="heading 8"/>
    <w:basedOn w:val="Normal"/>
    <w:next w:val="Normal"/>
    <w:link w:val="Heading8Char"/>
    <w:uiPriority w:val="9"/>
    <w:unhideWhenUsed/>
    <w:rsid w:val="002960AE"/>
    <w:pPr>
      <w:keepNext/>
      <w:keepLines/>
      <w:numPr>
        <w:ilvl w:val="7"/>
        <w:numId w:val="9"/>
      </w:numPr>
      <w:outlineLvl w:val="7"/>
    </w:pPr>
    <w:rPr>
      <w:rFonts w:eastAsia="Times New Roman"/>
      <w:sz w:val="20"/>
      <w:szCs w:val="20"/>
      <w:lang w:val="x-none" w:eastAsia="x-none"/>
    </w:rPr>
  </w:style>
  <w:style w:type="paragraph" w:styleId="Heading9">
    <w:name w:val="heading 9"/>
    <w:basedOn w:val="Normal"/>
    <w:next w:val="Normal"/>
    <w:link w:val="Heading9Char"/>
    <w:uiPriority w:val="9"/>
    <w:unhideWhenUsed/>
    <w:rsid w:val="002960AE"/>
    <w:pPr>
      <w:keepNext/>
      <w:keepLines/>
      <w:numPr>
        <w:ilvl w:val="8"/>
        <w:numId w:val="9"/>
      </w:numPr>
      <w:outlineLvl w:val="8"/>
    </w:pPr>
    <w:rPr>
      <w:rFonts w:eastAsia="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E6AFA"/>
    <w:pPr>
      <w:tabs>
        <w:tab w:val="right" w:leader="dot" w:pos="9350"/>
      </w:tabs>
      <w:spacing w:before="0" w:after="0"/>
      <w:ind w:left="720" w:hanging="720"/>
    </w:pPr>
    <w:rPr>
      <w:noProof/>
      <w:szCs w:val="28"/>
    </w:rPr>
  </w:style>
  <w:style w:type="paragraph" w:styleId="TOC2">
    <w:name w:val="toc 2"/>
    <w:basedOn w:val="Normal"/>
    <w:next w:val="Normal"/>
    <w:autoRedefine/>
    <w:uiPriority w:val="39"/>
    <w:unhideWhenUsed/>
    <w:rsid w:val="00AF31BE"/>
    <w:pPr>
      <w:spacing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after="240"/>
      <w:ind w:left="2160" w:hanging="720"/>
    </w:pPr>
  </w:style>
  <w:style w:type="paragraph" w:styleId="TOC4">
    <w:name w:val="toc 4"/>
    <w:basedOn w:val="Normal"/>
    <w:next w:val="Normal"/>
    <w:autoRedefine/>
    <w:uiPriority w:val="39"/>
    <w:unhideWhenUsed/>
    <w:rsid w:val="00AF31BE"/>
    <w:pPr>
      <w:spacing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after="240"/>
      <w:ind w:left="720" w:hanging="720"/>
    </w:pPr>
    <w:rPr>
      <w:rFonts w:eastAsia="Times New Roman"/>
      <w:lang w:bidi="en-US"/>
    </w:rPr>
  </w:style>
  <w:style w:type="character" w:customStyle="1" w:styleId="Heading1Char">
    <w:name w:val="Heading 1 Char"/>
    <w:aliases w:val="SECTION Char"/>
    <w:link w:val="Heading1"/>
    <w:uiPriority w:val="9"/>
    <w:rsid w:val="007E4525"/>
    <w:rPr>
      <w:rFonts w:ascii="Times New Roman" w:eastAsia="Times New Roman" w:hAnsi="Times New Roman"/>
      <w:bCs/>
      <w:sz w:val="24"/>
      <w:szCs w:val="28"/>
      <w:lang w:val="x-none" w:eastAsia="x-none"/>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aliases w:val="Level 1 Char"/>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uiPriority w:val="1"/>
    <w:qFormat/>
    <w:rsid w:val="008057A1"/>
    <w:pPr>
      <w:spacing w:before="0" w:after="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rPr>
      <w:lang w:val="x-none" w:eastAsia="x-none"/>
    </w:r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uiPriority w:val="11"/>
    <w:rsid w:val="002960AE"/>
    <w:pPr>
      <w:numPr>
        <w:ilvl w:val="1"/>
      </w:numPr>
    </w:pPr>
    <w:rPr>
      <w:rFonts w:ascii="Cambria" w:eastAsia="Times New Roman" w:hAnsi="Cambria"/>
      <w:i/>
      <w:iCs/>
      <w:color w:val="4F81BD"/>
      <w:spacing w:val="15"/>
      <w:szCs w:val="24"/>
      <w:lang w:val="x-none" w:eastAsia="x-none"/>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lang w:val="x-none" w:eastAsia="x-none"/>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after="240"/>
      <w:ind w:left="3600" w:hanging="720"/>
    </w:pPr>
  </w:style>
  <w:style w:type="paragraph" w:styleId="TOC6">
    <w:name w:val="toc 6"/>
    <w:basedOn w:val="Normal"/>
    <w:next w:val="Normal"/>
    <w:autoRedefine/>
    <w:uiPriority w:val="39"/>
    <w:unhideWhenUsed/>
    <w:rsid w:val="00AF31BE"/>
    <w:pPr>
      <w:spacing w:after="240"/>
      <w:ind w:left="4320" w:hanging="720"/>
    </w:pPr>
  </w:style>
  <w:style w:type="paragraph" w:styleId="TOC7">
    <w:name w:val="toc 7"/>
    <w:basedOn w:val="Normal"/>
    <w:next w:val="Normal"/>
    <w:autoRedefine/>
    <w:uiPriority w:val="39"/>
    <w:unhideWhenUsed/>
    <w:rsid w:val="00AF31BE"/>
    <w:pPr>
      <w:spacing w:after="240"/>
      <w:ind w:left="5040" w:hanging="720"/>
    </w:pPr>
  </w:style>
  <w:style w:type="paragraph" w:styleId="TOC8">
    <w:name w:val="toc 8"/>
    <w:basedOn w:val="Normal"/>
    <w:next w:val="Normal"/>
    <w:autoRedefine/>
    <w:uiPriority w:val="39"/>
    <w:unhideWhenUsed/>
    <w:rsid w:val="00AF31BE"/>
    <w:pPr>
      <w:spacing w:after="240"/>
      <w:ind w:left="5760" w:hanging="720"/>
    </w:pPr>
  </w:style>
  <w:style w:type="paragraph" w:styleId="TOC9">
    <w:name w:val="toc 9"/>
    <w:basedOn w:val="Normal"/>
    <w:next w:val="Normal"/>
    <w:autoRedefine/>
    <w:uiPriority w:val="39"/>
    <w:unhideWhenUsed/>
    <w:rsid w:val="00AF31BE"/>
    <w:pPr>
      <w:spacing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nhideWhenUsed/>
    <w:rsid w:val="009633C4"/>
    <w:rPr>
      <w:sz w:val="16"/>
      <w:szCs w:val="16"/>
    </w:rPr>
  </w:style>
  <w:style w:type="paragraph" w:styleId="CommentText">
    <w:name w:val="annotation text"/>
    <w:basedOn w:val="Normal"/>
    <w:link w:val="CommentTextChar"/>
    <w:uiPriority w:val="99"/>
    <w:semiHidden/>
    <w:unhideWhenUsed/>
    <w:rsid w:val="009633C4"/>
    <w:pPr>
      <w:widowControl w:val="0"/>
      <w:autoSpaceDE w:val="0"/>
      <w:autoSpaceDN w:val="0"/>
      <w:adjustRightInd w:val="0"/>
    </w:pPr>
    <w:rPr>
      <w:rFonts w:ascii="Calibri" w:eastAsia="Times New Roman" w:hAnsi="Calibri"/>
      <w:sz w:val="20"/>
      <w:szCs w:val="20"/>
      <w:lang w:val="x-none" w:eastAsia="x-none"/>
    </w:rPr>
  </w:style>
  <w:style w:type="character" w:customStyle="1" w:styleId="CommentTextChar">
    <w:name w:val="Comment Text Char"/>
    <w:link w:val="CommentText"/>
    <w:uiPriority w:val="99"/>
    <w:semiHidden/>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lang w:val="x-none" w:eastAsia="x-none"/>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EC584B"/>
    <w:pPr>
      <w:numPr>
        <w:numId w:val="8"/>
      </w:numPr>
      <w:ind w:left="0" w:firstLine="720"/>
    </w:pPr>
    <w:rPr>
      <w:lang w:val="x-none" w:eastAsia="x-none"/>
    </w:rPr>
  </w:style>
  <w:style w:type="character" w:customStyle="1" w:styleId="LVL1Char">
    <w:name w:val="LVL 1 Char"/>
    <w:link w:val="LVL1"/>
    <w:rsid w:val="00EC584B"/>
    <w:rPr>
      <w:rFonts w:ascii="Times New Roman" w:hAnsi="Times New Roman"/>
      <w:sz w:val="24"/>
      <w:szCs w:val="22"/>
    </w:rPr>
  </w:style>
  <w:style w:type="paragraph" w:customStyle="1" w:styleId="DEFN">
    <w:name w:val="DEFN"/>
    <w:basedOn w:val="Normal"/>
    <w:link w:val="DEFNChar"/>
    <w:qFormat/>
    <w:rsid w:val="00005DF6"/>
    <w:pPr>
      <w:autoSpaceDE w:val="0"/>
      <w:autoSpaceDN w:val="0"/>
      <w:adjustRightInd w:val="0"/>
      <w:ind w:firstLine="720"/>
    </w:pPr>
    <w:rPr>
      <w:rFonts w:eastAsia="Times New Roman"/>
      <w:color w:val="000000"/>
      <w:spacing w:val="5"/>
      <w:kern w:val="28"/>
      <w:szCs w:val="24"/>
      <w:lang w:val="x-none" w:eastAsia="x-none"/>
    </w:rPr>
  </w:style>
  <w:style w:type="character" w:customStyle="1" w:styleId="DEFNChar">
    <w:name w:val="DEFN Char"/>
    <w:link w:val="DEFN"/>
    <w:rsid w:val="00005DF6"/>
    <w:rPr>
      <w:rFonts w:ascii="Times New Roman" w:eastAsia="Times New Roman" w:hAnsi="Times New Roman"/>
      <w:color w:val="000000"/>
      <w:spacing w:val="5"/>
      <w:kern w:val="28"/>
      <w:sz w:val="24"/>
      <w:szCs w:val="24"/>
      <w:lang w:val="x-none" w:eastAsia="x-none"/>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Normal"/>
    <w:next w:val="LVL1"/>
    <w:link w:val="LVL2Char"/>
    <w:qFormat/>
    <w:rsid w:val="001529A1"/>
    <w:pPr>
      <w:numPr>
        <w:ilvl w:val="1"/>
        <w:numId w:val="8"/>
      </w:numPr>
      <w:autoSpaceDE w:val="0"/>
      <w:autoSpaceDN w:val="0"/>
      <w:adjustRightInd w:val="0"/>
      <w:ind w:left="0" w:firstLine="1440"/>
      <w:outlineLvl w:val="2"/>
    </w:pPr>
    <w:rPr>
      <w:rFonts w:eastAsia="Times New Roman"/>
      <w:iCs/>
      <w:color w:val="000000"/>
      <w:lang w:val="x-none" w:eastAsia="x-none"/>
    </w:rPr>
  </w:style>
  <w:style w:type="paragraph" w:customStyle="1" w:styleId="LVL3">
    <w:name w:val="LVL 3"/>
    <w:basedOn w:val="LVL2"/>
    <w:link w:val="LVL3Char"/>
    <w:qFormat/>
    <w:rsid w:val="006F1AAF"/>
    <w:pPr>
      <w:numPr>
        <w:ilvl w:val="2"/>
      </w:numPr>
      <w:ind w:left="0" w:firstLine="2434"/>
    </w:pPr>
  </w:style>
  <w:style w:type="character" w:customStyle="1" w:styleId="LVL2Char">
    <w:name w:val="LVL 2 Char"/>
    <w:link w:val="LVL2"/>
    <w:rsid w:val="001529A1"/>
    <w:rPr>
      <w:rFonts w:ascii="Times New Roman" w:eastAsia="Times New Roman" w:hAnsi="Times New Roman"/>
      <w:iCs/>
      <w:color w:val="000000"/>
      <w:sz w:val="24"/>
      <w:szCs w:val="22"/>
    </w:rPr>
  </w:style>
  <w:style w:type="character" w:customStyle="1" w:styleId="LVL3Char">
    <w:name w:val="LVL 3 Char"/>
    <w:link w:val="LVL3"/>
    <w:rsid w:val="006F1AAF"/>
    <w:rPr>
      <w:rFonts w:ascii="Times New Roman" w:eastAsia="Times New Roman" w:hAnsi="Times New Roman"/>
      <w:iCs/>
      <w:color w:val="000000"/>
      <w:sz w:val="24"/>
      <w:szCs w:val="22"/>
      <w:lang w:val="x-none" w:eastAsia="x-none"/>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EC584B"/>
    <w:pPr>
      <w:ind w:firstLine="720"/>
    </w:pPr>
    <w:rPr>
      <w:lang w:val="x-none" w:eastAsia="x-none"/>
    </w:rPr>
  </w:style>
  <w:style w:type="paragraph" w:customStyle="1" w:styleId="Note">
    <w:name w:val="Note"/>
    <w:basedOn w:val="Normal"/>
    <w:link w:val="NoteChar"/>
    <w:qFormat/>
    <w:rsid w:val="00C7072C"/>
    <w:rPr>
      <w:b/>
      <w:lang w:val="x-none" w:eastAsia="x-none"/>
    </w:rPr>
  </w:style>
  <w:style w:type="character" w:customStyle="1" w:styleId="BKGRNDChar">
    <w:name w:val="BKGRND Char"/>
    <w:link w:val="BKGRND"/>
    <w:rsid w:val="00EC584B"/>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C7072C"/>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lang w:val="x-none" w:eastAsia="x-none"/>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semiHidden/>
    <w:unhideWhenUsed/>
    <w:qFormat/>
    <w:rsid w:val="00BE6B9F"/>
    <w:rPr>
      <w:szCs w:val="20"/>
      <w:lang w:val="x-none" w:eastAsia="x-none"/>
    </w:rPr>
  </w:style>
  <w:style w:type="character" w:customStyle="1" w:styleId="FootnoteTextChar">
    <w:name w:val="Footnote Text Char"/>
    <w:link w:val="FootnoteText"/>
    <w:uiPriority w:val="99"/>
    <w:semiHidden/>
    <w:rsid w:val="00BE6B9F"/>
    <w:rPr>
      <w:rFonts w:ascii="Times New Roman" w:hAnsi="Times New Roman"/>
      <w:sz w:val="24"/>
    </w:rPr>
  </w:style>
  <w:style w:type="numbering" w:customStyle="1" w:styleId="ENRDCD1">
    <w:name w:val="ENRD CD1"/>
    <w:uiPriority w:val="99"/>
    <w:rsid w:val="00CD4FFE"/>
  </w:style>
  <w:style w:type="numbering" w:customStyle="1" w:styleId="ENRDCD2">
    <w:name w:val="ENRD CD2"/>
    <w:uiPriority w:val="99"/>
    <w:rsid w:val="00DD3501"/>
  </w:style>
  <w:style w:type="numbering" w:customStyle="1" w:styleId="ENRDCD3">
    <w:name w:val="ENRD CD3"/>
    <w:uiPriority w:val="99"/>
    <w:rsid w:val="00D96A7E"/>
  </w:style>
  <w:style w:type="character" w:styleId="FollowedHyperlink">
    <w:name w:val="FollowedHyperlink"/>
    <w:basedOn w:val="DefaultParagraphFont"/>
    <w:uiPriority w:val="99"/>
    <w:semiHidden/>
    <w:unhideWhenUsed/>
    <w:rsid w:val="00062B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enforcement/guidance-settlement-policy-contribution-waiver-language-regarding-de-micromis-par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enforcement/guidance-settlement-policy-contribution-waiver-language-regarding-de-micromis-parties" TargetMode="External"/><Relationship Id="rId2" Type="http://schemas.openxmlformats.org/officeDocument/2006/relationships/hyperlink" Target="https://intranet.epa.gov/oeca/docket/ec-2003-053/cercla-sett-rpt.pdf" TargetMode="External"/><Relationship Id="rId1" Type="http://schemas.openxmlformats.org/officeDocument/2006/relationships/hyperlink" Target="https://www.epa.gov/enforcement/guidance-model-language-compliance-public-participation-requirements-under-rcra-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97E0A-539D-4C7D-B8A3-63D96679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10780</CharactersWithSpaces>
  <SharedDoc>false</SharedDoc>
  <HLinks>
    <vt:vector size="12" baseType="variant">
      <vt:variant>
        <vt:i4>6946870</vt:i4>
      </vt:variant>
      <vt:variant>
        <vt:i4>3</vt:i4>
      </vt:variant>
      <vt:variant>
        <vt:i4>0</vt:i4>
      </vt:variant>
      <vt:variant>
        <vt:i4>5</vt:i4>
      </vt:variant>
      <vt:variant>
        <vt:lpwstr>http://intranet.epa.gov/oeca/docket/ec-2003-053/cercla-sett-rpt.pdf</vt:lpwstr>
      </vt:variant>
      <vt:variant>
        <vt:lpwstr/>
      </vt:variant>
      <vt:variant>
        <vt:i4>3014757</vt:i4>
      </vt:variant>
      <vt:variant>
        <vt:i4>0</vt:i4>
      </vt:variant>
      <vt:variant>
        <vt:i4>0</vt:i4>
      </vt:variant>
      <vt:variant>
        <vt:i4>5</vt:i4>
      </vt:variant>
      <vt:variant>
        <vt:lpwstr>http://www2.epa.gov/enforcement/guidance-model-language-compliance-public-participation-requirements-under-rcra-section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2016-06-17T18:24:00Z</dcterms:created>
  <dcterms:modified xsi:type="dcterms:W3CDTF">2016-06-17T18:27:00Z</dcterms:modified>
</cp:coreProperties>
</file>