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9AB58" w14:textId="77777777" w:rsidR="0037645B" w:rsidRDefault="0037645B" w:rsidP="0037645B">
      <w:pPr>
        <w:widowControl w:val="0"/>
        <w:jc w:val="center"/>
        <w:rPr>
          <w:b/>
        </w:rPr>
      </w:pPr>
      <w:bookmarkStart w:id="0" w:name="_GoBack"/>
      <w:bookmarkEnd w:id="0"/>
      <w:r>
        <w:rPr>
          <w:b/>
        </w:rPr>
        <w:t xml:space="preserve">MODEL NOTICE APPROVING REDUCTION IN SETTLEMENT </w:t>
      </w:r>
    </w:p>
    <w:p w14:paraId="1DBF28F6" w14:textId="77777777" w:rsidR="0037645B" w:rsidRDefault="0037645B" w:rsidP="0037645B">
      <w:pPr>
        <w:widowControl w:val="0"/>
        <w:jc w:val="center"/>
      </w:pPr>
      <w:r>
        <w:rPr>
          <w:b/>
        </w:rPr>
        <w:t>AMOUNT BASED ON INABILITY TO PAY</w:t>
      </w:r>
    </w:p>
    <w:p w14:paraId="49931E9D" w14:textId="77777777" w:rsidR="0037645B" w:rsidRDefault="0037645B" w:rsidP="0037645B">
      <w:pPr>
        <w:widowControl w:val="0"/>
      </w:pPr>
    </w:p>
    <w:p w14:paraId="2C0A3E2F" w14:textId="77777777" w:rsidR="0037645B" w:rsidRDefault="0037645B" w:rsidP="0037645B">
      <w:pPr>
        <w:widowControl w:val="0"/>
        <w:jc w:val="center"/>
      </w:pPr>
    </w:p>
    <w:p w14:paraId="2000600D" w14:textId="376B2CC5" w:rsidR="0037645B" w:rsidRDefault="006D3A31" w:rsidP="0037645B">
      <w:pPr>
        <w:widowControl w:val="0"/>
        <w:jc w:val="center"/>
      </w:pPr>
      <w:r>
        <w:t>[</w:t>
      </w:r>
      <w:r w:rsidRPr="00000AC3">
        <w:rPr>
          <w:b/>
        </w:rPr>
        <w:t>D</w:t>
      </w:r>
      <w:r w:rsidR="0037645B" w:rsidRPr="00000AC3">
        <w:rPr>
          <w:b/>
        </w:rPr>
        <w:t>ate</w:t>
      </w:r>
      <w:r w:rsidR="0037645B">
        <w:t>]</w:t>
      </w:r>
    </w:p>
    <w:p w14:paraId="4971976F" w14:textId="77777777" w:rsidR="0037645B" w:rsidRDefault="0037645B" w:rsidP="0037645B">
      <w:pPr>
        <w:widowControl w:val="0"/>
        <w:jc w:val="center"/>
      </w:pPr>
    </w:p>
    <w:p w14:paraId="22E8D7CE" w14:textId="77777777" w:rsidR="00991A6E" w:rsidRDefault="00991A6E" w:rsidP="0037645B">
      <w:pPr>
        <w:widowControl w:val="0"/>
        <w:jc w:val="center"/>
      </w:pPr>
    </w:p>
    <w:p w14:paraId="25CB4675" w14:textId="77777777" w:rsidR="0037645B" w:rsidRPr="00000AC3" w:rsidRDefault="0037645B" w:rsidP="0037645B">
      <w:pPr>
        <w:widowControl w:val="0"/>
        <w:rPr>
          <w:b/>
        </w:rPr>
      </w:pPr>
      <w:r w:rsidRPr="00000AC3">
        <w:rPr>
          <w:b/>
        </w:rPr>
        <w:t>CERTIFIED MAIL - RETURN RECEIPT REQUESTED</w:t>
      </w:r>
    </w:p>
    <w:p w14:paraId="025AB4C6" w14:textId="77777777" w:rsidR="0037645B" w:rsidRDefault="0037645B" w:rsidP="0037645B">
      <w:pPr>
        <w:widowControl w:val="0"/>
      </w:pPr>
    </w:p>
    <w:p w14:paraId="6CD5C13B" w14:textId="77777777" w:rsidR="0037645B" w:rsidRPr="00000AC3" w:rsidRDefault="0037645B" w:rsidP="0037645B">
      <w:pPr>
        <w:widowControl w:val="0"/>
        <w:rPr>
          <w:b/>
        </w:rPr>
      </w:pPr>
      <w:r w:rsidRPr="00000AC3">
        <w:rPr>
          <w:b/>
        </w:rPr>
        <w:t>[PRP Name]</w:t>
      </w:r>
    </w:p>
    <w:p w14:paraId="5F62E234" w14:textId="77777777" w:rsidR="0037645B" w:rsidRPr="00000AC3" w:rsidRDefault="0037645B" w:rsidP="0037645B">
      <w:pPr>
        <w:widowControl w:val="0"/>
        <w:rPr>
          <w:b/>
        </w:rPr>
      </w:pPr>
      <w:r w:rsidRPr="00000AC3">
        <w:rPr>
          <w:b/>
        </w:rPr>
        <w:t>[Address]</w:t>
      </w:r>
    </w:p>
    <w:p w14:paraId="6F8CD9B4" w14:textId="77777777" w:rsidR="0037645B" w:rsidRDefault="0037645B" w:rsidP="0037645B">
      <w:pPr>
        <w:widowControl w:val="0"/>
      </w:pPr>
      <w:r w:rsidRPr="00000AC3">
        <w:rPr>
          <w:b/>
        </w:rPr>
        <w:t>[City, State, Zip Code]</w:t>
      </w:r>
    </w:p>
    <w:p w14:paraId="0988AF0D" w14:textId="77777777" w:rsidR="0037645B" w:rsidRDefault="0037645B" w:rsidP="0037645B">
      <w:pPr>
        <w:widowControl w:val="0"/>
      </w:pPr>
    </w:p>
    <w:p w14:paraId="5BB0457C" w14:textId="25A159E9" w:rsidR="0037645B" w:rsidRDefault="0037645B" w:rsidP="00000AC3">
      <w:pPr>
        <w:widowControl w:val="0"/>
        <w:ind w:left="1440" w:hanging="720"/>
      </w:pPr>
      <w:r>
        <w:t>Re:</w:t>
      </w:r>
      <w:r>
        <w:tab/>
        <w:t xml:space="preserve">Results of EPA Analysis of Ability-To-Pay Claim and Offer of </w:t>
      </w:r>
    </w:p>
    <w:p w14:paraId="146695FE" w14:textId="77777777" w:rsidR="0037645B" w:rsidRDefault="0037645B" w:rsidP="0037645B">
      <w:pPr>
        <w:widowControl w:val="0"/>
      </w:pPr>
      <w:r>
        <w:tab/>
      </w:r>
      <w:r>
        <w:tab/>
        <w:t>[</w:t>
      </w:r>
      <w:proofErr w:type="gramStart"/>
      <w:r w:rsidRPr="00000AC3">
        <w:rPr>
          <w:b/>
        </w:rPr>
        <w:t>if</w:t>
      </w:r>
      <w:proofErr w:type="gramEnd"/>
      <w:r w:rsidRPr="00000AC3">
        <w:rPr>
          <w:b/>
        </w:rPr>
        <w:t xml:space="preserve"> applicable, insert</w:t>
      </w:r>
      <w:r w:rsidRPr="00000AC3">
        <w:rPr>
          <w:b/>
          <w:i/>
        </w:rPr>
        <w:t xml:space="preserve"> </w:t>
      </w:r>
      <w:r w:rsidRPr="00B40382">
        <w:rPr>
          <w:i/>
        </w:rPr>
        <w:t>“</w:t>
      </w:r>
      <w:r w:rsidRPr="00E072FC">
        <w:rPr>
          <w:i/>
        </w:rPr>
        <w:t>De Minimis</w:t>
      </w:r>
      <w:r w:rsidRPr="00B40382">
        <w:rPr>
          <w:i/>
        </w:rPr>
        <w:t>”</w:t>
      </w:r>
      <w:r w:rsidRPr="00B40382">
        <w:t>]</w:t>
      </w:r>
      <w:r>
        <w:t xml:space="preserve"> Settlement Regarding the </w:t>
      </w:r>
    </w:p>
    <w:p w14:paraId="3E94F2FC" w14:textId="77777777" w:rsidR="0037645B" w:rsidRDefault="0037645B" w:rsidP="0037645B">
      <w:pPr>
        <w:widowControl w:val="0"/>
      </w:pPr>
      <w:r>
        <w:tab/>
      </w:r>
      <w:r>
        <w:tab/>
        <w:t>[</w:t>
      </w:r>
      <w:proofErr w:type="gramStart"/>
      <w:r w:rsidRPr="00000AC3">
        <w:rPr>
          <w:b/>
        </w:rPr>
        <w:t>site</w:t>
      </w:r>
      <w:proofErr w:type="gramEnd"/>
      <w:r w:rsidRPr="00000AC3">
        <w:rPr>
          <w:b/>
        </w:rPr>
        <w:t xml:space="preserve"> name</w:t>
      </w:r>
      <w:r>
        <w:t>] in [</w:t>
      </w:r>
      <w:r w:rsidRPr="00000AC3">
        <w:rPr>
          <w:b/>
        </w:rPr>
        <w:t>site location</w:t>
      </w:r>
      <w:r>
        <w:t>]</w:t>
      </w:r>
    </w:p>
    <w:p w14:paraId="733A92D9" w14:textId="77777777" w:rsidR="0037645B" w:rsidRDefault="0037645B" w:rsidP="0037645B">
      <w:pPr>
        <w:widowControl w:val="0"/>
      </w:pPr>
    </w:p>
    <w:p w14:paraId="29207EDA" w14:textId="3A02F90A" w:rsidR="0037645B" w:rsidRDefault="0037645B" w:rsidP="0037645B">
      <w:pPr>
        <w:widowControl w:val="0"/>
      </w:pPr>
      <w:r>
        <w:t>Dear [</w:t>
      </w:r>
      <w:r w:rsidRPr="00000AC3">
        <w:rPr>
          <w:b/>
        </w:rPr>
        <w:t>PRP Name</w:t>
      </w:r>
      <w:r>
        <w:t>]:</w:t>
      </w:r>
    </w:p>
    <w:p w14:paraId="5EAF39F3" w14:textId="77777777" w:rsidR="0037645B" w:rsidRDefault="0037645B" w:rsidP="0037645B">
      <w:pPr>
        <w:widowControl w:val="0"/>
      </w:pPr>
    </w:p>
    <w:p w14:paraId="034F076F" w14:textId="358B0CE0" w:rsidR="0037645B" w:rsidRDefault="0037645B" w:rsidP="0037645B">
      <w:pPr>
        <w:widowControl w:val="0"/>
        <w:ind w:firstLine="720"/>
      </w:pPr>
      <w:r>
        <w:t>Thank you for [</w:t>
      </w:r>
      <w:r w:rsidRPr="00000AC3">
        <w:rPr>
          <w:b/>
        </w:rPr>
        <w:t>your or company</w:t>
      </w:r>
      <w:r w:rsidR="00991A6E">
        <w:rPr>
          <w:b/>
        </w:rPr>
        <w:t>’s</w:t>
      </w:r>
      <w:r w:rsidRPr="00000AC3">
        <w:rPr>
          <w:b/>
        </w:rPr>
        <w:t xml:space="preserve"> name</w:t>
      </w:r>
      <w:r>
        <w:t>] recent correspondence dated [</w:t>
      </w:r>
      <w:r w:rsidRPr="00000AC3">
        <w:rPr>
          <w:b/>
        </w:rPr>
        <w:t>insert date</w:t>
      </w:r>
      <w:r>
        <w:t>] and the information you provided regarding [</w:t>
      </w:r>
      <w:r w:rsidRPr="00000AC3">
        <w:rPr>
          <w:b/>
        </w:rPr>
        <w:t>your or company’s name</w:t>
      </w:r>
      <w:r>
        <w:t>] inability, or limited ability, to pay response costs at the [</w:t>
      </w:r>
      <w:r w:rsidRPr="00000AC3">
        <w:rPr>
          <w:b/>
        </w:rPr>
        <w:t>site location</w:t>
      </w:r>
      <w:r>
        <w:t>] (“the Site”). [</w:t>
      </w:r>
      <w:r w:rsidRPr="00000AC3">
        <w:rPr>
          <w:b/>
        </w:rPr>
        <w:t>If applicable, insert:</w:t>
      </w:r>
      <w:r>
        <w:t xml:space="preserve"> “In a [</w:t>
      </w:r>
      <w:r w:rsidRPr="00000AC3">
        <w:rPr>
          <w:b/>
        </w:rPr>
        <w:t>insert date</w:t>
      </w:r>
      <w:r>
        <w:t xml:space="preserve">] letter, </w:t>
      </w:r>
      <w:r w:rsidR="006D3A31">
        <w:t>the U.S. Environmental Protection Agency (</w:t>
      </w:r>
      <w:r>
        <w:t>EPA</w:t>
      </w:r>
      <w:r w:rsidR="006D3A31">
        <w:t>)</w:t>
      </w:r>
      <w:r>
        <w:t xml:space="preserve"> offered to resolve [</w:t>
      </w:r>
      <w:r w:rsidRPr="00000AC3">
        <w:rPr>
          <w:b/>
        </w:rPr>
        <w:t>your or company’s name</w:t>
      </w:r>
      <w:r>
        <w:t>] potential liability at the Site under the Comprehensive Environmental Response, Compensation, and Liability Act (CERCLA, commonly known as Superfund</w:t>
      </w:r>
      <w:r w:rsidR="006D3A31">
        <w:t>)</w:t>
      </w:r>
      <w:r>
        <w:t xml:space="preserve">. In response to that letter, </w:t>
      </w:r>
      <w:r>
        <w:lastRenderedPageBreak/>
        <w:t>[</w:t>
      </w:r>
      <w:r w:rsidRPr="00000AC3">
        <w:rPr>
          <w:b/>
        </w:rPr>
        <w:t>you or company</w:t>
      </w:r>
      <w:r w:rsidR="005F05F7">
        <w:rPr>
          <w:b/>
        </w:rPr>
        <w:t>’s</w:t>
      </w:r>
      <w:r w:rsidRPr="00000AC3">
        <w:rPr>
          <w:b/>
        </w:rPr>
        <w:t xml:space="preserve"> name</w:t>
      </w:r>
      <w:r>
        <w:t xml:space="preserve">] informed EPA that </w:t>
      </w:r>
      <w:r w:rsidR="005F05F7">
        <w:rPr>
          <w:b/>
        </w:rPr>
        <w:t>[</w:t>
      </w:r>
      <w:r w:rsidRPr="00000AC3">
        <w:rPr>
          <w:b/>
        </w:rPr>
        <w:t>you</w:t>
      </w:r>
      <w:r w:rsidR="005F05F7">
        <w:t xml:space="preserve"> </w:t>
      </w:r>
      <w:r w:rsidR="005F05F7">
        <w:rPr>
          <w:b/>
        </w:rPr>
        <w:t>or company’s name was/were]</w:t>
      </w:r>
      <w:r>
        <w:t xml:space="preserve"> unable to pay the settlement or “</w:t>
      </w:r>
      <w:proofErr w:type="spellStart"/>
      <w:r>
        <w:t>cashout</w:t>
      </w:r>
      <w:proofErr w:type="spellEnd"/>
      <w:r>
        <w:t>” amount of [$_____] without suffering undue financial hardship and provided EPA with written information to support [</w:t>
      </w:r>
      <w:r w:rsidRPr="00000AC3">
        <w:rPr>
          <w:b/>
        </w:rPr>
        <w:t>your or company’s name</w:t>
      </w:r>
      <w:r>
        <w:t>] financial hardship claim.”]</w:t>
      </w:r>
    </w:p>
    <w:p w14:paraId="09DCCCDF" w14:textId="77777777" w:rsidR="0037645B" w:rsidRDefault="0037645B" w:rsidP="0037645B">
      <w:pPr>
        <w:widowControl w:val="0"/>
      </w:pPr>
    </w:p>
    <w:p w14:paraId="76AC4C8B" w14:textId="4F7F9FD4" w:rsidR="0037645B" w:rsidRDefault="0037645B" w:rsidP="0037645B">
      <w:pPr>
        <w:widowControl w:val="0"/>
        <w:ind w:firstLine="720"/>
      </w:pPr>
      <w:r>
        <w:t>Based upon this financial information, EPA has determined that [</w:t>
      </w:r>
      <w:r w:rsidRPr="00000AC3">
        <w:rPr>
          <w:b/>
        </w:rPr>
        <w:t>you or company name</w:t>
      </w:r>
      <w:r>
        <w:t xml:space="preserve">] </w:t>
      </w:r>
      <w:proofErr w:type="gramStart"/>
      <w:r>
        <w:t>qualify</w:t>
      </w:r>
      <w:r w:rsidR="002343C9">
        <w:t>[</w:t>
      </w:r>
      <w:proofErr w:type="spellStart"/>
      <w:proofErr w:type="gramEnd"/>
      <w:r w:rsidR="005F05F7">
        <w:t>ies</w:t>
      </w:r>
      <w:proofErr w:type="spellEnd"/>
      <w:r w:rsidR="002343C9">
        <w:t>]</w:t>
      </w:r>
      <w:r>
        <w:t xml:space="preserve"> for a reduction in settlement amount [</w:t>
      </w:r>
      <w:r w:rsidRPr="00000AC3">
        <w:rPr>
          <w:b/>
        </w:rPr>
        <w:t>if applicable, insert</w:t>
      </w:r>
      <w:r>
        <w:rPr>
          <w:i/>
        </w:rPr>
        <w:t xml:space="preserve"> </w:t>
      </w:r>
      <w:r w:rsidRPr="00E115A3">
        <w:t>“</w:t>
      </w:r>
      <w:r>
        <w:t>and alternative payment method”]. This letter describes the results of EPA’s analysis of [</w:t>
      </w:r>
      <w:r w:rsidRPr="00000AC3">
        <w:rPr>
          <w:b/>
        </w:rPr>
        <w:t>your or company’s name</w:t>
      </w:r>
      <w:r>
        <w:t>] inability or limited ability to pay (ATP) claim and extends a [</w:t>
      </w:r>
      <w:r w:rsidRPr="00000AC3">
        <w:rPr>
          <w:b/>
        </w:rPr>
        <w:t>if applicable, insert</w:t>
      </w:r>
      <w:r>
        <w:t xml:space="preserve"> “revised”]</w:t>
      </w:r>
      <w:r>
        <w:rPr>
          <w:i/>
        </w:rPr>
        <w:t xml:space="preserve"> </w:t>
      </w:r>
      <w:r w:rsidRPr="006D3A31">
        <w:t>[</w:t>
      </w:r>
      <w:r w:rsidRPr="00000AC3">
        <w:rPr>
          <w:b/>
        </w:rPr>
        <w:t xml:space="preserve">if applicable, insert </w:t>
      </w:r>
      <w:r w:rsidRPr="00E072FC">
        <w:t>“</w:t>
      </w:r>
      <w:r w:rsidRPr="00E072FC">
        <w:rPr>
          <w:i/>
        </w:rPr>
        <w:t>de minimis</w:t>
      </w:r>
      <w:r w:rsidRPr="00E072FC">
        <w:t xml:space="preserve"> party”</w:t>
      </w:r>
      <w:r>
        <w:t>] settlement offer to you of [$_____]. Details on the terms of this offer and how to accept it are provided below. Please note that the deadline for accepting the offer is [</w:t>
      </w:r>
      <w:r>
        <w:rPr>
          <w:b/>
        </w:rPr>
        <w:t>insert deadline date in bold</w:t>
      </w:r>
      <w:r>
        <w:t>].</w:t>
      </w:r>
    </w:p>
    <w:p w14:paraId="4B0176E8" w14:textId="77777777" w:rsidR="0037645B" w:rsidRDefault="0037645B" w:rsidP="0037645B">
      <w:pPr>
        <w:widowControl w:val="0"/>
      </w:pPr>
    </w:p>
    <w:p w14:paraId="123B8E1B" w14:textId="2980711D" w:rsidR="0037645B" w:rsidRPr="006D3A31" w:rsidRDefault="0037645B" w:rsidP="00000AC3">
      <w:pPr>
        <w:tabs>
          <w:tab w:val="center" w:pos="4680"/>
        </w:tabs>
      </w:pPr>
      <w:r w:rsidRPr="00000AC3">
        <w:rPr>
          <w:b/>
        </w:rPr>
        <w:t>EPA’s Analysis of ATP Claim</w:t>
      </w:r>
    </w:p>
    <w:p w14:paraId="11C763E6" w14:textId="77777777" w:rsidR="0037645B" w:rsidRPr="006D3A31" w:rsidRDefault="0037645B" w:rsidP="00000AC3"/>
    <w:p w14:paraId="295029F9" w14:textId="54C952FB" w:rsidR="0037645B" w:rsidRDefault="0037645B" w:rsidP="0037645B">
      <w:pPr>
        <w:ind w:firstLine="720"/>
      </w:pPr>
      <w:r>
        <w:t>EPA recognizes that some potentially responsible parties (PRPs) may be unable to pay the entire [</w:t>
      </w:r>
      <w:r w:rsidRPr="00000AC3">
        <w:rPr>
          <w:b/>
        </w:rPr>
        <w:t xml:space="preserve">if applicable, insert </w:t>
      </w:r>
      <w:r w:rsidRPr="00B40382">
        <w:t>“</w:t>
      </w:r>
      <w:r w:rsidRPr="00B40382">
        <w:rPr>
          <w:i/>
        </w:rPr>
        <w:t>de minimis</w:t>
      </w:r>
      <w:r w:rsidRPr="00B40382">
        <w:t>”</w:t>
      </w:r>
      <w:r>
        <w:t xml:space="preserve">] </w:t>
      </w:r>
      <w:proofErr w:type="spellStart"/>
      <w:r>
        <w:t>cashout</w:t>
      </w:r>
      <w:proofErr w:type="spellEnd"/>
      <w:r>
        <w:t xml:space="preserve"> settlement amount proposed by EPA. Therefore, </w:t>
      </w:r>
      <w:r w:rsidR="00747593">
        <w:t>EPA</w:t>
      </w:r>
      <w:r>
        <w:t xml:space="preserve"> is willing to resolve a PRP’s liability for a reduced settlement amount where a PRP demonstrates an inability, or limited ability, to pay. To ensure fairness among all PRPs, EPA carefully and critically considers the information provided regarding a claimant’s financial situation in accordance with CERCLA </w:t>
      </w:r>
      <w:r w:rsidR="00000AC3">
        <w:t>§</w:t>
      </w:r>
      <w:r>
        <w:t xml:space="preserve"> </w:t>
      </w:r>
      <w:r>
        <w:lastRenderedPageBreak/>
        <w:t>122(g</w:t>
      </w:r>
      <w:proofErr w:type="gramStart"/>
      <w:r>
        <w:t>)(</w:t>
      </w:r>
      <w:proofErr w:type="gramEnd"/>
      <w:r>
        <w:t>7)</w:t>
      </w:r>
      <w:r>
        <w:rPr>
          <w:color w:val="FF0000"/>
        </w:rPr>
        <w:t xml:space="preserve"> </w:t>
      </w:r>
      <w:r>
        <w:t>and guided by the Agency’s September 30, 1997 policy on Superfund ATP determinations.</w:t>
      </w:r>
      <w:r>
        <w:rPr>
          <w:rStyle w:val="FootnoteReference"/>
        </w:rPr>
        <w:footnoteReference w:id="1"/>
      </w:r>
    </w:p>
    <w:p w14:paraId="036710E0" w14:textId="77777777" w:rsidR="0037645B" w:rsidRDefault="0037645B" w:rsidP="0037645B"/>
    <w:p w14:paraId="23FF0591" w14:textId="425591F9" w:rsidR="0037645B" w:rsidRDefault="0037645B" w:rsidP="0037645B">
      <w:pPr>
        <w:widowControl w:val="0"/>
        <w:ind w:firstLine="720"/>
      </w:pPr>
      <w:r>
        <w:t>To obtain a settlement based on an ATP claim, a PRP must show that the payment amount requested is likely to cause undue financial hardship. Such undue financial hardship may be shown when the original payment amount would deprive a party of ordinary and necessary assets or render the party unable to pay for ordinary and necessary business expenses and/or ordinary and necessary living expenses. When making this determination, EPA considers a party’s overall financial condition and demonstrable limitations on the ability to raise revenues. EPA makes its determination based on the information provided by the party and, as necessary and appropriate, other publicly available information sources.</w:t>
      </w:r>
    </w:p>
    <w:p w14:paraId="09855B41" w14:textId="77777777" w:rsidR="0037645B" w:rsidRDefault="0037645B" w:rsidP="0037645B">
      <w:pPr>
        <w:widowControl w:val="0"/>
      </w:pPr>
    </w:p>
    <w:p w14:paraId="5C0A7C57" w14:textId="60B05B29" w:rsidR="0037645B" w:rsidRDefault="0037645B" w:rsidP="006D3A31">
      <w:pPr>
        <w:widowControl w:val="0"/>
        <w:ind w:firstLine="720"/>
      </w:pPr>
      <w:r>
        <w:t>Based on this information, EPA has determined that [</w:t>
      </w:r>
      <w:r w:rsidRPr="00000AC3">
        <w:rPr>
          <w:b/>
        </w:rPr>
        <w:t>you or company name</w:t>
      </w:r>
      <w:r>
        <w:t>] qualify for a reduction in settlement amount [</w:t>
      </w:r>
      <w:r w:rsidRPr="00000AC3">
        <w:rPr>
          <w:b/>
        </w:rPr>
        <w:t>if applicable, insert</w:t>
      </w:r>
      <w:r>
        <w:rPr>
          <w:i/>
        </w:rPr>
        <w:t xml:space="preserve"> </w:t>
      </w:r>
      <w:r>
        <w:t>“and alternative payment method”].</w:t>
      </w:r>
      <w:r>
        <w:rPr>
          <w:rStyle w:val="FootnoteReference"/>
        </w:rPr>
        <w:footnoteReference w:id="2"/>
      </w:r>
      <w:r>
        <w:t xml:space="preserve"> EPA has determined that you do </w:t>
      </w:r>
      <w:r w:rsidRPr="00000AC3">
        <w:rPr>
          <w:b/>
        </w:rPr>
        <w:t>not</w:t>
      </w:r>
      <w:r>
        <w:t xml:space="preserve"> have sufficient cash flow, income, assets, and/or borrowing capacity to pay the full </w:t>
      </w:r>
      <w:proofErr w:type="spellStart"/>
      <w:r>
        <w:t>cashout</w:t>
      </w:r>
      <w:proofErr w:type="spellEnd"/>
      <w:r>
        <w:t xml:space="preserve"> amount of [$_____] without significantly affecting [</w:t>
      </w:r>
      <w:r w:rsidRPr="00000AC3">
        <w:rPr>
          <w:b/>
        </w:rPr>
        <w:t>your or company’s name</w:t>
      </w:r>
      <w:r>
        <w:t>] ability to [</w:t>
      </w:r>
      <w:r w:rsidRPr="00000AC3">
        <w:rPr>
          <w:b/>
        </w:rPr>
        <w:t>for businesses, insert</w:t>
      </w:r>
      <w:r>
        <w:t xml:space="preserve"> “continue basic business operations.”] [</w:t>
      </w:r>
      <w:proofErr w:type="gramStart"/>
      <w:r w:rsidRPr="00000AC3">
        <w:rPr>
          <w:b/>
        </w:rPr>
        <w:t>for</w:t>
      </w:r>
      <w:proofErr w:type="gramEnd"/>
      <w:r w:rsidRPr="00000AC3">
        <w:rPr>
          <w:b/>
        </w:rPr>
        <w:t xml:space="preserve"> individuals, insert</w:t>
      </w:r>
      <w:r>
        <w:t xml:space="preserve"> “meet ordinary </w:t>
      </w:r>
      <w:r>
        <w:lastRenderedPageBreak/>
        <w:t>and necessary living expenses.”] A description of the basis of our determination on [</w:t>
      </w:r>
      <w:r w:rsidRPr="00000AC3">
        <w:rPr>
          <w:b/>
        </w:rPr>
        <w:t>your or company’s name</w:t>
      </w:r>
      <w:r>
        <w:t>] ATP claim is enclosed in Attachment 1.</w:t>
      </w:r>
    </w:p>
    <w:p w14:paraId="19510A7F" w14:textId="77777777" w:rsidR="0037645B" w:rsidRDefault="0037645B" w:rsidP="0037645B">
      <w:pPr>
        <w:widowControl w:val="0"/>
      </w:pPr>
    </w:p>
    <w:p w14:paraId="550C6B66" w14:textId="77777777" w:rsidR="0037645B" w:rsidRDefault="0037645B" w:rsidP="0037645B">
      <w:pPr>
        <w:widowControl w:val="0"/>
        <w:tabs>
          <w:tab w:val="center" w:pos="4680"/>
        </w:tabs>
      </w:pPr>
      <w:r>
        <w:rPr>
          <w:b/>
        </w:rPr>
        <w:tab/>
      </w:r>
      <w:smartTag w:uri="urn:schemas-microsoft-com:office:smarttags" w:element="place">
        <w:r>
          <w:rPr>
            <w:b/>
            <w:u w:val="single"/>
          </w:rPr>
          <w:t>Opportunity</w:t>
        </w:r>
      </w:smartTag>
      <w:r>
        <w:rPr>
          <w:b/>
          <w:u w:val="single"/>
        </w:rPr>
        <w:t xml:space="preserve"> to Settle</w:t>
      </w:r>
    </w:p>
    <w:p w14:paraId="588109E9" w14:textId="77777777" w:rsidR="0037645B" w:rsidRDefault="0037645B" w:rsidP="0037645B">
      <w:pPr>
        <w:widowControl w:val="0"/>
      </w:pPr>
    </w:p>
    <w:p w14:paraId="69661206" w14:textId="68A62449" w:rsidR="0037645B" w:rsidRDefault="0037645B" w:rsidP="0037645B">
      <w:pPr>
        <w:widowControl w:val="0"/>
      </w:pPr>
      <w:r>
        <w:tab/>
        <w:t>Because we have found [</w:t>
      </w:r>
      <w:r w:rsidRPr="00000AC3">
        <w:rPr>
          <w:b/>
        </w:rPr>
        <w:t>your or company’s name</w:t>
      </w:r>
      <w:r>
        <w:t>] ATP claim valid, EPA is offering you a [</w:t>
      </w:r>
      <w:r w:rsidRPr="00000AC3">
        <w:rPr>
          <w:b/>
        </w:rPr>
        <w:t xml:space="preserve">if applicable, insert </w:t>
      </w:r>
      <w:r>
        <w:t>“revised”] [</w:t>
      </w:r>
      <w:r w:rsidRPr="00000AC3">
        <w:rPr>
          <w:b/>
        </w:rPr>
        <w:t xml:space="preserve">if applicable, insert </w:t>
      </w:r>
      <w:r w:rsidRPr="009D6F92">
        <w:t>“</w:t>
      </w:r>
      <w:r w:rsidRPr="009D6F92">
        <w:rPr>
          <w:i/>
        </w:rPr>
        <w:t>de minimis</w:t>
      </w:r>
      <w:r w:rsidRPr="009D6F92">
        <w:t>”</w:t>
      </w:r>
      <w:r>
        <w:t>] settlement for the [</w:t>
      </w:r>
      <w:r w:rsidRPr="00000AC3">
        <w:rPr>
          <w:b/>
        </w:rPr>
        <w:t>site name</w:t>
      </w:r>
      <w:r>
        <w:t>] for the amount of [_____]. This reduced settlement offer is [__%] of EPA’s original [</w:t>
      </w:r>
      <w:r w:rsidRPr="00000AC3">
        <w:rPr>
          <w:b/>
        </w:rPr>
        <w:t>insert date</w:t>
      </w:r>
      <w:r>
        <w:t xml:space="preserve">] offer. </w:t>
      </w:r>
    </w:p>
    <w:p w14:paraId="0BCE5CFB" w14:textId="77777777" w:rsidR="0037645B" w:rsidRDefault="0037645B" w:rsidP="0037645B">
      <w:pPr>
        <w:widowControl w:val="0"/>
      </w:pPr>
    </w:p>
    <w:p w14:paraId="35C40223" w14:textId="79450E18" w:rsidR="0037645B" w:rsidRDefault="0037645B" w:rsidP="0037645B">
      <w:pPr>
        <w:widowControl w:val="0"/>
      </w:pPr>
      <w:r>
        <w:tab/>
        <w:t>As explained in our [</w:t>
      </w:r>
      <w:r w:rsidRPr="00000AC3">
        <w:rPr>
          <w:b/>
        </w:rPr>
        <w:t>insert date</w:t>
      </w:r>
      <w:r>
        <w:t>] letter, if [</w:t>
      </w:r>
      <w:r w:rsidRPr="00000AC3">
        <w:rPr>
          <w:b/>
        </w:rPr>
        <w:t>you or company name</w:t>
      </w:r>
      <w:r>
        <w:t>] choose to accept EPA’s revised settlement offer of [$_____], [</w:t>
      </w:r>
      <w:r w:rsidRPr="00000AC3">
        <w:rPr>
          <w:b/>
        </w:rPr>
        <w:t>you or company name</w:t>
      </w:r>
      <w:r>
        <w:t xml:space="preserve">] will enter into a settlement directly with the EPA under which </w:t>
      </w:r>
      <w:r w:rsidR="00747593">
        <w:rPr>
          <w:b/>
        </w:rPr>
        <w:t>[you or company name]</w:t>
      </w:r>
      <w:r>
        <w:t xml:space="preserve"> will receive: (1) a covenant not to sue, which is a promise that EPA will not bring any future legal action against [</w:t>
      </w:r>
      <w:r w:rsidRPr="00000AC3">
        <w:rPr>
          <w:b/>
        </w:rPr>
        <w:t>you or company name</w:t>
      </w:r>
      <w:r>
        <w:t>] at the Site for the</w:t>
      </w:r>
      <w:r w:rsidR="00000AC3">
        <w:t xml:space="preserve"> </w:t>
      </w:r>
      <w:r>
        <w:t>specific matters addressed in the settlement; and (2) protection from contribution claims, which provides [</w:t>
      </w:r>
      <w:r w:rsidRPr="00000AC3">
        <w:rPr>
          <w:b/>
        </w:rPr>
        <w:t>you or company name</w:t>
      </w:r>
      <w:r>
        <w:t>] with protection from being sued in a contribution action by other responsible parties at the Site for the specific matters addressed in the settlement. [</w:t>
      </w:r>
      <w:r w:rsidRPr="00000AC3">
        <w:rPr>
          <w:b/>
        </w:rPr>
        <w:t xml:space="preserve">If </w:t>
      </w:r>
      <w:r w:rsidRPr="00000AC3">
        <w:rPr>
          <w:b/>
          <w:i/>
        </w:rPr>
        <w:t>de minimis</w:t>
      </w:r>
      <w:r w:rsidRPr="00000AC3">
        <w:rPr>
          <w:b/>
        </w:rPr>
        <w:t>, insert,</w:t>
      </w:r>
      <w:r>
        <w:rPr>
          <w:i/>
        </w:rPr>
        <w:t xml:space="preserve"> </w:t>
      </w:r>
      <w:r>
        <w:t xml:space="preserve">“The matters addressed in a </w:t>
      </w:r>
      <w:r>
        <w:rPr>
          <w:i/>
        </w:rPr>
        <w:t xml:space="preserve">de minimis </w:t>
      </w:r>
      <w:r>
        <w:t>settlement are typically all cleanup actions and all cleanup costs at the particular site.”]</w:t>
      </w:r>
    </w:p>
    <w:p w14:paraId="3B92D900" w14:textId="77777777" w:rsidR="0037645B" w:rsidRDefault="0037645B" w:rsidP="0037645B">
      <w:pPr>
        <w:widowControl w:val="0"/>
      </w:pPr>
    </w:p>
    <w:p w14:paraId="0B9B9824" w14:textId="790E71AF" w:rsidR="0037645B" w:rsidRDefault="0037645B" w:rsidP="00BC3CA0">
      <w:pPr>
        <w:widowControl w:val="0"/>
        <w:ind w:firstLine="720"/>
      </w:pPr>
      <w:r>
        <w:t>The protection from contribution suits for [</w:t>
      </w:r>
      <w:r w:rsidRPr="00000AC3">
        <w:rPr>
          <w:b/>
        </w:rPr>
        <w:t xml:space="preserve">if applicable, insert </w:t>
      </w:r>
      <w:r w:rsidRPr="009D6F92">
        <w:t>“</w:t>
      </w:r>
      <w:r>
        <w:rPr>
          <w:i/>
        </w:rPr>
        <w:t>de minimis</w:t>
      </w:r>
      <w:r w:rsidRPr="00000AC3">
        <w:rPr>
          <w:i/>
        </w:rPr>
        <w:t>”</w:t>
      </w:r>
      <w:r>
        <w:t>] ability to pay</w:t>
      </w:r>
      <w:r>
        <w:rPr>
          <w:i/>
        </w:rPr>
        <w:t xml:space="preserve"> </w:t>
      </w:r>
      <w:r>
        <w:t>settlors is based on Section[s] 113(f)(2) [</w:t>
      </w:r>
      <w:r w:rsidRPr="00000AC3">
        <w:rPr>
          <w:b/>
        </w:rPr>
        <w:t xml:space="preserve">if </w:t>
      </w:r>
      <w:r w:rsidRPr="00000AC3">
        <w:rPr>
          <w:b/>
          <w:i/>
        </w:rPr>
        <w:t xml:space="preserve">de </w:t>
      </w:r>
      <w:r w:rsidRPr="00000AC3">
        <w:rPr>
          <w:b/>
          <w:i/>
        </w:rPr>
        <w:lastRenderedPageBreak/>
        <w:t>minimis</w:t>
      </w:r>
      <w:r w:rsidRPr="00000AC3">
        <w:rPr>
          <w:b/>
        </w:rPr>
        <w:t>, insert</w:t>
      </w:r>
      <w:r>
        <w:rPr>
          <w:i/>
        </w:rPr>
        <w:t xml:space="preserve"> </w:t>
      </w:r>
      <w:r w:rsidRPr="00000AC3">
        <w:t>“and 122(g)(5)”</w:t>
      </w:r>
      <w:r>
        <w:t xml:space="preserve">] of CERCLA, which provide[s] that a person “who has resolved its liability to the United States” in an administrative or judicially approved settlement “shall not be liable for claims for contribution regarding matters addressed in the settlement.” This protection against contribution claims, however, may not extend to claims by third parties that have incurred their own response costs and seek to recover them under Section 107(a)(4)(B). </w:t>
      </w:r>
      <w:r w:rsidRPr="00000AC3">
        <w:rPr>
          <w:i/>
        </w:rPr>
        <w:t>See United States v. Atlantic Research Corporation</w:t>
      </w:r>
      <w:r>
        <w:t xml:space="preserve">, 172 </w:t>
      </w:r>
      <w:proofErr w:type="spellStart"/>
      <w:r>
        <w:t>S.Ct</w:t>
      </w:r>
      <w:proofErr w:type="spellEnd"/>
      <w:r>
        <w:t xml:space="preserve">. 2331, 169 </w:t>
      </w:r>
      <w:proofErr w:type="spellStart"/>
      <w:r>
        <w:t>L.Ed</w:t>
      </w:r>
      <w:proofErr w:type="spellEnd"/>
      <w:r>
        <w:t>. 2d 28 (June 11, 2007) (in certain situations, a liable party who has incurred cleanup costs at a site can sue other liable parties using CERCLA Section 107(a)(4)(B)).</w:t>
      </w:r>
    </w:p>
    <w:p w14:paraId="6B2846F6" w14:textId="77777777" w:rsidR="0037645B" w:rsidRDefault="0037645B" w:rsidP="0037645B">
      <w:pPr>
        <w:widowControl w:val="0"/>
      </w:pPr>
    </w:p>
    <w:p w14:paraId="033739D1" w14:textId="3B8D48C6" w:rsidR="0037645B" w:rsidRDefault="0037645B" w:rsidP="00BC3CA0">
      <w:pPr>
        <w:widowControl w:val="0"/>
        <w:ind w:firstLine="720"/>
      </w:pPr>
      <w:r>
        <w:t>If [</w:t>
      </w:r>
      <w:r w:rsidRPr="00000AC3">
        <w:rPr>
          <w:b/>
        </w:rPr>
        <w:t>you or company name</w:t>
      </w:r>
      <w:r>
        <w:t>] would like to accept EPA’s offer of [$_____] and participate in the settlement, please complete the signature page of the enclosed settlement and return the signed settlement agreement to [</w:t>
      </w:r>
      <w:r w:rsidRPr="00000AC3">
        <w:rPr>
          <w:b/>
        </w:rPr>
        <w:t>name and address of regional contact</w:t>
      </w:r>
      <w:r>
        <w:t>]. In addition, please be prepared to remit payment of [$_____] to EPA as directed in the enclosed settlement agreement. We suggest that [</w:t>
      </w:r>
      <w:r w:rsidRPr="00000AC3">
        <w:rPr>
          <w:b/>
        </w:rPr>
        <w:t>you or company name</w:t>
      </w:r>
      <w:r>
        <w:t>] keep a copy of the entire settlement for your files. If we do not receive your signed copy by</w:t>
      </w:r>
      <w:r>
        <w:rPr>
          <w:b/>
        </w:rPr>
        <w:t xml:space="preserve"> [insert deadline date in bold]</w:t>
      </w:r>
      <w:r>
        <w:t>, we will assume that [</w:t>
      </w:r>
      <w:r w:rsidRPr="00000AC3">
        <w:rPr>
          <w:b/>
        </w:rPr>
        <w:t>you or company name</w:t>
      </w:r>
      <w:r>
        <w:t>] are not interested in pursuing a [</w:t>
      </w:r>
      <w:r w:rsidRPr="00000AC3">
        <w:rPr>
          <w:b/>
        </w:rPr>
        <w:t>if applicable, insert</w:t>
      </w:r>
      <w:r>
        <w:t xml:space="preserve"> </w:t>
      </w:r>
      <w:r w:rsidRPr="00000AC3">
        <w:rPr>
          <w:i/>
        </w:rPr>
        <w:t>“</w:t>
      </w:r>
      <w:r>
        <w:rPr>
          <w:i/>
        </w:rPr>
        <w:t>de minimis</w:t>
      </w:r>
      <w:r w:rsidRPr="00000AC3">
        <w:rPr>
          <w:i/>
        </w:rPr>
        <w:t>”</w:t>
      </w:r>
      <w:r>
        <w:t>] settlement with EPA for this Site.</w:t>
      </w:r>
    </w:p>
    <w:p w14:paraId="78B1B082" w14:textId="77777777" w:rsidR="0037645B" w:rsidRDefault="0037645B" w:rsidP="0037645B">
      <w:pPr>
        <w:widowControl w:val="0"/>
      </w:pPr>
    </w:p>
    <w:p w14:paraId="53CD642A" w14:textId="362D9C3D" w:rsidR="0037645B" w:rsidRDefault="0037645B" w:rsidP="00BC3CA0">
      <w:pPr>
        <w:widowControl w:val="0"/>
        <w:ind w:firstLine="720"/>
      </w:pPr>
      <w:r>
        <w:t>If [</w:t>
      </w:r>
      <w:r w:rsidRPr="00000AC3">
        <w:rPr>
          <w:b/>
        </w:rPr>
        <w:t>you or company name</w:t>
      </w:r>
      <w:r>
        <w:t>] believe that the revised settlement offer amount is still too high, [</w:t>
      </w:r>
      <w:r w:rsidRPr="00000AC3">
        <w:rPr>
          <w:b/>
        </w:rPr>
        <w:t>you or company name</w:t>
      </w:r>
      <w:r>
        <w:t>] may submit additional financial information to EPA. EPA will only consider such new information if it shows a significant change in circumstances since [</w:t>
      </w:r>
      <w:r w:rsidRPr="00000AC3">
        <w:rPr>
          <w:b/>
        </w:rPr>
        <w:t xml:space="preserve">your or </w:t>
      </w:r>
      <w:r w:rsidRPr="00000AC3">
        <w:rPr>
          <w:b/>
        </w:rPr>
        <w:lastRenderedPageBreak/>
        <w:t>company’s name</w:t>
      </w:r>
      <w:r>
        <w:t>] last submission, or if it includes a potentially significant piece of information that [</w:t>
      </w:r>
      <w:r w:rsidRPr="00000AC3">
        <w:rPr>
          <w:b/>
        </w:rPr>
        <w:t>you or company name</w:t>
      </w:r>
      <w:r>
        <w:t>] did not include in your first submission.</w:t>
      </w:r>
    </w:p>
    <w:p w14:paraId="09887042" w14:textId="77777777" w:rsidR="0037645B" w:rsidRDefault="0037645B" w:rsidP="0037645B">
      <w:pPr>
        <w:widowControl w:val="0"/>
      </w:pPr>
    </w:p>
    <w:p w14:paraId="52475503" w14:textId="0ECF8E81" w:rsidR="0037645B" w:rsidRDefault="0037645B" w:rsidP="00BC3CA0">
      <w:pPr>
        <w:widowControl w:val="0"/>
        <w:ind w:firstLine="720"/>
      </w:pPr>
      <w:r>
        <w:t xml:space="preserve">Final approval of the settlement is subject to the review of authorized EPA [unless </w:t>
      </w:r>
      <w:r w:rsidR="00991A6E">
        <w:t xml:space="preserve">total </w:t>
      </w:r>
      <w:r w:rsidR="00B40382">
        <w:t xml:space="preserve">past and future </w:t>
      </w:r>
      <w:r>
        <w:t>site costs are less than $500,000 include the following: “and United States Department of Justice (DOJ)”] officials.</w:t>
      </w:r>
      <w:r>
        <w:rPr>
          <w:rStyle w:val="FootnoteReference"/>
        </w:rPr>
        <w:footnoteReference w:id="3"/>
      </w:r>
      <w:r>
        <w:t xml:space="preserve"> If [</w:t>
      </w:r>
      <w:r w:rsidRPr="00000AC3">
        <w:rPr>
          <w:b/>
        </w:rPr>
        <w:t>you or company name</w:t>
      </w:r>
      <w:r>
        <w:t>] have any questions about the [</w:t>
      </w:r>
      <w:r w:rsidRPr="00000AC3">
        <w:rPr>
          <w:b/>
        </w:rPr>
        <w:t>site name</w:t>
      </w:r>
      <w:r>
        <w:t>], EPA’s ATP determination, the terms of the settlement, or how to respond to this settlement offer, please contact [</w:t>
      </w:r>
      <w:r w:rsidRPr="00000AC3">
        <w:rPr>
          <w:b/>
        </w:rPr>
        <w:t>name and phone number of regional contact</w:t>
      </w:r>
      <w:r>
        <w:t xml:space="preserve">]. </w:t>
      </w:r>
    </w:p>
    <w:p w14:paraId="15954768" w14:textId="4B9AA322" w:rsidR="0037645B" w:rsidRDefault="0037645B" w:rsidP="0037645B">
      <w:pPr>
        <w:widowControl w:val="0"/>
      </w:pPr>
    </w:p>
    <w:p w14:paraId="1AE1292A" w14:textId="2F60E929" w:rsidR="009D6F92" w:rsidRDefault="0037645B" w:rsidP="00BC3CA0">
      <w:pPr>
        <w:widowControl w:val="0"/>
        <w:ind w:firstLine="720"/>
      </w:pPr>
      <w:r>
        <w:t>[</w:t>
      </w:r>
      <w:r w:rsidRPr="00000AC3">
        <w:rPr>
          <w:b/>
        </w:rPr>
        <w:t>If recipient is likely a small business, insert:</w:t>
      </w:r>
      <w:r>
        <w:t xml:space="preserve"> </w:t>
      </w:r>
      <w:r w:rsidR="009D6F92" w:rsidRPr="0093292B">
        <w:rPr>
          <w:color w:val="000000"/>
          <w:szCs w:val="24"/>
        </w:rPr>
        <w:t>“EPA has created a number of helpful resources for small businesses. EPA has established the National Compliance Assistance Clearinghouse as well as Compliance Assistance Centers which offer various forms of resources to small businesses. You may inquire about these resources at</w:t>
      </w:r>
      <w:r w:rsidR="00810BAE">
        <w:rPr>
          <w:color w:val="000000"/>
          <w:szCs w:val="24"/>
        </w:rPr>
        <w:t xml:space="preserve"> </w:t>
      </w:r>
      <w:hyperlink r:id="rId7" w:history="1">
        <w:r w:rsidR="0072371E">
          <w:rPr>
            <w:rStyle w:val="Hyperlink"/>
            <w:szCs w:val="24"/>
          </w:rPr>
          <w:t>https://www.epa.gov/compliance/compliance-assistance-centers</w:t>
        </w:r>
      </w:hyperlink>
      <w:r w:rsidR="009D6F92" w:rsidRPr="0093292B">
        <w:rPr>
          <w:color w:val="000000"/>
          <w:szCs w:val="24"/>
        </w:rPr>
        <w:t xml:space="preserve">. In addition, the EPA Small Business Ombudsman may be contacted at </w:t>
      </w:r>
      <w:hyperlink r:id="rId8" w:history="1">
        <w:r w:rsidR="0072371E">
          <w:rPr>
            <w:rStyle w:val="Hyperlink"/>
            <w:szCs w:val="24"/>
          </w:rPr>
          <w:t>https://www.epa.gov/resources-small-businesses</w:t>
        </w:r>
      </w:hyperlink>
      <w:r w:rsidR="009D6F92" w:rsidRPr="0093292B">
        <w:rPr>
          <w:color w:val="000000"/>
          <w:szCs w:val="24"/>
        </w:rPr>
        <w:t>.”]</w:t>
      </w:r>
      <w:r>
        <w:t xml:space="preserve"> </w:t>
      </w:r>
    </w:p>
    <w:p w14:paraId="4AF4F591" w14:textId="77777777" w:rsidR="009D6F92" w:rsidRDefault="009D6F92" w:rsidP="00BC3CA0">
      <w:pPr>
        <w:widowControl w:val="0"/>
        <w:ind w:firstLine="720"/>
      </w:pPr>
    </w:p>
    <w:p w14:paraId="327D9631" w14:textId="77777777" w:rsidR="0037645B" w:rsidRDefault="0037645B" w:rsidP="00BC3CA0">
      <w:pPr>
        <w:widowControl w:val="0"/>
        <w:ind w:firstLine="720"/>
      </w:pPr>
      <w:r>
        <w:t>Thank you for your prompt attention to this matter.</w:t>
      </w:r>
    </w:p>
    <w:p w14:paraId="16F79977" w14:textId="77777777" w:rsidR="0037645B" w:rsidRDefault="0037645B" w:rsidP="0037645B">
      <w:pPr>
        <w:widowControl w:val="0"/>
      </w:pPr>
    </w:p>
    <w:p w14:paraId="33C71E88" w14:textId="04AF5848" w:rsidR="0037645B" w:rsidRDefault="0037645B" w:rsidP="0037645B">
      <w:pPr>
        <w:widowControl w:val="0"/>
      </w:pPr>
      <w:r>
        <w:lastRenderedPageBreak/>
        <w:tab/>
      </w:r>
      <w:r>
        <w:tab/>
      </w:r>
      <w:r>
        <w:tab/>
      </w:r>
      <w:r>
        <w:tab/>
      </w:r>
      <w:r>
        <w:tab/>
      </w:r>
      <w:r>
        <w:tab/>
        <w:t>Sincerely,</w:t>
      </w:r>
    </w:p>
    <w:p w14:paraId="78EB1900" w14:textId="77777777" w:rsidR="0037645B" w:rsidRDefault="0037645B" w:rsidP="0037645B">
      <w:pPr>
        <w:widowControl w:val="0"/>
      </w:pPr>
    </w:p>
    <w:p w14:paraId="6E2B0DC8" w14:textId="77777777" w:rsidR="0037645B" w:rsidRDefault="0037645B" w:rsidP="0037645B">
      <w:pPr>
        <w:widowControl w:val="0"/>
      </w:pPr>
    </w:p>
    <w:p w14:paraId="04BCAA5F" w14:textId="77777777" w:rsidR="009D6F92" w:rsidRPr="0093292B" w:rsidRDefault="009D6F92" w:rsidP="009D6F92">
      <w:pPr>
        <w:rPr>
          <w:szCs w:val="24"/>
        </w:rPr>
      </w:pPr>
    </w:p>
    <w:p w14:paraId="54E0A39A" w14:textId="77777777" w:rsidR="009D6F92" w:rsidRPr="0093292B" w:rsidRDefault="009D6F92" w:rsidP="009D6F92">
      <w:pPr>
        <w:ind w:left="4320"/>
        <w:rPr>
          <w:color w:val="000000"/>
          <w:szCs w:val="24"/>
        </w:rPr>
      </w:pPr>
      <w:r w:rsidRPr="0093292B">
        <w:rPr>
          <w:color w:val="000000"/>
          <w:szCs w:val="24"/>
        </w:rPr>
        <w:t>[</w:t>
      </w:r>
      <w:r w:rsidRPr="0093292B">
        <w:rPr>
          <w:b/>
          <w:color w:val="000000"/>
          <w:szCs w:val="24"/>
        </w:rPr>
        <w:t>Name/Title/Address of Individual Delegated</w:t>
      </w:r>
      <w:r w:rsidRPr="0093292B">
        <w:rPr>
          <w:color w:val="000000"/>
          <w:szCs w:val="24"/>
        </w:rPr>
        <w:t xml:space="preserve"> </w:t>
      </w:r>
      <w:r w:rsidRPr="0093292B">
        <w:rPr>
          <w:b/>
          <w:color w:val="000000"/>
          <w:szCs w:val="24"/>
        </w:rPr>
        <w:t>Signature Authority</w:t>
      </w:r>
      <w:r w:rsidRPr="0093292B">
        <w:rPr>
          <w:color w:val="000000"/>
          <w:szCs w:val="24"/>
        </w:rPr>
        <w:t>]</w:t>
      </w:r>
    </w:p>
    <w:p w14:paraId="48F1216A" w14:textId="77777777" w:rsidR="009D6F92" w:rsidRPr="0093292B" w:rsidRDefault="009D6F92" w:rsidP="009D6F92">
      <w:pPr>
        <w:rPr>
          <w:szCs w:val="24"/>
        </w:rPr>
      </w:pPr>
    </w:p>
    <w:p w14:paraId="659BAA82" w14:textId="77777777" w:rsidR="009D6F92" w:rsidRDefault="009D6F92" w:rsidP="0037645B">
      <w:pPr>
        <w:widowControl w:val="0"/>
      </w:pPr>
    </w:p>
    <w:p w14:paraId="1FE9369D" w14:textId="77777777" w:rsidR="0037645B" w:rsidRDefault="0037645B" w:rsidP="0037645B">
      <w:pPr>
        <w:widowControl w:val="0"/>
      </w:pPr>
    </w:p>
    <w:p w14:paraId="50E0E267" w14:textId="77777777" w:rsidR="0037645B" w:rsidRDefault="0037645B" w:rsidP="0037645B">
      <w:pPr>
        <w:widowControl w:val="0"/>
      </w:pPr>
      <w:r>
        <w:t>Enclosure(s)</w:t>
      </w:r>
    </w:p>
    <w:p w14:paraId="5E5A5A30" w14:textId="77777777" w:rsidR="009D6F92" w:rsidRDefault="009D6F92" w:rsidP="0037645B">
      <w:pPr>
        <w:widowControl w:val="0"/>
        <w:sectPr w:rsidR="009D6F92" w:rsidSect="0037645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1440" w:footer="720" w:gutter="0"/>
          <w:cols w:space="720"/>
          <w:titlePg/>
        </w:sectPr>
      </w:pPr>
    </w:p>
    <w:p w14:paraId="4B42DC4C" w14:textId="77777777" w:rsidR="009D6F92" w:rsidRDefault="009D6F92" w:rsidP="0037645B">
      <w:pPr>
        <w:widowControl w:val="0"/>
      </w:pPr>
    </w:p>
    <w:p w14:paraId="5F0A28EC" w14:textId="377B2990" w:rsidR="0037645B" w:rsidRDefault="0037645B" w:rsidP="0037645B">
      <w:pPr>
        <w:widowControl w:val="0"/>
        <w:jc w:val="center"/>
      </w:pPr>
      <w:r>
        <w:rPr>
          <w:b/>
          <w:u w:val="single"/>
        </w:rPr>
        <w:t>Attachment 1</w:t>
      </w:r>
    </w:p>
    <w:p w14:paraId="23D0D35B" w14:textId="77777777" w:rsidR="0037645B" w:rsidRDefault="0037645B" w:rsidP="0037645B">
      <w:pPr>
        <w:widowControl w:val="0"/>
        <w:jc w:val="center"/>
        <w:rPr>
          <w:b/>
        </w:rPr>
      </w:pPr>
    </w:p>
    <w:p w14:paraId="1D4919EF" w14:textId="77777777" w:rsidR="0037645B" w:rsidRDefault="0037645B" w:rsidP="0037645B">
      <w:pPr>
        <w:widowControl w:val="0"/>
        <w:jc w:val="center"/>
        <w:rPr>
          <w:b/>
        </w:rPr>
      </w:pPr>
    </w:p>
    <w:p w14:paraId="1874B16E" w14:textId="77777777" w:rsidR="0037645B" w:rsidRDefault="0037645B" w:rsidP="0037645B">
      <w:pPr>
        <w:widowControl w:val="0"/>
        <w:jc w:val="center"/>
      </w:pPr>
      <w:r>
        <w:rPr>
          <w:b/>
        </w:rPr>
        <w:t>BASIS OF INABILITY TO PAY DETERMINATION</w:t>
      </w:r>
      <w:r>
        <w:t xml:space="preserve"> </w:t>
      </w:r>
    </w:p>
    <w:p w14:paraId="4FC78700" w14:textId="77777777" w:rsidR="0037645B" w:rsidRDefault="0037645B" w:rsidP="0037645B">
      <w:pPr>
        <w:widowControl w:val="0"/>
      </w:pPr>
    </w:p>
    <w:p w14:paraId="5FA25660" w14:textId="0076982E" w:rsidR="0037645B" w:rsidRDefault="00B40382" w:rsidP="0037645B">
      <w:pPr>
        <w:widowControl w:val="0"/>
        <w:rPr>
          <w:b/>
        </w:rPr>
      </w:pPr>
      <w:r>
        <w:rPr>
          <w:b/>
        </w:rPr>
        <w:t>[</w:t>
      </w:r>
      <w:r w:rsidR="0037645B">
        <w:rPr>
          <w:b/>
        </w:rPr>
        <w:t>Site Name and Location</w:t>
      </w:r>
      <w:r>
        <w:rPr>
          <w:b/>
        </w:rPr>
        <w:t>]</w:t>
      </w:r>
    </w:p>
    <w:p w14:paraId="71D89529" w14:textId="77777777" w:rsidR="0037645B" w:rsidRDefault="0037645B" w:rsidP="0037645B">
      <w:pPr>
        <w:widowControl w:val="0"/>
        <w:rPr>
          <w:b/>
        </w:rPr>
      </w:pPr>
    </w:p>
    <w:p w14:paraId="1CDF4281" w14:textId="24D911EA" w:rsidR="0037645B" w:rsidRDefault="00B40382" w:rsidP="0037645B">
      <w:pPr>
        <w:widowControl w:val="0"/>
        <w:rPr>
          <w:b/>
        </w:rPr>
      </w:pPr>
      <w:r>
        <w:rPr>
          <w:b/>
        </w:rPr>
        <w:t>[</w:t>
      </w:r>
      <w:r w:rsidR="0037645B">
        <w:rPr>
          <w:b/>
        </w:rPr>
        <w:t>Name of the Party Subject to the Ability to Pay (ATP) Analysis</w:t>
      </w:r>
      <w:r>
        <w:rPr>
          <w:b/>
        </w:rPr>
        <w:t>]</w:t>
      </w:r>
    </w:p>
    <w:p w14:paraId="3C070509" w14:textId="77777777" w:rsidR="0037645B" w:rsidRDefault="0037645B" w:rsidP="0037645B">
      <w:pPr>
        <w:widowControl w:val="0"/>
        <w:rPr>
          <w:b/>
        </w:rPr>
      </w:pPr>
    </w:p>
    <w:p w14:paraId="7459109E" w14:textId="5C60CEC3" w:rsidR="0037645B" w:rsidRDefault="0037645B" w:rsidP="0037645B">
      <w:pPr>
        <w:widowControl w:val="0"/>
        <w:rPr>
          <w:b/>
        </w:rPr>
      </w:pPr>
      <w:r>
        <w:rPr>
          <w:b/>
        </w:rPr>
        <w:t>Party Identification Number</w:t>
      </w:r>
      <w:r w:rsidR="00B40382">
        <w:rPr>
          <w:b/>
        </w:rPr>
        <w:t>:</w:t>
      </w:r>
    </w:p>
    <w:p w14:paraId="17DF8240" w14:textId="77777777" w:rsidR="0037645B" w:rsidRDefault="0037645B" w:rsidP="0037645B">
      <w:pPr>
        <w:widowControl w:val="0"/>
      </w:pPr>
    </w:p>
    <w:p w14:paraId="749486AC" w14:textId="02825818" w:rsidR="0037645B" w:rsidRDefault="0037645B" w:rsidP="0037645B">
      <w:pPr>
        <w:widowControl w:val="0"/>
        <w:rPr>
          <w:b/>
        </w:rPr>
      </w:pPr>
      <w:r>
        <w:rPr>
          <w:b/>
        </w:rPr>
        <w:t>Proposed Settlement Amount</w:t>
      </w:r>
      <w:r w:rsidR="00B40382" w:rsidRPr="000C4CBB">
        <w:rPr>
          <w:b/>
          <w:szCs w:val="24"/>
        </w:rPr>
        <w:t>:  $______</w:t>
      </w:r>
    </w:p>
    <w:p w14:paraId="00FF61E2" w14:textId="77777777" w:rsidR="0037645B" w:rsidRDefault="0037645B" w:rsidP="0037645B">
      <w:pPr>
        <w:widowControl w:val="0"/>
        <w:rPr>
          <w:b/>
        </w:rPr>
      </w:pPr>
    </w:p>
    <w:p w14:paraId="605AD612" w14:textId="36910F3B" w:rsidR="0037645B" w:rsidRDefault="0037645B" w:rsidP="0037645B">
      <w:pPr>
        <w:widowControl w:val="0"/>
      </w:pPr>
      <w:r>
        <w:rPr>
          <w:b/>
        </w:rPr>
        <w:t>Documents Submitted by the ATP Candidate that Formed the Basis of the ATP Determination.</w:t>
      </w:r>
      <w:r>
        <w:t xml:space="preserve"> Such documents include [</w:t>
      </w:r>
      <w:r w:rsidRPr="00000AC3">
        <w:rPr>
          <w:b/>
        </w:rPr>
        <w:t>list the documents provided by party</w:t>
      </w:r>
      <w:r>
        <w:t xml:space="preserve">] – </w:t>
      </w:r>
    </w:p>
    <w:p w14:paraId="17D34882" w14:textId="77777777" w:rsidR="0037645B" w:rsidRDefault="0037645B" w:rsidP="0037645B">
      <w:pPr>
        <w:widowControl w:val="0"/>
      </w:pPr>
    </w:p>
    <w:p w14:paraId="1F916B9C" w14:textId="77777777" w:rsidR="0037645B" w:rsidRDefault="0037645B" w:rsidP="00000AC3">
      <w:pPr>
        <w:pStyle w:val="Level1"/>
        <w:numPr>
          <w:ilvl w:val="0"/>
          <w:numId w:val="3"/>
        </w:numPr>
        <w:tabs>
          <w:tab w:val="clear" w:pos="720"/>
        </w:tabs>
        <w:ind w:left="1080"/>
      </w:pPr>
      <w:r>
        <w:t>The Initial Inability to Pay Request</w:t>
      </w:r>
    </w:p>
    <w:p w14:paraId="28DA04FB" w14:textId="77777777" w:rsidR="0037645B" w:rsidRDefault="0037645B" w:rsidP="00000AC3">
      <w:pPr>
        <w:widowControl w:val="0"/>
        <w:ind w:left="1080" w:hanging="360"/>
      </w:pPr>
    </w:p>
    <w:p w14:paraId="4EFDEBB2" w14:textId="77777777" w:rsidR="0037645B" w:rsidRDefault="0037645B" w:rsidP="00000AC3">
      <w:pPr>
        <w:pStyle w:val="Level1"/>
        <w:numPr>
          <w:ilvl w:val="0"/>
          <w:numId w:val="3"/>
        </w:numPr>
        <w:tabs>
          <w:tab w:val="clear" w:pos="720"/>
        </w:tabs>
        <w:ind w:left="1080"/>
      </w:pPr>
      <w:r>
        <w:t>Five Most Recent Years of Individual Federal Income Tax Returns or Corporate Federal Income Tax Returns</w:t>
      </w:r>
    </w:p>
    <w:p w14:paraId="7E47F5AF" w14:textId="77777777" w:rsidR="0037645B" w:rsidRDefault="0037645B" w:rsidP="00000AC3">
      <w:pPr>
        <w:widowControl w:val="0"/>
        <w:ind w:left="1080" w:hanging="360"/>
      </w:pPr>
    </w:p>
    <w:p w14:paraId="29A93B9A" w14:textId="77777777" w:rsidR="0037645B" w:rsidRDefault="0037645B" w:rsidP="00000AC3">
      <w:pPr>
        <w:pStyle w:val="Level1"/>
        <w:numPr>
          <w:ilvl w:val="0"/>
          <w:numId w:val="3"/>
        </w:numPr>
        <w:tabs>
          <w:tab w:val="clear" w:pos="720"/>
        </w:tabs>
        <w:ind w:left="1080"/>
      </w:pPr>
      <w:r>
        <w:t>Five Most Recent Years of Business Financial Statements</w:t>
      </w:r>
    </w:p>
    <w:p w14:paraId="5C6054B1" w14:textId="77777777" w:rsidR="0037645B" w:rsidRDefault="0037645B" w:rsidP="00000AC3">
      <w:pPr>
        <w:widowControl w:val="0"/>
        <w:ind w:left="1080" w:hanging="360"/>
      </w:pPr>
    </w:p>
    <w:p w14:paraId="769DEAA8" w14:textId="77777777" w:rsidR="0037645B" w:rsidRDefault="0037645B" w:rsidP="00000AC3">
      <w:pPr>
        <w:pStyle w:val="Level1"/>
        <w:numPr>
          <w:ilvl w:val="0"/>
          <w:numId w:val="3"/>
        </w:numPr>
        <w:tabs>
          <w:tab w:val="clear" w:pos="720"/>
        </w:tabs>
        <w:ind w:left="1080"/>
      </w:pPr>
      <w:r>
        <w:t>Individual Financial Data Form or Municipal Financial Data Form or Financial Questionnaire Developed by Region</w:t>
      </w:r>
    </w:p>
    <w:p w14:paraId="23401F80" w14:textId="77777777" w:rsidR="0037645B" w:rsidRDefault="0037645B" w:rsidP="00000AC3">
      <w:pPr>
        <w:widowControl w:val="0"/>
        <w:ind w:left="1080" w:hanging="360"/>
      </w:pPr>
    </w:p>
    <w:p w14:paraId="6E053DB3" w14:textId="77777777" w:rsidR="0037645B" w:rsidRDefault="0037645B" w:rsidP="00000AC3">
      <w:pPr>
        <w:pStyle w:val="Level1"/>
        <w:numPr>
          <w:ilvl w:val="0"/>
          <w:numId w:val="3"/>
        </w:numPr>
        <w:tabs>
          <w:tab w:val="clear" w:pos="720"/>
        </w:tabs>
        <w:ind w:left="1080"/>
      </w:pPr>
      <w:r>
        <w:t>Other Financial Information, including (</w:t>
      </w:r>
      <w:r w:rsidRPr="00000AC3">
        <w:rPr>
          <w:b/>
          <w:i/>
        </w:rPr>
        <w:t>list all that apply</w:t>
      </w:r>
      <w:r>
        <w:t>):</w:t>
      </w:r>
    </w:p>
    <w:p w14:paraId="5A1CF1D0" w14:textId="77777777" w:rsidR="0037645B" w:rsidRDefault="0037645B" w:rsidP="0037645B">
      <w:pPr>
        <w:widowControl w:val="0"/>
      </w:pPr>
    </w:p>
    <w:p w14:paraId="2375A715" w14:textId="77777777" w:rsidR="0037645B" w:rsidRDefault="0037645B" w:rsidP="00000AC3">
      <w:pPr>
        <w:pStyle w:val="Level1"/>
        <w:numPr>
          <w:ilvl w:val="1"/>
          <w:numId w:val="3"/>
        </w:numPr>
        <w:tabs>
          <w:tab w:val="clear" w:pos="1296"/>
        </w:tabs>
        <w:ind w:left="1440" w:hanging="360"/>
      </w:pPr>
      <w:r>
        <w:t>Loan Applications</w:t>
      </w:r>
    </w:p>
    <w:p w14:paraId="7397A765" w14:textId="77777777" w:rsidR="0037645B" w:rsidRDefault="0037645B" w:rsidP="00000AC3">
      <w:pPr>
        <w:widowControl w:val="0"/>
        <w:ind w:left="1440" w:hanging="360"/>
      </w:pPr>
    </w:p>
    <w:p w14:paraId="1BFDB492" w14:textId="77777777" w:rsidR="0037645B" w:rsidRDefault="0037645B" w:rsidP="00000AC3">
      <w:pPr>
        <w:pStyle w:val="Level1"/>
        <w:numPr>
          <w:ilvl w:val="1"/>
          <w:numId w:val="3"/>
        </w:numPr>
        <w:tabs>
          <w:tab w:val="clear" w:pos="1296"/>
        </w:tabs>
        <w:ind w:left="1440" w:hanging="360"/>
      </w:pPr>
      <w:r>
        <w:t>Financial Information Relating to Businesses owned by the ATP Candidate</w:t>
      </w:r>
    </w:p>
    <w:p w14:paraId="6F0507A6" w14:textId="77777777" w:rsidR="0037645B" w:rsidRDefault="0037645B" w:rsidP="00000AC3">
      <w:pPr>
        <w:widowControl w:val="0"/>
        <w:ind w:left="1440" w:hanging="360"/>
      </w:pPr>
    </w:p>
    <w:p w14:paraId="2F035781" w14:textId="77777777" w:rsidR="0037645B" w:rsidRDefault="0037645B" w:rsidP="00000AC3">
      <w:pPr>
        <w:pStyle w:val="Level1"/>
        <w:numPr>
          <w:ilvl w:val="1"/>
          <w:numId w:val="3"/>
        </w:numPr>
        <w:tabs>
          <w:tab w:val="clear" w:pos="1296"/>
        </w:tabs>
        <w:ind w:left="1440" w:hanging="360"/>
      </w:pPr>
      <w:r>
        <w:t>Individual or Corporate State Income Tax Returns</w:t>
      </w:r>
    </w:p>
    <w:p w14:paraId="2E40AE6E" w14:textId="77777777" w:rsidR="0037645B" w:rsidRDefault="0037645B" w:rsidP="00000AC3">
      <w:pPr>
        <w:widowControl w:val="0"/>
        <w:ind w:left="1440" w:hanging="360"/>
      </w:pPr>
    </w:p>
    <w:p w14:paraId="02707F24" w14:textId="77777777" w:rsidR="0037645B" w:rsidRDefault="0037645B" w:rsidP="00000AC3">
      <w:pPr>
        <w:pStyle w:val="Level1"/>
        <w:numPr>
          <w:ilvl w:val="1"/>
          <w:numId w:val="3"/>
        </w:numPr>
        <w:tabs>
          <w:tab w:val="clear" w:pos="1296"/>
        </w:tabs>
        <w:ind w:left="1440" w:hanging="360"/>
      </w:pPr>
      <w:r>
        <w:t>Fair Market Value of Assets Owned by the ATP Candidate</w:t>
      </w:r>
    </w:p>
    <w:p w14:paraId="30CA3F00" w14:textId="77777777" w:rsidR="0037645B" w:rsidRDefault="0037645B" w:rsidP="00000AC3">
      <w:pPr>
        <w:widowControl w:val="0"/>
        <w:ind w:left="1440" w:hanging="360"/>
      </w:pPr>
    </w:p>
    <w:p w14:paraId="59DFC24F" w14:textId="77777777" w:rsidR="0037645B" w:rsidRDefault="0037645B" w:rsidP="00000AC3">
      <w:pPr>
        <w:pStyle w:val="Level1"/>
        <w:numPr>
          <w:ilvl w:val="1"/>
          <w:numId w:val="3"/>
        </w:numPr>
        <w:tabs>
          <w:tab w:val="clear" w:pos="1296"/>
        </w:tabs>
        <w:ind w:left="1440" w:hanging="360"/>
      </w:pPr>
      <w:r>
        <w:t>Insurance Policies</w:t>
      </w:r>
    </w:p>
    <w:p w14:paraId="782E4356" w14:textId="77777777" w:rsidR="0037645B" w:rsidRDefault="0037645B" w:rsidP="0037645B">
      <w:pPr>
        <w:widowControl w:val="0"/>
      </w:pPr>
    </w:p>
    <w:p w14:paraId="21DA3700" w14:textId="77777777" w:rsidR="0037645B" w:rsidRDefault="0037645B" w:rsidP="00000AC3">
      <w:pPr>
        <w:pStyle w:val="Level1"/>
        <w:numPr>
          <w:ilvl w:val="1"/>
          <w:numId w:val="3"/>
        </w:numPr>
        <w:tabs>
          <w:tab w:val="clear" w:pos="1296"/>
        </w:tabs>
        <w:ind w:left="1440" w:hanging="360"/>
      </w:pPr>
      <w:r>
        <w:t>Other Sources of Funds Available to the ATP Candidate, including (</w:t>
      </w:r>
      <w:r w:rsidRPr="00000AC3">
        <w:rPr>
          <w:b/>
          <w:i/>
        </w:rPr>
        <w:t>list all that apply</w:t>
      </w:r>
      <w:r>
        <w:t xml:space="preserve">): (a) for individuals, income and assets not in the name of the ATP Candidate, but that are available to the ATP Candidate, such as income from, and assets in, trusts and other related entities as well as the financial holdings of the ATP Candidate’s spouse; (b) for businesses, financial information relating to other entities owned by the business and/or shareholders or directors of the business, financial information for a period of time greater than five years, and information that might assist in estimating the fair market value of assets, liabilities, income, and expenses of the ATP Candidate; and (c) for municipalities, annual audited financial statements; </w:t>
      </w:r>
      <w:r>
        <w:lastRenderedPageBreak/>
        <w:t>general obligation bond prospectuses, and annual budgets for [</w:t>
      </w:r>
      <w:r w:rsidRPr="00000AC3">
        <w:rPr>
          <w:b/>
        </w:rPr>
        <w:t>insert number</w:t>
      </w:r>
      <w:r>
        <w:t>] years.</w:t>
      </w:r>
    </w:p>
    <w:p w14:paraId="4B7CBF1C" w14:textId="77777777" w:rsidR="0037645B" w:rsidRDefault="0037645B" w:rsidP="0037645B">
      <w:pPr>
        <w:widowControl w:val="0"/>
      </w:pPr>
    </w:p>
    <w:p w14:paraId="0BBC7349" w14:textId="1A3733AC" w:rsidR="0037645B" w:rsidRPr="00000AC3" w:rsidRDefault="0037645B" w:rsidP="0037645B">
      <w:pPr>
        <w:widowControl w:val="0"/>
        <w:rPr>
          <w:b/>
        </w:rPr>
      </w:pPr>
      <w:r>
        <w:rPr>
          <w:b/>
        </w:rPr>
        <w:t>Analysis</w:t>
      </w:r>
      <w:r>
        <w:t xml:space="preserve">. </w:t>
      </w:r>
      <w:r w:rsidR="00B40382">
        <w:t>[</w:t>
      </w:r>
      <w:r w:rsidR="00B40382" w:rsidRPr="00000AC3">
        <w:rPr>
          <w:b/>
        </w:rPr>
        <w:t>D</w:t>
      </w:r>
      <w:r w:rsidRPr="00000AC3">
        <w:rPr>
          <w:b/>
        </w:rPr>
        <w:t>iscuss the documents submitted by the ATP Candidate and state a decision based upon the documents. For example:</w:t>
      </w:r>
      <w:r w:rsidR="0052354E" w:rsidRPr="00000AC3">
        <w:t>]</w:t>
      </w:r>
    </w:p>
    <w:p w14:paraId="579F7064" w14:textId="77777777" w:rsidR="0037645B" w:rsidRDefault="0037645B" w:rsidP="0037645B">
      <w:pPr>
        <w:widowControl w:val="0"/>
      </w:pPr>
    </w:p>
    <w:p w14:paraId="1AA78100" w14:textId="2B23699D" w:rsidR="0037645B" w:rsidRDefault="0037645B" w:rsidP="0037645B">
      <w:pPr>
        <w:widowControl w:val="0"/>
        <w:ind w:left="720"/>
      </w:pPr>
      <w:r>
        <w:t>“In support of [his/hers/its] inability or limited ability to pay claim, [</w:t>
      </w:r>
      <w:r w:rsidRPr="00E115A3">
        <w:rPr>
          <w:b/>
        </w:rPr>
        <w:t>PRP</w:t>
      </w:r>
      <w:r w:rsidR="002343C9">
        <w:rPr>
          <w:b/>
        </w:rPr>
        <w:t xml:space="preserve"> name</w:t>
      </w:r>
      <w:r>
        <w:t xml:space="preserve">] submitted the documents identified above. Our analysis of the submitted documentation indicates that, as of [date of latest documentation, such as latest federal tax return], [ </w:t>
      </w:r>
      <w:r w:rsidRPr="00E115A3">
        <w:rPr>
          <w:b/>
        </w:rPr>
        <w:t>PRP</w:t>
      </w:r>
      <w:r w:rsidR="002343C9" w:rsidRPr="00E115A3">
        <w:rPr>
          <w:b/>
        </w:rPr>
        <w:t xml:space="preserve"> name</w:t>
      </w:r>
      <w:r>
        <w:t>] lacks sufficient [</w:t>
      </w:r>
      <w:r w:rsidRPr="00E115A3">
        <w:rPr>
          <w:b/>
        </w:rPr>
        <w:t>specify any or all of the following:</w:t>
      </w:r>
      <w:r>
        <w:t xml:space="preserve"> cash flow, income, assets, and/or borrowing capacity] to pay the entire proposed settlement amount of [$_____] without suffering undue financial hardship.</w:t>
      </w:r>
    </w:p>
    <w:p w14:paraId="270C9A38" w14:textId="77777777" w:rsidR="0037645B" w:rsidRDefault="0037645B" w:rsidP="0037645B">
      <w:pPr>
        <w:widowControl w:val="0"/>
      </w:pPr>
    </w:p>
    <w:p w14:paraId="2985192E" w14:textId="5BEC2708" w:rsidR="0037645B" w:rsidRDefault="0037645B" w:rsidP="0037645B">
      <w:pPr>
        <w:widowControl w:val="0"/>
      </w:pPr>
      <w:r>
        <w:rPr>
          <w:b/>
        </w:rPr>
        <w:t>Conclusion</w:t>
      </w:r>
      <w:r>
        <w:t xml:space="preserve">. </w:t>
      </w:r>
      <w:r w:rsidR="0052354E">
        <w:t>[</w:t>
      </w:r>
      <w:r w:rsidR="0052354E" w:rsidRPr="00000AC3">
        <w:rPr>
          <w:b/>
        </w:rPr>
        <w:t>R</w:t>
      </w:r>
      <w:r w:rsidRPr="00000AC3">
        <w:rPr>
          <w:b/>
        </w:rPr>
        <w:t>estate the decision set forth in the analysis, such as:</w:t>
      </w:r>
      <w:r w:rsidR="0052354E" w:rsidRPr="00000AC3">
        <w:t>]</w:t>
      </w:r>
    </w:p>
    <w:p w14:paraId="7223D472" w14:textId="77777777" w:rsidR="0037645B" w:rsidRDefault="0037645B" w:rsidP="0037645B">
      <w:pPr>
        <w:widowControl w:val="0"/>
      </w:pPr>
    </w:p>
    <w:p w14:paraId="639A1857" w14:textId="0897850E" w:rsidR="0037645B" w:rsidRDefault="0037645B" w:rsidP="0037645B">
      <w:pPr>
        <w:widowControl w:val="0"/>
        <w:ind w:left="720"/>
      </w:pPr>
      <w:r>
        <w:t>“Based upon the documentation enumerated above, EPA has determined that [</w:t>
      </w:r>
      <w:r w:rsidRPr="00E115A3">
        <w:rPr>
          <w:b/>
        </w:rPr>
        <w:t>PRP</w:t>
      </w:r>
      <w:r w:rsidR="002343C9" w:rsidRPr="00E115A3">
        <w:rPr>
          <w:b/>
        </w:rPr>
        <w:t xml:space="preserve"> name</w:t>
      </w:r>
      <w:r>
        <w:t xml:space="preserve">] is </w:t>
      </w:r>
      <w:r w:rsidRPr="00000AC3">
        <w:rPr>
          <w:b/>
        </w:rPr>
        <w:t>not</w:t>
      </w:r>
      <w:r>
        <w:t xml:space="preserve"> able to pay the proposed settlement amount of [$_____] without [</w:t>
      </w:r>
      <w:r w:rsidRPr="00E115A3">
        <w:rPr>
          <w:b/>
        </w:rPr>
        <w:t>for business</w:t>
      </w:r>
      <w:r w:rsidRPr="002343C9">
        <w:rPr>
          <w:b/>
        </w:rPr>
        <w:t>es:</w:t>
      </w:r>
      <w:r>
        <w:t xml:space="preserve"> “jeopardizing the maintenance of basic business operations.”]</w:t>
      </w:r>
      <w:r w:rsidR="002343C9">
        <w:t xml:space="preserve"> </w:t>
      </w:r>
      <w:r>
        <w:t>[</w:t>
      </w:r>
      <w:r w:rsidRPr="00000AC3">
        <w:rPr>
          <w:b/>
        </w:rPr>
        <w:t>for individuals:</w:t>
      </w:r>
      <w:r>
        <w:t xml:space="preserve"> “significantly affecting their ability to meet ordinary and necessary living expenses.”] [</w:t>
      </w:r>
      <w:r w:rsidRPr="00000AC3">
        <w:rPr>
          <w:b/>
        </w:rPr>
        <w:t>Insert if PRP is able to pay a portion of the proposed settlement amount:</w:t>
      </w:r>
      <w:r>
        <w:t xml:space="preserve"> “However, [</w:t>
      </w:r>
      <w:r w:rsidRPr="00000AC3">
        <w:rPr>
          <w:b/>
        </w:rPr>
        <w:t>PRP</w:t>
      </w:r>
      <w:r w:rsidR="0052354E" w:rsidRPr="00000AC3">
        <w:rPr>
          <w:b/>
        </w:rPr>
        <w:t xml:space="preserve"> name</w:t>
      </w:r>
      <w:r>
        <w:t>] is able to pay a revised settlement amount of [$_____] without having this effect.”</w:t>
      </w:r>
    </w:p>
    <w:p w14:paraId="29A4B66C" w14:textId="77777777" w:rsidR="0037645B" w:rsidRDefault="0037645B" w:rsidP="0037645B">
      <w:pPr>
        <w:ind w:firstLine="720"/>
      </w:pPr>
    </w:p>
    <w:sectPr w:rsidR="0037645B" w:rsidSect="0037645B">
      <w:headerReference w:type="first" r:id="rId15"/>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8A106" w14:textId="77777777" w:rsidR="007E0C93" w:rsidRDefault="007E0C93">
      <w:r>
        <w:separator/>
      </w:r>
    </w:p>
  </w:endnote>
  <w:endnote w:type="continuationSeparator" w:id="0">
    <w:p w14:paraId="54B40F7F" w14:textId="77777777" w:rsidR="007E0C93" w:rsidRDefault="007E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P TypographicSymbols">
    <w:altName w:val="ESRI NIMA VMAP1&amp;2 PT"/>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ABC36" w14:textId="77777777" w:rsidR="009D6F92" w:rsidRDefault="009D6F92" w:rsidP="00EF02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D7ED02" w14:textId="15934E97" w:rsidR="009D6F92" w:rsidRDefault="009D6F92">
    <w:pPr>
      <w:widowControl w:val="0"/>
    </w:pPr>
    <w:r>
      <w:t>Appendix B-</w:t>
    </w:r>
    <w: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23A6" w14:textId="77777777" w:rsidR="009D6F92" w:rsidRDefault="009D6F92" w:rsidP="00000AC3">
    <w:pPr>
      <w:pStyle w:val="Footer"/>
      <w:jc w:val="center"/>
    </w:pPr>
    <w:r>
      <w:fldChar w:fldCharType="begin"/>
    </w:r>
    <w:r>
      <w:instrText xml:space="preserve"> PAGE   \* MERGEFORMAT </w:instrText>
    </w:r>
    <w:r>
      <w:fldChar w:fldCharType="separate"/>
    </w:r>
    <w:r w:rsidR="00D42DE1">
      <w:rPr>
        <w:noProof/>
      </w:rPr>
      <w:t>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841EE" w14:textId="77777777" w:rsidR="009D6F92" w:rsidRDefault="009D6F92" w:rsidP="00000AC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1C4B5" w14:textId="77777777" w:rsidR="007E0C93" w:rsidRDefault="007E0C93">
      <w:r>
        <w:separator/>
      </w:r>
    </w:p>
  </w:footnote>
  <w:footnote w:type="continuationSeparator" w:id="0">
    <w:p w14:paraId="58F12CCE" w14:textId="77777777" w:rsidR="007E0C93" w:rsidRDefault="007E0C93">
      <w:r>
        <w:continuationSeparator/>
      </w:r>
    </w:p>
  </w:footnote>
  <w:footnote w:id="1">
    <w:p w14:paraId="21D6C1B3" w14:textId="5DF82B7D" w:rsidR="009D6F92" w:rsidRDefault="009D6F92">
      <w:pPr>
        <w:pStyle w:val="FootnoteText"/>
      </w:pPr>
      <w:r>
        <w:rPr>
          <w:rStyle w:val="FootnoteReference"/>
        </w:rPr>
        <w:footnoteRef/>
      </w:r>
      <w:r>
        <w:t xml:space="preserve"> </w:t>
      </w:r>
      <w:r w:rsidRPr="00000AC3">
        <w:rPr>
          <w:i/>
        </w:rPr>
        <w:t>See</w:t>
      </w:r>
      <w:r>
        <w:t xml:space="preserve"> EPA’s “General Policy on Superfund Ability to Pay Determinations” (Sept. 30, 1997)</w:t>
      </w:r>
      <w:r w:rsidR="00991A6E">
        <w:t>,</w:t>
      </w:r>
      <w:r>
        <w:t xml:space="preserve"> which is available on EPA’s website at </w:t>
      </w:r>
      <w:hyperlink r:id="rId1" w:history="1">
        <w:r w:rsidR="0072371E">
          <w:rPr>
            <w:rStyle w:val="Hyperlink"/>
          </w:rPr>
          <w:t>https://www.epa.gov/enforcement/guidance-superfund-ability-pay-determinations</w:t>
        </w:r>
      </w:hyperlink>
      <w:r>
        <w:t>.</w:t>
      </w:r>
    </w:p>
  </w:footnote>
  <w:footnote w:id="2">
    <w:p w14:paraId="46D1AC58" w14:textId="428C18E9" w:rsidR="009D6F92" w:rsidRDefault="009D6F92">
      <w:pPr>
        <w:pStyle w:val="FootnoteText"/>
      </w:pPr>
      <w:r>
        <w:rPr>
          <w:rStyle w:val="FootnoteReference"/>
        </w:rPr>
        <w:footnoteRef/>
      </w:r>
      <w:r>
        <w:t xml:space="preserve"> EPA’s decision is based on information currently available and will be voided if [</w:t>
      </w:r>
      <w:r w:rsidRPr="00000AC3">
        <w:rPr>
          <w:b/>
        </w:rPr>
        <w:t>you or company name</w:t>
      </w:r>
      <w:r>
        <w:t>] have failed to disclose all information fully and accurately.</w:t>
      </w:r>
    </w:p>
  </w:footnote>
  <w:footnote w:id="3">
    <w:p w14:paraId="74CD8E46" w14:textId="28CF8CA4" w:rsidR="009D6F92" w:rsidRDefault="009D6F92">
      <w:pPr>
        <w:pStyle w:val="FootnoteText"/>
      </w:pPr>
      <w:r>
        <w:rPr>
          <w:rStyle w:val="FootnoteReference"/>
        </w:rPr>
        <w:footnoteRef/>
      </w:r>
      <w:r>
        <w:t xml:space="preserve"> After final EPA [and DOJ] approval, EPA will publish the settlement for public comment and, barring any unforeseen circumstances, will notify you of the effective date of the settlement shortly thereafter.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EB787" w14:textId="77777777" w:rsidR="009D6F92" w:rsidRDefault="009D6F92">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1CC36" w14:textId="77777777" w:rsidR="009D6F92" w:rsidRDefault="009D6F92">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1BBEE" w14:textId="77777777" w:rsidR="00D42DE1" w:rsidRDefault="00D42D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2165F" w14:textId="396BBCBB" w:rsidR="009D6F92" w:rsidRDefault="0052354E">
    <w:pPr>
      <w:pStyle w:val="Header"/>
    </w:pPr>
    <w:r>
      <w:rPr>
        <w:noProof/>
      </w:rPr>
      <mc:AlternateContent>
        <mc:Choice Requires="wps">
          <w:drawing>
            <wp:anchor distT="0" distB="0" distL="114300" distR="114300" simplePos="0" relativeHeight="251657216" behindDoc="0" locked="0" layoutInCell="1" allowOverlap="1" wp14:anchorId="430E977F" wp14:editId="2AEBF6E7">
              <wp:simplePos x="0" y="0"/>
              <wp:positionH relativeFrom="column">
                <wp:posOffset>0</wp:posOffset>
              </wp:positionH>
              <wp:positionV relativeFrom="paragraph">
                <wp:posOffset>0</wp:posOffset>
              </wp:positionV>
              <wp:extent cx="1478280" cy="605790"/>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22D1F" w14:textId="37D81578" w:rsidR="009D6F92" w:rsidRDefault="009D6F92" w:rsidP="0037645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0E977F" id="_x0000_t202" coordsize="21600,21600" o:spt="202" path="m,l,21600r21600,l21600,xe">
              <v:stroke joinstyle="miter"/>
              <v:path gradientshapeok="t" o:connecttype="rect"/>
            </v:shapetype>
            <v:shape id="Text Box 1" o:spid="_x0000_s1026" type="#_x0000_t202" style="position:absolute;margin-left:0;margin-top:0;width:116.4pt;height:47.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" stroked="f">
              <v:textbox style="mso-fit-shape-to-text:t">
                <w:txbxContent>
                  <w:p w14:paraId="54822D1F" w14:textId="37D81578" w:rsidR="009D6F92" w:rsidRDefault="009D6F92" w:rsidP="0037645B"/>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1" w15:restartNumberingAfterBreak="0">
    <w:nsid w:val="00000003"/>
    <w:multiLevelType w:val="multilevel"/>
    <w:tmpl w:val="00000003"/>
    <w:lvl w:ilvl="0">
      <w:start w:val="1"/>
      <w:numFmt w:val="none"/>
      <w:suff w:val="nothing"/>
      <w:lvlText w:val="S"/>
      <w:lvlJc w:val="left"/>
      <w:rPr>
        <w:rFonts w:ascii="WP TypographicSymbols" w:hAnsi="WP TypographicSymbols"/>
      </w:rPr>
    </w:lvl>
    <w:lvl w:ilvl="1">
      <w:start w:val="1"/>
      <w:numFmt w:val="none"/>
      <w:suff w:val="nothing"/>
      <w:lvlText w:val="S"/>
      <w:lvlJc w:val="left"/>
      <w:rPr>
        <w:rFonts w:ascii="WP TypographicSymbols" w:hAnsi="WP TypographicSymbols"/>
      </w:rPr>
    </w:lvl>
    <w:lvl w:ilvl="2">
      <w:start w:val="1"/>
      <w:numFmt w:val="none"/>
      <w:suff w:val="nothing"/>
      <w:lvlText w:val="S"/>
      <w:lvlJc w:val="left"/>
      <w:rPr>
        <w:rFonts w:ascii="WP TypographicSymbols" w:hAnsi="WP TypographicSymbols"/>
      </w:rPr>
    </w:lvl>
    <w:lvl w:ilvl="3">
      <w:start w:val="1"/>
      <w:numFmt w:val="none"/>
      <w:suff w:val="nothing"/>
      <w:lvlText w:val="S"/>
      <w:lvlJc w:val="left"/>
      <w:rPr>
        <w:rFonts w:ascii="WP TypographicSymbols" w:hAnsi="WP TypographicSymbols"/>
      </w:rPr>
    </w:lvl>
    <w:lvl w:ilvl="4">
      <w:start w:val="1"/>
      <w:numFmt w:val="none"/>
      <w:suff w:val="nothing"/>
      <w:lvlText w:val="S"/>
      <w:lvlJc w:val="left"/>
      <w:rPr>
        <w:rFonts w:ascii="WP TypographicSymbols" w:hAnsi="WP TypographicSymbols"/>
      </w:rPr>
    </w:lvl>
    <w:lvl w:ilvl="5">
      <w:start w:val="1"/>
      <w:numFmt w:val="none"/>
      <w:suff w:val="nothing"/>
      <w:lvlText w:val="S"/>
      <w:lvlJc w:val="left"/>
      <w:rPr>
        <w:rFonts w:ascii="WP TypographicSymbols" w:hAnsi="WP TypographicSymbols"/>
      </w:rPr>
    </w:lvl>
    <w:lvl w:ilvl="6">
      <w:start w:val="1"/>
      <w:numFmt w:val="none"/>
      <w:suff w:val="nothing"/>
      <w:lvlText w:val="S"/>
      <w:lvlJc w:val="left"/>
      <w:rPr>
        <w:rFonts w:ascii="WP TypographicSymbols" w:hAnsi="WP TypographicSymbols"/>
      </w:rPr>
    </w:lvl>
    <w:lvl w:ilvl="7">
      <w:start w:val="1"/>
      <w:numFmt w:val="none"/>
      <w:suff w:val="nothing"/>
      <w:lvlText w:val="S"/>
      <w:lvlJc w:val="left"/>
      <w:rPr>
        <w:rFonts w:ascii="WP TypographicSymbols" w:hAnsi="WP TypographicSymbols"/>
      </w:rPr>
    </w:lvl>
    <w:lvl w:ilvl="8">
      <w:start w:val="1"/>
      <w:numFmt w:val="lowerRoman"/>
      <w:suff w:val="nothing"/>
      <w:lvlText w:val="%9)"/>
      <w:lvlJc w:val="left"/>
    </w:lvl>
  </w:abstractNum>
  <w:abstractNum w:abstractNumId="2" w15:restartNumberingAfterBreak="0">
    <w:nsid w:val="064F3378"/>
    <w:multiLevelType w:val="hybridMultilevel"/>
    <w:tmpl w:val="CF684ABC"/>
    <w:lvl w:ilvl="0" w:tplc="7304EE3E">
      <w:start w:val="1"/>
      <w:numFmt w:val="upperLetter"/>
      <w:lvlText w:val="%1."/>
      <w:lvlJc w:val="left"/>
      <w:pPr>
        <w:tabs>
          <w:tab w:val="num" w:pos="720"/>
        </w:tabs>
        <w:ind w:left="720" w:hanging="360"/>
      </w:pPr>
      <w:rPr>
        <w:rFonts w:hint="default"/>
      </w:rPr>
    </w:lvl>
    <w:lvl w:ilvl="1" w:tplc="6E508B72">
      <w:start w:val="1"/>
      <w:numFmt w:val="bullet"/>
      <w:lvlText w:val="–"/>
      <w:lvlJc w:val="left"/>
      <w:pPr>
        <w:tabs>
          <w:tab w:val="num" w:pos="1296"/>
        </w:tabs>
        <w:ind w:left="1296" w:hanging="216"/>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EB1A48"/>
    <w:multiLevelType w:val="multilevel"/>
    <w:tmpl w:val="377E6D1A"/>
    <w:lvl w:ilvl="0">
      <w:start w:val="1"/>
      <w:numFmt w:val="bullet"/>
      <w:lvlText w:val=""/>
      <w:lvlJc w:val="left"/>
      <w:pPr>
        <w:tabs>
          <w:tab w:val="num" w:pos="360"/>
        </w:tabs>
        <w:ind w:left="360" w:hanging="360"/>
      </w:pPr>
      <w:rPr>
        <w:rFonts w:ascii="Symbol" w:hAnsi="Symbol" w:hint="default"/>
        <w:color w:val="auto"/>
      </w:rPr>
    </w:lvl>
    <w:lvl w:ilvl="1">
      <w:start w:val="1"/>
      <w:numFmt w:val="none"/>
      <w:suff w:val="nothing"/>
      <w:lvlText w:val="S"/>
      <w:lvlJc w:val="left"/>
      <w:rPr>
        <w:rFonts w:ascii="WP TypographicSymbols" w:hAnsi="WP TypographicSymbols"/>
      </w:rPr>
    </w:lvl>
    <w:lvl w:ilvl="2">
      <w:start w:val="1"/>
      <w:numFmt w:val="none"/>
      <w:suff w:val="nothing"/>
      <w:lvlText w:val="S"/>
      <w:lvlJc w:val="left"/>
      <w:rPr>
        <w:rFonts w:ascii="WP TypographicSymbols" w:hAnsi="WP TypographicSymbols"/>
      </w:rPr>
    </w:lvl>
    <w:lvl w:ilvl="3">
      <w:start w:val="1"/>
      <w:numFmt w:val="none"/>
      <w:suff w:val="nothing"/>
      <w:lvlText w:val="S"/>
      <w:lvlJc w:val="left"/>
      <w:rPr>
        <w:rFonts w:ascii="WP TypographicSymbols" w:hAnsi="WP TypographicSymbols"/>
      </w:rPr>
    </w:lvl>
    <w:lvl w:ilvl="4">
      <w:start w:val="1"/>
      <w:numFmt w:val="none"/>
      <w:suff w:val="nothing"/>
      <w:lvlText w:val="S"/>
      <w:lvlJc w:val="left"/>
      <w:rPr>
        <w:rFonts w:ascii="WP TypographicSymbols" w:hAnsi="WP TypographicSymbols"/>
      </w:rPr>
    </w:lvl>
    <w:lvl w:ilvl="5">
      <w:start w:val="1"/>
      <w:numFmt w:val="none"/>
      <w:suff w:val="nothing"/>
      <w:lvlText w:val="S"/>
      <w:lvlJc w:val="left"/>
      <w:rPr>
        <w:rFonts w:ascii="WP TypographicSymbols" w:hAnsi="WP TypographicSymbols"/>
      </w:rPr>
    </w:lvl>
    <w:lvl w:ilvl="6">
      <w:start w:val="1"/>
      <w:numFmt w:val="none"/>
      <w:suff w:val="nothing"/>
      <w:lvlText w:val="S"/>
      <w:lvlJc w:val="left"/>
      <w:rPr>
        <w:rFonts w:ascii="WP TypographicSymbols" w:hAnsi="WP TypographicSymbols"/>
      </w:rPr>
    </w:lvl>
    <w:lvl w:ilvl="7">
      <w:start w:val="1"/>
      <w:numFmt w:val="none"/>
      <w:suff w:val="nothing"/>
      <w:lvlText w:val="S"/>
      <w:lvlJc w:val="left"/>
      <w:rPr>
        <w:rFonts w:ascii="WP TypographicSymbols" w:hAnsi="WP TypographicSymbols"/>
      </w:rPr>
    </w:lvl>
    <w:lvl w:ilvl="8">
      <w:start w:val="1"/>
      <w:numFmt w:val="lowerRoman"/>
      <w:suff w:val="nothing"/>
      <w:lvlText w:val="%9)"/>
      <w:lvlJc w:val="left"/>
    </w:lvl>
  </w:abstractNum>
  <w:abstractNum w:abstractNumId="4" w15:restartNumberingAfterBreak="0">
    <w:nsid w:val="3D3B5342"/>
    <w:multiLevelType w:val="multilevel"/>
    <w:tmpl w:val="AB2AD6FA"/>
    <w:lvl w:ilvl="0">
      <w:start w:val="1"/>
      <w:numFmt w:val="bullet"/>
      <w:lvlText w:val=""/>
      <w:lvlJc w:val="left"/>
      <w:pPr>
        <w:tabs>
          <w:tab w:val="num" w:pos="360"/>
        </w:tabs>
        <w:ind w:left="360" w:hanging="360"/>
      </w:pPr>
      <w:rPr>
        <w:rFonts w:ascii="Symbol" w:hAnsi="Symbol" w:hint="default"/>
        <w:color w:val="auto"/>
      </w:rPr>
    </w:lvl>
    <w:lvl w:ilvl="1">
      <w:start w:val="1"/>
      <w:numFmt w:val="none"/>
      <w:suff w:val="nothing"/>
      <w:lvlText w:val="S"/>
      <w:lvlJc w:val="left"/>
      <w:rPr>
        <w:rFonts w:ascii="WP TypographicSymbols" w:hAnsi="WP TypographicSymbols"/>
      </w:rPr>
    </w:lvl>
    <w:lvl w:ilvl="2">
      <w:start w:val="1"/>
      <w:numFmt w:val="none"/>
      <w:suff w:val="nothing"/>
      <w:lvlText w:val="S"/>
      <w:lvlJc w:val="left"/>
      <w:rPr>
        <w:rFonts w:ascii="WP TypographicSymbols" w:hAnsi="WP TypographicSymbols"/>
      </w:rPr>
    </w:lvl>
    <w:lvl w:ilvl="3">
      <w:start w:val="1"/>
      <w:numFmt w:val="none"/>
      <w:suff w:val="nothing"/>
      <w:lvlText w:val="S"/>
      <w:lvlJc w:val="left"/>
      <w:rPr>
        <w:rFonts w:ascii="WP TypographicSymbols" w:hAnsi="WP TypographicSymbols"/>
      </w:rPr>
    </w:lvl>
    <w:lvl w:ilvl="4">
      <w:start w:val="1"/>
      <w:numFmt w:val="none"/>
      <w:suff w:val="nothing"/>
      <w:lvlText w:val="S"/>
      <w:lvlJc w:val="left"/>
      <w:rPr>
        <w:rFonts w:ascii="WP TypographicSymbols" w:hAnsi="WP TypographicSymbols"/>
      </w:rPr>
    </w:lvl>
    <w:lvl w:ilvl="5">
      <w:start w:val="1"/>
      <w:numFmt w:val="none"/>
      <w:suff w:val="nothing"/>
      <w:lvlText w:val="S"/>
      <w:lvlJc w:val="left"/>
      <w:rPr>
        <w:rFonts w:ascii="WP TypographicSymbols" w:hAnsi="WP TypographicSymbols"/>
      </w:rPr>
    </w:lvl>
    <w:lvl w:ilvl="6">
      <w:start w:val="1"/>
      <w:numFmt w:val="none"/>
      <w:suff w:val="nothing"/>
      <w:lvlText w:val="S"/>
      <w:lvlJc w:val="left"/>
      <w:rPr>
        <w:rFonts w:ascii="WP TypographicSymbols" w:hAnsi="WP TypographicSymbols"/>
      </w:rPr>
    </w:lvl>
    <w:lvl w:ilvl="7">
      <w:start w:val="1"/>
      <w:numFmt w:val="none"/>
      <w:suff w:val="nothing"/>
      <w:lvlText w:val="S"/>
      <w:lvlJc w:val="left"/>
      <w:rPr>
        <w:rFonts w:ascii="WP TypographicSymbols" w:hAnsi="WP TypographicSymbols"/>
      </w:rPr>
    </w:lvl>
    <w:lvl w:ilvl="8">
      <w:start w:val="1"/>
      <w:numFmt w:val="lowerRoman"/>
      <w:suff w:val="nothing"/>
      <w:lvlText w:val="%9)"/>
      <w:lvlJc w:val="left"/>
    </w:lvl>
  </w:abstractNum>
  <w:abstractNum w:abstractNumId="5" w15:restartNumberingAfterBreak="0">
    <w:nsid w:val="593F0DE7"/>
    <w:multiLevelType w:val="multilevel"/>
    <w:tmpl w:val="377E6D1A"/>
    <w:lvl w:ilvl="0">
      <w:start w:val="1"/>
      <w:numFmt w:val="bullet"/>
      <w:lvlText w:val=""/>
      <w:lvlJc w:val="left"/>
      <w:pPr>
        <w:tabs>
          <w:tab w:val="num" w:pos="360"/>
        </w:tabs>
        <w:ind w:left="360" w:hanging="360"/>
      </w:pPr>
      <w:rPr>
        <w:rFonts w:ascii="Symbol" w:hAnsi="Symbol" w:hint="default"/>
        <w:color w:val="auto"/>
      </w:rPr>
    </w:lvl>
    <w:lvl w:ilvl="1">
      <w:start w:val="1"/>
      <w:numFmt w:val="none"/>
      <w:suff w:val="nothing"/>
      <w:lvlText w:val="S"/>
      <w:lvlJc w:val="left"/>
      <w:rPr>
        <w:rFonts w:ascii="WP TypographicSymbols" w:hAnsi="WP TypographicSymbols"/>
      </w:rPr>
    </w:lvl>
    <w:lvl w:ilvl="2">
      <w:start w:val="1"/>
      <w:numFmt w:val="none"/>
      <w:suff w:val="nothing"/>
      <w:lvlText w:val="S"/>
      <w:lvlJc w:val="left"/>
      <w:rPr>
        <w:rFonts w:ascii="WP TypographicSymbols" w:hAnsi="WP TypographicSymbols"/>
      </w:rPr>
    </w:lvl>
    <w:lvl w:ilvl="3">
      <w:start w:val="1"/>
      <w:numFmt w:val="none"/>
      <w:suff w:val="nothing"/>
      <w:lvlText w:val="S"/>
      <w:lvlJc w:val="left"/>
      <w:rPr>
        <w:rFonts w:ascii="WP TypographicSymbols" w:hAnsi="WP TypographicSymbols"/>
      </w:rPr>
    </w:lvl>
    <w:lvl w:ilvl="4">
      <w:start w:val="1"/>
      <w:numFmt w:val="none"/>
      <w:suff w:val="nothing"/>
      <w:lvlText w:val="S"/>
      <w:lvlJc w:val="left"/>
      <w:rPr>
        <w:rFonts w:ascii="WP TypographicSymbols" w:hAnsi="WP TypographicSymbols"/>
      </w:rPr>
    </w:lvl>
    <w:lvl w:ilvl="5">
      <w:start w:val="1"/>
      <w:numFmt w:val="none"/>
      <w:suff w:val="nothing"/>
      <w:lvlText w:val="S"/>
      <w:lvlJc w:val="left"/>
      <w:rPr>
        <w:rFonts w:ascii="WP TypographicSymbols" w:hAnsi="WP TypographicSymbols"/>
      </w:rPr>
    </w:lvl>
    <w:lvl w:ilvl="6">
      <w:start w:val="1"/>
      <w:numFmt w:val="none"/>
      <w:suff w:val="nothing"/>
      <w:lvlText w:val="S"/>
      <w:lvlJc w:val="left"/>
      <w:rPr>
        <w:rFonts w:ascii="WP TypographicSymbols" w:hAnsi="WP TypographicSymbols"/>
      </w:rPr>
    </w:lvl>
    <w:lvl w:ilvl="7">
      <w:start w:val="1"/>
      <w:numFmt w:val="none"/>
      <w:suff w:val="nothing"/>
      <w:lvlText w:val="S"/>
      <w:lvlJc w:val="left"/>
      <w:rPr>
        <w:rFonts w:ascii="WP TypographicSymbols" w:hAnsi="WP TypographicSymbols"/>
      </w:rPr>
    </w:lvl>
    <w:lvl w:ilvl="8">
      <w:start w:val="1"/>
      <w:numFmt w:val="lowerRoman"/>
      <w:suff w:val="nothing"/>
      <w:lvlText w:val="%9)"/>
      <w:lvlJc w:val="left"/>
    </w:lvl>
  </w:abstractNum>
  <w:abstractNum w:abstractNumId="6" w15:restartNumberingAfterBreak="0">
    <w:nsid w:val="6A230EDD"/>
    <w:multiLevelType w:val="multilevel"/>
    <w:tmpl w:val="AB2AD6FA"/>
    <w:lvl w:ilvl="0">
      <w:start w:val="1"/>
      <w:numFmt w:val="bullet"/>
      <w:lvlText w:val=""/>
      <w:lvlJc w:val="left"/>
      <w:pPr>
        <w:tabs>
          <w:tab w:val="num" w:pos="360"/>
        </w:tabs>
        <w:ind w:left="360" w:hanging="360"/>
      </w:pPr>
      <w:rPr>
        <w:rFonts w:ascii="Symbol" w:hAnsi="Symbol" w:hint="default"/>
        <w:color w:val="auto"/>
      </w:rPr>
    </w:lvl>
    <w:lvl w:ilvl="1">
      <w:start w:val="1"/>
      <w:numFmt w:val="none"/>
      <w:suff w:val="nothing"/>
      <w:lvlText w:val="S"/>
      <w:lvlJc w:val="left"/>
      <w:rPr>
        <w:rFonts w:ascii="WP TypographicSymbols" w:hAnsi="WP TypographicSymbols"/>
      </w:rPr>
    </w:lvl>
    <w:lvl w:ilvl="2">
      <w:start w:val="1"/>
      <w:numFmt w:val="none"/>
      <w:suff w:val="nothing"/>
      <w:lvlText w:val="S"/>
      <w:lvlJc w:val="left"/>
      <w:rPr>
        <w:rFonts w:ascii="WP TypographicSymbols" w:hAnsi="WP TypographicSymbols"/>
      </w:rPr>
    </w:lvl>
    <w:lvl w:ilvl="3">
      <w:start w:val="1"/>
      <w:numFmt w:val="none"/>
      <w:suff w:val="nothing"/>
      <w:lvlText w:val="S"/>
      <w:lvlJc w:val="left"/>
      <w:rPr>
        <w:rFonts w:ascii="WP TypographicSymbols" w:hAnsi="WP TypographicSymbols"/>
      </w:rPr>
    </w:lvl>
    <w:lvl w:ilvl="4">
      <w:start w:val="1"/>
      <w:numFmt w:val="none"/>
      <w:suff w:val="nothing"/>
      <w:lvlText w:val="S"/>
      <w:lvlJc w:val="left"/>
      <w:rPr>
        <w:rFonts w:ascii="WP TypographicSymbols" w:hAnsi="WP TypographicSymbols"/>
      </w:rPr>
    </w:lvl>
    <w:lvl w:ilvl="5">
      <w:start w:val="1"/>
      <w:numFmt w:val="none"/>
      <w:suff w:val="nothing"/>
      <w:lvlText w:val="S"/>
      <w:lvlJc w:val="left"/>
      <w:rPr>
        <w:rFonts w:ascii="WP TypographicSymbols" w:hAnsi="WP TypographicSymbols"/>
      </w:rPr>
    </w:lvl>
    <w:lvl w:ilvl="6">
      <w:start w:val="1"/>
      <w:numFmt w:val="none"/>
      <w:suff w:val="nothing"/>
      <w:lvlText w:val="S"/>
      <w:lvlJc w:val="left"/>
      <w:rPr>
        <w:rFonts w:ascii="WP TypographicSymbols" w:hAnsi="WP TypographicSymbols"/>
      </w:rPr>
    </w:lvl>
    <w:lvl w:ilvl="7">
      <w:start w:val="1"/>
      <w:numFmt w:val="none"/>
      <w:suff w:val="nothing"/>
      <w:lvlText w:val="S"/>
      <w:lvlJc w:val="left"/>
      <w:rPr>
        <w:rFonts w:ascii="WP TypographicSymbols" w:hAnsi="WP TypographicSymbols"/>
      </w:rPr>
    </w:lvl>
    <w:lvl w:ilvl="8">
      <w:start w:val="1"/>
      <w:numFmt w:val="lowerRoman"/>
      <w:suff w:val="nothing"/>
      <w:lvlText w:val="%9)"/>
      <w:lvlJc w:val="left"/>
    </w:lvl>
  </w:abstractNum>
  <w:abstractNum w:abstractNumId="7" w15:restartNumberingAfterBreak="0">
    <w:nsid w:val="6A7027FE"/>
    <w:multiLevelType w:val="multilevel"/>
    <w:tmpl w:val="5BA06A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B6C62BB"/>
    <w:multiLevelType w:val="multilevel"/>
    <w:tmpl w:val="8A58F698"/>
    <w:lvl w:ilvl="0">
      <w:start w:val="1"/>
      <w:numFmt w:val="bullet"/>
      <w:lvlText w:val="–"/>
      <w:lvlJc w:val="left"/>
      <w:pPr>
        <w:tabs>
          <w:tab w:val="num" w:pos="360"/>
        </w:tabs>
        <w:ind w:left="360" w:firstLine="360"/>
      </w:pPr>
      <w:rPr>
        <w:rFonts w:ascii="Times New Roman" w:hAnsi="Times New Roman" w:cs="Times New Roman" w:hint="default"/>
        <w:color w:val="auto"/>
      </w:rPr>
    </w:lvl>
    <w:lvl w:ilvl="1">
      <w:start w:val="1"/>
      <w:numFmt w:val="none"/>
      <w:suff w:val="nothing"/>
      <w:lvlText w:val="S"/>
      <w:lvlJc w:val="left"/>
      <w:pPr>
        <w:ind w:left="0" w:firstLine="0"/>
      </w:pPr>
      <w:rPr>
        <w:rFonts w:ascii="WP TypographicSymbols" w:hAnsi="WP TypographicSymbols" w:hint="default"/>
      </w:rPr>
    </w:lvl>
    <w:lvl w:ilvl="2">
      <w:start w:val="1"/>
      <w:numFmt w:val="none"/>
      <w:suff w:val="nothing"/>
      <w:lvlText w:val="S"/>
      <w:lvlJc w:val="left"/>
      <w:pPr>
        <w:ind w:left="0" w:firstLine="0"/>
      </w:pPr>
      <w:rPr>
        <w:rFonts w:ascii="WP TypographicSymbols" w:hAnsi="WP TypographicSymbols" w:hint="default"/>
      </w:rPr>
    </w:lvl>
    <w:lvl w:ilvl="3">
      <w:start w:val="1"/>
      <w:numFmt w:val="none"/>
      <w:suff w:val="nothing"/>
      <w:lvlText w:val="S"/>
      <w:lvlJc w:val="left"/>
      <w:pPr>
        <w:ind w:left="0" w:firstLine="0"/>
      </w:pPr>
      <w:rPr>
        <w:rFonts w:ascii="WP TypographicSymbols" w:hAnsi="WP TypographicSymbols" w:hint="default"/>
      </w:rPr>
    </w:lvl>
    <w:lvl w:ilvl="4">
      <w:start w:val="1"/>
      <w:numFmt w:val="none"/>
      <w:suff w:val="nothing"/>
      <w:lvlText w:val="S"/>
      <w:lvlJc w:val="left"/>
      <w:pPr>
        <w:ind w:left="0" w:firstLine="0"/>
      </w:pPr>
      <w:rPr>
        <w:rFonts w:ascii="WP TypographicSymbols" w:hAnsi="WP TypographicSymbols" w:hint="default"/>
      </w:rPr>
    </w:lvl>
    <w:lvl w:ilvl="5">
      <w:start w:val="1"/>
      <w:numFmt w:val="none"/>
      <w:suff w:val="nothing"/>
      <w:lvlText w:val="S"/>
      <w:lvlJc w:val="left"/>
      <w:pPr>
        <w:ind w:left="0" w:firstLine="0"/>
      </w:pPr>
      <w:rPr>
        <w:rFonts w:ascii="WP TypographicSymbols" w:hAnsi="WP TypographicSymbols" w:hint="default"/>
      </w:rPr>
    </w:lvl>
    <w:lvl w:ilvl="6">
      <w:start w:val="1"/>
      <w:numFmt w:val="none"/>
      <w:suff w:val="nothing"/>
      <w:lvlText w:val="S"/>
      <w:lvlJc w:val="left"/>
      <w:pPr>
        <w:ind w:left="0" w:firstLine="0"/>
      </w:pPr>
      <w:rPr>
        <w:rFonts w:ascii="WP TypographicSymbols" w:hAnsi="WP TypographicSymbols" w:hint="default"/>
      </w:rPr>
    </w:lvl>
    <w:lvl w:ilvl="7">
      <w:start w:val="1"/>
      <w:numFmt w:val="none"/>
      <w:suff w:val="nothing"/>
      <w:lvlText w:val="S"/>
      <w:lvlJc w:val="left"/>
      <w:pPr>
        <w:ind w:left="0" w:firstLine="0"/>
      </w:pPr>
      <w:rPr>
        <w:rFonts w:ascii="WP TypographicSymbols" w:hAnsi="WP TypographicSymbols" w:hint="default"/>
      </w:rPr>
    </w:lvl>
    <w:lvl w:ilvl="8">
      <w:start w:val="1"/>
      <w:numFmt w:val="lowerRoman"/>
      <w:suff w:val="nothing"/>
      <w:lvlText w:val="%9)"/>
      <w:lvlJc w:val="left"/>
      <w:pPr>
        <w:ind w:left="0" w:firstLine="0"/>
      </w:pPr>
      <w:rPr>
        <w:rFonts w:hint="default"/>
      </w:rPr>
    </w:lvl>
  </w:abstractNum>
  <w:abstractNum w:abstractNumId="9" w15:restartNumberingAfterBreak="0">
    <w:nsid w:val="763C3FF1"/>
    <w:multiLevelType w:val="multilevel"/>
    <w:tmpl w:val="BB40265A"/>
    <w:lvl w:ilvl="0">
      <w:start w:val="1"/>
      <w:numFmt w:val="bullet"/>
      <w:lvlText w:val="–"/>
      <w:lvlJc w:val="left"/>
      <w:pPr>
        <w:tabs>
          <w:tab w:val="num" w:pos="2160"/>
        </w:tabs>
        <w:ind w:left="360" w:firstLine="1080"/>
      </w:pPr>
      <w:rPr>
        <w:rFonts w:ascii="Times New Roman" w:hAnsi="Times New Roman" w:cs="Times New Roman" w:hint="default"/>
        <w:color w:val="auto"/>
      </w:rPr>
    </w:lvl>
    <w:lvl w:ilvl="1">
      <w:start w:val="1"/>
      <w:numFmt w:val="none"/>
      <w:suff w:val="nothing"/>
      <w:lvlText w:val="S"/>
      <w:lvlJc w:val="left"/>
      <w:pPr>
        <w:ind w:left="0" w:firstLine="0"/>
      </w:pPr>
      <w:rPr>
        <w:rFonts w:ascii="WP TypographicSymbols" w:hAnsi="WP TypographicSymbols" w:hint="default"/>
      </w:rPr>
    </w:lvl>
    <w:lvl w:ilvl="2">
      <w:start w:val="1"/>
      <w:numFmt w:val="none"/>
      <w:suff w:val="nothing"/>
      <w:lvlText w:val="S"/>
      <w:lvlJc w:val="left"/>
      <w:pPr>
        <w:ind w:left="0" w:firstLine="0"/>
      </w:pPr>
      <w:rPr>
        <w:rFonts w:ascii="WP TypographicSymbols" w:hAnsi="WP TypographicSymbols" w:hint="default"/>
      </w:rPr>
    </w:lvl>
    <w:lvl w:ilvl="3">
      <w:start w:val="1"/>
      <w:numFmt w:val="none"/>
      <w:suff w:val="nothing"/>
      <w:lvlText w:val="S"/>
      <w:lvlJc w:val="left"/>
      <w:pPr>
        <w:ind w:left="0" w:firstLine="0"/>
      </w:pPr>
      <w:rPr>
        <w:rFonts w:ascii="WP TypographicSymbols" w:hAnsi="WP TypographicSymbols" w:hint="default"/>
      </w:rPr>
    </w:lvl>
    <w:lvl w:ilvl="4">
      <w:start w:val="1"/>
      <w:numFmt w:val="none"/>
      <w:suff w:val="nothing"/>
      <w:lvlText w:val="S"/>
      <w:lvlJc w:val="left"/>
      <w:pPr>
        <w:ind w:left="0" w:firstLine="0"/>
      </w:pPr>
      <w:rPr>
        <w:rFonts w:ascii="WP TypographicSymbols" w:hAnsi="WP TypographicSymbols" w:hint="default"/>
      </w:rPr>
    </w:lvl>
    <w:lvl w:ilvl="5">
      <w:start w:val="1"/>
      <w:numFmt w:val="none"/>
      <w:suff w:val="nothing"/>
      <w:lvlText w:val="S"/>
      <w:lvlJc w:val="left"/>
      <w:pPr>
        <w:ind w:left="0" w:firstLine="0"/>
      </w:pPr>
      <w:rPr>
        <w:rFonts w:ascii="WP TypographicSymbols" w:hAnsi="WP TypographicSymbols" w:hint="default"/>
      </w:rPr>
    </w:lvl>
    <w:lvl w:ilvl="6">
      <w:start w:val="1"/>
      <w:numFmt w:val="none"/>
      <w:suff w:val="nothing"/>
      <w:lvlText w:val="S"/>
      <w:lvlJc w:val="left"/>
      <w:pPr>
        <w:ind w:left="0" w:firstLine="0"/>
      </w:pPr>
      <w:rPr>
        <w:rFonts w:ascii="WP TypographicSymbols" w:hAnsi="WP TypographicSymbols" w:hint="default"/>
      </w:rPr>
    </w:lvl>
    <w:lvl w:ilvl="7">
      <w:start w:val="1"/>
      <w:numFmt w:val="none"/>
      <w:suff w:val="nothing"/>
      <w:lvlText w:val="S"/>
      <w:lvlJc w:val="left"/>
      <w:pPr>
        <w:ind w:left="0" w:firstLine="0"/>
      </w:pPr>
      <w:rPr>
        <w:rFonts w:ascii="WP TypographicSymbols" w:hAnsi="WP TypographicSymbols" w:hint="default"/>
      </w:rPr>
    </w:lvl>
    <w:lvl w:ilvl="8">
      <w:start w:val="1"/>
      <w:numFmt w:val="lowerRoman"/>
      <w:suff w:val="nothing"/>
      <w:lvlText w:val="%9)"/>
      <w:lvlJc w:val="left"/>
      <w:pPr>
        <w:ind w:left="0" w:firstLine="0"/>
      </w:pPr>
      <w:rPr>
        <w:rFonts w:hint="default"/>
      </w:rPr>
    </w:lvl>
  </w:abstractNum>
  <w:abstractNum w:abstractNumId="10" w15:restartNumberingAfterBreak="0">
    <w:nsid w:val="774F6233"/>
    <w:multiLevelType w:val="multilevel"/>
    <w:tmpl w:val="9698B640"/>
    <w:lvl w:ilvl="0">
      <w:start w:val="1"/>
      <w:numFmt w:val="bullet"/>
      <w:lvlText w:val="–"/>
      <w:lvlJc w:val="left"/>
      <w:pPr>
        <w:tabs>
          <w:tab w:val="num" w:pos="360"/>
        </w:tabs>
        <w:ind w:left="360" w:hanging="216"/>
      </w:pPr>
      <w:rPr>
        <w:rFonts w:ascii="Times New Roman" w:hAnsi="Times New Roman" w:cs="Times New Roman" w:hint="default"/>
        <w:color w:val="auto"/>
      </w:rPr>
    </w:lvl>
    <w:lvl w:ilvl="1">
      <w:start w:val="1"/>
      <w:numFmt w:val="none"/>
      <w:suff w:val="nothing"/>
      <w:lvlText w:val="S"/>
      <w:lvlJc w:val="left"/>
      <w:rPr>
        <w:rFonts w:ascii="WP TypographicSymbols" w:hAnsi="WP TypographicSymbols"/>
      </w:rPr>
    </w:lvl>
    <w:lvl w:ilvl="2">
      <w:start w:val="1"/>
      <w:numFmt w:val="none"/>
      <w:suff w:val="nothing"/>
      <w:lvlText w:val="S"/>
      <w:lvlJc w:val="left"/>
      <w:rPr>
        <w:rFonts w:ascii="WP TypographicSymbols" w:hAnsi="WP TypographicSymbols"/>
      </w:rPr>
    </w:lvl>
    <w:lvl w:ilvl="3">
      <w:start w:val="1"/>
      <w:numFmt w:val="none"/>
      <w:suff w:val="nothing"/>
      <w:lvlText w:val="S"/>
      <w:lvlJc w:val="left"/>
      <w:rPr>
        <w:rFonts w:ascii="WP TypographicSymbols" w:hAnsi="WP TypographicSymbols"/>
      </w:rPr>
    </w:lvl>
    <w:lvl w:ilvl="4">
      <w:start w:val="1"/>
      <w:numFmt w:val="none"/>
      <w:suff w:val="nothing"/>
      <w:lvlText w:val="S"/>
      <w:lvlJc w:val="left"/>
      <w:rPr>
        <w:rFonts w:ascii="WP TypographicSymbols" w:hAnsi="WP TypographicSymbols"/>
      </w:rPr>
    </w:lvl>
    <w:lvl w:ilvl="5">
      <w:start w:val="1"/>
      <w:numFmt w:val="none"/>
      <w:suff w:val="nothing"/>
      <w:lvlText w:val="S"/>
      <w:lvlJc w:val="left"/>
      <w:rPr>
        <w:rFonts w:ascii="WP TypographicSymbols" w:hAnsi="WP TypographicSymbols"/>
      </w:rPr>
    </w:lvl>
    <w:lvl w:ilvl="6">
      <w:start w:val="1"/>
      <w:numFmt w:val="none"/>
      <w:suff w:val="nothing"/>
      <w:lvlText w:val="S"/>
      <w:lvlJc w:val="left"/>
      <w:rPr>
        <w:rFonts w:ascii="WP TypographicSymbols" w:hAnsi="WP TypographicSymbols"/>
      </w:rPr>
    </w:lvl>
    <w:lvl w:ilvl="7">
      <w:start w:val="1"/>
      <w:numFmt w:val="none"/>
      <w:suff w:val="nothing"/>
      <w:lvlText w:val="S"/>
      <w:lvlJc w:val="left"/>
      <w:rPr>
        <w:rFonts w:ascii="WP TypographicSymbols" w:hAnsi="WP TypographicSymbols"/>
      </w:rPr>
    </w:lvl>
    <w:lvl w:ilvl="8">
      <w:start w:val="1"/>
      <w:numFmt w:val="lowerRoman"/>
      <w:suff w:val="nothing"/>
      <w:lvlText w:val="%9)"/>
      <w:lvlJc w:val="left"/>
    </w:lvl>
  </w:abstractNum>
  <w:num w:numId="1">
    <w:abstractNumId w:val="0"/>
  </w:num>
  <w:num w:numId="2">
    <w:abstractNumId w:val="1"/>
  </w:num>
  <w:num w:numId="3">
    <w:abstractNumId w:val="2"/>
  </w:num>
  <w:num w:numId="4">
    <w:abstractNumId w:val="7"/>
  </w:num>
  <w:num w:numId="5">
    <w:abstractNumId w:val="6"/>
  </w:num>
  <w:num w:numId="6">
    <w:abstractNumId w:val="4"/>
  </w:num>
  <w:num w:numId="7">
    <w:abstractNumId w:val="5"/>
  </w:num>
  <w:num w:numId="8">
    <w:abstractNumId w:val="3"/>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45B"/>
    <w:rsid w:val="00000AC3"/>
    <w:rsid w:val="00116A9B"/>
    <w:rsid w:val="002343C9"/>
    <w:rsid w:val="00265D1D"/>
    <w:rsid w:val="0037645B"/>
    <w:rsid w:val="00433B5D"/>
    <w:rsid w:val="00446526"/>
    <w:rsid w:val="0052354E"/>
    <w:rsid w:val="005F05F7"/>
    <w:rsid w:val="0069156E"/>
    <w:rsid w:val="006A6F77"/>
    <w:rsid w:val="006D3A31"/>
    <w:rsid w:val="007129FB"/>
    <w:rsid w:val="0072371E"/>
    <w:rsid w:val="00747593"/>
    <w:rsid w:val="007B203E"/>
    <w:rsid w:val="007E0C93"/>
    <w:rsid w:val="007E4420"/>
    <w:rsid w:val="00810BAE"/>
    <w:rsid w:val="008348B9"/>
    <w:rsid w:val="008F772B"/>
    <w:rsid w:val="00942E71"/>
    <w:rsid w:val="00991A6E"/>
    <w:rsid w:val="009D6F92"/>
    <w:rsid w:val="00B40382"/>
    <w:rsid w:val="00B54E40"/>
    <w:rsid w:val="00BC3CA0"/>
    <w:rsid w:val="00D42DE1"/>
    <w:rsid w:val="00D71C62"/>
    <w:rsid w:val="00E072FC"/>
    <w:rsid w:val="00E115A3"/>
    <w:rsid w:val="00E33CE1"/>
    <w:rsid w:val="00EF02FA"/>
    <w:rsid w:val="00F8175F"/>
    <w:rsid w:val="00FF6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41"/>
    <o:shapelayout v:ext="edit">
      <o:idmap v:ext="edit" data="1"/>
    </o:shapelayout>
  </w:shapeDefaults>
  <w:decimalSymbol w:val="."/>
  <w:listSeparator w:val=","/>
  <w14:docId w14:val="3DBC21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45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645B"/>
    <w:pPr>
      <w:tabs>
        <w:tab w:val="center" w:pos="4320"/>
        <w:tab w:val="right" w:pos="8640"/>
      </w:tabs>
    </w:pPr>
  </w:style>
  <w:style w:type="paragraph" w:styleId="Footer">
    <w:name w:val="footer"/>
    <w:basedOn w:val="Normal"/>
    <w:link w:val="FooterChar"/>
    <w:uiPriority w:val="99"/>
    <w:rsid w:val="0037645B"/>
    <w:pPr>
      <w:tabs>
        <w:tab w:val="center" w:pos="4320"/>
        <w:tab w:val="right" w:pos="8640"/>
      </w:tabs>
    </w:pPr>
  </w:style>
  <w:style w:type="paragraph" w:styleId="FootnoteText">
    <w:name w:val="footnote text"/>
    <w:basedOn w:val="Normal"/>
    <w:semiHidden/>
    <w:rsid w:val="0037645B"/>
    <w:rPr>
      <w:sz w:val="20"/>
    </w:rPr>
  </w:style>
  <w:style w:type="character" w:styleId="FootnoteReference">
    <w:name w:val="footnote reference"/>
    <w:semiHidden/>
    <w:rsid w:val="0037645B"/>
    <w:rPr>
      <w:vertAlign w:val="superscript"/>
    </w:rPr>
  </w:style>
  <w:style w:type="character" w:styleId="PageNumber">
    <w:name w:val="page number"/>
    <w:basedOn w:val="DefaultParagraphFont"/>
    <w:rsid w:val="0037645B"/>
  </w:style>
  <w:style w:type="paragraph" w:customStyle="1" w:styleId="Level1">
    <w:name w:val="Level 1"/>
    <w:basedOn w:val="Normal"/>
    <w:rsid w:val="0037645B"/>
    <w:pPr>
      <w:widowControl w:val="0"/>
    </w:pPr>
  </w:style>
  <w:style w:type="character" w:styleId="FollowedHyperlink">
    <w:name w:val="FollowedHyperlink"/>
    <w:rsid w:val="00D71C62"/>
    <w:rPr>
      <w:color w:val="800080"/>
      <w:u w:val="single"/>
    </w:rPr>
  </w:style>
  <w:style w:type="paragraph" w:styleId="BalloonText">
    <w:name w:val="Balloon Text"/>
    <w:basedOn w:val="Normal"/>
    <w:link w:val="BalloonTextChar"/>
    <w:rsid w:val="006D3A31"/>
    <w:rPr>
      <w:rFonts w:ascii="Segoe UI" w:hAnsi="Segoe UI" w:cs="Segoe UI"/>
      <w:sz w:val="18"/>
      <w:szCs w:val="18"/>
    </w:rPr>
  </w:style>
  <w:style w:type="character" w:customStyle="1" w:styleId="BalloonTextChar">
    <w:name w:val="Balloon Text Char"/>
    <w:link w:val="BalloonText"/>
    <w:rsid w:val="006D3A31"/>
    <w:rPr>
      <w:rFonts w:ascii="Segoe UI" w:hAnsi="Segoe UI" w:cs="Segoe UI"/>
      <w:sz w:val="18"/>
      <w:szCs w:val="18"/>
    </w:rPr>
  </w:style>
  <w:style w:type="paragraph" w:styleId="Revision">
    <w:name w:val="Revision"/>
    <w:hidden/>
    <w:uiPriority w:val="99"/>
    <w:semiHidden/>
    <w:rsid w:val="006D3A31"/>
    <w:rPr>
      <w:sz w:val="24"/>
    </w:rPr>
  </w:style>
  <w:style w:type="character" w:styleId="CommentReference">
    <w:name w:val="annotation reference"/>
    <w:rsid w:val="009D6F92"/>
    <w:rPr>
      <w:sz w:val="16"/>
      <w:szCs w:val="16"/>
    </w:rPr>
  </w:style>
  <w:style w:type="paragraph" w:styleId="CommentText">
    <w:name w:val="annotation text"/>
    <w:basedOn w:val="Normal"/>
    <w:link w:val="CommentTextChar"/>
    <w:rsid w:val="009D6F92"/>
    <w:rPr>
      <w:sz w:val="20"/>
    </w:rPr>
  </w:style>
  <w:style w:type="character" w:customStyle="1" w:styleId="CommentTextChar">
    <w:name w:val="Comment Text Char"/>
    <w:basedOn w:val="DefaultParagraphFont"/>
    <w:link w:val="CommentText"/>
    <w:rsid w:val="009D6F92"/>
  </w:style>
  <w:style w:type="character" w:styleId="Hyperlink">
    <w:name w:val="Hyperlink"/>
    <w:rsid w:val="009D6F92"/>
    <w:rPr>
      <w:color w:val="0563C1"/>
      <w:u w:val="single"/>
    </w:rPr>
  </w:style>
  <w:style w:type="character" w:customStyle="1" w:styleId="FooterChar">
    <w:name w:val="Footer Char"/>
    <w:link w:val="Footer"/>
    <w:uiPriority w:val="99"/>
    <w:rsid w:val="009D6F92"/>
    <w:rPr>
      <w:sz w:val="24"/>
    </w:rPr>
  </w:style>
  <w:style w:type="paragraph" w:styleId="CommentSubject">
    <w:name w:val="annotation subject"/>
    <w:basedOn w:val="CommentText"/>
    <w:next w:val="CommentText"/>
    <w:link w:val="CommentSubjectChar"/>
    <w:rsid w:val="00B40382"/>
    <w:rPr>
      <w:b/>
      <w:bCs/>
    </w:rPr>
  </w:style>
  <w:style w:type="character" w:customStyle="1" w:styleId="CommentSubjectChar">
    <w:name w:val="Comment Subject Char"/>
    <w:basedOn w:val="CommentTextChar"/>
    <w:link w:val="CommentSubject"/>
    <w:rsid w:val="00B403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resources-small-business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pa.gov/compliance/compliance-assistance-centers"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epa.gov/enforcement/guidance-superfund-ability-pay-determi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1677</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2016-06-17T21:09:00Z</dcterms:created>
  <dcterms:modified xsi:type="dcterms:W3CDTF">2016-06-17T21:10:00Z</dcterms:modified>
</cp:coreProperties>
</file>