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CD9" w:rsidRPr="00147CD9" w:rsidRDefault="00147CD9" w:rsidP="00147CD9">
      <w:pPr>
        <w:pStyle w:val="Heading3"/>
        <w:tabs>
          <w:tab w:val="left" w:pos="360"/>
        </w:tabs>
      </w:pPr>
      <w:r w:rsidRPr="003F070C">
        <w:rPr>
          <w:sz w:val="28"/>
        </w:rPr>
        <w:t>Smart Growth</w:t>
      </w:r>
      <w:r w:rsidR="009A1DE8">
        <w:rPr>
          <w:sz w:val="28"/>
        </w:rPr>
        <w:t xml:space="preserve"> Self</w:t>
      </w:r>
      <w:r w:rsidRPr="003F070C">
        <w:rPr>
          <w:sz w:val="28"/>
        </w:rPr>
        <w:t>-Assessment for Rural Communities</w:t>
      </w:r>
      <w:r w:rsidRPr="003F070C">
        <w:rPr>
          <w:sz w:val="24"/>
        </w:rPr>
        <w:br/>
      </w:r>
      <w:r>
        <w:rPr>
          <w:i/>
        </w:rPr>
        <w:t xml:space="preserve">Section III: </w:t>
      </w:r>
      <w:r w:rsidRPr="00147CD9">
        <w:rPr>
          <w:i/>
        </w:rPr>
        <w:t>Engage and Connect Community Members</w:t>
      </w:r>
      <w:r>
        <w:rPr>
          <w:i/>
        </w:rPr>
        <w:br/>
      </w:r>
      <w:r>
        <w:rPr>
          <w:b w:val="0"/>
          <w:i/>
        </w:rPr>
        <w:t>This tool is part of the Smart Growth Self-Assessment for Rural Communities, developed by the U.S. Environmental Protection Agency. EPA suggest</w:t>
      </w:r>
      <w:r w:rsidR="009A1DE8">
        <w:rPr>
          <w:b w:val="0"/>
          <w:i/>
        </w:rPr>
        <w:t>s</w:t>
      </w:r>
      <w:r>
        <w:rPr>
          <w:b w:val="0"/>
          <w:i/>
        </w:rPr>
        <w:t xml:space="preserve"> that communities using this tool </w:t>
      </w:r>
      <w:r w:rsidR="00D8015D">
        <w:rPr>
          <w:b w:val="0"/>
          <w:i/>
        </w:rPr>
        <w:t>complete Section I: “Revitalize Village and Town Center</w:t>
      </w:r>
      <w:r w:rsidR="009A1DE8">
        <w:rPr>
          <w:b w:val="0"/>
          <w:i/>
        </w:rPr>
        <w:t>s,</w:t>
      </w:r>
      <w:r w:rsidR="00D8015D">
        <w:rPr>
          <w:b w:val="0"/>
          <w:i/>
        </w:rPr>
        <w:t xml:space="preserve">” before </w:t>
      </w:r>
      <w:r>
        <w:rPr>
          <w:b w:val="0"/>
          <w:i/>
        </w:rPr>
        <w:t>filling out other sections. For more information and the tool’s other sections, see</w:t>
      </w:r>
      <w:r>
        <w:t xml:space="preserve"> </w:t>
      </w:r>
      <w:hyperlink r:id="rId8" w:history="1">
        <w:r w:rsidR="009A1DE8">
          <w:rPr>
            <w:rStyle w:val="Hyperlink"/>
            <w:b w:val="0"/>
            <w:i/>
          </w:rPr>
          <w:t>https://www.epa.gov/smartgrowth/smart-growth-self-assessment-rural-communities</w:t>
        </w:r>
      </w:hyperlink>
      <w:bookmarkStart w:id="0" w:name="_GoBack"/>
      <w:bookmarkEnd w:id="0"/>
      <w:r w:rsidRPr="003F070C">
        <w:rPr>
          <w:b w:val="0"/>
          <w:i/>
        </w:rPr>
        <w:t>.</w:t>
      </w:r>
    </w:p>
    <w:p w:rsidR="00147CD9" w:rsidRDefault="00147CD9" w:rsidP="002B60BB">
      <w:pPr>
        <w:pStyle w:val="Heading3"/>
        <w:tabs>
          <w:tab w:val="left" w:pos="360"/>
        </w:tabs>
      </w:pPr>
    </w:p>
    <w:p w:rsidR="002B60BB" w:rsidRPr="007B3406" w:rsidRDefault="002B60BB" w:rsidP="002B60BB">
      <w:r w:rsidRPr="00B04E8E">
        <w:t xml:space="preserve">Well-designed roads, sidewalks, buildings, public spaces, and other elements of the built environment support interaction among community members. </w:t>
      </w:r>
      <w:r>
        <w:t>N</w:t>
      </w:r>
      <w:r w:rsidRPr="00B04E8E">
        <w:t xml:space="preserve">ew communications tools, cultural events and festivals, and opportunities to participate in local government can </w:t>
      </w:r>
      <w:r>
        <w:t>also build c</w:t>
      </w:r>
      <w:r w:rsidRPr="00B04E8E">
        <w:t>apital, creating a sense of ownership and pride in a community.</w:t>
      </w:r>
      <w:r w:rsidRPr="007B3406">
        <w:t xml:space="preserve"> </w:t>
      </w:r>
    </w:p>
    <w:tbl>
      <w:tblPr>
        <w:tblStyle w:val="TableGrid"/>
        <w:tblW w:w="13680" w:type="dxa"/>
        <w:tblInd w:w="108" w:type="dxa"/>
        <w:tblLayout w:type="fixed"/>
        <w:tblLook w:val="04A0" w:firstRow="1" w:lastRow="0" w:firstColumn="1" w:lastColumn="0" w:noHBand="0" w:noVBand="1"/>
      </w:tblPr>
      <w:tblGrid>
        <w:gridCol w:w="9540"/>
        <w:gridCol w:w="1440"/>
        <w:gridCol w:w="1440"/>
        <w:gridCol w:w="1260"/>
      </w:tblGrid>
      <w:tr w:rsidR="002B60BB" w:rsidRPr="00EB03D3" w:rsidTr="002B60BB">
        <w:trPr>
          <w:cantSplit/>
          <w:trHeight w:val="773"/>
          <w:tblHeader/>
        </w:trPr>
        <w:tc>
          <w:tcPr>
            <w:tcW w:w="9540" w:type="dxa"/>
            <w:tcBorders>
              <w:bottom w:val="single" w:sz="4" w:space="0" w:color="auto"/>
            </w:tcBorders>
            <w:shd w:val="clear" w:color="auto" w:fill="000000" w:themeFill="text1"/>
            <w:vAlign w:val="center"/>
          </w:tcPr>
          <w:p w:rsidR="002B60BB" w:rsidRPr="00EB03D3" w:rsidRDefault="002B60BB" w:rsidP="002B60BB">
            <w:pPr>
              <w:spacing w:before="40" w:after="40"/>
              <w:rPr>
                <w:rStyle w:val="Emphasis"/>
              </w:rPr>
            </w:pPr>
            <w:r w:rsidRPr="00EB03D3">
              <w:rPr>
                <w:rStyle w:val="Emphasis"/>
              </w:rPr>
              <w:t>Goal: Engage and Connect Community Members</w:t>
            </w:r>
          </w:p>
        </w:tc>
        <w:tc>
          <w:tcPr>
            <w:tcW w:w="1440" w:type="dxa"/>
            <w:tcBorders>
              <w:bottom w:val="single" w:sz="4" w:space="0" w:color="auto"/>
            </w:tcBorders>
            <w:shd w:val="clear" w:color="auto" w:fill="000000" w:themeFill="text1"/>
            <w:vAlign w:val="center"/>
          </w:tcPr>
          <w:p w:rsidR="002B60BB" w:rsidRPr="00EB03D3" w:rsidRDefault="002B60BB" w:rsidP="002B60BB">
            <w:pPr>
              <w:spacing w:before="40" w:after="40"/>
              <w:jc w:val="center"/>
              <w:rPr>
                <w:rStyle w:val="Emphasis"/>
                <w:b w:val="0"/>
              </w:rPr>
            </w:pPr>
            <w:r w:rsidRPr="00EB03D3">
              <w:rPr>
                <w:rStyle w:val="Emphasis"/>
              </w:rPr>
              <w:t>Adopted?</w:t>
            </w:r>
          </w:p>
        </w:tc>
        <w:tc>
          <w:tcPr>
            <w:tcW w:w="1440" w:type="dxa"/>
            <w:tcBorders>
              <w:bottom w:val="single" w:sz="4" w:space="0" w:color="auto"/>
            </w:tcBorders>
            <w:shd w:val="clear" w:color="auto" w:fill="000000" w:themeFill="text1"/>
            <w:vAlign w:val="center"/>
          </w:tcPr>
          <w:p w:rsidR="002B60BB" w:rsidRPr="00EB03D3" w:rsidRDefault="002B60BB" w:rsidP="002B60BB">
            <w:pPr>
              <w:spacing w:before="40" w:after="40"/>
              <w:jc w:val="center"/>
              <w:rPr>
                <w:rStyle w:val="Emphasis"/>
                <w:b w:val="0"/>
              </w:rPr>
            </w:pPr>
            <w:r w:rsidRPr="00EB03D3">
              <w:rPr>
                <w:rStyle w:val="Emphasis"/>
              </w:rPr>
              <w:t>Add or Improve?</w:t>
            </w:r>
          </w:p>
        </w:tc>
        <w:tc>
          <w:tcPr>
            <w:tcW w:w="1260" w:type="dxa"/>
            <w:tcBorders>
              <w:bottom w:val="single" w:sz="4" w:space="0" w:color="auto"/>
            </w:tcBorders>
            <w:shd w:val="clear" w:color="auto" w:fill="000000" w:themeFill="text1"/>
            <w:vAlign w:val="center"/>
          </w:tcPr>
          <w:p w:rsidR="002B60BB" w:rsidRPr="00EB03D3" w:rsidRDefault="002B60BB" w:rsidP="002B60BB">
            <w:pPr>
              <w:spacing w:before="40" w:after="40"/>
              <w:jc w:val="center"/>
              <w:rPr>
                <w:rStyle w:val="Emphasis"/>
                <w:b w:val="0"/>
              </w:rPr>
            </w:pPr>
            <w:r w:rsidRPr="00EB03D3">
              <w:rPr>
                <w:rStyle w:val="Emphasis"/>
              </w:rPr>
              <w:t xml:space="preserve">Context </w:t>
            </w:r>
            <w:r w:rsidRPr="00EB03D3">
              <w:rPr>
                <w:rStyle w:val="Emphasis"/>
                <w:vertAlign w:val="superscript"/>
              </w:rPr>
              <w:footnoteReference w:id="1"/>
            </w:r>
          </w:p>
        </w:tc>
      </w:tr>
      <w:tr w:rsidR="002B60BB" w:rsidRPr="00EB03D3" w:rsidTr="002B60BB">
        <w:trPr>
          <w:cantSplit/>
        </w:trPr>
        <w:tc>
          <w:tcPr>
            <w:tcW w:w="9540" w:type="dxa"/>
            <w:tcBorders>
              <w:right w:val="nil"/>
            </w:tcBorders>
            <w:shd w:val="clear" w:color="auto" w:fill="95B3D7"/>
          </w:tcPr>
          <w:p w:rsidR="002B60BB" w:rsidRPr="00EB03D3" w:rsidRDefault="002B60BB" w:rsidP="002B60BB">
            <w:pPr>
              <w:pStyle w:val="tablequestions"/>
              <w:spacing w:before="40" w:after="40"/>
              <w:rPr>
                <w:rFonts w:asciiTheme="minorHAnsi" w:hAnsiTheme="minorHAnsi"/>
                <w:i/>
              </w:rPr>
            </w:pPr>
            <w:r w:rsidRPr="00EB03D3">
              <w:rPr>
                <w:rFonts w:asciiTheme="minorHAnsi" w:hAnsiTheme="minorHAnsi"/>
                <w:i/>
              </w:rPr>
              <w:t>Engaging the Public in the Planning Process</w:t>
            </w:r>
          </w:p>
        </w:tc>
        <w:tc>
          <w:tcPr>
            <w:tcW w:w="1440" w:type="dxa"/>
            <w:tcBorders>
              <w:left w:val="nil"/>
              <w:right w:val="nil"/>
            </w:tcBorders>
            <w:shd w:val="clear" w:color="auto" w:fill="95B3D7"/>
          </w:tcPr>
          <w:p w:rsidR="002B60BB" w:rsidRPr="00EB03D3" w:rsidRDefault="002B60BB" w:rsidP="002B60BB">
            <w:pPr>
              <w:pStyle w:val="tablequestions"/>
              <w:spacing w:before="40" w:after="40"/>
              <w:jc w:val="center"/>
              <w:rPr>
                <w:rFonts w:asciiTheme="minorHAnsi" w:hAnsiTheme="minorHAnsi"/>
              </w:rPr>
            </w:pPr>
          </w:p>
        </w:tc>
        <w:tc>
          <w:tcPr>
            <w:tcW w:w="1440" w:type="dxa"/>
            <w:tcBorders>
              <w:left w:val="nil"/>
              <w:right w:val="nil"/>
            </w:tcBorders>
            <w:shd w:val="clear" w:color="auto" w:fill="95B3D7"/>
          </w:tcPr>
          <w:p w:rsidR="002B60BB" w:rsidRPr="00EB03D3" w:rsidRDefault="002B60BB" w:rsidP="002B60BB">
            <w:pPr>
              <w:pStyle w:val="tablequestions"/>
              <w:spacing w:before="40" w:after="40"/>
              <w:jc w:val="center"/>
              <w:rPr>
                <w:rFonts w:asciiTheme="minorHAnsi" w:hAnsiTheme="minorHAnsi"/>
              </w:rPr>
            </w:pPr>
          </w:p>
        </w:tc>
        <w:tc>
          <w:tcPr>
            <w:tcW w:w="1260" w:type="dxa"/>
            <w:tcBorders>
              <w:left w:val="nil"/>
            </w:tcBorders>
            <w:shd w:val="clear" w:color="auto" w:fill="95B3D7"/>
          </w:tcPr>
          <w:p w:rsidR="002B60BB" w:rsidRPr="00EB03D3" w:rsidRDefault="002B60BB" w:rsidP="002B60BB">
            <w:pPr>
              <w:pStyle w:val="tablequestions"/>
              <w:spacing w:before="40" w:after="40"/>
              <w:rPr>
                <w:rFonts w:asciiTheme="minorHAnsi" w:hAnsiTheme="minorHAnsi"/>
              </w:rPr>
            </w:pPr>
          </w:p>
        </w:tc>
      </w:tr>
      <w:tr w:rsidR="002B60BB" w:rsidRPr="00EB03D3" w:rsidTr="002B60BB">
        <w:trPr>
          <w:cantSplit/>
        </w:trPr>
        <w:tc>
          <w:tcPr>
            <w:tcW w:w="9540" w:type="dxa"/>
            <w:shd w:val="clear" w:color="auto" w:fill="D9D9D9" w:themeFill="background1" w:themeFillShade="D9"/>
          </w:tcPr>
          <w:p w:rsidR="002B60BB" w:rsidRPr="00EB03D3" w:rsidRDefault="002B60BB" w:rsidP="002B60BB">
            <w:pPr>
              <w:pStyle w:val="tablequestions"/>
              <w:spacing w:before="40" w:after="40"/>
              <w:rPr>
                <w:rFonts w:asciiTheme="minorHAnsi" w:hAnsiTheme="minorHAnsi"/>
              </w:rPr>
            </w:pPr>
            <w:r w:rsidRPr="00EB03D3">
              <w:rPr>
                <w:rFonts w:asciiTheme="minorHAnsi" w:hAnsiTheme="minorHAnsi"/>
              </w:rPr>
              <w:t>Are public participation activities required during the planning process?</w:t>
            </w:r>
          </w:p>
        </w:tc>
        <w:tc>
          <w:tcPr>
            <w:tcW w:w="1440" w:type="dxa"/>
            <w:shd w:val="clear" w:color="auto" w:fill="D9D9D9" w:themeFill="background1" w:themeFillShade="D9"/>
          </w:tcPr>
          <w:p w:rsidR="002B60BB" w:rsidRPr="00EB03D3" w:rsidRDefault="002B60BB" w:rsidP="002B60BB">
            <w:pPr>
              <w:pStyle w:val="tablequestions"/>
              <w:spacing w:before="40" w:after="40"/>
              <w:jc w:val="center"/>
              <w:rPr>
                <w:rFonts w:asciiTheme="minorHAnsi" w:hAnsiTheme="minorHAnsi"/>
              </w:rPr>
            </w:pPr>
          </w:p>
        </w:tc>
        <w:tc>
          <w:tcPr>
            <w:tcW w:w="1440" w:type="dxa"/>
            <w:shd w:val="clear" w:color="auto" w:fill="D9D9D9" w:themeFill="background1" w:themeFillShade="D9"/>
          </w:tcPr>
          <w:p w:rsidR="002B60BB" w:rsidRPr="00EB03D3" w:rsidRDefault="002B60BB" w:rsidP="002B60BB">
            <w:pPr>
              <w:pStyle w:val="tablequestions"/>
              <w:spacing w:before="40" w:after="40"/>
              <w:jc w:val="center"/>
              <w:rPr>
                <w:rFonts w:asciiTheme="minorHAnsi" w:hAnsiTheme="minorHAnsi"/>
              </w:rPr>
            </w:pPr>
          </w:p>
        </w:tc>
        <w:tc>
          <w:tcPr>
            <w:tcW w:w="1260" w:type="dxa"/>
            <w:shd w:val="clear" w:color="auto" w:fill="D9D9D9" w:themeFill="background1" w:themeFillShade="D9"/>
          </w:tcPr>
          <w:p w:rsidR="002B60BB" w:rsidRPr="00EB03D3" w:rsidRDefault="002B60BB" w:rsidP="002B60BB">
            <w:pPr>
              <w:pStyle w:val="tablequestions"/>
              <w:spacing w:before="40" w:after="40"/>
              <w:rPr>
                <w:rFonts w:asciiTheme="minorHAnsi" w:hAnsiTheme="minorHAnsi"/>
              </w:rPr>
            </w:pPr>
          </w:p>
        </w:tc>
      </w:tr>
      <w:tr w:rsidR="002B60BB" w:rsidRPr="00EB03D3" w:rsidTr="002B60BB">
        <w:trPr>
          <w:cantSplit/>
        </w:trPr>
        <w:tc>
          <w:tcPr>
            <w:tcW w:w="9540" w:type="dxa"/>
          </w:tcPr>
          <w:p w:rsidR="002B60BB" w:rsidRPr="00EB03D3" w:rsidRDefault="002B60BB" w:rsidP="00EB7236">
            <w:pPr>
              <w:pStyle w:val="tabletext"/>
              <w:spacing w:before="40" w:after="40"/>
              <w:rPr>
                <w:rFonts w:asciiTheme="minorHAnsi" w:hAnsiTheme="minorHAnsi"/>
              </w:rPr>
            </w:pPr>
            <w:r w:rsidRPr="00EB03D3">
              <w:rPr>
                <w:rFonts w:asciiTheme="minorHAnsi" w:hAnsiTheme="minorHAnsi"/>
              </w:rPr>
              <w:t>Strategy 1: The City/Town establishes a formal group and a robust and meaningful public engagement process to provide good planning advice to elected officials.</w:t>
            </w:r>
            <w:r w:rsidRPr="00EB03D3">
              <w:rPr>
                <w:rStyle w:val="FootnoteReference"/>
                <w:rFonts w:asciiTheme="minorHAnsi" w:hAnsiTheme="minorHAnsi"/>
              </w:rPr>
              <w:footnoteReference w:id="2"/>
            </w:r>
            <w:r w:rsidRPr="00EB03D3">
              <w:rPr>
                <w:rFonts w:asciiTheme="minorHAnsi" w:hAnsiTheme="minorHAnsi"/>
                <w:vertAlign w:val="superscript"/>
              </w:rPr>
              <w:t>,</w:t>
            </w:r>
            <w:r w:rsidRPr="00EB03D3">
              <w:rPr>
                <w:rStyle w:val="FootnoteReference"/>
                <w:rFonts w:asciiTheme="minorHAnsi" w:hAnsiTheme="minorHAnsi"/>
              </w:rPr>
              <w:footnoteReference w:id="3"/>
            </w:r>
            <w:r w:rsidRPr="00EB03D3">
              <w:rPr>
                <w:rFonts w:asciiTheme="minorHAnsi" w:hAnsiTheme="minorHAnsi"/>
                <w:vertAlign w:val="superscript"/>
              </w:rPr>
              <w:t>,</w:t>
            </w:r>
            <w:bookmarkStart w:id="1" w:name="_Ref353378915"/>
            <w:r w:rsidRPr="00EB03D3">
              <w:rPr>
                <w:rStyle w:val="FootnoteReference"/>
                <w:rFonts w:asciiTheme="minorHAnsi" w:hAnsiTheme="minorHAnsi"/>
              </w:rPr>
              <w:footnoteReference w:id="4"/>
            </w:r>
            <w:bookmarkEnd w:id="1"/>
            <w:r w:rsidRPr="00EB03D3">
              <w:rPr>
                <w:rFonts w:asciiTheme="minorHAnsi" w:hAnsiTheme="minorHAnsi"/>
              </w:rPr>
              <w:t xml:space="preserve"> </w:t>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EB7236" w:rsidRPr="00EB7236">
              <w:rPr>
                <w:rFonts w:asciiTheme="minorHAnsi" w:hAnsiTheme="minorHAnsi"/>
                <w:i/>
                <w:noProof/>
                <w:color w:val="FF0000"/>
              </w:rPr>
              <w:t>[Enter</w:t>
            </w:r>
            <w:r w:rsidR="00F15B96">
              <w:rPr>
                <w:rFonts w:asciiTheme="minorHAnsi" w:hAnsiTheme="minorHAnsi"/>
                <w:i/>
                <w:noProof/>
                <w:color w:val="FF0000"/>
              </w:rPr>
              <w:t xml:space="preserve"> optional</w:t>
            </w:r>
            <w:r w:rsidR="00EB7236" w:rsidRPr="00EB7236">
              <w:rPr>
                <w:rFonts w:asciiTheme="minorHAnsi" w:hAnsiTheme="minorHAnsi"/>
                <w:i/>
                <w:noProof/>
                <w:color w:val="FF0000"/>
              </w:rPr>
              <w:t xml:space="preserve"> notes in gray boxes for all strategies]</w:t>
            </w:r>
            <w:r w:rsidR="00403F57" w:rsidRPr="00EB03D3">
              <w:rPr>
                <w:rFonts w:asciiTheme="minorHAnsi" w:hAnsiTheme="minorHAnsi"/>
                <w:i/>
                <w:color w:val="FF0000"/>
              </w:rPr>
              <w:fldChar w:fldCharType="end"/>
            </w:r>
          </w:p>
        </w:tc>
        <w:sdt>
          <w:sdtPr>
            <w:rPr>
              <w:rFonts w:asciiTheme="minorHAnsi" w:hAnsiTheme="minorHAnsi"/>
            </w:rPr>
            <w:id w:val="-1479222704"/>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428797723"/>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40" w:after="40"/>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5E5915">
            <w:pPr>
              <w:pStyle w:val="tabletext"/>
              <w:spacing w:before="40" w:after="40"/>
              <w:rPr>
                <w:rFonts w:asciiTheme="minorHAnsi" w:hAnsiTheme="minorHAnsi"/>
              </w:rPr>
            </w:pPr>
            <w:r w:rsidRPr="00EB03D3">
              <w:rPr>
                <w:rFonts w:asciiTheme="minorHAnsi" w:hAnsiTheme="minorHAnsi"/>
              </w:rPr>
              <w:t>Strategy 2: A public design meeting or charrette is required for planned unit development projects.</w:t>
            </w:r>
            <w:r w:rsidRPr="00EB03D3">
              <w:rPr>
                <w:rStyle w:val="FootnoteReference"/>
                <w:rFonts w:asciiTheme="minorHAnsi" w:hAnsiTheme="minorHAnsi"/>
              </w:rPr>
              <w:footnoteReference w:id="5"/>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5E5915">
              <w:rPr>
                <w:rFonts w:asciiTheme="minorHAnsi" w:hAnsiTheme="minorHAnsi"/>
                <w:i/>
                <w:color w:val="FF0000"/>
              </w:rPr>
              <w:t> </w:t>
            </w:r>
            <w:r w:rsidR="005E5915">
              <w:rPr>
                <w:rFonts w:asciiTheme="minorHAnsi" w:hAnsiTheme="minorHAnsi"/>
                <w:i/>
                <w:color w:val="FF0000"/>
              </w:rPr>
              <w:t> </w:t>
            </w:r>
            <w:r w:rsidR="005E5915">
              <w:rPr>
                <w:rFonts w:asciiTheme="minorHAnsi" w:hAnsiTheme="minorHAnsi"/>
                <w:i/>
                <w:color w:val="FF0000"/>
              </w:rPr>
              <w:t> </w:t>
            </w:r>
            <w:r w:rsidR="005E5915">
              <w:rPr>
                <w:rFonts w:asciiTheme="minorHAnsi" w:hAnsiTheme="minorHAnsi"/>
                <w:i/>
                <w:color w:val="FF0000"/>
              </w:rPr>
              <w:t> </w:t>
            </w:r>
            <w:r w:rsidR="005E5915">
              <w:rPr>
                <w:rFonts w:asciiTheme="minorHAnsi" w:hAnsiTheme="minorHAnsi"/>
                <w:i/>
                <w:color w:val="FF0000"/>
              </w:rPr>
              <w:t> </w:t>
            </w:r>
            <w:r w:rsidR="00403F57" w:rsidRPr="00EB03D3">
              <w:rPr>
                <w:rFonts w:asciiTheme="minorHAnsi" w:hAnsiTheme="minorHAnsi"/>
                <w:i/>
                <w:color w:val="FF0000"/>
              </w:rPr>
              <w:fldChar w:fldCharType="end"/>
            </w:r>
          </w:p>
        </w:tc>
        <w:sdt>
          <w:sdtPr>
            <w:rPr>
              <w:rFonts w:asciiTheme="minorHAnsi" w:hAnsiTheme="minorHAnsi"/>
            </w:rPr>
            <w:id w:val="1230032808"/>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711274291"/>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40" w:after="40"/>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2B60BB">
            <w:pPr>
              <w:pStyle w:val="tabletext"/>
              <w:spacing w:before="40" w:after="40"/>
              <w:rPr>
                <w:rFonts w:asciiTheme="minorHAnsi" w:hAnsiTheme="minorHAnsi"/>
              </w:rPr>
            </w:pPr>
            <w:r w:rsidRPr="00EB03D3">
              <w:rPr>
                <w:rFonts w:asciiTheme="minorHAnsi" w:hAnsiTheme="minorHAnsi"/>
              </w:rPr>
              <w:t>Strategy 3: Codes require abutting property owners to be notified about potential rezoning, subdivision, or redevelopment proposals so that they can attend the public meetings if they have opinions or concerns.</w:t>
            </w:r>
            <w:r w:rsidRPr="00EB03D3">
              <w:rPr>
                <w:rStyle w:val="FootnoteReference"/>
                <w:rFonts w:asciiTheme="minorHAnsi" w:hAnsiTheme="minorHAnsi"/>
              </w:rPr>
              <w:footnoteReference w:id="6"/>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961333667"/>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955476384"/>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40" w:after="40"/>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5E5915">
            <w:pPr>
              <w:pStyle w:val="tabletext"/>
              <w:spacing w:before="40" w:after="40"/>
              <w:rPr>
                <w:rFonts w:asciiTheme="minorHAnsi" w:hAnsiTheme="minorHAnsi"/>
              </w:rPr>
            </w:pPr>
            <w:r w:rsidRPr="00EB03D3">
              <w:rPr>
                <w:rFonts w:asciiTheme="minorHAnsi" w:hAnsiTheme="minorHAnsi"/>
              </w:rPr>
              <w:t>Strategy 4: A public review process is required for rezoning.</w:t>
            </w:r>
            <w:r w:rsidRPr="00EB03D3">
              <w:rPr>
                <w:rStyle w:val="FootnoteReference"/>
                <w:rFonts w:asciiTheme="minorHAnsi" w:hAnsiTheme="minorHAnsi"/>
              </w:rPr>
              <w:footnoteReference w:id="7"/>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5E5915">
              <w:rPr>
                <w:rFonts w:asciiTheme="minorHAnsi" w:hAnsiTheme="minorHAnsi"/>
                <w:i/>
                <w:color w:val="FF0000"/>
              </w:rPr>
              <w:t> </w:t>
            </w:r>
            <w:r w:rsidR="005E5915">
              <w:rPr>
                <w:rFonts w:asciiTheme="minorHAnsi" w:hAnsiTheme="minorHAnsi"/>
                <w:i/>
                <w:color w:val="FF0000"/>
              </w:rPr>
              <w:t> </w:t>
            </w:r>
            <w:r w:rsidR="005E5915">
              <w:rPr>
                <w:rFonts w:asciiTheme="minorHAnsi" w:hAnsiTheme="minorHAnsi"/>
                <w:i/>
                <w:color w:val="FF0000"/>
              </w:rPr>
              <w:t> </w:t>
            </w:r>
            <w:r w:rsidR="005E5915">
              <w:rPr>
                <w:rFonts w:asciiTheme="minorHAnsi" w:hAnsiTheme="minorHAnsi"/>
                <w:i/>
                <w:color w:val="FF0000"/>
              </w:rPr>
              <w:t> </w:t>
            </w:r>
            <w:r w:rsidR="005E5915">
              <w:rPr>
                <w:rFonts w:asciiTheme="minorHAnsi" w:hAnsiTheme="minorHAnsi"/>
                <w:i/>
                <w:color w:val="FF0000"/>
              </w:rPr>
              <w:t> </w:t>
            </w:r>
            <w:r w:rsidR="00403F57" w:rsidRPr="00EB03D3">
              <w:rPr>
                <w:rFonts w:asciiTheme="minorHAnsi" w:hAnsiTheme="minorHAnsi"/>
                <w:i/>
                <w:color w:val="FF0000"/>
              </w:rPr>
              <w:fldChar w:fldCharType="end"/>
            </w:r>
          </w:p>
        </w:tc>
        <w:sdt>
          <w:sdtPr>
            <w:rPr>
              <w:rFonts w:asciiTheme="minorHAnsi" w:hAnsiTheme="minorHAnsi"/>
            </w:rPr>
            <w:id w:val="478190398"/>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97850876"/>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40" w:after="40"/>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2B60BB">
            <w:pPr>
              <w:pStyle w:val="tabletext"/>
              <w:spacing w:before="40" w:after="40"/>
              <w:rPr>
                <w:rFonts w:asciiTheme="minorHAnsi" w:hAnsiTheme="minorHAnsi"/>
              </w:rPr>
            </w:pPr>
            <w:r w:rsidRPr="00EB03D3">
              <w:rPr>
                <w:rFonts w:asciiTheme="minorHAnsi" w:hAnsiTheme="minorHAnsi"/>
              </w:rPr>
              <w:lastRenderedPageBreak/>
              <w:t>Strategy 5: Public participation is required in development of neighborhood plans, comprehensive plan updates, and long-range transportation plans.</w:t>
            </w:r>
            <w:r w:rsidRPr="00EB03D3">
              <w:rPr>
                <w:rStyle w:val="FootnoteReference"/>
                <w:rFonts w:asciiTheme="minorHAnsi" w:hAnsiTheme="minorHAnsi"/>
              </w:rPr>
              <w:footnoteReference w:id="8"/>
            </w:r>
            <w:r w:rsidRPr="00EB03D3">
              <w:rPr>
                <w:rFonts w:asciiTheme="minorHAnsi" w:hAnsiTheme="minorHAnsi"/>
                <w:vertAlign w:val="superscript"/>
              </w:rPr>
              <w:t>,</w:t>
            </w:r>
            <w:r w:rsidRPr="00EB03D3">
              <w:rPr>
                <w:rStyle w:val="FootnoteReference"/>
                <w:rFonts w:asciiTheme="minorHAnsi" w:hAnsiTheme="minorHAnsi"/>
              </w:rPr>
              <w:footnoteReference w:id="9"/>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960993416"/>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137998104"/>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40" w:after="40"/>
              <w:jc w:val="center"/>
              <w:rPr>
                <w:rFonts w:asciiTheme="minorHAnsi" w:hAnsiTheme="minorHAnsi"/>
              </w:rPr>
            </w:pPr>
            <w:r w:rsidRPr="00EB03D3">
              <w:rPr>
                <w:rFonts w:asciiTheme="minorHAnsi" w:hAnsiTheme="minorHAnsi"/>
              </w:rPr>
              <w:t>1</w:t>
            </w:r>
          </w:p>
        </w:tc>
      </w:tr>
      <w:tr w:rsidR="002B60BB" w:rsidRPr="00EB03D3" w:rsidTr="002B60BB">
        <w:trPr>
          <w:cantSplit/>
        </w:trPr>
        <w:tc>
          <w:tcPr>
            <w:tcW w:w="9540" w:type="dxa"/>
            <w:tcBorders>
              <w:right w:val="nil"/>
            </w:tcBorders>
            <w:shd w:val="clear" w:color="auto" w:fill="95B3D7"/>
          </w:tcPr>
          <w:p w:rsidR="002B60BB" w:rsidRPr="00EB03D3" w:rsidRDefault="002B60BB" w:rsidP="002B60BB">
            <w:pPr>
              <w:pStyle w:val="tablequestions"/>
              <w:spacing w:before="40" w:after="40"/>
              <w:rPr>
                <w:rFonts w:asciiTheme="minorHAnsi" w:hAnsiTheme="minorHAnsi"/>
                <w:i/>
              </w:rPr>
            </w:pPr>
            <w:r w:rsidRPr="00EB03D3">
              <w:rPr>
                <w:rFonts w:asciiTheme="minorHAnsi" w:hAnsiTheme="minorHAnsi"/>
                <w:i/>
              </w:rPr>
              <w:t>Using Design Elements That Encourage Interaction</w:t>
            </w:r>
          </w:p>
        </w:tc>
        <w:tc>
          <w:tcPr>
            <w:tcW w:w="1440" w:type="dxa"/>
            <w:tcBorders>
              <w:left w:val="nil"/>
              <w:right w:val="nil"/>
            </w:tcBorders>
            <w:shd w:val="clear" w:color="auto" w:fill="95B3D7"/>
          </w:tcPr>
          <w:p w:rsidR="002B60BB" w:rsidRPr="00EB03D3" w:rsidRDefault="002B60BB" w:rsidP="002B60BB">
            <w:pPr>
              <w:pStyle w:val="tablequestions"/>
              <w:spacing w:before="40" w:after="40"/>
              <w:jc w:val="center"/>
              <w:rPr>
                <w:rFonts w:asciiTheme="minorHAnsi" w:hAnsiTheme="minorHAnsi"/>
              </w:rPr>
            </w:pPr>
          </w:p>
        </w:tc>
        <w:tc>
          <w:tcPr>
            <w:tcW w:w="1440" w:type="dxa"/>
            <w:tcBorders>
              <w:left w:val="nil"/>
              <w:right w:val="nil"/>
            </w:tcBorders>
            <w:shd w:val="clear" w:color="auto" w:fill="95B3D7"/>
          </w:tcPr>
          <w:p w:rsidR="002B60BB" w:rsidRPr="00EB03D3" w:rsidRDefault="002B60BB" w:rsidP="002B60BB">
            <w:pPr>
              <w:pStyle w:val="tablequestions"/>
              <w:spacing w:before="40" w:after="40"/>
              <w:jc w:val="center"/>
              <w:rPr>
                <w:rFonts w:asciiTheme="minorHAnsi" w:hAnsiTheme="minorHAnsi"/>
              </w:rPr>
            </w:pPr>
          </w:p>
        </w:tc>
        <w:tc>
          <w:tcPr>
            <w:tcW w:w="1260" w:type="dxa"/>
            <w:tcBorders>
              <w:left w:val="nil"/>
            </w:tcBorders>
            <w:shd w:val="clear" w:color="auto" w:fill="95B3D7"/>
          </w:tcPr>
          <w:p w:rsidR="002B60BB" w:rsidRPr="00EB03D3" w:rsidRDefault="002B60BB" w:rsidP="002B60BB">
            <w:pPr>
              <w:pStyle w:val="tablequestions"/>
              <w:spacing w:before="40" w:after="40"/>
              <w:rPr>
                <w:rFonts w:asciiTheme="minorHAnsi" w:hAnsiTheme="minorHAnsi"/>
              </w:rPr>
            </w:pPr>
          </w:p>
        </w:tc>
      </w:tr>
      <w:tr w:rsidR="002B60BB" w:rsidRPr="00EB03D3" w:rsidTr="002B60BB">
        <w:trPr>
          <w:cantSplit/>
        </w:trPr>
        <w:tc>
          <w:tcPr>
            <w:tcW w:w="9540" w:type="dxa"/>
            <w:shd w:val="clear" w:color="auto" w:fill="D9D9D9" w:themeFill="background1" w:themeFillShade="D9"/>
          </w:tcPr>
          <w:p w:rsidR="002B60BB" w:rsidRPr="00EB03D3" w:rsidRDefault="002B60BB" w:rsidP="002B60BB">
            <w:pPr>
              <w:pStyle w:val="tablequestions"/>
              <w:spacing w:before="40" w:after="40"/>
              <w:rPr>
                <w:rFonts w:asciiTheme="minorHAnsi" w:hAnsiTheme="minorHAnsi"/>
              </w:rPr>
            </w:pPr>
            <w:r w:rsidRPr="00EB03D3">
              <w:rPr>
                <w:rFonts w:asciiTheme="minorHAnsi" w:hAnsiTheme="minorHAnsi"/>
              </w:rPr>
              <w:t>Do codes require design elements that promote community interaction?</w:t>
            </w:r>
          </w:p>
        </w:tc>
        <w:tc>
          <w:tcPr>
            <w:tcW w:w="1440" w:type="dxa"/>
            <w:shd w:val="clear" w:color="auto" w:fill="D9D9D9" w:themeFill="background1" w:themeFillShade="D9"/>
          </w:tcPr>
          <w:p w:rsidR="002B60BB" w:rsidRPr="00EB03D3" w:rsidRDefault="002B60BB" w:rsidP="002B60BB">
            <w:pPr>
              <w:pStyle w:val="tablequestions"/>
              <w:spacing w:before="40" w:after="40"/>
              <w:jc w:val="center"/>
              <w:rPr>
                <w:rFonts w:asciiTheme="minorHAnsi" w:hAnsiTheme="minorHAnsi"/>
              </w:rPr>
            </w:pPr>
          </w:p>
        </w:tc>
        <w:tc>
          <w:tcPr>
            <w:tcW w:w="1440" w:type="dxa"/>
            <w:shd w:val="clear" w:color="auto" w:fill="D9D9D9" w:themeFill="background1" w:themeFillShade="D9"/>
          </w:tcPr>
          <w:p w:rsidR="002B60BB" w:rsidRPr="00EB03D3" w:rsidRDefault="002B60BB" w:rsidP="002B60BB">
            <w:pPr>
              <w:pStyle w:val="tablequestions"/>
              <w:spacing w:before="40" w:after="40"/>
              <w:jc w:val="center"/>
              <w:rPr>
                <w:rFonts w:asciiTheme="minorHAnsi" w:hAnsiTheme="minorHAnsi"/>
              </w:rPr>
            </w:pPr>
          </w:p>
        </w:tc>
        <w:tc>
          <w:tcPr>
            <w:tcW w:w="1260" w:type="dxa"/>
            <w:shd w:val="clear" w:color="auto" w:fill="D9D9D9" w:themeFill="background1" w:themeFillShade="D9"/>
          </w:tcPr>
          <w:p w:rsidR="002B60BB" w:rsidRPr="00EB03D3" w:rsidRDefault="002B60BB" w:rsidP="002B60BB">
            <w:pPr>
              <w:pStyle w:val="tablequestions"/>
              <w:spacing w:before="40" w:after="40"/>
              <w:rPr>
                <w:rFonts w:asciiTheme="minorHAnsi" w:hAnsiTheme="minorHAnsi"/>
              </w:rPr>
            </w:pPr>
          </w:p>
        </w:tc>
      </w:tr>
      <w:tr w:rsidR="002B60BB" w:rsidRPr="00EB03D3" w:rsidTr="002B60BB">
        <w:trPr>
          <w:cantSplit/>
        </w:trPr>
        <w:tc>
          <w:tcPr>
            <w:tcW w:w="9540" w:type="dxa"/>
          </w:tcPr>
          <w:p w:rsidR="002B60BB" w:rsidRPr="00EB03D3" w:rsidRDefault="002B60BB" w:rsidP="002B60BB">
            <w:pPr>
              <w:pStyle w:val="tabletext"/>
              <w:spacing w:before="40" w:after="40"/>
              <w:rPr>
                <w:rFonts w:asciiTheme="minorHAnsi" w:hAnsiTheme="minorHAnsi"/>
              </w:rPr>
            </w:pPr>
            <w:r w:rsidRPr="00EB03D3">
              <w:rPr>
                <w:rFonts w:asciiTheme="minorHAnsi" w:hAnsiTheme="minorHAnsi"/>
              </w:rPr>
              <w:t>Strategy 6: Zoning includes a traditional neighborhood zoning overlay district that requires design elements that encourage interaction such as sidewalks, front porches, and community parks.</w:t>
            </w:r>
            <w:r w:rsidRPr="00EB03D3">
              <w:rPr>
                <w:rStyle w:val="FootnoteReference"/>
                <w:rFonts w:asciiTheme="minorHAnsi" w:hAnsiTheme="minorHAnsi"/>
              </w:rPr>
              <w:footnoteReference w:id="10"/>
            </w:r>
            <w:r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637029817"/>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158504442"/>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40" w:after="4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40" w:after="40"/>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Borders>
              <w:bottom w:val="single" w:sz="4" w:space="0" w:color="auto"/>
            </w:tcBorders>
          </w:tcPr>
          <w:p w:rsidR="002B60BB" w:rsidRPr="00EB03D3" w:rsidRDefault="002B60BB" w:rsidP="002B60BB">
            <w:pPr>
              <w:pStyle w:val="tabletext"/>
              <w:spacing w:before="50" w:after="50"/>
              <w:rPr>
                <w:rFonts w:asciiTheme="minorHAnsi" w:hAnsiTheme="minorHAnsi"/>
              </w:rPr>
            </w:pPr>
            <w:r w:rsidRPr="00EB03D3">
              <w:rPr>
                <w:rFonts w:asciiTheme="minorHAnsi" w:hAnsiTheme="minorHAnsi"/>
              </w:rPr>
              <w:t>Strategy 7: Subdivision regulations require sidewalks on new streets.</w:t>
            </w:r>
            <w:r w:rsidRPr="00EB03D3">
              <w:rPr>
                <w:rStyle w:val="FootnoteReference"/>
                <w:rFonts w:asciiTheme="minorHAnsi" w:hAnsiTheme="minorHAnsi"/>
              </w:rPr>
              <w:footnoteReference w:id="11"/>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296483077"/>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38553464"/>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Borders>
              <w:bottom w:val="single" w:sz="4" w:space="0" w:color="auto"/>
            </w:tcBorders>
          </w:tcPr>
          <w:p w:rsidR="002B60BB" w:rsidRPr="00EB03D3" w:rsidRDefault="002B60BB" w:rsidP="002B60BB">
            <w:pPr>
              <w:pStyle w:val="tabletext"/>
              <w:spacing w:before="50" w:after="50"/>
              <w:rPr>
                <w:rFonts w:asciiTheme="minorHAnsi" w:hAnsiTheme="minorHAnsi"/>
              </w:rPr>
            </w:pPr>
            <w:r w:rsidRPr="00EB03D3">
              <w:rPr>
                <w:rFonts w:asciiTheme="minorHAnsi" w:hAnsiTheme="minorHAnsi"/>
              </w:rPr>
              <w:t>Strategy 8: Subdivision regulations ensure good street connectivity by requiring connections in and between neighborhoods.</w:t>
            </w:r>
            <w:r w:rsidRPr="00EB03D3">
              <w:rPr>
                <w:rStyle w:val="FootnoteReference"/>
                <w:rFonts w:asciiTheme="minorHAnsi" w:hAnsiTheme="minorHAnsi"/>
              </w:rPr>
              <w:footnoteReference w:id="12"/>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265306618"/>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423111813"/>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Borders>
              <w:bottom w:val="single" w:sz="4" w:space="0" w:color="auto"/>
            </w:tcBorders>
          </w:tcPr>
          <w:p w:rsidR="002B60BB" w:rsidRPr="00EB03D3" w:rsidRDefault="002B60BB" w:rsidP="002B60BB">
            <w:pPr>
              <w:pStyle w:val="tabletext"/>
              <w:spacing w:before="50" w:after="50"/>
              <w:rPr>
                <w:rFonts w:asciiTheme="minorHAnsi" w:hAnsiTheme="minorHAnsi"/>
              </w:rPr>
            </w:pPr>
            <w:r w:rsidRPr="00EB03D3">
              <w:rPr>
                <w:rFonts w:asciiTheme="minorHAnsi" w:hAnsiTheme="minorHAnsi"/>
              </w:rPr>
              <w:t>Strategy 9: Codes establish minimum standards for parks and open space in new developments, which includes developing around existing civic gathering spaces.</w:t>
            </w:r>
            <w:r w:rsidRPr="00EB03D3">
              <w:rPr>
                <w:rStyle w:val="FootnoteReference"/>
                <w:rFonts w:asciiTheme="minorHAnsi" w:hAnsiTheme="minorHAnsi"/>
              </w:rPr>
              <w:footnoteReference w:id="13"/>
            </w:r>
            <w:r w:rsidRPr="00EB03D3">
              <w:rPr>
                <w:rFonts w:asciiTheme="minorHAnsi" w:hAnsiTheme="minorHAnsi"/>
                <w:vertAlign w:val="superscript"/>
              </w:rPr>
              <w:t>,</w:t>
            </w:r>
            <w:r w:rsidRPr="00EB03D3">
              <w:rPr>
                <w:rStyle w:val="FootnoteReference"/>
                <w:rFonts w:asciiTheme="minorHAnsi" w:hAnsiTheme="minorHAnsi"/>
              </w:rPr>
              <w:footnoteReference w:id="14"/>
            </w:r>
            <w:r w:rsidRPr="00EB03D3">
              <w:rPr>
                <w:rFonts w:asciiTheme="minorHAnsi" w:hAnsiTheme="minorHAnsi"/>
                <w:vertAlign w:val="superscript"/>
              </w:rPr>
              <w:t>,</w:t>
            </w:r>
            <w:r w:rsidRPr="00EB03D3">
              <w:rPr>
                <w:rStyle w:val="FootnoteReference"/>
                <w:rFonts w:asciiTheme="minorHAnsi" w:hAnsiTheme="minorHAnsi"/>
              </w:rPr>
              <w:footnoteReference w:id="15"/>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145695859"/>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582419289"/>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Borders>
              <w:right w:val="nil"/>
            </w:tcBorders>
            <w:shd w:val="clear" w:color="auto" w:fill="C2D69B"/>
          </w:tcPr>
          <w:p w:rsidR="002B60BB" w:rsidRPr="00EB03D3" w:rsidRDefault="002B60BB" w:rsidP="002B60BB">
            <w:pPr>
              <w:pStyle w:val="tablequestions"/>
              <w:spacing w:before="50" w:after="50"/>
              <w:rPr>
                <w:rFonts w:asciiTheme="minorHAnsi" w:hAnsiTheme="minorHAnsi"/>
                <w:i/>
              </w:rPr>
            </w:pPr>
            <w:r w:rsidRPr="00EB03D3">
              <w:rPr>
                <w:rFonts w:asciiTheme="minorHAnsi" w:hAnsiTheme="minorHAnsi"/>
                <w:i/>
              </w:rPr>
              <w:t>Engaging and Connecting Community Members Through Planning and Policies</w:t>
            </w:r>
          </w:p>
        </w:tc>
        <w:tc>
          <w:tcPr>
            <w:tcW w:w="1440" w:type="dxa"/>
            <w:tcBorders>
              <w:left w:val="nil"/>
              <w:right w:val="nil"/>
            </w:tcBorders>
            <w:shd w:val="clear" w:color="auto" w:fill="C2D69B"/>
          </w:tcPr>
          <w:p w:rsidR="002B60BB" w:rsidRPr="00EB03D3" w:rsidRDefault="002B60BB" w:rsidP="002B60BB">
            <w:pPr>
              <w:pStyle w:val="tablequestions"/>
              <w:spacing w:before="50" w:after="50"/>
              <w:jc w:val="center"/>
              <w:rPr>
                <w:rFonts w:asciiTheme="minorHAnsi" w:hAnsiTheme="minorHAnsi"/>
              </w:rPr>
            </w:pPr>
          </w:p>
        </w:tc>
        <w:tc>
          <w:tcPr>
            <w:tcW w:w="1440" w:type="dxa"/>
            <w:tcBorders>
              <w:left w:val="nil"/>
              <w:right w:val="nil"/>
            </w:tcBorders>
            <w:shd w:val="clear" w:color="auto" w:fill="C2D69B"/>
          </w:tcPr>
          <w:p w:rsidR="002B60BB" w:rsidRPr="00EB03D3" w:rsidRDefault="002B60BB" w:rsidP="002B60BB">
            <w:pPr>
              <w:pStyle w:val="tablequestions"/>
              <w:spacing w:before="50" w:after="50"/>
              <w:jc w:val="center"/>
              <w:rPr>
                <w:rFonts w:asciiTheme="minorHAnsi" w:hAnsiTheme="minorHAnsi"/>
              </w:rPr>
            </w:pPr>
          </w:p>
        </w:tc>
        <w:tc>
          <w:tcPr>
            <w:tcW w:w="1260" w:type="dxa"/>
            <w:tcBorders>
              <w:left w:val="nil"/>
            </w:tcBorders>
            <w:shd w:val="clear" w:color="auto" w:fill="C2D69B"/>
          </w:tcPr>
          <w:p w:rsidR="002B60BB" w:rsidRPr="00EB03D3" w:rsidRDefault="002B60BB" w:rsidP="002B60BB">
            <w:pPr>
              <w:pStyle w:val="tablequestions"/>
              <w:spacing w:before="50" w:after="50"/>
              <w:rPr>
                <w:rFonts w:asciiTheme="minorHAnsi" w:hAnsiTheme="minorHAnsi"/>
              </w:rPr>
            </w:pPr>
          </w:p>
        </w:tc>
      </w:tr>
      <w:tr w:rsidR="002B60BB" w:rsidRPr="00EB03D3" w:rsidTr="002B60BB">
        <w:trPr>
          <w:cantSplit/>
        </w:trPr>
        <w:tc>
          <w:tcPr>
            <w:tcW w:w="9540" w:type="dxa"/>
            <w:shd w:val="clear" w:color="auto" w:fill="D9D9D9" w:themeFill="background1" w:themeFillShade="D9"/>
          </w:tcPr>
          <w:p w:rsidR="002B60BB" w:rsidRPr="00EB03D3" w:rsidRDefault="002B60BB" w:rsidP="002B60BB">
            <w:pPr>
              <w:pStyle w:val="tablequestions"/>
              <w:spacing w:before="50" w:after="50"/>
              <w:rPr>
                <w:rFonts w:asciiTheme="minorHAnsi" w:hAnsiTheme="minorHAnsi"/>
              </w:rPr>
            </w:pPr>
            <w:r w:rsidRPr="00EB03D3">
              <w:rPr>
                <w:rFonts w:asciiTheme="minorHAnsi" w:hAnsiTheme="minorHAnsi"/>
              </w:rPr>
              <w:t xml:space="preserve">Do planning documents or local government policies support development of community-shared spaces? </w:t>
            </w:r>
          </w:p>
        </w:tc>
        <w:tc>
          <w:tcPr>
            <w:tcW w:w="1440" w:type="dxa"/>
            <w:shd w:val="clear" w:color="auto" w:fill="D9D9D9" w:themeFill="background1" w:themeFillShade="D9"/>
          </w:tcPr>
          <w:p w:rsidR="002B60BB" w:rsidRPr="00EB03D3" w:rsidRDefault="002B60BB" w:rsidP="002B60BB">
            <w:pPr>
              <w:pStyle w:val="tablequestions"/>
              <w:spacing w:before="50" w:after="50"/>
              <w:jc w:val="center"/>
              <w:rPr>
                <w:rFonts w:asciiTheme="minorHAnsi" w:hAnsiTheme="minorHAnsi"/>
              </w:rPr>
            </w:pPr>
          </w:p>
        </w:tc>
        <w:tc>
          <w:tcPr>
            <w:tcW w:w="1440" w:type="dxa"/>
            <w:shd w:val="clear" w:color="auto" w:fill="D9D9D9" w:themeFill="background1" w:themeFillShade="D9"/>
          </w:tcPr>
          <w:p w:rsidR="002B60BB" w:rsidRPr="00EB03D3" w:rsidRDefault="002B60BB" w:rsidP="002B60BB">
            <w:pPr>
              <w:pStyle w:val="tablequestions"/>
              <w:spacing w:before="50" w:after="50"/>
              <w:jc w:val="center"/>
              <w:rPr>
                <w:rFonts w:asciiTheme="minorHAnsi" w:hAnsiTheme="minorHAnsi"/>
              </w:rPr>
            </w:pPr>
          </w:p>
        </w:tc>
        <w:tc>
          <w:tcPr>
            <w:tcW w:w="1260" w:type="dxa"/>
            <w:shd w:val="clear" w:color="auto" w:fill="D9D9D9" w:themeFill="background1" w:themeFillShade="D9"/>
          </w:tcPr>
          <w:p w:rsidR="002B60BB" w:rsidRPr="00EB03D3" w:rsidRDefault="002B60BB" w:rsidP="002B60BB">
            <w:pPr>
              <w:pStyle w:val="tablequestions"/>
              <w:spacing w:before="50" w:after="50"/>
              <w:rPr>
                <w:rFonts w:asciiTheme="minorHAnsi" w:hAnsiTheme="minorHAnsi"/>
              </w:rPr>
            </w:pPr>
          </w:p>
        </w:tc>
      </w:tr>
      <w:tr w:rsidR="002B60BB" w:rsidRPr="00EB03D3" w:rsidTr="002B60BB">
        <w:trPr>
          <w:cantSplit/>
        </w:trPr>
        <w:tc>
          <w:tcPr>
            <w:tcW w:w="9540" w:type="dxa"/>
          </w:tcPr>
          <w:p w:rsidR="002B60BB" w:rsidRPr="00EB03D3" w:rsidRDefault="002B60BB" w:rsidP="002B60BB">
            <w:pPr>
              <w:pStyle w:val="tabletext"/>
              <w:spacing w:before="50" w:after="50"/>
              <w:rPr>
                <w:rFonts w:asciiTheme="minorHAnsi" w:hAnsiTheme="minorHAnsi"/>
              </w:rPr>
            </w:pPr>
            <w:r w:rsidRPr="00EB03D3">
              <w:rPr>
                <w:rFonts w:asciiTheme="minorHAnsi" w:hAnsiTheme="minorHAnsi"/>
              </w:rPr>
              <w:t>Strategy 10: Plans identify potential areas for traditional neighborhood development.</w:t>
            </w:r>
            <w:r w:rsidRPr="00EB03D3">
              <w:rPr>
                <w:rStyle w:val="FootnoteReference"/>
                <w:rFonts w:asciiTheme="minorHAnsi" w:hAnsiTheme="minorHAnsi"/>
              </w:rPr>
              <w:footnoteReference w:id="16"/>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668093898"/>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933198812"/>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Pr>
          <w:p w:rsidR="002B60BB" w:rsidRPr="00EB03D3" w:rsidRDefault="002B60BB" w:rsidP="002B60BB">
            <w:pPr>
              <w:pStyle w:val="tabletext"/>
              <w:spacing w:before="50" w:after="50"/>
              <w:rPr>
                <w:rFonts w:asciiTheme="minorHAnsi" w:hAnsiTheme="minorHAnsi"/>
              </w:rPr>
            </w:pPr>
            <w:r w:rsidRPr="00EB03D3">
              <w:rPr>
                <w:rFonts w:asciiTheme="minorHAnsi" w:hAnsiTheme="minorHAnsi"/>
              </w:rPr>
              <w:t>Strategy 11: Plans encourage a mix of uses and space for social gatherings, such as parks, churches, community centers, schools, and other facilities, in new neighborhood developments.</w:t>
            </w:r>
            <w:r w:rsidRPr="00EB03D3">
              <w:rPr>
                <w:rStyle w:val="FootnoteReference"/>
                <w:rFonts w:asciiTheme="minorHAnsi" w:hAnsiTheme="minorHAnsi"/>
              </w:rPr>
              <w:footnoteReference w:id="17"/>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903719505"/>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419674931"/>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Borders>
              <w:bottom w:val="single" w:sz="4" w:space="0" w:color="auto"/>
            </w:tcBorders>
          </w:tcPr>
          <w:p w:rsidR="002B60BB" w:rsidRPr="00EB03D3" w:rsidRDefault="002B60BB" w:rsidP="002B60BB">
            <w:pPr>
              <w:pStyle w:val="tabletext"/>
              <w:spacing w:before="50" w:after="50"/>
              <w:rPr>
                <w:rFonts w:asciiTheme="minorHAnsi" w:hAnsiTheme="minorHAnsi"/>
              </w:rPr>
            </w:pPr>
            <w:r w:rsidRPr="00EB03D3">
              <w:rPr>
                <w:rFonts w:asciiTheme="minorHAnsi" w:hAnsiTheme="minorHAnsi"/>
              </w:rPr>
              <w:t>Strategy 12: The community owns or has a long-term lease on properties for a centrally located venue such as a stage, farmers’ market, park, or other gathering space.</w:t>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228064161"/>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655138531"/>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Borders>
              <w:bottom w:val="single" w:sz="4" w:space="0" w:color="auto"/>
            </w:tcBorders>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Pr>
          <w:p w:rsidR="002B60BB" w:rsidRPr="00EB03D3" w:rsidRDefault="002B60BB" w:rsidP="002B60BB">
            <w:pPr>
              <w:pStyle w:val="tabletext"/>
              <w:spacing w:before="50" w:after="50"/>
              <w:rPr>
                <w:rFonts w:asciiTheme="minorHAnsi" w:hAnsiTheme="minorHAnsi"/>
              </w:rPr>
            </w:pPr>
            <w:r w:rsidRPr="00EB03D3">
              <w:rPr>
                <w:rFonts w:asciiTheme="minorHAnsi" w:hAnsiTheme="minorHAnsi"/>
              </w:rPr>
              <w:t>Strategy 13: Identify or provide public space for a community garden.</w:t>
            </w:r>
            <w:r w:rsidRPr="00EB03D3">
              <w:rPr>
                <w:rStyle w:val="FootnoteReference"/>
                <w:rFonts w:asciiTheme="minorHAnsi" w:hAnsiTheme="minorHAnsi"/>
              </w:rPr>
              <w:footnoteReference w:id="18"/>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714849661"/>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205636601"/>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shd w:val="clear" w:color="auto" w:fill="D9D9D9" w:themeFill="background1" w:themeFillShade="D9"/>
          </w:tcPr>
          <w:p w:rsidR="002B60BB" w:rsidRPr="00EB03D3" w:rsidRDefault="002B60BB" w:rsidP="002B60BB">
            <w:pPr>
              <w:pStyle w:val="tabletext"/>
              <w:spacing w:before="50" w:after="50"/>
              <w:rPr>
                <w:rFonts w:asciiTheme="minorHAnsi" w:hAnsiTheme="minorHAnsi"/>
                <w:b/>
              </w:rPr>
            </w:pPr>
            <w:r w:rsidRPr="00EB03D3">
              <w:rPr>
                <w:rFonts w:asciiTheme="minorHAnsi" w:hAnsiTheme="minorHAnsi"/>
                <w:b/>
              </w:rPr>
              <w:lastRenderedPageBreak/>
              <w:t>Do planning processes or government policies promote strong community engagement?</w:t>
            </w:r>
          </w:p>
        </w:tc>
        <w:tc>
          <w:tcPr>
            <w:tcW w:w="1440" w:type="dxa"/>
            <w:shd w:val="clear" w:color="auto" w:fill="D9D9D9" w:themeFill="background1" w:themeFillShade="D9"/>
          </w:tcPr>
          <w:p w:rsidR="002B60BB" w:rsidRPr="00EB03D3" w:rsidRDefault="002B60BB" w:rsidP="002B60BB">
            <w:pPr>
              <w:pStyle w:val="tabletext"/>
              <w:spacing w:before="50" w:after="50"/>
              <w:jc w:val="center"/>
              <w:rPr>
                <w:rFonts w:asciiTheme="minorHAnsi" w:hAnsiTheme="minorHAnsi"/>
              </w:rPr>
            </w:pPr>
          </w:p>
        </w:tc>
        <w:tc>
          <w:tcPr>
            <w:tcW w:w="1440" w:type="dxa"/>
            <w:shd w:val="clear" w:color="auto" w:fill="D9D9D9" w:themeFill="background1" w:themeFillShade="D9"/>
          </w:tcPr>
          <w:p w:rsidR="002B60BB" w:rsidRPr="00EB03D3" w:rsidRDefault="002B60BB" w:rsidP="002B60BB">
            <w:pPr>
              <w:pStyle w:val="tabletext"/>
              <w:spacing w:before="50" w:after="50"/>
              <w:jc w:val="center"/>
              <w:rPr>
                <w:rFonts w:asciiTheme="minorHAnsi" w:hAnsiTheme="minorHAnsi"/>
              </w:rPr>
            </w:pPr>
          </w:p>
        </w:tc>
        <w:tc>
          <w:tcPr>
            <w:tcW w:w="1260" w:type="dxa"/>
            <w:shd w:val="clear" w:color="auto" w:fill="D9D9D9" w:themeFill="background1" w:themeFillShade="D9"/>
          </w:tcPr>
          <w:p w:rsidR="002B60BB" w:rsidRPr="00EB03D3" w:rsidRDefault="002B60BB" w:rsidP="002B60BB">
            <w:pPr>
              <w:pStyle w:val="tabletext"/>
              <w:spacing w:before="50" w:after="50"/>
              <w:jc w:val="center"/>
              <w:rPr>
                <w:rFonts w:asciiTheme="minorHAnsi" w:hAnsiTheme="minorHAnsi"/>
              </w:rPr>
            </w:pPr>
          </w:p>
        </w:tc>
      </w:tr>
      <w:tr w:rsidR="002B60BB" w:rsidRPr="00EB03D3" w:rsidTr="002B60BB">
        <w:trPr>
          <w:cantSplit/>
        </w:trPr>
        <w:tc>
          <w:tcPr>
            <w:tcW w:w="9540" w:type="dxa"/>
          </w:tcPr>
          <w:p w:rsidR="002B60BB" w:rsidRPr="00EB03D3" w:rsidRDefault="002B60BB" w:rsidP="002B60BB">
            <w:pPr>
              <w:pStyle w:val="tabletext"/>
              <w:spacing w:before="50" w:after="50"/>
              <w:rPr>
                <w:rFonts w:asciiTheme="minorHAnsi" w:hAnsiTheme="minorHAnsi"/>
                <w:szCs w:val="20"/>
              </w:rPr>
            </w:pPr>
            <w:r w:rsidRPr="00EB03D3">
              <w:rPr>
                <w:rFonts w:asciiTheme="minorHAnsi" w:hAnsiTheme="minorHAnsi"/>
                <w:szCs w:val="20"/>
              </w:rPr>
              <w:t>Strategy 14: Hold regular community meetings, in locations and at times that allow people on different schedules and in different parts of the community to attend, to encourage public participation in developing plans and other land use regulations.</w:t>
            </w:r>
            <w:r w:rsidRPr="00EB03D3">
              <w:rPr>
                <w:rStyle w:val="FootnoteReference"/>
                <w:rFonts w:asciiTheme="minorHAnsi" w:hAnsiTheme="minorHAnsi"/>
                <w:szCs w:val="20"/>
              </w:rPr>
              <w:footnoteReference w:id="19"/>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559209160"/>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884325543"/>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2B60BB">
            <w:pPr>
              <w:pStyle w:val="tabletext"/>
              <w:spacing w:before="50" w:after="50"/>
              <w:rPr>
                <w:rFonts w:asciiTheme="minorHAnsi" w:hAnsiTheme="minorHAnsi"/>
                <w:szCs w:val="20"/>
              </w:rPr>
            </w:pPr>
            <w:r w:rsidRPr="00EB03D3">
              <w:rPr>
                <w:rFonts w:asciiTheme="minorHAnsi" w:hAnsiTheme="minorHAnsi"/>
                <w:szCs w:val="20"/>
              </w:rPr>
              <w:t>Strategy 15: Translate public meeting materials into the languages used by predominant minority populations in the community.</w:t>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2066100269"/>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047185966"/>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2B60BB">
            <w:pPr>
              <w:pStyle w:val="tabletext"/>
              <w:spacing w:before="50" w:after="50"/>
              <w:rPr>
                <w:rFonts w:asciiTheme="minorHAnsi" w:hAnsiTheme="minorHAnsi"/>
                <w:szCs w:val="20"/>
              </w:rPr>
            </w:pPr>
            <w:r w:rsidRPr="00EB03D3">
              <w:rPr>
                <w:rFonts w:asciiTheme="minorHAnsi" w:hAnsiTheme="minorHAnsi"/>
                <w:szCs w:val="20"/>
              </w:rPr>
              <w:t>Strategy 16: Translation services are available for meetings where attendees speak English as a second language.</w:t>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321574825"/>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932963417"/>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spacing w:before="50" w:after="50"/>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spacing w:before="50" w:after="50"/>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2B60BB">
            <w:pPr>
              <w:pStyle w:val="tabletext"/>
              <w:rPr>
                <w:rFonts w:asciiTheme="minorHAnsi" w:hAnsiTheme="minorHAnsi"/>
                <w:szCs w:val="20"/>
              </w:rPr>
            </w:pPr>
            <w:r w:rsidRPr="00EB03D3">
              <w:rPr>
                <w:rFonts w:asciiTheme="minorHAnsi" w:hAnsiTheme="minorHAnsi"/>
                <w:szCs w:val="20"/>
              </w:rPr>
              <w:t>Strategy 17: The local government or a partner conducts community assessments, such as walking audits, to collect information about local needs and opportunities.</w:t>
            </w:r>
            <w:r w:rsidRPr="00EB03D3">
              <w:rPr>
                <w:rStyle w:val="FootnoteReference"/>
                <w:rFonts w:asciiTheme="minorHAnsi" w:hAnsiTheme="minorHAnsi"/>
                <w:szCs w:val="20"/>
              </w:rPr>
              <w:footnoteReference w:id="20"/>
            </w:r>
            <w:r w:rsidRPr="00EB03D3">
              <w:rPr>
                <w:rFonts w:asciiTheme="minorHAnsi" w:hAnsiTheme="minorHAnsi"/>
                <w:szCs w:val="20"/>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006173741"/>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948275404"/>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2B60BB">
            <w:pPr>
              <w:pStyle w:val="tabletext"/>
              <w:rPr>
                <w:rFonts w:asciiTheme="minorHAnsi" w:hAnsiTheme="minorHAnsi"/>
                <w:szCs w:val="20"/>
              </w:rPr>
            </w:pPr>
            <w:r w:rsidRPr="00EB03D3">
              <w:rPr>
                <w:rFonts w:asciiTheme="minorHAnsi" w:hAnsiTheme="minorHAnsi"/>
                <w:szCs w:val="20"/>
              </w:rPr>
              <w:t>Strategy 18: Form citizen advisory councils community-wide, or for individual neighborhoods to provide input on development review and policy decisions.</w:t>
            </w:r>
            <w:r w:rsidRPr="00EB03D3">
              <w:rPr>
                <w:rFonts w:asciiTheme="minorHAnsi" w:hAnsiTheme="minorHAnsi"/>
                <w:szCs w:val="20"/>
                <w:vertAlign w:val="superscript"/>
              </w:rPr>
              <w:fldChar w:fldCharType="begin"/>
            </w:r>
            <w:r w:rsidRPr="00EB03D3">
              <w:rPr>
                <w:rFonts w:asciiTheme="minorHAnsi" w:hAnsiTheme="minorHAnsi"/>
                <w:szCs w:val="20"/>
                <w:vertAlign w:val="superscript"/>
              </w:rPr>
              <w:instrText xml:space="preserve"> NOTEREF _Ref353378915 \h  \* MERGEFORMAT </w:instrText>
            </w:r>
            <w:r w:rsidRPr="00EB03D3">
              <w:rPr>
                <w:rFonts w:asciiTheme="minorHAnsi" w:hAnsiTheme="minorHAnsi"/>
                <w:szCs w:val="20"/>
                <w:vertAlign w:val="superscript"/>
              </w:rPr>
            </w:r>
            <w:r w:rsidRPr="00EB03D3">
              <w:rPr>
                <w:rFonts w:asciiTheme="minorHAnsi" w:hAnsiTheme="minorHAnsi"/>
                <w:szCs w:val="20"/>
                <w:vertAlign w:val="superscript"/>
              </w:rPr>
              <w:fldChar w:fldCharType="separate"/>
            </w:r>
            <w:r w:rsidRPr="00EB03D3">
              <w:rPr>
                <w:rFonts w:asciiTheme="minorHAnsi" w:hAnsiTheme="minorHAnsi"/>
                <w:szCs w:val="20"/>
                <w:vertAlign w:val="superscript"/>
              </w:rPr>
              <w:t>132</w:t>
            </w:r>
            <w:r w:rsidRPr="00EB03D3">
              <w:rPr>
                <w:rFonts w:asciiTheme="minorHAnsi" w:hAnsiTheme="minorHAnsi"/>
                <w:szCs w:val="20"/>
                <w:vertAlign w:val="superscript"/>
              </w:rPr>
              <w:fldChar w:fldCharType="end"/>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262966787"/>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589348739"/>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Pr>
          <w:p w:rsidR="002B60BB" w:rsidRPr="00EB03D3" w:rsidRDefault="002B60BB" w:rsidP="002B60BB">
            <w:pPr>
              <w:pStyle w:val="tabletext"/>
              <w:rPr>
                <w:rFonts w:asciiTheme="minorHAnsi" w:hAnsiTheme="minorHAnsi"/>
              </w:rPr>
            </w:pPr>
            <w:r w:rsidRPr="00EB03D3">
              <w:rPr>
                <w:rFonts w:asciiTheme="minorHAnsi" w:hAnsiTheme="minorHAnsi"/>
              </w:rPr>
              <w:t>Strategy 19: Surveys elicit feedback from residents on various community issues.</w:t>
            </w:r>
            <w:r w:rsidRPr="00EB03D3">
              <w:rPr>
                <w:rStyle w:val="FootnoteReference"/>
                <w:rFonts w:asciiTheme="minorHAnsi" w:hAnsiTheme="minorHAnsi"/>
              </w:rPr>
              <w:footnoteReference w:id="21"/>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269284944"/>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051853150"/>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2B60BB">
            <w:pPr>
              <w:pStyle w:val="tabletext"/>
              <w:rPr>
                <w:rFonts w:asciiTheme="minorHAnsi" w:hAnsiTheme="minorHAnsi"/>
              </w:rPr>
            </w:pPr>
            <w:r w:rsidRPr="00EB03D3">
              <w:rPr>
                <w:rFonts w:asciiTheme="minorHAnsi" w:hAnsiTheme="minorHAnsi"/>
              </w:rPr>
              <w:t>Strategy 20: Websites, social media tools, or public access television stations provide broadcasts or recordings of community meetings for those unable to attend in person.</w:t>
            </w:r>
            <w:r w:rsidRPr="00EB03D3">
              <w:rPr>
                <w:rStyle w:val="FootnoteReference"/>
                <w:rFonts w:asciiTheme="minorHAnsi" w:hAnsiTheme="minorHAnsi"/>
              </w:rPr>
              <w:footnoteReference w:id="22"/>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273023589"/>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857183503"/>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2B60BB">
            <w:pPr>
              <w:pStyle w:val="tabletext"/>
              <w:rPr>
                <w:rFonts w:asciiTheme="minorHAnsi" w:hAnsiTheme="minorHAnsi"/>
              </w:rPr>
            </w:pPr>
            <w:r w:rsidRPr="00EB03D3">
              <w:rPr>
                <w:rFonts w:asciiTheme="minorHAnsi" w:hAnsiTheme="minorHAnsi"/>
              </w:rPr>
              <w:t>Strategy 21: The local government or a partner distributes a weekly bulletin of community meetings via email, local paper, direct-mailers, or others forms of communication accessible to everyone.</w:t>
            </w:r>
            <w:r w:rsidRPr="00EB03D3">
              <w:rPr>
                <w:rStyle w:val="FootnoteReference"/>
                <w:rFonts w:asciiTheme="minorHAnsi" w:hAnsiTheme="minorHAnsi"/>
              </w:rPr>
              <w:footnoteReference w:id="23"/>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909448690"/>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248547155"/>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Borders>
              <w:right w:val="nil"/>
            </w:tcBorders>
            <w:shd w:val="clear" w:color="auto" w:fill="FABF8F"/>
          </w:tcPr>
          <w:p w:rsidR="002B60BB" w:rsidRPr="00EB03D3" w:rsidRDefault="002B60BB" w:rsidP="002B60BB">
            <w:pPr>
              <w:pStyle w:val="tablequestions"/>
              <w:rPr>
                <w:rFonts w:asciiTheme="minorHAnsi" w:hAnsiTheme="minorHAnsi"/>
                <w:i/>
              </w:rPr>
            </w:pPr>
            <w:r w:rsidRPr="00EB03D3">
              <w:rPr>
                <w:rFonts w:asciiTheme="minorHAnsi" w:hAnsiTheme="minorHAnsi"/>
                <w:i/>
              </w:rPr>
              <w:t>Engaging and Connecting Community Members Through Programs and Services</w:t>
            </w:r>
          </w:p>
        </w:tc>
        <w:tc>
          <w:tcPr>
            <w:tcW w:w="1440" w:type="dxa"/>
            <w:tcBorders>
              <w:left w:val="nil"/>
              <w:right w:val="nil"/>
            </w:tcBorders>
            <w:shd w:val="clear" w:color="auto" w:fill="FABF8F"/>
          </w:tcPr>
          <w:p w:rsidR="002B60BB" w:rsidRPr="00EB03D3" w:rsidRDefault="002B60BB" w:rsidP="002B60BB">
            <w:pPr>
              <w:pStyle w:val="tablequestions"/>
              <w:jc w:val="center"/>
              <w:rPr>
                <w:rFonts w:asciiTheme="minorHAnsi" w:hAnsiTheme="minorHAnsi"/>
              </w:rPr>
            </w:pPr>
          </w:p>
        </w:tc>
        <w:tc>
          <w:tcPr>
            <w:tcW w:w="1440" w:type="dxa"/>
            <w:tcBorders>
              <w:left w:val="nil"/>
              <w:right w:val="nil"/>
            </w:tcBorders>
            <w:shd w:val="clear" w:color="auto" w:fill="FABF8F"/>
          </w:tcPr>
          <w:p w:rsidR="002B60BB" w:rsidRPr="00EB03D3" w:rsidRDefault="002B60BB" w:rsidP="002B60BB">
            <w:pPr>
              <w:pStyle w:val="tablequestions"/>
              <w:jc w:val="center"/>
              <w:rPr>
                <w:rFonts w:asciiTheme="minorHAnsi" w:hAnsiTheme="minorHAnsi"/>
              </w:rPr>
            </w:pPr>
          </w:p>
        </w:tc>
        <w:tc>
          <w:tcPr>
            <w:tcW w:w="1260" w:type="dxa"/>
            <w:tcBorders>
              <w:left w:val="nil"/>
            </w:tcBorders>
            <w:shd w:val="clear" w:color="auto" w:fill="FABF8F"/>
          </w:tcPr>
          <w:p w:rsidR="002B60BB" w:rsidRPr="00EB03D3" w:rsidRDefault="002B60BB" w:rsidP="002B60BB">
            <w:pPr>
              <w:pStyle w:val="tablequestions"/>
              <w:rPr>
                <w:rFonts w:asciiTheme="minorHAnsi" w:hAnsiTheme="minorHAnsi"/>
              </w:rPr>
            </w:pPr>
          </w:p>
        </w:tc>
      </w:tr>
      <w:tr w:rsidR="002B60BB" w:rsidRPr="00EB03D3" w:rsidTr="002B60BB">
        <w:trPr>
          <w:cantSplit/>
        </w:trPr>
        <w:tc>
          <w:tcPr>
            <w:tcW w:w="9540" w:type="dxa"/>
            <w:shd w:val="clear" w:color="auto" w:fill="D9D9D9" w:themeFill="background1" w:themeFillShade="D9"/>
          </w:tcPr>
          <w:p w:rsidR="002B60BB" w:rsidRPr="00EB03D3" w:rsidRDefault="002B60BB" w:rsidP="002B60BB">
            <w:pPr>
              <w:pStyle w:val="tablequestions"/>
              <w:rPr>
                <w:rFonts w:asciiTheme="minorHAnsi" w:hAnsiTheme="minorHAnsi"/>
              </w:rPr>
            </w:pPr>
            <w:r w:rsidRPr="00EB03D3">
              <w:rPr>
                <w:rFonts w:asciiTheme="minorHAnsi" w:hAnsiTheme="minorHAnsi"/>
              </w:rPr>
              <w:t>Are community, cultural, or business coordination events supported through programs or services?</w:t>
            </w:r>
          </w:p>
        </w:tc>
        <w:tc>
          <w:tcPr>
            <w:tcW w:w="1440" w:type="dxa"/>
            <w:shd w:val="clear" w:color="auto" w:fill="D9D9D9" w:themeFill="background1" w:themeFillShade="D9"/>
          </w:tcPr>
          <w:p w:rsidR="002B60BB" w:rsidRPr="00EB03D3" w:rsidRDefault="002B60BB" w:rsidP="002B60BB">
            <w:pPr>
              <w:pStyle w:val="tablequestions"/>
              <w:jc w:val="center"/>
              <w:rPr>
                <w:rFonts w:asciiTheme="minorHAnsi" w:hAnsiTheme="minorHAnsi"/>
              </w:rPr>
            </w:pPr>
          </w:p>
        </w:tc>
        <w:tc>
          <w:tcPr>
            <w:tcW w:w="1440" w:type="dxa"/>
            <w:shd w:val="clear" w:color="auto" w:fill="D9D9D9" w:themeFill="background1" w:themeFillShade="D9"/>
          </w:tcPr>
          <w:p w:rsidR="002B60BB" w:rsidRPr="00EB03D3" w:rsidRDefault="002B60BB" w:rsidP="002B60BB">
            <w:pPr>
              <w:pStyle w:val="tablequestions"/>
              <w:jc w:val="center"/>
              <w:rPr>
                <w:rFonts w:asciiTheme="minorHAnsi" w:hAnsiTheme="minorHAnsi"/>
              </w:rPr>
            </w:pPr>
          </w:p>
        </w:tc>
        <w:tc>
          <w:tcPr>
            <w:tcW w:w="1260" w:type="dxa"/>
            <w:shd w:val="clear" w:color="auto" w:fill="D9D9D9" w:themeFill="background1" w:themeFillShade="D9"/>
          </w:tcPr>
          <w:p w:rsidR="002B60BB" w:rsidRPr="00EB03D3" w:rsidRDefault="002B60BB" w:rsidP="002B60BB">
            <w:pPr>
              <w:pStyle w:val="tablequestions"/>
              <w:rPr>
                <w:rFonts w:asciiTheme="minorHAnsi" w:hAnsiTheme="minorHAnsi"/>
              </w:rPr>
            </w:pPr>
          </w:p>
        </w:tc>
      </w:tr>
      <w:tr w:rsidR="002B60BB" w:rsidRPr="00EB03D3" w:rsidTr="002B60BB">
        <w:trPr>
          <w:cantSplit/>
        </w:trPr>
        <w:tc>
          <w:tcPr>
            <w:tcW w:w="9540" w:type="dxa"/>
          </w:tcPr>
          <w:p w:rsidR="002B60BB" w:rsidRPr="00EB03D3" w:rsidRDefault="002B60BB" w:rsidP="002B60BB">
            <w:pPr>
              <w:pStyle w:val="tabletext"/>
              <w:rPr>
                <w:rFonts w:asciiTheme="minorHAnsi" w:hAnsiTheme="minorHAnsi"/>
              </w:rPr>
            </w:pPr>
            <w:r w:rsidRPr="00EB03D3">
              <w:rPr>
                <w:rFonts w:asciiTheme="minorHAnsi" w:hAnsiTheme="minorHAnsi"/>
              </w:rPr>
              <w:t>Strategy 22: Local school clubs or groups engage in civic activities to build interest in and commitment to improving the community.</w:t>
            </w:r>
            <w:r w:rsidRPr="00EB03D3">
              <w:rPr>
                <w:rStyle w:val="FootnoteReference"/>
                <w:rFonts w:asciiTheme="minorHAnsi" w:hAnsiTheme="minorHAnsi"/>
              </w:rPr>
              <w:footnoteReference w:id="24"/>
            </w:r>
            <w:r w:rsidRPr="00EB03D3">
              <w:rPr>
                <w:rFonts w:asciiTheme="minorHAnsi" w:hAnsiTheme="minorHAnsi"/>
              </w:rPr>
              <w:t xml:space="preserve"> </w:t>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737855733"/>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465499543"/>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Borders>
              <w:bottom w:val="single" w:sz="4" w:space="0" w:color="auto"/>
            </w:tcBorders>
          </w:tcPr>
          <w:p w:rsidR="002B60BB" w:rsidRPr="00EB03D3" w:rsidRDefault="002B60BB" w:rsidP="002B60BB">
            <w:pPr>
              <w:pStyle w:val="tabletext"/>
              <w:rPr>
                <w:rFonts w:asciiTheme="minorHAnsi" w:hAnsiTheme="minorHAnsi"/>
              </w:rPr>
            </w:pPr>
            <w:r w:rsidRPr="00EB03D3">
              <w:rPr>
                <w:rFonts w:asciiTheme="minorHAnsi" w:hAnsiTheme="minorHAnsi"/>
              </w:rPr>
              <w:lastRenderedPageBreak/>
              <w:t>Strategy 23: The local government designates a special events coordinator to support seasonal community activities.</w:t>
            </w:r>
            <w:r w:rsidRPr="00EB03D3">
              <w:rPr>
                <w:rStyle w:val="FootnoteReference"/>
                <w:rFonts w:asciiTheme="minorHAnsi" w:hAnsiTheme="minorHAnsi"/>
              </w:rPr>
              <w:footnoteReference w:id="25"/>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099293126"/>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861270242"/>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tc>
          <w:tcPr>
            <w:tcW w:w="1260" w:type="dxa"/>
            <w:tcBorders>
              <w:bottom w:val="single" w:sz="4" w:space="0" w:color="auto"/>
            </w:tcBorders>
          </w:tcPr>
          <w:p w:rsidR="002B60BB" w:rsidRPr="00EB03D3" w:rsidRDefault="002B60BB" w:rsidP="002B60BB">
            <w:pPr>
              <w:pStyle w:val="tabletext"/>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Pr>
          <w:p w:rsidR="002B60BB" w:rsidRPr="00EB03D3" w:rsidRDefault="002B60BB" w:rsidP="002B60BB">
            <w:pPr>
              <w:pStyle w:val="tabletext"/>
              <w:rPr>
                <w:rFonts w:asciiTheme="minorHAnsi" w:hAnsiTheme="minorHAnsi"/>
              </w:rPr>
            </w:pPr>
            <w:r w:rsidRPr="00EB03D3">
              <w:rPr>
                <w:rFonts w:asciiTheme="minorHAnsi" w:hAnsiTheme="minorHAnsi"/>
              </w:rPr>
              <w:t>Strategy 24: The local government works with local civic youth groups (e.g., YMCA or Big Brothers) to identify community health and social needs.</w:t>
            </w:r>
            <w:r w:rsidRPr="00EB03D3">
              <w:rPr>
                <w:rStyle w:val="FootnoteReference"/>
                <w:rFonts w:asciiTheme="minorHAnsi" w:hAnsiTheme="minorHAnsi"/>
              </w:rPr>
              <w:footnoteReference w:id="26"/>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287863446"/>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804615178"/>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2B60BB">
            <w:pPr>
              <w:pStyle w:val="tabletext"/>
              <w:rPr>
                <w:rFonts w:asciiTheme="minorHAnsi" w:hAnsiTheme="minorHAnsi"/>
              </w:rPr>
            </w:pPr>
            <w:r w:rsidRPr="00EB03D3">
              <w:rPr>
                <w:rFonts w:asciiTheme="minorHAnsi" w:hAnsiTheme="minorHAnsi"/>
              </w:rPr>
              <w:t>Strategy 25: The community provides programs and incentives to help residents share resources, co-produce, and create their own jobs through a sharing economy.</w:t>
            </w:r>
            <w:r w:rsidRPr="00EB03D3">
              <w:rPr>
                <w:rStyle w:val="FootnoteReference"/>
                <w:rFonts w:asciiTheme="minorHAnsi" w:hAnsiTheme="minorHAnsi"/>
              </w:rPr>
              <w:footnoteReference w:id="27"/>
            </w:r>
            <w:r w:rsidRPr="00EB03D3">
              <w:rPr>
                <w:rFonts w:asciiTheme="minorHAnsi" w:hAnsiTheme="minorHAnsi"/>
                <w:vertAlign w:val="superscript"/>
              </w:rPr>
              <w:t>,</w:t>
            </w:r>
            <w:r w:rsidRPr="00EB03D3">
              <w:rPr>
                <w:rStyle w:val="FootnoteReference"/>
                <w:rFonts w:asciiTheme="minorHAnsi" w:hAnsiTheme="minorHAnsi"/>
              </w:rPr>
              <w:footnoteReference w:id="28"/>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915385941"/>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257574370"/>
            <w14:checkbox>
              <w14:checked w14:val="0"/>
              <w14:checkedState w14:val="2612" w14:font="MS Gothic"/>
              <w14:uncheckedState w14:val="2610" w14:font="MS Gothic"/>
            </w14:checkbox>
          </w:sdtPr>
          <w:sdtEndPr/>
          <w:sdtContent>
            <w:tc>
              <w:tcPr>
                <w:tcW w:w="1440" w:type="dxa"/>
              </w:tcPr>
              <w:p w:rsidR="002B60BB" w:rsidRPr="00EB03D3" w:rsidRDefault="002B60BB" w:rsidP="002B60BB">
                <w:pPr>
                  <w:pStyle w:val="tabletext"/>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2B60BB">
            <w:pPr>
              <w:pStyle w:val="tabletext"/>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shd w:val="clear" w:color="auto" w:fill="D9D9D9" w:themeFill="background1" w:themeFillShade="D9"/>
          </w:tcPr>
          <w:p w:rsidR="002B60BB" w:rsidRPr="00EB03D3" w:rsidRDefault="002B60BB" w:rsidP="00403F57">
            <w:pPr>
              <w:pStyle w:val="tabletext"/>
              <w:spacing w:before="34" w:after="34"/>
              <w:rPr>
                <w:rFonts w:asciiTheme="minorHAnsi" w:hAnsiTheme="minorHAnsi"/>
                <w:b/>
              </w:rPr>
            </w:pPr>
            <w:r w:rsidRPr="00EB03D3">
              <w:rPr>
                <w:rFonts w:asciiTheme="minorHAnsi" w:hAnsiTheme="minorHAnsi"/>
                <w:b/>
              </w:rPr>
              <w:t>Are there programs to facilitate better community interaction?</w:t>
            </w:r>
          </w:p>
        </w:tc>
        <w:tc>
          <w:tcPr>
            <w:tcW w:w="1440" w:type="dxa"/>
            <w:shd w:val="clear" w:color="auto" w:fill="D9D9D9" w:themeFill="background1" w:themeFillShade="D9"/>
          </w:tcPr>
          <w:p w:rsidR="002B60BB" w:rsidRPr="00EB03D3" w:rsidRDefault="002B60BB" w:rsidP="00403F57">
            <w:pPr>
              <w:pStyle w:val="tabletext"/>
              <w:spacing w:before="34" w:after="34"/>
              <w:jc w:val="center"/>
              <w:rPr>
                <w:rFonts w:asciiTheme="minorHAnsi" w:hAnsiTheme="minorHAnsi"/>
              </w:rPr>
            </w:pPr>
          </w:p>
        </w:tc>
        <w:tc>
          <w:tcPr>
            <w:tcW w:w="1440" w:type="dxa"/>
            <w:shd w:val="clear" w:color="auto" w:fill="D9D9D9" w:themeFill="background1" w:themeFillShade="D9"/>
          </w:tcPr>
          <w:p w:rsidR="002B60BB" w:rsidRPr="00EB03D3" w:rsidRDefault="002B60BB" w:rsidP="00403F57">
            <w:pPr>
              <w:pStyle w:val="tabletext"/>
              <w:spacing w:before="34" w:after="34"/>
              <w:jc w:val="center"/>
              <w:rPr>
                <w:rFonts w:asciiTheme="minorHAnsi" w:hAnsiTheme="minorHAnsi"/>
              </w:rPr>
            </w:pPr>
          </w:p>
        </w:tc>
        <w:tc>
          <w:tcPr>
            <w:tcW w:w="1260" w:type="dxa"/>
            <w:shd w:val="clear" w:color="auto" w:fill="D9D9D9" w:themeFill="background1" w:themeFillShade="D9"/>
          </w:tcPr>
          <w:p w:rsidR="002B60BB" w:rsidRPr="00EB03D3" w:rsidRDefault="002B60BB" w:rsidP="00403F57">
            <w:pPr>
              <w:pStyle w:val="tabletext"/>
              <w:spacing w:before="34" w:after="34"/>
              <w:jc w:val="center"/>
              <w:rPr>
                <w:rFonts w:asciiTheme="minorHAnsi" w:hAnsiTheme="minorHAnsi"/>
              </w:rPr>
            </w:pPr>
          </w:p>
        </w:tc>
      </w:tr>
      <w:tr w:rsidR="002B60BB" w:rsidRPr="00EB03D3" w:rsidTr="002B60BB">
        <w:trPr>
          <w:cantSplit/>
        </w:trPr>
        <w:tc>
          <w:tcPr>
            <w:tcW w:w="9540" w:type="dxa"/>
          </w:tcPr>
          <w:p w:rsidR="002B60BB" w:rsidRPr="00EB03D3" w:rsidRDefault="002B60BB" w:rsidP="00403F57">
            <w:pPr>
              <w:pStyle w:val="tabletext"/>
              <w:spacing w:before="34" w:after="34"/>
              <w:rPr>
                <w:rFonts w:asciiTheme="minorHAnsi" w:hAnsiTheme="minorHAnsi"/>
              </w:rPr>
            </w:pPr>
            <w:r w:rsidRPr="00EB03D3">
              <w:rPr>
                <w:rFonts w:asciiTheme="minorHAnsi" w:hAnsiTheme="minorHAnsi"/>
              </w:rPr>
              <w:t>Strategy 26: The local government or a partner hosts periodic community meals to bring together residents to discuss topical local issues.</w:t>
            </w:r>
            <w:r w:rsidRPr="00EB03D3">
              <w:rPr>
                <w:rStyle w:val="FootnoteReference"/>
                <w:rFonts w:asciiTheme="minorHAnsi" w:hAnsiTheme="minorHAnsi"/>
              </w:rPr>
              <w:footnoteReference w:id="29"/>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750497515"/>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409384711"/>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403F57">
            <w:pPr>
              <w:pStyle w:val="tabletext"/>
              <w:spacing w:before="34" w:after="34"/>
              <w:jc w:val="center"/>
              <w:rPr>
                <w:rFonts w:asciiTheme="minorHAnsi" w:hAnsiTheme="minorHAnsi"/>
              </w:rPr>
            </w:pPr>
            <w:r w:rsidRPr="00EB03D3">
              <w:rPr>
                <w:rFonts w:asciiTheme="minorHAnsi" w:hAnsiTheme="minorHAnsi"/>
              </w:rPr>
              <w:t>1,2, 3</w:t>
            </w:r>
          </w:p>
        </w:tc>
      </w:tr>
      <w:tr w:rsidR="002B60BB" w:rsidRPr="00EB03D3" w:rsidTr="002B60BB">
        <w:trPr>
          <w:cantSplit/>
        </w:trPr>
        <w:tc>
          <w:tcPr>
            <w:tcW w:w="9540" w:type="dxa"/>
            <w:tcBorders>
              <w:bottom w:val="single" w:sz="4" w:space="0" w:color="auto"/>
            </w:tcBorders>
          </w:tcPr>
          <w:p w:rsidR="002B60BB" w:rsidRPr="00EB03D3" w:rsidRDefault="002B60BB" w:rsidP="00403F57">
            <w:pPr>
              <w:pStyle w:val="tabletext"/>
              <w:spacing w:before="34" w:after="34"/>
              <w:rPr>
                <w:rFonts w:asciiTheme="minorHAnsi" w:hAnsiTheme="minorHAnsi"/>
              </w:rPr>
            </w:pPr>
            <w:r w:rsidRPr="00EB03D3">
              <w:rPr>
                <w:rFonts w:asciiTheme="minorHAnsi" w:hAnsiTheme="minorHAnsi"/>
              </w:rPr>
              <w:t>Strategy 27: Local events such as fairs or school sports games include a kiosk or information booth to provide information about upcoming planning activities or other community issues.</w:t>
            </w:r>
            <w:r w:rsidRPr="00EB03D3">
              <w:rPr>
                <w:rStyle w:val="FootnoteReference"/>
                <w:rFonts w:asciiTheme="minorHAnsi" w:hAnsiTheme="minorHAnsi"/>
              </w:rPr>
              <w:footnoteReference w:id="30"/>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099288185"/>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448045793"/>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tc>
          <w:tcPr>
            <w:tcW w:w="1260" w:type="dxa"/>
            <w:tcBorders>
              <w:bottom w:val="single" w:sz="4" w:space="0" w:color="auto"/>
            </w:tcBorders>
          </w:tcPr>
          <w:p w:rsidR="002B60BB" w:rsidRPr="00EB03D3" w:rsidRDefault="002B60BB" w:rsidP="00403F57">
            <w:pPr>
              <w:pStyle w:val="tabletext"/>
              <w:spacing w:before="34" w:after="34"/>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Borders>
              <w:bottom w:val="single" w:sz="4" w:space="0" w:color="auto"/>
            </w:tcBorders>
          </w:tcPr>
          <w:p w:rsidR="002B60BB" w:rsidRPr="00EB03D3" w:rsidRDefault="002B60BB" w:rsidP="00403F57">
            <w:pPr>
              <w:pStyle w:val="tabletext"/>
              <w:spacing w:before="34" w:after="34"/>
              <w:rPr>
                <w:rFonts w:asciiTheme="minorHAnsi" w:hAnsiTheme="minorHAnsi"/>
              </w:rPr>
            </w:pPr>
            <w:r w:rsidRPr="00EB03D3">
              <w:rPr>
                <w:rFonts w:asciiTheme="minorHAnsi" w:hAnsiTheme="minorHAnsi"/>
              </w:rPr>
              <w:t>Strategy 28: Bulletins and newsletters of local organizations, such as churches, provide information about upcoming planning activities or other community issues.</w:t>
            </w:r>
            <w:r w:rsidRPr="00EB03D3">
              <w:rPr>
                <w:rStyle w:val="FootnoteReference"/>
                <w:rFonts w:asciiTheme="minorHAnsi" w:hAnsiTheme="minorHAnsi"/>
              </w:rPr>
              <w:footnoteReference w:id="31"/>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597645074"/>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609318454"/>
            <w14:checkbox>
              <w14:checked w14:val="0"/>
              <w14:checkedState w14:val="2612" w14:font="MS Gothic"/>
              <w14:uncheckedState w14:val="2610" w14:font="MS Gothic"/>
            </w14:checkbox>
          </w:sdtPr>
          <w:sdtEndPr/>
          <w:sdtContent>
            <w:tc>
              <w:tcPr>
                <w:tcW w:w="1440" w:type="dxa"/>
                <w:tcBorders>
                  <w:bottom w:val="single" w:sz="4" w:space="0" w:color="auto"/>
                </w:tcBorders>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tc>
          <w:tcPr>
            <w:tcW w:w="1260" w:type="dxa"/>
            <w:tcBorders>
              <w:bottom w:val="single" w:sz="4" w:space="0" w:color="auto"/>
            </w:tcBorders>
          </w:tcPr>
          <w:p w:rsidR="002B60BB" w:rsidRPr="00EB03D3" w:rsidRDefault="002B60BB" w:rsidP="00403F57">
            <w:pPr>
              <w:pStyle w:val="tabletext"/>
              <w:spacing w:before="34" w:after="34"/>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shd w:val="clear" w:color="auto" w:fill="auto"/>
          </w:tcPr>
          <w:p w:rsidR="002B60BB" w:rsidRPr="00EB03D3" w:rsidRDefault="002B60BB" w:rsidP="00403F57">
            <w:pPr>
              <w:pStyle w:val="tabletext"/>
              <w:spacing w:before="34" w:after="34"/>
              <w:rPr>
                <w:rFonts w:asciiTheme="minorHAnsi" w:hAnsiTheme="minorHAnsi"/>
              </w:rPr>
            </w:pPr>
            <w:r w:rsidRPr="00EB03D3">
              <w:rPr>
                <w:rFonts w:asciiTheme="minorHAnsi" w:hAnsiTheme="minorHAnsi"/>
              </w:rPr>
              <w:t>Strategy 29: The community has walking tours to inform residents about community history and assets.</w:t>
            </w:r>
            <w:r w:rsidRPr="00EB03D3">
              <w:rPr>
                <w:rStyle w:val="FootnoteReference"/>
                <w:rFonts w:asciiTheme="minorHAnsi" w:hAnsiTheme="minorHAnsi"/>
              </w:rPr>
              <w:footnoteReference w:id="32"/>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766111423"/>
            <w14:checkbox>
              <w14:checked w14:val="0"/>
              <w14:checkedState w14:val="2612" w14:font="MS Gothic"/>
              <w14:uncheckedState w14:val="2610" w14:font="MS Gothic"/>
            </w14:checkbox>
          </w:sdtPr>
          <w:sdtEndPr/>
          <w:sdtContent>
            <w:tc>
              <w:tcPr>
                <w:tcW w:w="1440" w:type="dxa"/>
                <w:shd w:val="clear" w:color="auto" w:fill="auto"/>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2108723555"/>
            <w14:checkbox>
              <w14:checked w14:val="0"/>
              <w14:checkedState w14:val="2612" w14:font="MS Gothic"/>
              <w14:uncheckedState w14:val="2610" w14:font="MS Gothic"/>
            </w14:checkbox>
          </w:sdtPr>
          <w:sdtEndPr/>
          <w:sdtContent>
            <w:tc>
              <w:tcPr>
                <w:tcW w:w="1440" w:type="dxa"/>
                <w:shd w:val="clear" w:color="auto" w:fill="auto"/>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tc>
          <w:tcPr>
            <w:tcW w:w="1260" w:type="dxa"/>
            <w:shd w:val="clear" w:color="auto" w:fill="auto"/>
          </w:tcPr>
          <w:p w:rsidR="002B60BB" w:rsidRPr="00EB03D3" w:rsidRDefault="002B60BB" w:rsidP="00403F57">
            <w:pPr>
              <w:pStyle w:val="tabletext"/>
              <w:spacing w:before="34" w:after="34"/>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403F57">
            <w:pPr>
              <w:pStyle w:val="tabletext"/>
              <w:spacing w:before="34" w:after="34"/>
              <w:rPr>
                <w:rFonts w:asciiTheme="minorHAnsi" w:hAnsiTheme="minorHAnsi"/>
              </w:rPr>
            </w:pPr>
            <w:r w:rsidRPr="00EB03D3">
              <w:rPr>
                <w:rFonts w:asciiTheme="minorHAnsi" w:hAnsiTheme="minorHAnsi"/>
              </w:rPr>
              <w:t xml:space="preserve">Strategy 30: </w:t>
            </w:r>
            <w:r w:rsidRPr="00EB03D3">
              <w:rPr>
                <w:rFonts w:asciiTheme="minorHAnsi" w:hAnsiTheme="minorHAnsi"/>
                <w:spacing w:val="-6"/>
              </w:rPr>
              <w:t>Coordinate with downtown merchants on seasonal or locally relevant downtown window display themes.</w:t>
            </w:r>
            <w:r w:rsidRPr="00EB03D3">
              <w:rPr>
                <w:rStyle w:val="FootnoteReference"/>
                <w:rFonts w:asciiTheme="minorHAnsi" w:hAnsiTheme="minorHAnsi"/>
              </w:rPr>
              <w:footnoteReference w:id="33"/>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432750048"/>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676496616"/>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403F57">
            <w:pPr>
              <w:pStyle w:val="tabletext"/>
              <w:spacing w:before="34" w:after="34"/>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Pr>
          <w:p w:rsidR="002B60BB" w:rsidRPr="00EB03D3" w:rsidRDefault="002B60BB" w:rsidP="00403F57">
            <w:pPr>
              <w:pStyle w:val="tabletext"/>
              <w:spacing w:before="34" w:after="34"/>
              <w:rPr>
                <w:rFonts w:asciiTheme="minorHAnsi" w:hAnsiTheme="minorHAnsi"/>
              </w:rPr>
            </w:pPr>
            <w:r w:rsidRPr="00EB03D3">
              <w:rPr>
                <w:rFonts w:asciiTheme="minorHAnsi" w:hAnsiTheme="minorHAnsi"/>
              </w:rPr>
              <w:t>Strategy 31: The community has buy-local and community gardening educational programs.</w:t>
            </w:r>
            <w:r w:rsidRPr="00EB03D3">
              <w:rPr>
                <w:rStyle w:val="FootnoteReference"/>
                <w:rFonts w:asciiTheme="minorHAnsi" w:hAnsiTheme="minorHAnsi"/>
              </w:rPr>
              <w:footnoteReference w:id="34"/>
            </w:r>
            <w:r w:rsidRPr="00EB03D3">
              <w:rPr>
                <w:rFonts w:asciiTheme="minorHAnsi" w:hAnsiTheme="minorHAnsi"/>
                <w:vertAlign w:val="superscript"/>
              </w:rPr>
              <w:t>,</w:t>
            </w:r>
            <w:r w:rsidRPr="00EB03D3">
              <w:rPr>
                <w:rStyle w:val="FootnoteReference"/>
                <w:rFonts w:asciiTheme="minorHAnsi" w:hAnsiTheme="minorHAnsi"/>
              </w:rPr>
              <w:footnoteReference w:id="35"/>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918402488"/>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43507303"/>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403F57">
            <w:pPr>
              <w:pStyle w:val="tabletext"/>
              <w:spacing w:before="34" w:after="34"/>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tcPr>
          <w:p w:rsidR="002B60BB" w:rsidRPr="00EB03D3" w:rsidRDefault="002B60BB" w:rsidP="00403F57">
            <w:pPr>
              <w:pStyle w:val="tabletext"/>
              <w:spacing w:before="34" w:after="34"/>
              <w:rPr>
                <w:rFonts w:asciiTheme="minorHAnsi" w:hAnsiTheme="minorHAnsi"/>
              </w:rPr>
            </w:pPr>
            <w:r w:rsidRPr="00EB03D3">
              <w:rPr>
                <w:rFonts w:asciiTheme="minorHAnsi" w:hAnsiTheme="minorHAnsi"/>
              </w:rPr>
              <w:t>Strategy 32: The community hosts monthly cleanup days.</w:t>
            </w:r>
            <w:r w:rsidRPr="00EB03D3">
              <w:rPr>
                <w:rStyle w:val="FootnoteReference"/>
                <w:rFonts w:asciiTheme="minorHAnsi" w:hAnsiTheme="minorHAnsi"/>
              </w:rPr>
              <w:footnoteReference w:id="36"/>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844553042"/>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767031212"/>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403F57">
            <w:pPr>
              <w:pStyle w:val="tabletext"/>
              <w:spacing w:before="34" w:after="34"/>
              <w:jc w:val="center"/>
              <w:rPr>
                <w:rFonts w:asciiTheme="minorHAnsi" w:hAnsiTheme="minorHAnsi"/>
              </w:rPr>
            </w:pPr>
            <w:r w:rsidRPr="00EB03D3">
              <w:rPr>
                <w:rFonts w:asciiTheme="minorHAnsi" w:hAnsiTheme="minorHAnsi"/>
              </w:rPr>
              <w:t>1,2,3</w:t>
            </w:r>
          </w:p>
        </w:tc>
      </w:tr>
      <w:tr w:rsidR="002B60BB" w:rsidRPr="00EB03D3" w:rsidTr="002B60BB">
        <w:trPr>
          <w:cantSplit/>
        </w:trPr>
        <w:tc>
          <w:tcPr>
            <w:tcW w:w="9540" w:type="dxa"/>
            <w:shd w:val="clear" w:color="auto" w:fill="D9D9D9" w:themeFill="background1" w:themeFillShade="D9"/>
          </w:tcPr>
          <w:p w:rsidR="002B60BB" w:rsidRPr="00EB03D3" w:rsidRDefault="002B60BB" w:rsidP="00403F57">
            <w:pPr>
              <w:pStyle w:val="tabletext"/>
              <w:spacing w:before="34" w:after="34"/>
              <w:rPr>
                <w:rFonts w:asciiTheme="minorHAnsi" w:hAnsiTheme="minorHAnsi"/>
                <w:b/>
              </w:rPr>
            </w:pPr>
            <w:r w:rsidRPr="00EB03D3">
              <w:rPr>
                <w:rFonts w:asciiTheme="minorHAnsi" w:hAnsiTheme="minorHAnsi"/>
                <w:b/>
              </w:rPr>
              <w:lastRenderedPageBreak/>
              <w:t>Does the local government have an online presence to educate residents and visitors about available services and foster communication?</w:t>
            </w:r>
          </w:p>
        </w:tc>
        <w:tc>
          <w:tcPr>
            <w:tcW w:w="1440" w:type="dxa"/>
            <w:shd w:val="clear" w:color="auto" w:fill="D9D9D9" w:themeFill="background1" w:themeFillShade="D9"/>
          </w:tcPr>
          <w:p w:rsidR="002B60BB" w:rsidRPr="00EB03D3" w:rsidRDefault="002B60BB" w:rsidP="00403F57">
            <w:pPr>
              <w:pStyle w:val="tabletext"/>
              <w:spacing w:before="34" w:after="34"/>
              <w:jc w:val="center"/>
              <w:rPr>
                <w:rFonts w:asciiTheme="minorHAnsi" w:hAnsiTheme="minorHAnsi"/>
              </w:rPr>
            </w:pPr>
          </w:p>
        </w:tc>
        <w:tc>
          <w:tcPr>
            <w:tcW w:w="1440" w:type="dxa"/>
            <w:shd w:val="clear" w:color="auto" w:fill="D9D9D9" w:themeFill="background1" w:themeFillShade="D9"/>
          </w:tcPr>
          <w:p w:rsidR="002B60BB" w:rsidRPr="00EB03D3" w:rsidRDefault="002B60BB" w:rsidP="00403F57">
            <w:pPr>
              <w:pStyle w:val="tabletext"/>
              <w:spacing w:before="34" w:after="34"/>
              <w:jc w:val="center"/>
              <w:rPr>
                <w:rFonts w:asciiTheme="minorHAnsi" w:hAnsiTheme="minorHAnsi"/>
              </w:rPr>
            </w:pPr>
          </w:p>
        </w:tc>
        <w:tc>
          <w:tcPr>
            <w:tcW w:w="1260" w:type="dxa"/>
            <w:shd w:val="clear" w:color="auto" w:fill="D9D9D9" w:themeFill="background1" w:themeFillShade="D9"/>
          </w:tcPr>
          <w:p w:rsidR="002B60BB" w:rsidRPr="00EB03D3" w:rsidRDefault="002B60BB" w:rsidP="00403F57">
            <w:pPr>
              <w:pStyle w:val="tabletext"/>
              <w:spacing w:before="34" w:after="34"/>
              <w:jc w:val="center"/>
              <w:rPr>
                <w:rFonts w:asciiTheme="minorHAnsi" w:hAnsiTheme="minorHAnsi"/>
              </w:rPr>
            </w:pPr>
          </w:p>
        </w:tc>
      </w:tr>
      <w:tr w:rsidR="002B60BB" w:rsidRPr="00EB03D3" w:rsidTr="002B60BB">
        <w:trPr>
          <w:cantSplit/>
        </w:trPr>
        <w:tc>
          <w:tcPr>
            <w:tcW w:w="9540" w:type="dxa"/>
          </w:tcPr>
          <w:p w:rsidR="002B60BB" w:rsidRPr="00EB03D3" w:rsidRDefault="002B60BB" w:rsidP="00403F57">
            <w:pPr>
              <w:pStyle w:val="tabletext"/>
              <w:spacing w:before="34" w:after="34"/>
              <w:rPr>
                <w:rFonts w:asciiTheme="minorHAnsi" w:hAnsiTheme="minorHAnsi"/>
              </w:rPr>
            </w:pPr>
            <w:r w:rsidRPr="00EB03D3">
              <w:rPr>
                <w:rFonts w:asciiTheme="minorHAnsi" w:hAnsiTheme="minorHAnsi"/>
              </w:rPr>
              <w:t>Strategy 33: The local government offers online information such as agendas, meeting minutes, contact information, and land use information through multiple platforms (e.g., website or Facebook) and formats (e.g., PDF documents or GIS map application).</w:t>
            </w:r>
            <w:r w:rsidRPr="00EB03D3">
              <w:rPr>
                <w:rStyle w:val="FootnoteReference"/>
                <w:rFonts w:asciiTheme="minorHAnsi" w:hAnsiTheme="minorHAnsi"/>
              </w:rPr>
              <w:footnoteReference w:id="37"/>
            </w:r>
            <w:r w:rsidRPr="00EB03D3">
              <w:rPr>
                <w:rFonts w:asciiTheme="minorHAnsi" w:hAnsiTheme="minorHAnsi"/>
                <w:vertAlign w:val="superscript"/>
              </w:rPr>
              <w:t>,</w:t>
            </w:r>
            <w:r w:rsidRPr="00EB03D3">
              <w:rPr>
                <w:rStyle w:val="FootnoteReference"/>
                <w:rFonts w:asciiTheme="minorHAnsi" w:hAnsiTheme="minorHAnsi"/>
              </w:rPr>
              <w:footnoteReference w:id="38"/>
            </w:r>
            <w:r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1129672685"/>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1018584102"/>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403F57">
            <w:pPr>
              <w:pStyle w:val="tabletext"/>
              <w:spacing w:before="34" w:after="34"/>
              <w:jc w:val="center"/>
              <w:rPr>
                <w:rFonts w:asciiTheme="minorHAnsi" w:hAnsiTheme="minorHAnsi"/>
              </w:rPr>
            </w:pPr>
            <w:r w:rsidRPr="00EB03D3">
              <w:rPr>
                <w:rFonts w:asciiTheme="minorHAnsi" w:hAnsiTheme="minorHAnsi"/>
              </w:rPr>
              <w:t>1,2</w:t>
            </w:r>
          </w:p>
        </w:tc>
      </w:tr>
      <w:tr w:rsidR="002B60BB" w:rsidRPr="00EB03D3" w:rsidTr="002B60BB">
        <w:trPr>
          <w:cantSplit/>
        </w:trPr>
        <w:tc>
          <w:tcPr>
            <w:tcW w:w="9540" w:type="dxa"/>
          </w:tcPr>
          <w:p w:rsidR="002B60BB" w:rsidRPr="00EB03D3" w:rsidRDefault="002B60BB" w:rsidP="00403F57">
            <w:pPr>
              <w:pStyle w:val="tabletext"/>
              <w:spacing w:before="34" w:after="34"/>
              <w:rPr>
                <w:rFonts w:asciiTheme="minorHAnsi" w:hAnsiTheme="minorHAnsi"/>
              </w:rPr>
            </w:pPr>
            <w:r w:rsidRPr="00EB03D3">
              <w:rPr>
                <w:rFonts w:asciiTheme="minorHAnsi" w:hAnsiTheme="minorHAnsi"/>
              </w:rPr>
              <w:t>Strategy 34: The local government uses social media and a website to communicate with the public and solicit feedback.</w:t>
            </w:r>
            <w:r w:rsidRPr="00EB03D3">
              <w:rPr>
                <w:rStyle w:val="FootnoteReference"/>
                <w:rFonts w:asciiTheme="minorHAnsi" w:hAnsiTheme="minorHAnsi"/>
              </w:rPr>
              <w:footnoteReference w:id="39"/>
            </w:r>
            <w:r w:rsidR="00403F57" w:rsidRPr="00EB03D3">
              <w:rPr>
                <w:rFonts w:asciiTheme="minorHAnsi" w:hAnsiTheme="minorHAnsi"/>
              </w:rPr>
              <w:t xml:space="preserve"> </w:t>
            </w:r>
            <w:r w:rsidR="00403F57" w:rsidRPr="00EB03D3">
              <w:rPr>
                <w:rFonts w:asciiTheme="minorHAnsi" w:hAnsiTheme="minorHAnsi"/>
                <w:i/>
                <w:color w:val="FF0000"/>
              </w:rPr>
              <w:fldChar w:fldCharType="begin">
                <w:ffData>
                  <w:name w:val="Text1"/>
                  <w:enabled/>
                  <w:calcOnExit w:val="0"/>
                  <w:textInput/>
                </w:ffData>
              </w:fldChar>
            </w:r>
            <w:r w:rsidR="00403F57" w:rsidRPr="00EB03D3">
              <w:rPr>
                <w:rFonts w:asciiTheme="minorHAnsi" w:hAnsiTheme="minorHAnsi"/>
                <w:i/>
                <w:color w:val="FF0000"/>
              </w:rPr>
              <w:instrText xml:space="preserve"> FORMTEXT </w:instrText>
            </w:r>
            <w:r w:rsidR="00403F57" w:rsidRPr="00EB03D3">
              <w:rPr>
                <w:rFonts w:asciiTheme="minorHAnsi" w:hAnsiTheme="minorHAnsi"/>
                <w:i/>
                <w:color w:val="FF0000"/>
              </w:rPr>
            </w:r>
            <w:r w:rsidR="00403F57" w:rsidRPr="00EB03D3">
              <w:rPr>
                <w:rFonts w:asciiTheme="minorHAnsi" w:hAnsiTheme="minorHAnsi"/>
                <w:i/>
                <w:color w:val="FF0000"/>
              </w:rPr>
              <w:fldChar w:fldCharType="separate"/>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noProof/>
                <w:color w:val="FF0000"/>
              </w:rPr>
              <w:t> </w:t>
            </w:r>
            <w:r w:rsidR="00403F57" w:rsidRPr="00EB03D3">
              <w:rPr>
                <w:rFonts w:asciiTheme="minorHAnsi" w:hAnsiTheme="minorHAnsi"/>
                <w:i/>
                <w:color w:val="FF0000"/>
              </w:rPr>
              <w:fldChar w:fldCharType="end"/>
            </w:r>
          </w:p>
        </w:tc>
        <w:sdt>
          <w:sdtPr>
            <w:rPr>
              <w:rFonts w:asciiTheme="minorHAnsi" w:hAnsiTheme="minorHAnsi"/>
            </w:rPr>
            <w:id w:val="-308470434"/>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sdt>
          <w:sdtPr>
            <w:rPr>
              <w:rFonts w:asciiTheme="minorHAnsi" w:hAnsiTheme="minorHAnsi"/>
            </w:rPr>
            <w:id w:val="-553005998"/>
            <w14:checkbox>
              <w14:checked w14:val="0"/>
              <w14:checkedState w14:val="2612" w14:font="MS Gothic"/>
              <w14:uncheckedState w14:val="2610" w14:font="MS Gothic"/>
            </w14:checkbox>
          </w:sdtPr>
          <w:sdtEndPr/>
          <w:sdtContent>
            <w:tc>
              <w:tcPr>
                <w:tcW w:w="1440" w:type="dxa"/>
              </w:tcPr>
              <w:p w:rsidR="002B60BB" w:rsidRPr="00EB03D3" w:rsidRDefault="002B60BB" w:rsidP="00403F57">
                <w:pPr>
                  <w:pStyle w:val="tabletext"/>
                  <w:spacing w:before="34" w:after="34"/>
                  <w:jc w:val="center"/>
                  <w:rPr>
                    <w:rFonts w:asciiTheme="minorHAnsi" w:hAnsiTheme="minorHAnsi"/>
                  </w:rPr>
                </w:pPr>
                <w:r w:rsidRPr="00EB03D3">
                  <w:rPr>
                    <w:rFonts w:ascii="MS Gothic" w:eastAsia="MS Gothic" w:hAnsi="MS Gothic" w:cs="MS Gothic" w:hint="eastAsia"/>
                  </w:rPr>
                  <w:t>☐</w:t>
                </w:r>
              </w:p>
            </w:tc>
          </w:sdtContent>
        </w:sdt>
        <w:tc>
          <w:tcPr>
            <w:tcW w:w="1260" w:type="dxa"/>
          </w:tcPr>
          <w:p w:rsidR="002B60BB" w:rsidRPr="00EB03D3" w:rsidRDefault="002B60BB" w:rsidP="00403F57">
            <w:pPr>
              <w:pStyle w:val="tabletext"/>
              <w:spacing w:before="34" w:after="34"/>
              <w:jc w:val="center"/>
              <w:rPr>
                <w:rFonts w:asciiTheme="minorHAnsi" w:hAnsiTheme="minorHAnsi"/>
              </w:rPr>
            </w:pPr>
            <w:r w:rsidRPr="00EB03D3">
              <w:rPr>
                <w:rFonts w:asciiTheme="minorHAnsi" w:hAnsiTheme="minorHAnsi"/>
              </w:rPr>
              <w:t>1,2,3</w:t>
            </w:r>
          </w:p>
        </w:tc>
      </w:tr>
    </w:tbl>
    <w:p w:rsidR="00DC4273" w:rsidRPr="002B60BB" w:rsidRDefault="00DC4273" w:rsidP="002B60BB"/>
    <w:sectPr w:rsidR="00DC4273" w:rsidRPr="002B60BB" w:rsidSect="00403F57">
      <w:headerReference w:type="default" r:id="rId9"/>
      <w:footerReference w:type="default" r:id="rId10"/>
      <w:pgSz w:w="15840" w:h="12240" w:orient="landscape"/>
      <w:pgMar w:top="1296"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E8" w:rsidRDefault="003030E8" w:rsidP="000364A3">
      <w:pPr>
        <w:spacing w:after="0" w:line="240" w:lineRule="auto"/>
      </w:pPr>
      <w:r>
        <w:separator/>
      </w:r>
    </w:p>
  </w:endnote>
  <w:endnote w:type="continuationSeparator" w:id="0">
    <w:p w:rsidR="003030E8" w:rsidRDefault="003030E8" w:rsidP="000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2312"/>
      <w:gridCol w:w="1368"/>
    </w:tblGrid>
    <w:tr w:rsidR="000364A3" w:rsidTr="00D6406A">
      <w:tc>
        <w:tcPr>
          <w:tcW w:w="4500" w:type="pct"/>
          <w:tcBorders>
            <w:top w:val="single" w:sz="4" w:space="0" w:color="000000" w:themeColor="text1"/>
          </w:tcBorders>
        </w:tcPr>
        <w:p w:rsidR="000364A3" w:rsidRPr="00724694" w:rsidRDefault="000364A3" w:rsidP="003A2E13">
          <w:pPr>
            <w:pStyle w:val="Footer"/>
            <w:rPr>
              <w:sz w:val="18"/>
            </w:rPr>
          </w:pPr>
          <w:r w:rsidRPr="00724694">
            <w:rPr>
              <w:sz w:val="18"/>
            </w:rPr>
            <w:t>Smart Growth Self-Assessment for Rural Communi</w:t>
          </w:r>
          <w:r w:rsidR="003A2E13">
            <w:rPr>
              <w:sz w:val="18"/>
            </w:rPr>
            <w:t>ties</w:t>
          </w:r>
        </w:p>
      </w:tc>
      <w:tc>
        <w:tcPr>
          <w:tcW w:w="500" w:type="pct"/>
          <w:tcBorders>
            <w:top w:val="single" w:sz="4" w:space="0" w:color="C0504D" w:themeColor="accent2"/>
          </w:tcBorders>
          <w:shd w:val="clear" w:color="auto" w:fill="76923C" w:themeFill="accent3" w:themeFillShade="BF"/>
        </w:tcPr>
        <w:p w:rsidR="000364A3" w:rsidRPr="00724694" w:rsidRDefault="000364A3" w:rsidP="00D6406A">
          <w:pPr>
            <w:pStyle w:val="Header"/>
            <w:jc w:val="right"/>
            <w:rPr>
              <w:color w:val="FFFFFF" w:themeColor="background1"/>
              <w:sz w:val="18"/>
            </w:rPr>
          </w:pPr>
          <w:r w:rsidRPr="00846C31">
            <w:rPr>
              <w:color w:val="FFFFFF" w:themeColor="background1"/>
              <w:sz w:val="18"/>
              <w:szCs w:val="18"/>
            </w:rPr>
            <w:fldChar w:fldCharType="begin"/>
          </w:r>
          <w:r w:rsidRPr="00846C31">
            <w:rPr>
              <w:color w:val="FFFFFF" w:themeColor="background1"/>
              <w:sz w:val="18"/>
              <w:szCs w:val="18"/>
            </w:rPr>
            <w:instrText xml:space="preserve"> PAGE   \* MERGEFORMAT </w:instrText>
          </w:r>
          <w:r w:rsidRPr="00846C31">
            <w:rPr>
              <w:color w:val="FFFFFF" w:themeColor="background1"/>
              <w:sz w:val="18"/>
              <w:szCs w:val="18"/>
            </w:rPr>
            <w:fldChar w:fldCharType="separate"/>
          </w:r>
          <w:r w:rsidR="009A1DE8">
            <w:rPr>
              <w:noProof/>
              <w:color w:val="FFFFFF" w:themeColor="background1"/>
              <w:sz w:val="18"/>
              <w:szCs w:val="18"/>
            </w:rPr>
            <w:t>5</w:t>
          </w:r>
          <w:r w:rsidRPr="00846C31">
            <w:rPr>
              <w:noProof/>
              <w:color w:val="FFFFFF" w:themeColor="background1"/>
              <w:sz w:val="18"/>
              <w:szCs w:val="18"/>
            </w:rPr>
            <w:fldChar w:fldCharType="end"/>
          </w:r>
        </w:p>
      </w:tc>
    </w:tr>
  </w:tbl>
  <w:p w:rsidR="000364A3" w:rsidRPr="00666A88" w:rsidRDefault="000364A3" w:rsidP="0003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E8" w:rsidRDefault="003030E8" w:rsidP="000364A3">
      <w:pPr>
        <w:spacing w:after="0" w:line="240" w:lineRule="auto"/>
      </w:pPr>
      <w:r>
        <w:separator/>
      </w:r>
    </w:p>
  </w:footnote>
  <w:footnote w:type="continuationSeparator" w:id="0">
    <w:p w:rsidR="003030E8" w:rsidRDefault="003030E8" w:rsidP="000364A3">
      <w:pPr>
        <w:spacing w:after="0" w:line="240" w:lineRule="auto"/>
      </w:pPr>
      <w:r>
        <w:continuationSeparator/>
      </w:r>
    </w:p>
  </w:footnote>
  <w:footnote w:id="1">
    <w:p w:rsidR="002B60BB" w:rsidRPr="00F802E3" w:rsidRDefault="002B60BB" w:rsidP="002B60BB">
      <w:pPr>
        <w:pStyle w:val="FootnoteText"/>
        <w:contextualSpacing/>
        <w:rPr>
          <w:i/>
          <w:sz w:val="16"/>
        </w:rPr>
      </w:pPr>
      <w:r w:rsidRPr="009C63D2">
        <w:rPr>
          <w:rStyle w:val="FootnoteReference"/>
          <w:sz w:val="16"/>
        </w:rPr>
        <w:footnoteRef/>
      </w:r>
      <w:r w:rsidRPr="009C63D2">
        <w:rPr>
          <w:sz w:val="16"/>
        </w:rPr>
        <w:t xml:space="preserve"> </w:t>
      </w:r>
      <w:r w:rsidRPr="00F802E3">
        <w:rPr>
          <w:i/>
          <w:sz w:val="16"/>
        </w:rPr>
        <w:t>Self-assessment topics and recommendations apply to one or more of the following scales: 1 – large town/small city (population of approximately 10,000 or greater); 2 - village/small town (population typically under 10,000); 3 – rural (very low density places, working lands, and natural areas outside of towns, villages, and cities).</w:t>
      </w:r>
    </w:p>
  </w:footnote>
  <w:footnote w:id="2">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New York’s Department of State, Division of Local Government Services has developed a set of local government planning guidance documents. One provides information on conducting public meetings. Another describes establishing a Zoning Board of Appeals. They are available at: (</w:t>
      </w:r>
      <w:hyperlink r:id="rId1" w:anchor="Planning" w:history="1">
        <w:r w:rsidRPr="009C63D2">
          <w:rPr>
            <w:rStyle w:val="Hyperlink"/>
            <w:sz w:val="16"/>
          </w:rPr>
          <w:t>http://www.dos.ny.gov/lg/publications.html#Planning</w:t>
        </w:r>
      </w:hyperlink>
      <w:r w:rsidRPr="009C63D2">
        <w:rPr>
          <w:sz w:val="16"/>
        </w:rPr>
        <w:t xml:space="preserve">). </w:t>
      </w:r>
    </w:p>
  </w:footnote>
  <w:footnote w:id="3">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Jacksonville</w:t>
      </w:r>
      <w:r>
        <w:rPr>
          <w:sz w:val="16"/>
        </w:rPr>
        <w:t>,</w:t>
      </w:r>
      <w:r w:rsidRPr="009C63D2">
        <w:rPr>
          <w:sz w:val="16"/>
        </w:rPr>
        <w:t xml:space="preserve"> F</w:t>
      </w:r>
      <w:r>
        <w:rPr>
          <w:sz w:val="16"/>
        </w:rPr>
        <w:t>lorida</w:t>
      </w:r>
      <w:r w:rsidRPr="009C63D2">
        <w:rPr>
          <w:sz w:val="16"/>
        </w:rPr>
        <w:t xml:space="preserve"> Citizens Planning Advisory Committee (</w:t>
      </w:r>
      <w:hyperlink r:id="rId2" w:history="1">
        <w:r w:rsidRPr="009C63D2">
          <w:rPr>
            <w:rStyle w:val="Hyperlink"/>
            <w:sz w:val="16"/>
          </w:rPr>
          <w:t>http://www.coj.net/departments/housing-and-neighborhoods/neighborhood-initiatives-(1)/citizen-planning-advisory-committees-(cpacs).aspx</w:t>
        </w:r>
      </w:hyperlink>
      <w:r w:rsidRPr="009C63D2">
        <w:rPr>
          <w:sz w:val="16"/>
        </w:rPr>
        <w:t>). The Mayor appoints CPAC members. Members are nominated through a variety of community, civic, or government organizations located in their district. Eligibility for appointment is determined by the Chief of the Housing and Community Development Division, Planning and Development Department. Committee chairs meet with and advise the Mayor.</w:t>
      </w:r>
    </w:p>
  </w:footnote>
  <w:footnote w:id="4">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w:t>
      </w:r>
      <w:r>
        <w:rPr>
          <w:sz w:val="16"/>
        </w:rPr>
        <w:t xml:space="preserve">Primer on </w:t>
      </w:r>
      <w:r w:rsidRPr="009C63D2">
        <w:rPr>
          <w:sz w:val="16"/>
        </w:rPr>
        <w:t>Local Government Citizen Advisory Boards (</w:t>
      </w:r>
      <w:hyperlink r:id="rId3" w:history="1">
        <w:r w:rsidRPr="009C63D2">
          <w:rPr>
            <w:rStyle w:val="Hyperlink"/>
            <w:sz w:val="16"/>
          </w:rPr>
          <w:t>http://mrsc.org/getmedia/72061479-9BA8-48B4-AB1F-CFA62CF7D4F1/lgcab08.aspx</w:t>
        </w:r>
      </w:hyperlink>
      <w:hyperlink r:id="rId4" w:history="1"/>
      <w:r w:rsidRPr="009C63D2">
        <w:rPr>
          <w:sz w:val="16"/>
        </w:rPr>
        <w:t>).</w:t>
      </w:r>
    </w:p>
  </w:footnote>
  <w:footnote w:id="5">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Bartlesville Metropolitan Planning Area Planned Unit Development Procedure (</w:t>
      </w:r>
      <w:hyperlink r:id="rId5" w:history="1">
        <w:r w:rsidRPr="009C63D2">
          <w:rPr>
            <w:rStyle w:val="Hyperlink"/>
            <w:sz w:val="16"/>
          </w:rPr>
          <w:t>http://www.cityofbartlesville.org/page.php?page=1150</w:t>
        </w:r>
      </w:hyperlink>
      <w:r w:rsidRPr="009C63D2">
        <w:rPr>
          <w:sz w:val="16"/>
        </w:rPr>
        <w:t xml:space="preserve">). </w:t>
      </w:r>
      <w:r w:rsidRPr="009C63D2" w:rsidDel="006027C1">
        <w:t xml:space="preserve"> </w:t>
      </w:r>
    </w:p>
  </w:footnote>
  <w:footnote w:id="6">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Fayetteville Code of Ordinances: Notification and Public Hearings (</w:t>
      </w:r>
      <w:hyperlink r:id="rId6" w:history="1">
        <w:r w:rsidRPr="009C63D2">
          <w:rPr>
            <w:rStyle w:val="Hyperlink"/>
            <w:sz w:val="16"/>
          </w:rPr>
          <w:t>http://www.cityoffayetteville.org/planning_department/rezoning.aspx?AspxAutoDetectCookieSupport=1</w:t>
        </w:r>
      </w:hyperlink>
      <w:r w:rsidRPr="009C63D2">
        <w:rPr>
          <w:sz w:val="16"/>
        </w:rPr>
        <w:t>).</w:t>
      </w:r>
    </w:p>
  </w:footnote>
  <w:footnote w:id="7">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Gwinnett County Rezoning and Special Use Permit Application Process (</w:t>
      </w:r>
      <w:hyperlink r:id="rId7" w:history="1">
        <w:r w:rsidRPr="009C63D2">
          <w:rPr>
            <w:rStyle w:val="Hyperlink"/>
            <w:sz w:val="16"/>
          </w:rPr>
          <w:t>http://www.gwinnettcounty.com/portal/gwinnett/Departments/PlanningandDevelopment/Rezoning-SUP/Process</w:t>
        </w:r>
      </w:hyperlink>
      <w:r w:rsidRPr="009C63D2">
        <w:rPr>
          <w:sz w:val="16"/>
        </w:rPr>
        <w:t>).</w:t>
      </w:r>
    </w:p>
  </w:footnote>
  <w:footnote w:id="8">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Public Participation Plan for the Town of Farmington Comprehensive Plan Process (</w:t>
      </w:r>
      <w:hyperlink r:id="rId8" w:history="1">
        <w:r w:rsidRPr="009C63D2">
          <w:rPr>
            <w:rStyle w:val="Hyperlink"/>
            <w:sz w:val="16"/>
          </w:rPr>
          <w:t>http://www.co.washington.wi.us/departments.iml?Detail=281&amp;Detail=290&amp;Detail=289</w:t>
        </w:r>
      </w:hyperlink>
      <w:hyperlink r:id="rId9" w:history="1"/>
      <w:r w:rsidRPr="009C63D2">
        <w:rPr>
          <w:sz w:val="16"/>
        </w:rPr>
        <w:t>).</w:t>
      </w:r>
    </w:p>
  </w:footnote>
  <w:footnote w:id="9">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Southeastern Wisconsin RPC: Public Participation in the </w:t>
      </w:r>
      <w:r>
        <w:rPr>
          <w:sz w:val="16"/>
        </w:rPr>
        <w:t>Transportation</w:t>
      </w:r>
      <w:r w:rsidRPr="009C63D2">
        <w:rPr>
          <w:sz w:val="16"/>
        </w:rPr>
        <w:t xml:space="preserve"> Planning Process (</w:t>
      </w:r>
      <w:hyperlink r:id="rId10" w:history="1">
        <w:r w:rsidRPr="009C63D2">
          <w:rPr>
            <w:rStyle w:val="Hyperlink"/>
            <w:sz w:val="16"/>
          </w:rPr>
          <w:t>http://www.sewrpc.org/SEWRPC/Transportation/PublicParticipationintheTransp.htm</w:t>
        </w:r>
      </w:hyperlink>
      <w:r w:rsidRPr="009C63D2">
        <w:rPr>
          <w:sz w:val="16"/>
        </w:rPr>
        <w:t>).</w:t>
      </w:r>
    </w:p>
  </w:footnote>
  <w:footnote w:id="10">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w:t>
      </w:r>
      <w:r w:rsidRPr="0073460A">
        <w:rPr>
          <w:spacing w:val="-4"/>
          <w:sz w:val="16"/>
        </w:rPr>
        <w:t>The town of Dryden, New York’s zoning ordinance includes a traditional neighborhood development overlay district. The zoning ordinance is available at: (</w:t>
      </w:r>
      <w:hyperlink r:id="rId11" w:history="1">
        <w:r w:rsidRPr="0073460A">
          <w:rPr>
            <w:rStyle w:val="Hyperlink"/>
            <w:spacing w:val="-4"/>
            <w:sz w:val="16"/>
          </w:rPr>
          <w:t>http://dryden.ny.us/departments/planning-department</w:t>
        </w:r>
      </w:hyperlink>
      <w:r w:rsidRPr="0073460A">
        <w:rPr>
          <w:spacing w:val="-4"/>
          <w:sz w:val="16"/>
        </w:rPr>
        <w:t xml:space="preserve">). </w:t>
      </w:r>
    </w:p>
  </w:footnote>
  <w:footnote w:id="11">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Model Sidewalk Regulations – Zoning &amp; Subdivision (</w:t>
      </w:r>
      <w:hyperlink r:id="rId12" w:history="1">
        <w:r w:rsidRPr="009C63D2">
          <w:rPr>
            <w:rStyle w:val="Hyperlink"/>
            <w:sz w:val="16"/>
          </w:rPr>
          <w:t>http://www.pvpc.org/val_vision/html/toolbox/Part%20III%20Strategies/Model%20Bylaws/Model%20Sidewalk%20Regulations.rtf</w:t>
        </w:r>
      </w:hyperlink>
      <w:r w:rsidRPr="009C63D2">
        <w:rPr>
          <w:sz w:val="16"/>
        </w:rPr>
        <w:t>).</w:t>
      </w:r>
    </w:p>
  </w:footnote>
  <w:footnote w:id="12">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Street Connectivity: Zoning and Subdivision Model Ordinance (</w:t>
      </w:r>
      <w:hyperlink r:id="rId13" w:history="1">
        <w:r w:rsidRPr="009C63D2">
          <w:rPr>
            <w:rStyle w:val="Hyperlink"/>
            <w:sz w:val="16"/>
          </w:rPr>
          <w:t>http://www.fhwa.dot.gov/planning/processes/land_use/land_use_tools/page04.cfm</w:t>
        </w:r>
      </w:hyperlink>
      <w:r w:rsidRPr="009C63D2">
        <w:rPr>
          <w:sz w:val="16"/>
        </w:rPr>
        <w:t xml:space="preserve">). </w:t>
      </w:r>
      <w:r w:rsidRPr="009C63D2" w:rsidDel="006027C1">
        <w:t xml:space="preserve"> </w:t>
      </w:r>
    </w:p>
  </w:footnote>
  <w:footnote w:id="13">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Model Conservation Subdivision / Open Space Development Ordinance (</w:t>
      </w:r>
      <w:hyperlink r:id="rId14" w:history="1">
        <w:r w:rsidRPr="009C63D2">
          <w:rPr>
            <w:rStyle w:val="Hyperlink"/>
            <w:sz w:val="16"/>
          </w:rPr>
          <w:t>http://www.sewrpc.org/SEWRPC/communityassistance/ModelOrdinancesGuides.htm</w:t>
        </w:r>
      </w:hyperlink>
      <w:r w:rsidRPr="009C63D2">
        <w:rPr>
          <w:sz w:val="16"/>
        </w:rPr>
        <w:t>).</w:t>
      </w:r>
    </w:p>
  </w:footnote>
  <w:footnote w:id="14">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Madison County, I</w:t>
      </w:r>
      <w:r>
        <w:rPr>
          <w:sz w:val="16"/>
        </w:rPr>
        <w:t>daho</w:t>
      </w:r>
      <w:r w:rsidRPr="009C63D2">
        <w:rPr>
          <w:sz w:val="16"/>
        </w:rPr>
        <w:t>: Open Space Development Ordinance (</w:t>
      </w:r>
      <w:hyperlink r:id="rId15" w:history="1">
        <w:r w:rsidRPr="009C63D2">
          <w:rPr>
            <w:rStyle w:val="Hyperlink"/>
            <w:sz w:val="16"/>
          </w:rPr>
          <w:t>http://www.co.madison.id.us/index.php/depts/planning-a-zoning/41-ordinances</w:t>
        </w:r>
      </w:hyperlink>
      <w:r w:rsidRPr="009C63D2">
        <w:rPr>
          <w:sz w:val="16"/>
        </w:rPr>
        <w:t>).</w:t>
      </w:r>
    </w:p>
  </w:footnote>
  <w:footnote w:id="15">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Open Space Incentive Zoning</w:t>
      </w:r>
      <w:r>
        <w:rPr>
          <w:sz w:val="16"/>
        </w:rPr>
        <w:t xml:space="preserve"> in Saratoga Springs, New York (</w:t>
      </w:r>
      <w:hyperlink r:id="rId16" w:history="1">
        <w:r w:rsidRPr="007409B8">
          <w:rPr>
            <w:rStyle w:val="Hyperlink"/>
            <w:sz w:val="16"/>
          </w:rPr>
          <w:t>http://www.saratoga-springs.org/index.php?option=com_remository&amp;Itemid=67&amp;func=startdown&amp;id=1345</w:t>
        </w:r>
      </w:hyperlink>
      <w:r w:rsidRPr="009C63D2">
        <w:rPr>
          <w:sz w:val="16"/>
        </w:rPr>
        <w:t>).</w:t>
      </w:r>
    </w:p>
  </w:footnote>
  <w:footnote w:id="16">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Madison, W</w:t>
      </w:r>
      <w:r>
        <w:rPr>
          <w:sz w:val="16"/>
        </w:rPr>
        <w:t>isconsin</w:t>
      </w:r>
      <w:r w:rsidRPr="009C63D2">
        <w:rPr>
          <w:sz w:val="16"/>
        </w:rPr>
        <w:t>: Pumpkin Hollow Neighborhood Development Plan (</w:t>
      </w:r>
      <w:hyperlink r:id="rId17" w:history="1">
        <w:r w:rsidRPr="009C63D2">
          <w:rPr>
            <w:rStyle w:val="Hyperlink"/>
            <w:sz w:val="16"/>
          </w:rPr>
          <w:t>http://www.cityofmadison.com/planning/pumpkinhollow.html</w:t>
        </w:r>
      </w:hyperlink>
      <w:r w:rsidRPr="009C63D2">
        <w:rPr>
          <w:sz w:val="16"/>
          <w:szCs w:val="16"/>
        </w:rPr>
        <w:t>).</w:t>
      </w:r>
      <w:r w:rsidRPr="009C63D2">
        <w:t xml:space="preserve"> </w:t>
      </w:r>
    </w:p>
  </w:footnote>
  <w:footnote w:id="17">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Parkville, M</w:t>
      </w:r>
      <w:r>
        <w:rPr>
          <w:sz w:val="16"/>
        </w:rPr>
        <w:t>issouri</w:t>
      </w:r>
      <w:r w:rsidRPr="009C63D2">
        <w:rPr>
          <w:sz w:val="16"/>
        </w:rPr>
        <w:t>: Master Plan: Park, Civic and Open Spaces (</w:t>
      </w:r>
      <w:hyperlink r:id="rId18" w:history="1">
        <w:r w:rsidRPr="009C63D2">
          <w:rPr>
            <w:rStyle w:val="Hyperlink"/>
            <w:sz w:val="16"/>
          </w:rPr>
          <w:t>http://parkvillemo.gov/departments/community-development-department/master-plan/</w:t>
        </w:r>
      </w:hyperlink>
      <w:hyperlink r:id="rId19" w:history="1"/>
      <w:r w:rsidRPr="009C63D2">
        <w:rPr>
          <w:sz w:val="16"/>
        </w:rPr>
        <w:t>).</w:t>
      </w:r>
    </w:p>
  </w:footnote>
  <w:footnote w:id="18">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Williamson, West Virginia, has provided public land for a community garden through its Sustainable Williamson program (</w:t>
      </w:r>
      <w:hyperlink r:id="rId20" w:history="1">
        <w:r w:rsidRPr="009C63D2">
          <w:rPr>
            <w:rStyle w:val="Hyperlink"/>
            <w:sz w:val="16"/>
          </w:rPr>
          <w:t>http://cityofwilliamson.org/Projects.html</w:t>
        </w:r>
      </w:hyperlink>
      <w:r w:rsidRPr="009C63D2">
        <w:rPr>
          <w:sz w:val="16"/>
        </w:rPr>
        <w:t xml:space="preserve">). </w:t>
      </w:r>
      <w:r w:rsidRPr="009C63D2">
        <w:t xml:space="preserve"> </w:t>
      </w:r>
    </w:p>
  </w:footnote>
  <w:footnote w:id="19">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Clackamas County Land Use Meetings</w:t>
      </w:r>
      <w:r>
        <w:rPr>
          <w:sz w:val="16"/>
        </w:rPr>
        <w:t xml:space="preserve"> Best </w:t>
      </w:r>
      <w:r w:rsidRPr="00113FBE">
        <w:rPr>
          <w:sz w:val="16"/>
        </w:rPr>
        <w:t>Practices (</w:t>
      </w:r>
      <w:hyperlink r:id="rId21" w:history="1">
        <w:r w:rsidRPr="00113FBE">
          <w:rPr>
            <w:rStyle w:val="Hyperlink"/>
            <w:sz w:val="16"/>
            <w:szCs w:val="16"/>
          </w:rPr>
          <w:t>http://www.clackamas.us/citizenin/communicating.html</w:t>
        </w:r>
      </w:hyperlink>
      <w:r w:rsidRPr="00113FBE">
        <w:rPr>
          <w:sz w:val="16"/>
          <w:szCs w:val="16"/>
        </w:rPr>
        <w:t>).</w:t>
      </w:r>
    </w:p>
  </w:footnote>
  <w:footnote w:id="20">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The Pedestrian and Bicycle Information Center provide</w:t>
      </w:r>
      <w:r>
        <w:rPr>
          <w:sz w:val="16"/>
        </w:rPr>
        <w:t>s information on walking audits</w:t>
      </w:r>
      <w:r w:rsidRPr="009C63D2">
        <w:rPr>
          <w:sz w:val="16"/>
        </w:rPr>
        <w:t xml:space="preserve"> (</w:t>
      </w:r>
      <w:hyperlink r:id="rId22" w:history="1">
        <w:r w:rsidRPr="009C63D2">
          <w:rPr>
            <w:rStyle w:val="Hyperlink"/>
            <w:sz w:val="16"/>
          </w:rPr>
          <w:t>http://www.walkinginfo.org/problems/audits.cfm</w:t>
        </w:r>
      </w:hyperlink>
      <w:r w:rsidRPr="009C63D2">
        <w:rPr>
          <w:sz w:val="16"/>
        </w:rPr>
        <w:t xml:space="preserve">). </w:t>
      </w:r>
    </w:p>
  </w:footnote>
  <w:footnote w:id="21">
    <w:p w:rsidR="002B60BB" w:rsidRPr="009C63D2" w:rsidRDefault="002B60BB" w:rsidP="002B60BB">
      <w:pPr>
        <w:pStyle w:val="FootnoteText"/>
        <w:contextualSpacing/>
        <w:rPr>
          <w:sz w:val="16"/>
        </w:rPr>
      </w:pPr>
      <w:r w:rsidRPr="009C63D2">
        <w:rPr>
          <w:rStyle w:val="FootnoteReference"/>
          <w:sz w:val="16"/>
        </w:rPr>
        <w:footnoteRef/>
      </w:r>
      <w:r>
        <w:rPr>
          <w:sz w:val="16"/>
        </w:rPr>
        <w:t xml:space="preserve"> Benson Hill Community Plan and Survey Results </w:t>
      </w:r>
      <w:r w:rsidRPr="009C63D2">
        <w:rPr>
          <w:sz w:val="16"/>
        </w:rPr>
        <w:t>(</w:t>
      </w:r>
      <w:hyperlink r:id="rId23" w:history="1">
        <w:r w:rsidRPr="00113FBE">
          <w:rPr>
            <w:rStyle w:val="Hyperlink"/>
            <w:sz w:val="16"/>
          </w:rPr>
          <w:t>http://rentonwa.gov/uploadedFiles/Business/CED/planning/2013/1120_BensonPlan_DRAFT_2013-03-11.pdf</w:t>
        </w:r>
      </w:hyperlink>
      <w:r w:rsidRPr="00113FBE">
        <w:rPr>
          <w:sz w:val="16"/>
        </w:rPr>
        <w:t>).</w:t>
      </w:r>
    </w:p>
  </w:footnote>
  <w:footnote w:id="22">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Plan 2040 Public Outreach will Utilize Online Public Meetings (</w:t>
      </w:r>
      <w:hyperlink r:id="rId24" w:history="1">
        <w:r w:rsidRPr="009C63D2">
          <w:rPr>
            <w:rStyle w:val="Hyperlink"/>
            <w:sz w:val="16"/>
          </w:rPr>
          <w:t>http://landmatters.wordpress.com/2010/04/22/plan-2040-public-outreach-will-utilize-online-public-meetings/</w:t>
        </w:r>
      </w:hyperlink>
      <w:r w:rsidRPr="009C63D2">
        <w:rPr>
          <w:sz w:val="16"/>
        </w:rPr>
        <w:t>).</w:t>
      </w:r>
    </w:p>
  </w:footnote>
  <w:footnote w:id="23">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Kirkland Planning Public Meeting Calendar with email updates (</w:t>
      </w:r>
      <w:hyperlink r:id="rId25" w:history="1">
        <w:r w:rsidRPr="009C63D2">
          <w:rPr>
            <w:rStyle w:val="Hyperlink"/>
            <w:sz w:val="16"/>
          </w:rPr>
          <w:t>http://www.kirklandwa.gov/depart/planning/Planning_Public_Meeting_Calendar.htm</w:t>
        </w:r>
      </w:hyperlink>
      <w:r w:rsidRPr="009C63D2">
        <w:rPr>
          <w:sz w:val="16"/>
        </w:rPr>
        <w:t>).</w:t>
      </w:r>
    </w:p>
  </w:footnote>
  <w:footnote w:id="24">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In Brownsville, Pennsylvania, the Students in Action club at the high school is leading a project to transform a vacant lot downtown into a community park with a performing arts space. Many small towns and rural communities are concerned about retaining younger residents. Groups like Student in Action can help young people feel invested in their community (</w:t>
      </w:r>
      <w:hyperlink r:id="rId26" w:history="1">
        <w:r w:rsidRPr="009C63D2">
          <w:rPr>
            <w:rStyle w:val="Hyperlink"/>
            <w:sz w:val="16"/>
          </w:rPr>
          <w:t>https://sites.google.com/site/ofrstudentsinaction/</w:t>
        </w:r>
      </w:hyperlink>
      <w:r w:rsidRPr="009C63D2">
        <w:rPr>
          <w:sz w:val="16"/>
        </w:rPr>
        <w:t>).</w:t>
      </w:r>
    </w:p>
  </w:footnote>
  <w:footnote w:id="25">
    <w:p w:rsidR="002B60BB" w:rsidRPr="009C63D2" w:rsidRDefault="002B60BB" w:rsidP="002B60BB">
      <w:pPr>
        <w:pStyle w:val="FootnoteText"/>
        <w:contextualSpacing/>
        <w:rPr>
          <w:sz w:val="16"/>
          <w:szCs w:val="16"/>
        </w:rPr>
      </w:pPr>
      <w:r w:rsidRPr="009C63D2">
        <w:rPr>
          <w:rStyle w:val="FootnoteReference"/>
          <w:sz w:val="16"/>
        </w:rPr>
        <w:footnoteRef/>
      </w:r>
      <w:r w:rsidRPr="009C63D2">
        <w:rPr>
          <w:sz w:val="16"/>
        </w:rPr>
        <w:t xml:space="preserve"> Examples of seasonal community activities include Trail Days in Damascus, Virginia; Rib Fest in Salamanca, New York; and the Johnny Race in Independence, </w:t>
      </w:r>
      <w:r w:rsidRPr="009C63D2">
        <w:rPr>
          <w:sz w:val="16"/>
          <w:szCs w:val="16"/>
        </w:rPr>
        <w:t xml:space="preserve">Virginia. A coalition of groups often supports such events that include the local government and the chamber of commerce.  </w:t>
      </w:r>
    </w:p>
  </w:footnote>
  <w:footnote w:id="26">
    <w:p w:rsidR="002B60BB" w:rsidRPr="009C63D2" w:rsidRDefault="002B60BB" w:rsidP="002B60BB">
      <w:pPr>
        <w:pStyle w:val="FootnoteText"/>
        <w:contextualSpacing/>
        <w:rPr>
          <w:sz w:val="16"/>
          <w:szCs w:val="16"/>
        </w:rPr>
      </w:pPr>
      <w:r w:rsidRPr="009C63D2">
        <w:rPr>
          <w:rStyle w:val="FootnoteReference"/>
          <w:sz w:val="16"/>
          <w:szCs w:val="16"/>
        </w:rPr>
        <w:footnoteRef/>
      </w:r>
      <w:r w:rsidRPr="009C63D2">
        <w:rPr>
          <w:sz w:val="16"/>
          <w:szCs w:val="16"/>
        </w:rPr>
        <w:t xml:space="preserve"> Ann Arbor YMCA: Youth </w:t>
      </w:r>
      <w:r>
        <w:rPr>
          <w:sz w:val="16"/>
          <w:szCs w:val="16"/>
        </w:rPr>
        <w:t xml:space="preserve">in Government program </w:t>
      </w:r>
      <w:r w:rsidRPr="009C63D2">
        <w:rPr>
          <w:sz w:val="16"/>
          <w:szCs w:val="16"/>
        </w:rPr>
        <w:t>(</w:t>
      </w:r>
      <w:hyperlink r:id="rId27" w:history="1">
        <w:r w:rsidRPr="009C63D2">
          <w:rPr>
            <w:rStyle w:val="Hyperlink"/>
            <w:sz w:val="16"/>
            <w:szCs w:val="16"/>
          </w:rPr>
          <w:t>http://www.annarborymca.org/youth-government.php</w:t>
        </w:r>
      </w:hyperlink>
      <w:r w:rsidRPr="009C63D2">
        <w:rPr>
          <w:sz w:val="16"/>
          <w:szCs w:val="16"/>
        </w:rPr>
        <w:t xml:space="preserve">). </w:t>
      </w:r>
    </w:p>
  </w:footnote>
  <w:footnote w:id="27">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w:t>
      </w:r>
      <w:r>
        <w:rPr>
          <w:sz w:val="16"/>
        </w:rPr>
        <w:t>Local Governments and the Sharing Economy Project</w:t>
      </w:r>
      <w:r w:rsidRPr="009C63D2">
        <w:rPr>
          <w:sz w:val="16"/>
        </w:rPr>
        <w:t xml:space="preserve"> (</w:t>
      </w:r>
      <w:hyperlink r:id="rId28" w:history="1">
        <w:r w:rsidRPr="009C63D2">
          <w:rPr>
            <w:rStyle w:val="Hyperlink"/>
            <w:sz w:val="16"/>
          </w:rPr>
          <w:t>http://www.oneearthweb.org/local-governments-and-the-sharing-economy.html</w:t>
        </w:r>
      </w:hyperlink>
      <w:r w:rsidRPr="009C63D2">
        <w:rPr>
          <w:sz w:val="16"/>
        </w:rPr>
        <w:t>).</w:t>
      </w:r>
    </w:p>
  </w:footnote>
  <w:footnote w:id="28">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Policies for Shareable Cities</w:t>
      </w:r>
      <w:r>
        <w:rPr>
          <w:sz w:val="16"/>
        </w:rPr>
        <w:t>: A Sharing Economy Policy Primer for Urban Leaders</w:t>
      </w:r>
      <w:r w:rsidRPr="009C63D2">
        <w:rPr>
          <w:sz w:val="16"/>
        </w:rPr>
        <w:t xml:space="preserve"> (</w:t>
      </w:r>
      <w:hyperlink r:id="rId29" w:history="1">
        <w:r w:rsidRPr="009C63D2">
          <w:rPr>
            <w:rStyle w:val="Hyperlink"/>
            <w:sz w:val="16"/>
          </w:rPr>
          <w:t>http://www.shareable.net/blog/new-report-policies-for-shareable-cities</w:t>
        </w:r>
      </w:hyperlink>
      <w:r w:rsidRPr="009C63D2">
        <w:rPr>
          <w:sz w:val="16"/>
        </w:rPr>
        <w:t>).</w:t>
      </w:r>
    </w:p>
  </w:footnote>
  <w:footnote w:id="29">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Richmond</w:t>
      </w:r>
      <w:r>
        <w:rPr>
          <w:sz w:val="16"/>
        </w:rPr>
        <w:t>,</w:t>
      </w:r>
      <w:r w:rsidRPr="009C63D2">
        <w:rPr>
          <w:sz w:val="16"/>
        </w:rPr>
        <w:t xml:space="preserve"> C</w:t>
      </w:r>
      <w:r>
        <w:rPr>
          <w:sz w:val="16"/>
        </w:rPr>
        <w:t>alifornia</w:t>
      </w:r>
      <w:r w:rsidRPr="009C63D2">
        <w:rPr>
          <w:sz w:val="16"/>
        </w:rPr>
        <w:t xml:space="preserve"> Dinner Dialogue (</w:t>
      </w:r>
      <w:hyperlink r:id="rId30" w:history="1">
        <w:r w:rsidRPr="00113FBE">
          <w:rPr>
            <w:rStyle w:val="Hyperlink"/>
            <w:sz w:val="16"/>
          </w:rPr>
          <w:t>http://bbk-richmond.org/iron-triangle-residents-engage-in-crucial-conversations-at-dinner-dialogues/</w:t>
        </w:r>
      </w:hyperlink>
      <w:r w:rsidRPr="009C63D2">
        <w:rPr>
          <w:sz w:val="16"/>
        </w:rPr>
        <w:t>).</w:t>
      </w:r>
    </w:p>
  </w:footnote>
  <w:footnote w:id="30">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Lawrence</w:t>
      </w:r>
      <w:r>
        <w:rPr>
          <w:sz w:val="16"/>
        </w:rPr>
        <w:t>,</w:t>
      </w:r>
      <w:r w:rsidRPr="009C63D2">
        <w:rPr>
          <w:sz w:val="16"/>
        </w:rPr>
        <w:t xml:space="preserve"> Kansas Farmers’ Market Community Booth (</w:t>
      </w:r>
      <w:hyperlink r:id="rId31" w:history="1">
        <w:r w:rsidRPr="009C63D2">
          <w:rPr>
            <w:rStyle w:val="Hyperlink"/>
            <w:sz w:val="16"/>
          </w:rPr>
          <w:t>http://www.lawrencefarmersmarket.com/community_booth.php</w:t>
        </w:r>
      </w:hyperlink>
      <w:r w:rsidRPr="009C63D2">
        <w:rPr>
          <w:sz w:val="16"/>
        </w:rPr>
        <w:t>).</w:t>
      </w:r>
    </w:p>
  </w:footnote>
  <w:footnote w:id="31">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Gleason Public Library Community Bulletin Board (</w:t>
      </w:r>
      <w:hyperlink r:id="rId32" w:history="1">
        <w:r w:rsidRPr="009C63D2">
          <w:rPr>
            <w:rStyle w:val="Hyperlink"/>
            <w:sz w:val="16"/>
          </w:rPr>
          <w:t>http://www.gleasonlibrary.org/displays.htm</w:t>
        </w:r>
      </w:hyperlink>
      <w:r w:rsidRPr="009C63D2">
        <w:rPr>
          <w:sz w:val="16"/>
        </w:rPr>
        <w:t>)</w:t>
      </w:r>
      <w:r>
        <w:rPr>
          <w:sz w:val="16"/>
        </w:rPr>
        <w:t>.</w:t>
      </w:r>
    </w:p>
  </w:footnote>
  <w:footnote w:id="32">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Orange Community Historical Society: Historical Walking Tours (</w:t>
      </w:r>
      <w:hyperlink r:id="rId33" w:history="1">
        <w:r w:rsidRPr="008E1B77">
          <w:rPr>
            <w:rStyle w:val="Hyperlink"/>
            <w:sz w:val="16"/>
          </w:rPr>
          <w:t>http://www.historicalorange.org/historical-walking-tours/</w:t>
        </w:r>
      </w:hyperlink>
      <w:r w:rsidRPr="004F661D">
        <w:rPr>
          <w:rStyle w:val="Hyperlink"/>
          <w:sz w:val="16"/>
        </w:rPr>
        <w:t>).</w:t>
      </w:r>
    </w:p>
  </w:footnote>
  <w:footnote w:id="33">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Ambler Main Street Annual Window Display Contest (</w:t>
      </w:r>
      <w:hyperlink r:id="rId34" w:history="1">
        <w:r w:rsidRPr="00113FBE">
          <w:rPr>
            <w:rStyle w:val="Hyperlink"/>
            <w:sz w:val="16"/>
          </w:rPr>
          <w:t>http://www.montgomerynews.com/articles/2014/12/09/ambler_gazette/news/doc548735df3cc3b135054104.txt</w:t>
        </w:r>
      </w:hyperlink>
      <w:r>
        <w:rPr>
          <w:sz w:val="16"/>
        </w:rPr>
        <w:t>).</w:t>
      </w:r>
    </w:p>
  </w:footnote>
  <w:footnote w:id="34">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Sullivan County Shop Local Campaign (</w:t>
      </w:r>
      <w:hyperlink r:id="rId35" w:history="1">
        <w:r w:rsidRPr="008E1B77">
          <w:rPr>
            <w:rStyle w:val="Hyperlink"/>
            <w:sz w:val="16"/>
          </w:rPr>
          <w:t>http://sullivancountynyprod.weblinkconnect.com/shop-local.html</w:t>
        </w:r>
      </w:hyperlink>
      <w:r w:rsidRPr="009C63D2">
        <w:rPr>
          <w:sz w:val="16"/>
          <w:szCs w:val="16"/>
        </w:rPr>
        <w:t>).</w:t>
      </w:r>
    </w:p>
  </w:footnote>
  <w:footnote w:id="35">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Somerville</w:t>
      </w:r>
      <w:r>
        <w:rPr>
          <w:sz w:val="16"/>
        </w:rPr>
        <w:t>, Massachusetts</w:t>
      </w:r>
      <w:r w:rsidRPr="009C63D2">
        <w:rPr>
          <w:sz w:val="16"/>
        </w:rPr>
        <w:t xml:space="preserve"> Community Gardens (</w:t>
      </w:r>
      <w:hyperlink r:id="rId36" w:history="1">
        <w:r w:rsidRPr="009C63D2">
          <w:rPr>
            <w:rStyle w:val="Hyperlink"/>
            <w:sz w:val="16"/>
          </w:rPr>
          <w:t>http://www.somervillema.gov/departments/concom/gardens</w:t>
        </w:r>
      </w:hyperlink>
      <w:r w:rsidRPr="009C63D2">
        <w:rPr>
          <w:sz w:val="16"/>
          <w:szCs w:val="16"/>
        </w:rPr>
        <w:t>).</w:t>
      </w:r>
    </w:p>
  </w:footnote>
  <w:footnote w:id="36">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Bethlehem</w:t>
      </w:r>
      <w:r>
        <w:rPr>
          <w:sz w:val="16"/>
        </w:rPr>
        <w:t>, New York</w:t>
      </w:r>
      <w:r w:rsidRPr="009C63D2">
        <w:rPr>
          <w:sz w:val="16"/>
        </w:rPr>
        <w:t xml:space="preserve"> Community Cleanup Days (</w:t>
      </w:r>
      <w:hyperlink r:id="rId37" w:history="1">
        <w:r w:rsidRPr="008E1B77">
          <w:rPr>
            <w:rStyle w:val="Hyperlink"/>
            <w:sz w:val="16"/>
          </w:rPr>
          <w:t>http://www.townofbethlehem.org/317/Community-Clean-Up-Days</w:t>
        </w:r>
      </w:hyperlink>
      <w:r w:rsidRPr="00C1025C">
        <w:rPr>
          <w:sz w:val="16"/>
          <w:szCs w:val="16"/>
        </w:rPr>
        <w:t>).</w:t>
      </w:r>
    </w:p>
  </w:footnote>
  <w:footnote w:id="37">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A Local Official’s Guide to Online Public Engagement (</w:t>
      </w:r>
      <w:hyperlink r:id="rId38" w:history="1">
        <w:r w:rsidRPr="009C63D2">
          <w:rPr>
            <w:rStyle w:val="Hyperlink"/>
            <w:sz w:val="16"/>
          </w:rPr>
          <w:t>http://www.ca-ilg.org/public-engagement-technology</w:t>
        </w:r>
      </w:hyperlink>
      <w:r w:rsidRPr="009C63D2">
        <w:rPr>
          <w:sz w:val="16"/>
          <w:szCs w:val="16"/>
        </w:rPr>
        <w:t>).</w:t>
      </w:r>
    </w:p>
  </w:footnote>
  <w:footnote w:id="38">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Institute for Local Government Public Engagement and Technology (</w:t>
      </w:r>
      <w:hyperlink r:id="rId39" w:history="1">
        <w:r w:rsidRPr="009C63D2">
          <w:rPr>
            <w:rStyle w:val="Hyperlink"/>
            <w:sz w:val="16"/>
          </w:rPr>
          <w:t>http://www.ca-ilg.org/PEandTechnology</w:t>
        </w:r>
      </w:hyperlink>
      <w:r w:rsidRPr="009C63D2">
        <w:rPr>
          <w:sz w:val="16"/>
          <w:szCs w:val="16"/>
        </w:rPr>
        <w:t>).</w:t>
      </w:r>
    </w:p>
  </w:footnote>
  <w:footnote w:id="39">
    <w:p w:rsidR="002B60BB" w:rsidRPr="009C63D2" w:rsidRDefault="002B60BB" w:rsidP="002B60BB">
      <w:pPr>
        <w:pStyle w:val="FootnoteText"/>
        <w:contextualSpacing/>
        <w:rPr>
          <w:sz w:val="16"/>
        </w:rPr>
      </w:pPr>
      <w:r w:rsidRPr="009C63D2">
        <w:rPr>
          <w:rStyle w:val="FootnoteReference"/>
          <w:sz w:val="16"/>
        </w:rPr>
        <w:footnoteRef/>
      </w:r>
      <w:r w:rsidRPr="009C63D2">
        <w:rPr>
          <w:sz w:val="16"/>
        </w:rPr>
        <w:t xml:space="preserve"> Chapel Hill</w:t>
      </w:r>
      <w:r w:rsidRPr="009C63D2">
        <w:rPr>
          <w:sz w:val="16"/>
          <w:szCs w:val="16"/>
        </w:rPr>
        <w:t>,</w:t>
      </w:r>
      <w:r>
        <w:rPr>
          <w:sz w:val="16"/>
        </w:rPr>
        <w:t xml:space="preserve"> North Carolina</w:t>
      </w:r>
      <w:r w:rsidRPr="009C63D2">
        <w:rPr>
          <w:sz w:val="16"/>
        </w:rPr>
        <w:t xml:space="preserve"> Social Media </w:t>
      </w:r>
      <w:r w:rsidRPr="00C1025C">
        <w:rPr>
          <w:sz w:val="16"/>
        </w:rPr>
        <w:t>(</w:t>
      </w:r>
      <w:hyperlink r:id="rId40" w:history="1">
        <w:r w:rsidRPr="008E1B77">
          <w:rPr>
            <w:rStyle w:val="Hyperlink"/>
            <w:sz w:val="16"/>
          </w:rPr>
          <w:t>http://www.townofchapelhill.org/town-hall/news-events/social-media</w:t>
        </w:r>
      </w:hyperlink>
      <w:r w:rsidRPr="00C1025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A3" w:rsidRDefault="003340FB" w:rsidP="003340FB">
    <w:pPr>
      <w:pStyle w:val="SGHeader"/>
      <w:numPr>
        <w:ilvl w:val="0"/>
        <w:numId w:val="0"/>
      </w:numPr>
      <w:tabs>
        <w:tab w:val="left" w:pos="360"/>
      </w:tabs>
    </w:pPr>
    <w:r>
      <w:t>III.</w:t>
    </w:r>
    <w:r>
      <w:tab/>
    </w:r>
    <w:r w:rsidR="002B60BB">
      <w:t>Engage and Connect Community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83D"/>
    <w:multiLevelType w:val="hybridMultilevel"/>
    <w:tmpl w:val="6E54ECBA"/>
    <w:lvl w:ilvl="0" w:tplc="F0E05C46">
      <w:start w:val="2"/>
      <w:numFmt w:val="upperRoman"/>
      <w:pStyle w:val="SGHead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364C9"/>
    <w:multiLevelType w:val="hybridMultilevel"/>
    <w:tmpl w:val="7E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A3"/>
    <w:rsid w:val="000364A3"/>
    <w:rsid w:val="000636F2"/>
    <w:rsid w:val="00147CD9"/>
    <w:rsid w:val="001848C6"/>
    <w:rsid w:val="0019265E"/>
    <w:rsid w:val="001C4D41"/>
    <w:rsid w:val="00292F2C"/>
    <w:rsid w:val="002B60BB"/>
    <w:rsid w:val="002C68B4"/>
    <w:rsid w:val="003030E8"/>
    <w:rsid w:val="003340FB"/>
    <w:rsid w:val="00337159"/>
    <w:rsid w:val="00366234"/>
    <w:rsid w:val="003A2E13"/>
    <w:rsid w:val="00403F57"/>
    <w:rsid w:val="00410D19"/>
    <w:rsid w:val="004D2412"/>
    <w:rsid w:val="0052217A"/>
    <w:rsid w:val="005426E4"/>
    <w:rsid w:val="00563612"/>
    <w:rsid w:val="005E5915"/>
    <w:rsid w:val="007F535A"/>
    <w:rsid w:val="00952192"/>
    <w:rsid w:val="009A1DE8"/>
    <w:rsid w:val="009B6909"/>
    <w:rsid w:val="009C5516"/>
    <w:rsid w:val="00A15440"/>
    <w:rsid w:val="00AA0578"/>
    <w:rsid w:val="00AB4D5C"/>
    <w:rsid w:val="00AD119D"/>
    <w:rsid w:val="00BA3888"/>
    <w:rsid w:val="00BE5DFC"/>
    <w:rsid w:val="00C131E4"/>
    <w:rsid w:val="00D41841"/>
    <w:rsid w:val="00D8015D"/>
    <w:rsid w:val="00DC4273"/>
    <w:rsid w:val="00DD64C7"/>
    <w:rsid w:val="00EA380E"/>
    <w:rsid w:val="00EB03D3"/>
    <w:rsid w:val="00EB7236"/>
    <w:rsid w:val="00F1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3FA9"/>
  <w15:docId w15:val="{D13756E6-FCF5-4B43-84D4-D5BBD347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4A3"/>
  </w:style>
  <w:style w:type="paragraph" w:styleId="Heading2">
    <w:name w:val="heading 2"/>
    <w:basedOn w:val="Normal"/>
    <w:next w:val="Normal"/>
    <w:link w:val="Heading2Char"/>
    <w:uiPriority w:val="9"/>
    <w:semiHidden/>
    <w:unhideWhenUsed/>
    <w:qFormat/>
    <w:rsid w:val="0003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4A3"/>
    <w:pPr>
      <w:keepNext/>
      <w:keepLines/>
      <w:spacing w:before="40" w:after="0"/>
      <w:outlineLvl w:val="2"/>
    </w:pPr>
    <w:rPr>
      <w:rFonts w:asciiTheme="majorHAnsi" w:eastAsiaTheme="majorEastAsia" w:hAnsiTheme="majorHAnsi"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A3"/>
    <w:rPr>
      <w:rFonts w:asciiTheme="majorHAnsi" w:eastAsiaTheme="majorEastAsia" w:hAnsiTheme="majorHAnsi" w:cstheme="majorBidi"/>
      <w:b/>
      <w:color w:val="243F60" w:themeColor="accent1" w:themeShade="7F"/>
      <w:szCs w:val="24"/>
    </w:rPr>
  </w:style>
  <w:style w:type="character" w:styleId="Hyperlink">
    <w:name w:val="Hyperlink"/>
    <w:basedOn w:val="DefaultParagraphFont"/>
    <w:uiPriority w:val="99"/>
    <w:unhideWhenUsed/>
    <w:rsid w:val="000364A3"/>
    <w:rPr>
      <w:color w:val="0000FF" w:themeColor="hyperlink"/>
      <w:u w:val="single"/>
    </w:rPr>
  </w:style>
  <w:style w:type="paragraph" w:styleId="FootnoteText">
    <w:name w:val="footnote text"/>
    <w:basedOn w:val="Normal"/>
    <w:link w:val="FootnoteTextChar"/>
    <w:uiPriority w:val="99"/>
    <w:unhideWhenUsed/>
    <w:rsid w:val="000364A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364A3"/>
    <w:rPr>
      <w:rFonts w:eastAsiaTheme="minorEastAsia"/>
      <w:sz w:val="20"/>
      <w:szCs w:val="20"/>
    </w:rPr>
  </w:style>
  <w:style w:type="character" w:styleId="FootnoteReference">
    <w:name w:val="footnote reference"/>
    <w:basedOn w:val="DefaultParagraphFont"/>
    <w:uiPriority w:val="99"/>
    <w:semiHidden/>
    <w:unhideWhenUsed/>
    <w:rsid w:val="000364A3"/>
    <w:rPr>
      <w:vertAlign w:val="superscript"/>
    </w:rPr>
  </w:style>
  <w:style w:type="table" w:styleId="TableGrid">
    <w:name w:val="Table Grid"/>
    <w:basedOn w:val="TableNormal"/>
    <w:uiPriority w:val="59"/>
    <w:rsid w:val="0003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64A3"/>
    <w:rPr>
      <w:rFonts w:ascii="Georgia" w:hAnsi="Georgia"/>
      <w:b/>
      <w:i/>
      <w:iCs/>
      <w:color w:val="FFFFFF" w:themeColor="background1"/>
      <w:sz w:val="22"/>
    </w:rPr>
  </w:style>
  <w:style w:type="paragraph" w:customStyle="1" w:styleId="tabletext">
    <w:name w:val="tabletext"/>
    <w:basedOn w:val="NoSpacing"/>
    <w:link w:val="tabletextChar"/>
    <w:qFormat/>
    <w:rsid w:val="000364A3"/>
    <w:pPr>
      <w:spacing w:before="60" w:after="60"/>
    </w:pPr>
    <w:rPr>
      <w:rFonts w:ascii="Georgia" w:hAnsi="Georgia"/>
      <w:color w:val="0D0D0D" w:themeColor="text1" w:themeTint="F2"/>
      <w:sz w:val="20"/>
    </w:rPr>
  </w:style>
  <w:style w:type="character" w:customStyle="1" w:styleId="tabletextChar">
    <w:name w:val="tabletext Char"/>
    <w:basedOn w:val="DefaultParagraphFont"/>
    <w:link w:val="tabletext"/>
    <w:rsid w:val="000364A3"/>
    <w:rPr>
      <w:rFonts w:ascii="Georgia" w:hAnsi="Georgia"/>
      <w:color w:val="0D0D0D" w:themeColor="text1" w:themeTint="F2"/>
      <w:sz w:val="20"/>
    </w:rPr>
  </w:style>
  <w:style w:type="paragraph" w:customStyle="1" w:styleId="tablequestions">
    <w:name w:val="tablequestions"/>
    <w:basedOn w:val="tabletext"/>
    <w:link w:val="tablequestionsChar"/>
    <w:qFormat/>
    <w:rsid w:val="000364A3"/>
    <w:rPr>
      <w:b/>
      <w:szCs w:val="20"/>
    </w:rPr>
  </w:style>
  <w:style w:type="character" w:customStyle="1" w:styleId="tablequestionsChar">
    <w:name w:val="tablequestions Char"/>
    <w:basedOn w:val="tabletextChar"/>
    <w:link w:val="tablequestions"/>
    <w:rsid w:val="000364A3"/>
    <w:rPr>
      <w:rFonts w:ascii="Georgia" w:hAnsi="Georgia"/>
      <w:b/>
      <w:color w:val="0D0D0D" w:themeColor="text1" w:themeTint="F2"/>
      <w:sz w:val="20"/>
      <w:szCs w:val="20"/>
    </w:rPr>
  </w:style>
  <w:style w:type="paragraph" w:styleId="NoSpacing">
    <w:name w:val="No Spacing"/>
    <w:uiPriority w:val="1"/>
    <w:qFormat/>
    <w:rsid w:val="000364A3"/>
    <w:pPr>
      <w:spacing w:after="0" w:line="240" w:lineRule="auto"/>
    </w:pPr>
  </w:style>
  <w:style w:type="paragraph" w:styleId="Header">
    <w:name w:val="header"/>
    <w:basedOn w:val="Normal"/>
    <w:link w:val="HeaderChar"/>
    <w:uiPriority w:val="99"/>
    <w:unhideWhenUsed/>
    <w:rsid w:val="0003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A3"/>
  </w:style>
  <w:style w:type="paragraph" w:styleId="Footer">
    <w:name w:val="footer"/>
    <w:basedOn w:val="Normal"/>
    <w:link w:val="FooterChar"/>
    <w:uiPriority w:val="99"/>
    <w:unhideWhenUsed/>
    <w:rsid w:val="0003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A3"/>
  </w:style>
  <w:style w:type="paragraph" w:customStyle="1" w:styleId="SGHeader">
    <w:name w:val="SG_Header"/>
    <w:basedOn w:val="Heading2"/>
    <w:link w:val="SGHeaderChar"/>
    <w:qFormat/>
    <w:rsid w:val="000364A3"/>
    <w:pPr>
      <w:numPr>
        <w:numId w:val="1"/>
      </w:numPr>
      <w:spacing w:before="0" w:after="200"/>
    </w:pPr>
    <w:rPr>
      <w:i/>
      <w:color w:val="000000" w:themeColor="text1"/>
      <w:sz w:val="20"/>
    </w:rPr>
  </w:style>
  <w:style w:type="character" w:customStyle="1" w:styleId="SGHeaderChar">
    <w:name w:val="SG_Header Char"/>
    <w:basedOn w:val="DefaultParagraphFont"/>
    <w:link w:val="SGHeader"/>
    <w:rsid w:val="000364A3"/>
    <w:rPr>
      <w:rFonts w:asciiTheme="majorHAnsi" w:eastAsiaTheme="majorEastAsia" w:hAnsiTheme="majorHAnsi" w:cstheme="majorBidi"/>
      <w:b/>
      <w:bCs/>
      <w:i/>
      <w:color w:val="000000" w:themeColor="text1"/>
      <w:sz w:val="20"/>
      <w:szCs w:val="26"/>
    </w:rPr>
  </w:style>
  <w:style w:type="character" w:customStyle="1" w:styleId="Heading2Char">
    <w:name w:val="Heading 2 Char"/>
    <w:basedOn w:val="DefaultParagraphFont"/>
    <w:link w:val="Heading2"/>
    <w:uiPriority w:val="9"/>
    <w:semiHidden/>
    <w:rsid w:val="000364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artgrowth/smart-growth-self-assessment-rural-comm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o.washington.wi.us/departments.iml?Detail=281&amp;Detail=290&amp;Detail=289" TargetMode="External"/><Relationship Id="rId13" Type="http://schemas.openxmlformats.org/officeDocument/2006/relationships/hyperlink" Target="http://www.fhwa.dot.gov/planning/processes/land_use/land_use_tools/page04.cfm" TargetMode="External"/><Relationship Id="rId18" Type="http://schemas.openxmlformats.org/officeDocument/2006/relationships/hyperlink" Target="http://parkvillemo.gov/departments/community-development-department/master-plan/" TargetMode="External"/><Relationship Id="rId26" Type="http://schemas.openxmlformats.org/officeDocument/2006/relationships/hyperlink" Target="https://sites.google.com/site/ofrstudentsinaction/" TargetMode="External"/><Relationship Id="rId39" Type="http://schemas.openxmlformats.org/officeDocument/2006/relationships/hyperlink" Target="http://www.ca-ilg.org/PEandTechnology" TargetMode="External"/><Relationship Id="rId3" Type="http://schemas.openxmlformats.org/officeDocument/2006/relationships/hyperlink" Target="http://mrsc.org/getmedia/72061479-9BA8-48B4-AB1F-CFA62CF7D4F1/lgcab08.aspx" TargetMode="External"/><Relationship Id="rId21" Type="http://schemas.openxmlformats.org/officeDocument/2006/relationships/hyperlink" Target="http://www.clackamas.us/citizenin/communicating.html" TargetMode="External"/><Relationship Id="rId34" Type="http://schemas.openxmlformats.org/officeDocument/2006/relationships/hyperlink" Target="http://www.montgomerynews.com/articles/2014/12/09/ambler_gazette/news/doc548735df3cc3b135054104.txt" TargetMode="External"/><Relationship Id="rId7" Type="http://schemas.openxmlformats.org/officeDocument/2006/relationships/hyperlink" Target="http://www.gwinnettcounty.com/portal/gwinnett/Departments/PlanningandDevelopment/Rezoning-SUP/Process" TargetMode="External"/><Relationship Id="rId12" Type="http://schemas.openxmlformats.org/officeDocument/2006/relationships/hyperlink" Target="http://www.pvpc.org/val_vision/html/toolbox/Part%20III%20Strategies/Model%20Bylaws/Model%20Sidewalk%20Regulations.rtf" TargetMode="External"/><Relationship Id="rId17" Type="http://schemas.openxmlformats.org/officeDocument/2006/relationships/hyperlink" Target="http://www.cityofmadison.com/planning/pumpkinhollow.html" TargetMode="External"/><Relationship Id="rId25" Type="http://schemas.openxmlformats.org/officeDocument/2006/relationships/hyperlink" Target="http://www.kirklandwa.gov/depart/planning/Planning_Public_Meeting_Calendar.htm" TargetMode="External"/><Relationship Id="rId33" Type="http://schemas.openxmlformats.org/officeDocument/2006/relationships/hyperlink" Target="http://www.historicalorange.org/historical-walking-tours/" TargetMode="External"/><Relationship Id="rId38" Type="http://schemas.openxmlformats.org/officeDocument/2006/relationships/hyperlink" Target="http://www.ca-ilg.org/public-engagement-technology" TargetMode="External"/><Relationship Id="rId2" Type="http://schemas.openxmlformats.org/officeDocument/2006/relationships/hyperlink" Target="http://www.coj.net/departments/housing-and-neighborhoods/neighborhood-initiatives-(1)/citizen-planning-advisory-committees-(cpacs).aspx" TargetMode="External"/><Relationship Id="rId16" Type="http://schemas.openxmlformats.org/officeDocument/2006/relationships/hyperlink" Target="http://www.saratoga-springs.org/index.php?option=com_remository&amp;Itemid=67&amp;func=startdown&amp;id=1345" TargetMode="External"/><Relationship Id="rId20" Type="http://schemas.openxmlformats.org/officeDocument/2006/relationships/hyperlink" Target="http://cityofwilliamson.org/Projects.html" TargetMode="External"/><Relationship Id="rId29" Type="http://schemas.openxmlformats.org/officeDocument/2006/relationships/hyperlink" Target="http://www.shareable.net/blog/new-report-policies-for-shareable-cities" TargetMode="External"/><Relationship Id="rId1" Type="http://schemas.openxmlformats.org/officeDocument/2006/relationships/hyperlink" Target="http://www.dos.ny.gov/lg/publications.html" TargetMode="External"/><Relationship Id="rId6" Type="http://schemas.openxmlformats.org/officeDocument/2006/relationships/hyperlink" Target="http://www.cityoffayetteville.org/planning_department/rezoning.aspx?AspxAutoDetectCookieSupport=1" TargetMode="External"/><Relationship Id="rId11" Type="http://schemas.openxmlformats.org/officeDocument/2006/relationships/hyperlink" Target="http://dryden.ny.us/departments/planning-department" TargetMode="External"/><Relationship Id="rId24" Type="http://schemas.openxmlformats.org/officeDocument/2006/relationships/hyperlink" Target="http://landmatters.wordpress.com/2010/04/22/plan-2040-public-outreach-will-utilize-online-public-meetings/" TargetMode="External"/><Relationship Id="rId32" Type="http://schemas.openxmlformats.org/officeDocument/2006/relationships/hyperlink" Target="http://www.gleasonlibrary.org/displays.htm" TargetMode="External"/><Relationship Id="rId37" Type="http://schemas.openxmlformats.org/officeDocument/2006/relationships/hyperlink" Target="http://www.townofbethlehem.org/317/Community-Clean-Up-Days" TargetMode="External"/><Relationship Id="rId40" Type="http://schemas.openxmlformats.org/officeDocument/2006/relationships/hyperlink" Target="http://www.townofchapelhill.org/town-hall/news-events/social-media" TargetMode="External"/><Relationship Id="rId5" Type="http://schemas.openxmlformats.org/officeDocument/2006/relationships/hyperlink" Target="http://www.cityofbartlesville.org/page.php?page=1150" TargetMode="External"/><Relationship Id="rId15" Type="http://schemas.openxmlformats.org/officeDocument/2006/relationships/hyperlink" Target="http://www.co.madison.id.us/index.php/depts/planning-a-zoning/41-ordinances" TargetMode="External"/><Relationship Id="rId23" Type="http://schemas.openxmlformats.org/officeDocument/2006/relationships/hyperlink" Target="http://rentonwa.gov/uploadedFiles/Business/CED/planning/2013/1120_BensonPlan_DRAFT_2013-03-11.pdf" TargetMode="External"/><Relationship Id="rId28" Type="http://schemas.openxmlformats.org/officeDocument/2006/relationships/hyperlink" Target="http://www.oneearthweb.org/local-governments-and-the-sharing-economy.html" TargetMode="External"/><Relationship Id="rId36" Type="http://schemas.openxmlformats.org/officeDocument/2006/relationships/hyperlink" Target="http://www.somervillema.gov/departments/concom/gardens" TargetMode="External"/><Relationship Id="rId10" Type="http://schemas.openxmlformats.org/officeDocument/2006/relationships/hyperlink" Target="http://www.sewrpc.org/SEWRPC/Transportation/PublicParticipationintheTransp.htm" TargetMode="External"/><Relationship Id="rId19" Type="http://schemas.openxmlformats.org/officeDocument/2006/relationships/hyperlink" Target="http://parkvillemo.gov/download/community-development/master-plan/Chpt%205.PDF" TargetMode="External"/><Relationship Id="rId31" Type="http://schemas.openxmlformats.org/officeDocument/2006/relationships/hyperlink" Target="http://www.lawrencefarmersmarket.com/community_booth.php" TargetMode="External"/><Relationship Id="rId4" Type="http://schemas.openxmlformats.org/officeDocument/2006/relationships/hyperlink" Target="http://www.mrsc.org/publications/lgcab08.pdf" TargetMode="External"/><Relationship Id="rId9" Type="http://schemas.openxmlformats.org/officeDocument/2006/relationships/hyperlink" Target="http://www.co.la-crosse.wi.us/townoffarmington/docs/PubParticipationPlan.pdf" TargetMode="External"/><Relationship Id="rId14" Type="http://schemas.openxmlformats.org/officeDocument/2006/relationships/hyperlink" Target="http://www.sewrpc.org/SEWRPC/communityassistance/ModelOrdinancesGuides.htm" TargetMode="External"/><Relationship Id="rId22" Type="http://schemas.openxmlformats.org/officeDocument/2006/relationships/hyperlink" Target="http://www.walkinginfo.org/problems/audits.cfm" TargetMode="External"/><Relationship Id="rId27" Type="http://schemas.openxmlformats.org/officeDocument/2006/relationships/hyperlink" Target="http://www.annarborymca.org/youth-government.php" TargetMode="External"/><Relationship Id="rId30" Type="http://schemas.openxmlformats.org/officeDocument/2006/relationships/hyperlink" Target="http://bbk-richmond.org/iron-triangle-residents-engage-in-crucial-conversations-at-dinner-dialogues/" TargetMode="External"/><Relationship Id="rId35" Type="http://schemas.openxmlformats.org/officeDocument/2006/relationships/hyperlink" Target="http://sullivancountynyprod.weblinkconnect.com/shop-loc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1219-DC8C-4F59-966B-0C80583F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III. Engage and Connect Community Members</vt:lpstr>
    </vt:vector>
  </TitlesOfParts>
  <Company>U.S. EPA</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Engage and Connect Community Members</dc:title>
  <dc:subject>This document contains section III of the Smart Growth Self-Assessment for Rural Communities.</dc:subject>
  <dc:creator>U.S. EPA;Smart Growth Program</dc:creator>
  <cp:keywords>U.S. EPA, Smart Growth, Section III, engage, connect, community, members</cp:keywords>
  <cp:lastModifiedBy>Susman, Megan</cp:lastModifiedBy>
  <cp:revision>6</cp:revision>
  <dcterms:created xsi:type="dcterms:W3CDTF">2016-08-23T14:37:00Z</dcterms:created>
  <dcterms:modified xsi:type="dcterms:W3CDTF">2016-12-07T20:19:00Z</dcterms:modified>
</cp:coreProperties>
</file>