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4B" w:rsidRDefault="003F764B" w:rsidP="00B7373C">
      <w:pPr>
        <w:pStyle w:val="Heading3"/>
        <w:tabs>
          <w:tab w:val="left" w:pos="360"/>
        </w:tabs>
        <w:rPr>
          <w:i/>
        </w:rPr>
      </w:pPr>
      <w:r w:rsidRPr="003F070C">
        <w:rPr>
          <w:sz w:val="28"/>
        </w:rPr>
        <w:t>Smart Growth</w:t>
      </w:r>
      <w:r w:rsidR="00980C88">
        <w:rPr>
          <w:sz w:val="28"/>
        </w:rPr>
        <w:t xml:space="preserve"> Self</w:t>
      </w:r>
      <w:r w:rsidRPr="003F070C">
        <w:rPr>
          <w:sz w:val="28"/>
        </w:rPr>
        <w:t>-Assessment for Rural Communities</w:t>
      </w:r>
      <w:r w:rsidRPr="003F764B">
        <w:rPr>
          <w:i/>
        </w:rPr>
        <w:t xml:space="preserve"> </w:t>
      </w:r>
    </w:p>
    <w:p w:rsidR="00B7373C" w:rsidRPr="003F764B" w:rsidRDefault="003F764B" w:rsidP="00B7373C">
      <w:pPr>
        <w:pStyle w:val="Heading3"/>
        <w:tabs>
          <w:tab w:val="left" w:pos="360"/>
        </w:tabs>
        <w:rPr>
          <w:i/>
        </w:rPr>
      </w:pPr>
      <w:r w:rsidRPr="003F764B">
        <w:rPr>
          <w:i/>
        </w:rPr>
        <w:t xml:space="preserve">Section </w:t>
      </w:r>
      <w:r w:rsidR="00B7373C" w:rsidRPr="003F764B">
        <w:rPr>
          <w:i/>
        </w:rPr>
        <w:t>V</w:t>
      </w:r>
      <w:r w:rsidR="001E4271" w:rsidRPr="003F764B">
        <w:rPr>
          <w:i/>
        </w:rPr>
        <w:t>I</w:t>
      </w:r>
      <w:r w:rsidR="00C915A8" w:rsidRPr="003F764B">
        <w:rPr>
          <w:i/>
        </w:rPr>
        <w:t>I</w:t>
      </w:r>
      <w:r w:rsidRPr="003F764B">
        <w:rPr>
          <w:i/>
        </w:rPr>
        <w:t>:</w:t>
      </w:r>
      <w:r w:rsidR="00C915A8" w:rsidRPr="003F764B">
        <w:rPr>
          <w:i/>
        </w:rPr>
        <w:t xml:space="preserve"> Meet Housing Needs for Different Ages and Incomes</w:t>
      </w:r>
    </w:p>
    <w:p w:rsidR="003F764B" w:rsidRPr="00147CD9" w:rsidRDefault="003F764B" w:rsidP="003F764B">
      <w:pPr>
        <w:pStyle w:val="Heading3"/>
        <w:tabs>
          <w:tab w:val="left" w:pos="360"/>
        </w:tabs>
      </w:pPr>
      <w:r>
        <w:rPr>
          <w:b w:val="0"/>
          <w:i/>
        </w:rPr>
        <w:t>This tool is part of the Smart Growth Self-Assessment for Rural Communities, developed by the U.S. Environmental Protection Agency. EPA suggest</w:t>
      </w:r>
      <w:r w:rsidR="00980C88">
        <w:rPr>
          <w:b w:val="0"/>
          <w:i/>
        </w:rPr>
        <w:t>s</w:t>
      </w:r>
      <w:r>
        <w:rPr>
          <w:b w:val="0"/>
          <w:i/>
        </w:rPr>
        <w:t xml:space="preserve"> that communities using this tool </w:t>
      </w:r>
      <w:r w:rsidRPr="00C03BD6">
        <w:rPr>
          <w:b w:val="0"/>
          <w:i/>
        </w:rPr>
        <w:t>complete Section I: “Revitalize Village and Town Center</w:t>
      </w:r>
      <w:r w:rsidR="00980C88">
        <w:rPr>
          <w:b w:val="0"/>
          <w:i/>
        </w:rPr>
        <w:t>s</w:t>
      </w:r>
      <w:r w:rsidRPr="00C03BD6">
        <w:rPr>
          <w:b w:val="0"/>
          <w:i/>
        </w:rPr>
        <w:t>,”</w:t>
      </w:r>
      <w:r>
        <w:rPr>
          <w:b w:val="0"/>
          <w:i/>
        </w:rPr>
        <w:t xml:space="preserve"> before filling out other sections. For more information and the tool’s other sections, see</w:t>
      </w:r>
      <w:r>
        <w:t xml:space="preserve"> </w:t>
      </w:r>
      <w:bookmarkStart w:id="0" w:name="_GoBack"/>
      <w:bookmarkEnd w:id="0"/>
      <w:r w:rsidR="00B94429">
        <w:rPr>
          <w:b w:val="0"/>
          <w:i/>
        </w:rPr>
        <w:fldChar w:fldCharType="begin"/>
      </w:r>
      <w:r w:rsidR="00B94429">
        <w:rPr>
          <w:b w:val="0"/>
          <w:i/>
        </w:rPr>
        <w:instrText xml:space="preserve"> HYPERLINK "</w:instrText>
      </w:r>
      <w:r w:rsidR="00B94429" w:rsidRPr="00B94429">
        <w:rPr>
          <w:b w:val="0"/>
          <w:i/>
        </w:rPr>
        <w:instrText>https://www.epa.gov/smartgrowth/smart-growth-self-assessment-rural-communities</w:instrText>
      </w:r>
      <w:r w:rsidR="00B94429">
        <w:rPr>
          <w:b w:val="0"/>
          <w:i/>
        </w:rPr>
        <w:instrText xml:space="preserve">" </w:instrText>
      </w:r>
      <w:r w:rsidR="00B94429">
        <w:rPr>
          <w:b w:val="0"/>
          <w:i/>
        </w:rPr>
        <w:fldChar w:fldCharType="separate"/>
      </w:r>
      <w:r w:rsidR="00B94429" w:rsidRPr="001041F9">
        <w:rPr>
          <w:rStyle w:val="Hyperlink"/>
          <w:b w:val="0"/>
          <w:i/>
        </w:rPr>
        <w:t>https://www.epa.gov/smartgrowth/smart-growth-self-assessment-rural-communities</w:t>
      </w:r>
      <w:r w:rsidR="00B94429">
        <w:rPr>
          <w:b w:val="0"/>
          <w:i/>
        </w:rPr>
        <w:fldChar w:fldCharType="end"/>
      </w:r>
      <w:r w:rsidRPr="003F070C">
        <w:rPr>
          <w:b w:val="0"/>
          <w:i/>
        </w:rPr>
        <w:t>.</w:t>
      </w:r>
    </w:p>
    <w:p w:rsidR="003F764B" w:rsidRPr="003F764B" w:rsidRDefault="003F764B" w:rsidP="003F764B"/>
    <w:p w:rsidR="00C915A8" w:rsidRPr="007B3406" w:rsidRDefault="00C915A8" w:rsidP="00C915A8">
      <w:r>
        <w:t xml:space="preserve">Providing a wide range of housing types in the same neighborhood and close to shops, jobs, parks, medical care, and schools helps people drive less and buy or rent housing that meets their needs within their budget. Providing a mix of housing also helps communities retain residents who want to age in place, while attracting families who might have different housing needs. Increased housing options also help communities maintain a vacation- or recreation-based economy while keeping housing affordable for local residents. These types of neighborhoods can also engender more social interaction between people of different backgrounds and incomes. Communities can accomplish these goals by allowing accessory dwelling units in residential neighborhoods and more development downtown. </w:t>
      </w:r>
    </w:p>
    <w:tbl>
      <w:tblPr>
        <w:tblStyle w:val="TableGrid"/>
        <w:tblW w:w="13570" w:type="dxa"/>
        <w:tblInd w:w="108" w:type="dxa"/>
        <w:tblLayout w:type="fixed"/>
        <w:tblLook w:val="04A0" w:firstRow="1" w:lastRow="0" w:firstColumn="1" w:lastColumn="0" w:noHBand="0" w:noVBand="1"/>
      </w:tblPr>
      <w:tblGrid>
        <w:gridCol w:w="9459"/>
        <w:gridCol w:w="1429"/>
        <w:gridCol w:w="1429"/>
        <w:gridCol w:w="1253"/>
      </w:tblGrid>
      <w:tr w:rsidR="00C915A8" w:rsidRPr="00344973" w:rsidTr="00C915A8">
        <w:trPr>
          <w:cantSplit/>
          <w:trHeight w:val="773"/>
          <w:tblHeader/>
        </w:trPr>
        <w:tc>
          <w:tcPr>
            <w:tcW w:w="9459" w:type="dxa"/>
            <w:tcBorders>
              <w:bottom w:val="single" w:sz="4" w:space="0" w:color="auto"/>
            </w:tcBorders>
            <w:shd w:val="clear" w:color="auto" w:fill="000000" w:themeFill="text1"/>
            <w:vAlign w:val="center"/>
          </w:tcPr>
          <w:p w:rsidR="00C915A8" w:rsidRPr="00344973" w:rsidRDefault="00C915A8" w:rsidP="00D04DC4">
            <w:pPr>
              <w:spacing w:before="80" w:after="80"/>
              <w:rPr>
                <w:rStyle w:val="Emphasis"/>
              </w:rPr>
            </w:pPr>
            <w:r w:rsidRPr="00344973">
              <w:rPr>
                <w:rStyle w:val="Emphasis"/>
              </w:rPr>
              <w:t>Goal: Meet Housing Needs for Different Ages and Incomes</w:t>
            </w:r>
            <w:r w:rsidRPr="00344973">
              <w:rPr>
                <w:rStyle w:val="FootnoteReference"/>
                <w:rFonts w:ascii="Georgia" w:hAnsi="Georgia"/>
                <w:i/>
                <w:color w:val="FFFFFF" w:themeColor="background1"/>
              </w:rPr>
              <w:footnoteReference w:id="1"/>
            </w:r>
          </w:p>
        </w:tc>
        <w:tc>
          <w:tcPr>
            <w:tcW w:w="1429" w:type="dxa"/>
            <w:tcBorders>
              <w:bottom w:val="single" w:sz="4" w:space="0" w:color="auto"/>
            </w:tcBorders>
            <w:shd w:val="clear" w:color="auto" w:fill="000000" w:themeFill="text1"/>
            <w:vAlign w:val="center"/>
          </w:tcPr>
          <w:p w:rsidR="00C915A8" w:rsidRPr="00344973" w:rsidRDefault="00C915A8" w:rsidP="00D04DC4">
            <w:pPr>
              <w:spacing w:before="80" w:after="80"/>
              <w:jc w:val="center"/>
              <w:rPr>
                <w:rStyle w:val="Emphasis"/>
                <w:b w:val="0"/>
              </w:rPr>
            </w:pPr>
            <w:r w:rsidRPr="00344973">
              <w:rPr>
                <w:rStyle w:val="Emphasis"/>
              </w:rPr>
              <w:t>Adopted?</w:t>
            </w:r>
          </w:p>
        </w:tc>
        <w:tc>
          <w:tcPr>
            <w:tcW w:w="1429" w:type="dxa"/>
            <w:tcBorders>
              <w:bottom w:val="single" w:sz="4" w:space="0" w:color="auto"/>
            </w:tcBorders>
            <w:shd w:val="clear" w:color="auto" w:fill="000000" w:themeFill="text1"/>
            <w:vAlign w:val="center"/>
          </w:tcPr>
          <w:p w:rsidR="00C915A8" w:rsidRPr="00344973" w:rsidRDefault="00C915A8" w:rsidP="00D04DC4">
            <w:pPr>
              <w:spacing w:before="80" w:after="80"/>
              <w:jc w:val="center"/>
              <w:rPr>
                <w:rStyle w:val="Emphasis"/>
                <w:b w:val="0"/>
              </w:rPr>
            </w:pPr>
            <w:r w:rsidRPr="00344973">
              <w:rPr>
                <w:rStyle w:val="Emphasis"/>
              </w:rPr>
              <w:t>Add or Improve?</w:t>
            </w:r>
          </w:p>
        </w:tc>
        <w:tc>
          <w:tcPr>
            <w:tcW w:w="1253" w:type="dxa"/>
            <w:tcBorders>
              <w:bottom w:val="single" w:sz="4" w:space="0" w:color="auto"/>
            </w:tcBorders>
            <w:shd w:val="clear" w:color="auto" w:fill="000000" w:themeFill="text1"/>
            <w:vAlign w:val="center"/>
          </w:tcPr>
          <w:p w:rsidR="00C915A8" w:rsidRPr="00344973" w:rsidRDefault="00C915A8" w:rsidP="00D04DC4">
            <w:pPr>
              <w:spacing w:before="80" w:after="80"/>
              <w:jc w:val="center"/>
              <w:rPr>
                <w:rStyle w:val="Emphasis"/>
                <w:b w:val="0"/>
              </w:rPr>
            </w:pPr>
            <w:r w:rsidRPr="00344973">
              <w:rPr>
                <w:rStyle w:val="Emphasis"/>
              </w:rPr>
              <w:t xml:space="preserve">Context </w:t>
            </w:r>
            <w:r w:rsidRPr="00344973">
              <w:rPr>
                <w:rStyle w:val="Emphasis"/>
                <w:vertAlign w:val="superscript"/>
              </w:rPr>
              <w:footnoteReference w:id="2"/>
            </w:r>
          </w:p>
        </w:tc>
      </w:tr>
      <w:tr w:rsidR="00C915A8" w:rsidRPr="00344973" w:rsidTr="00C915A8">
        <w:trPr>
          <w:cantSplit/>
        </w:trPr>
        <w:tc>
          <w:tcPr>
            <w:tcW w:w="9459" w:type="dxa"/>
            <w:tcBorders>
              <w:right w:val="nil"/>
            </w:tcBorders>
            <w:shd w:val="clear" w:color="auto" w:fill="95B3D7"/>
          </w:tcPr>
          <w:p w:rsidR="00C915A8" w:rsidRPr="00344973" w:rsidRDefault="00C915A8" w:rsidP="00D04DC4">
            <w:pPr>
              <w:pStyle w:val="tablequestions"/>
              <w:spacing w:before="80" w:after="80"/>
              <w:rPr>
                <w:rFonts w:asciiTheme="minorHAnsi" w:hAnsiTheme="minorHAnsi"/>
                <w:i/>
              </w:rPr>
            </w:pPr>
            <w:r w:rsidRPr="00344973">
              <w:rPr>
                <w:rFonts w:asciiTheme="minorHAnsi" w:hAnsiTheme="minorHAnsi"/>
                <w:i/>
              </w:rPr>
              <w:t>Expediting Local Government Processing of Affordable Housing Proposals</w:t>
            </w:r>
          </w:p>
        </w:tc>
        <w:tc>
          <w:tcPr>
            <w:tcW w:w="1429" w:type="dxa"/>
            <w:tcBorders>
              <w:left w:val="nil"/>
              <w:right w:val="nil"/>
            </w:tcBorders>
            <w:shd w:val="clear" w:color="auto" w:fill="95B3D7"/>
          </w:tcPr>
          <w:p w:rsidR="00C915A8" w:rsidRPr="00344973" w:rsidRDefault="00C915A8" w:rsidP="00D04DC4">
            <w:pPr>
              <w:pStyle w:val="tablequestions"/>
              <w:spacing w:before="80" w:after="80"/>
              <w:rPr>
                <w:rFonts w:asciiTheme="minorHAnsi" w:hAnsiTheme="minorHAnsi"/>
              </w:rPr>
            </w:pPr>
          </w:p>
        </w:tc>
        <w:tc>
          <w:tcPr>
            <w:tcW w:w="1429" w:type="dxa"/>
            <w:tcBorders>
              <w:left w:val="nil"/>
              <w:right w:val="nil"/>
            </w:tcBorders>
            <w:shd w:val="clear" w:color="auto" w:fill="95B3D7"/>
          </w:tcPr>
          <w:p w:rsidR="00C915A8" w:rsidRPr="00344973" w:rsidRDefault="00C915A8" w:rsidP="00D04DC4">
            <w:pPr>
              <w:pStyle w:val="tablequestions"/>
              <w:spacing w:before="80" w:after="80"/>
              <w:rPr>
                <w:rFonts w:asciiTheme="minorHAnsi" w:hAnsiTheme="minorHAnsi"/>
              </w:rPr>
            </w:pPr>
          </w:p>
        </w:tc>
        <w:tc>
          <w:tcPr>
            <w:tcW w:w="1253" w:type="dxa"/>
            <w:tcBorders>
              <w:left w:val="nil"/>
            </w:tcBorders>
            <w:shd w:val="clear" w:color="auto" w:fill="95B3D7"/>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r w:rsidRPr="00344973">
              <w:rPr>
                <w:rFonts w:asciiTheme="minorHAnsi" w:hAnsiTheme="minorHAnsi"/>
              </w:rPr>
              <w:t>Do codes expedite processing of affordable housing developments?</w:t>
            </w: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tcPr>
          <w:p w:rsidR="00C915A8" w:rsidRPr="00344973" w:rsidRDefault="00C915A8" w:rsidP="00D23A4B">
            <w:pPr>
              <w:pStyle w:val="tabletext"/>
              <w:spacing w:before="80" w:after="80"/>
              <w:rPr>
                <w:rFonts w:asciiTheme="minorHAnsi" w:hAnsiTheme="minorHAnsi"/>
              </w:rPr>
            </w:pPr>
            <w:r w:rsidRPr="00344973">
              <w:rPr>
                <w:rFonts w:asciiTheme="minorHAnsi" w:hAnsiTheme="minorHAnsi"/>
              </w:rPr>
              <w:t>Strategy 1: Expedited permit review and/or reduced development fees for projects that incorporate affordable housing near existing town centers.</w:t>
            </w:r>
            <w:r w:rsidRPr="00344973">
              <w:rPr>
                <w:rStyle w:val="FootnoteReference"/>
                <w:rFonts w:asciiTheme="minorHAnsi" w:hAnsiTheme="minorHAnsi"/>
              </w:rPr>
              <w:footnoteReference w:id="3"/>
            </w:r>
            <w:r w:rsidR="00E97A3F" w:rsidRPr="00344973">
              <w:rPr>
                <w:rFonts w:asciiTheme="minorHAnsi" w:hAnsiTheme="minorHAnsi"/>
              </w:rPr>
              <w:t xml:space="preserve"> </w:t>
            </w:r>
            <w:r w:rsidR="00E97A3F" w:rsidRPr="00344973">
              <w:rPr>
                <w:rFonts w:asciiTheme="minorHAnsi" w:hAnsiTheme="minorHAnsi"/>
                <w:i/>
                <w:color w:val="FF0000"/>
              </w:rPr>
              <w:fldChar w:fldCharType="begin">
                <w:ffData>
                  <w:name w:val="Text1"/>
                  <w:enabled/>
                  <w:calcOnExit w:val="0"/>
                  <w:textInput/>
                </w:ffData>
              </w:fldChar>
            </w:r>
            <w:r w:rsidR="00E97A3F" w:rsidRPr="00344973">
              <w:rPr>
                <w:rFonts w:asciiTheme="minorHAnsi" w:hAnsiTheme="minorHAnsi"/>
                <w:i/>
                <w:color w:val="FF0000"/>
              </w:rPr>
              <w:instrText xml:space="preserve"> FORMTEXT </w:instrText>
            </w:r>
            <w:r w:rsidR="00E97A3F" w:rsidRPr="00344973">
              <w:rPr>
                <w:rFonts w:asciiTheme="minorHAnsi" w:hAnsiTheme="minorHAnsi"/>
                <w:i/>
                <w:color w:val="FF0000"/>
              </w:rPr>
            </w:r>
            <w:r w:rsidR="00E97A3F" w:rsidRPr="00344973">
              <w:rPr>
                <w:rFonts w:asciiTheme="minorHAnsi" w:hAnsiTheme="minorHAnsi"/>
                <w:i/>
                <w:color w:val="FF0000"/>
              </w:rPr>
              <w:fldChar w:fldCharType="separate"/>
            </w:r>
            <w:r w:rsidR="00D23A4B" w:rsidRPr="00D23A4B">
              <w:rPr>
                <w:rFonts w:asciiTheme="minorHAnsi" w:hAnsiTheme="minorHAnsi"/>
                <w:i/>
                <w:noProof/>
                <w:color w:val="FF0000"/>
              </w:rPr>
              <w:t xml:space="preserve">[Enter </w:t>
            </w:r>
            <w:r w:rsidR="00E97D1B">
              <w:rPr>
                <w:rFonts w:asciiTheme="minorHAnsi" w:hAnsiTheme="minorHAnsi"/>
                <w:i/>
                <w:noProof/>
                <w:color w:val="FF0000"/>
              </w:rPr>
              <w:t xml:space="preserve">optional </w:t>
            </w:r>
            <w:r w:rsidR="00D23A4B" w:rsidRPr="00D23A4B">
              <w:rPr>
                <w:rFonts w:asciiTheme="minorHAnsi" w:hAnsiTheme="minorHAnsi"/>
                <w:i/>
                <w:noProof/>
                <w:color w:val="FF0000"/>
              </w:rPr>
              <w:t>notes in gray boxes for all strategies]</w:t>
            </w:r>
            <w:r w:rsidR="00E97A3F" w:rsidRPr="00344973">
              <w:rPr>
                <w:rFonts w:asciiTheme="minorHAnsi" w:hAnsiTheme="minorHAnsi"/>
                <w:i/>
                <w:color w:val="FF0000"/>
              </w:rPr>
              <w:fldChar w:fldCharType="end"/>
            </w:r>
          </w:p>
        </w:tc>
        <w:sdt>
          <w:sdtPr>
            <w:rPr>
              <w:rFonts w:asciiTheme="minorHAnsi" w:hAnsiTheme="minorHAnsi"/>
            </w:rPr>
            <w:id w:val="1927920686"/>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68998212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 xml:space="preserve">Strategy 2: </w:t>
            </w:r>
            <w:r w:rsidRPr="00344973">
              <w:rPr>
                <w:rFonts w:asciiTheme="minorHAnsi" w:hAnsiTheme="minorHAnsi"/>
                <w:spacing w:val="-4"/>
              </w:rPr>
              <w:t>Older adult housing developments receive expedited permit review and/or reduced development fees</w:t>
            </w:r>
            <w:r w:rsidRPr="00344973">
              <w:rPr>
                <w:rFonts w:asciiTheme="minorHAnsi" w:hAnsiTheme="minorHAnsi"/>
              </w:rPr>
              <w:t>.</w:t>
            </w:r>
            <w:r w:rsidRPr="00344973">
              <w:rPr>
                <w:rStyle w:val="FootnoteReference"/>
                <w:rFonts w:asciiTheme="minorHAnsi" w:hAnsiTheme="minorHAnsi"/>
              </w:rPr>
              <w:footnoteReference w:id="4"/>
            </w:r>
            <w:r w:rsidR="00E97A3F" w:rsidRPr="00344973">
              <w:rPr>
                <w:rFonts w:asciiTheme="minorHAnsi" w:hAnsiTheme="minorHAnsi"/>
              </w:rPr>
              <w:t xml:space="preserve"> </w:t>
            </w:r>
            <w:r w:rsidR="00E97A3F" w:rsidRPr="00344973">
              <w:rPr>
                <w:rFonts w:asciiTheme="minorHAnsi" w:hAnsiTheme="minorHAnsi"/>
                <w:i/>
                <w:color w:val="FF0000"/>
              </w:rPr>
              <w:fldChar w:fldCharType="begin">
                <w:ffData>
                  <w:name w:val="Text1"/>
                  <w:enabled/>
                  <w:calcOnExit w:val="0"/>
                  <w:textInput/>
                </w:ffData>
              </w:fldChar>
            </w:r>
            <w:r w:rsidR="00E97A3F" w:rsidRPr="00344973">
              <w:rPr>
                <w:rFonts w:asciiTheme="minorHAnsi" w:hAnsiTheme="minorHAnsi"/>
                <w:i/>
                <w:color w:val="FF0000"/>
              </w:rPr>
              <w:instrText xml:space="preserve"> FORMTEXT </w:instrText>
            </w:r>
            <w:r w:rsidR="00E97A3F" w:rsidRPr="00344973">
              <w:rPr>
                <w:rFonts w:asciiTheme="minorHAnsi" w:hAnsiTheme="minorHAnsi"/>
                <w:i/>
                <w:color w:val="FF0000"/>
              </w:rPr>
            </w:r>
            <w:r w:rsidR="00E97A3F" w:rsidRPr="00344973">
              <w:rPr>
                <w:rFonts w:asciiTheme="minorHAnsi" w:hAnsiTheme="minorHAnsi"/>
                <w:i/>
                <w:color w:val="FF0000"/>
              </w:rPr>
              <w:fldChar w:fldCharType="separate"/>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color w:val="FF0000"/>
              </w:rPr>
              <w:fldChar w:fldCharType="end"/>
            </w:r>
          </w:p>
        </w:tc>
        <w:sdt>
          <w:sdtPr>
            <w:rPr>
              <w:rFonts w:asciiTheme="minorHAnsi" w:hAnsiTheme="minorHAnsi"/>
            </w:rPr>
            <w:id w:val="680793694"/>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60045712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Borders>
              <w:right w:val="nil"/>
            </w:tcBorders>
            <w:shd w:val="clear" w:color="auto" w:fill="95B3D7"/>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i/>
              </w:rPr>
              <w:t>Providing Incentives and Removing Barriers to Affordable Housing Development</w:t>
            </w: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rPr>
            </w:pP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rPr>
            </w:pPr>
          </w:p>
        </w:tc>
        <w:tc>
          <w:tcPr>
            <w:tcW w:w="1253" w:type="dxa"/>
            <w:tcBorders>
              <w:left w:val="nil"/>
            </w:tcBorders>
            <w:shd w:val="clear" w:color="auto" w:fill="95B3D7"/>
          </w:tcPr>
          <w:p w:rsidR="00C915A8" w:rsidRPr="00344973" w:rsidRDefault="00C915A8" w:rsidP="00D04DC4">
            <w:pPr>
              <w:pStyle w:val="tabletext"/>
              <w:spacing w:before="80" w:after="80"/>
              <w:jc w:val="center"/>
              <w:rPr>
                <w:rFonts w:asciiTheme="minorHAnsi" w:hAnsiTheme="minorHAnsi"/>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rPr>
            </w:pPr>
            <w:r w:rsidRPr="00344973">
              <w:rPr>
                <w:rFonts w:asciiTheme="minorHAnsi" w:hAnsiTheme="minorHAnsi"/>
                <w:b/>
              </w:rPr>
              <w:t>Do codes provide incentives for affordable housing developments?</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lastRenderedPageBreak/>
              <w:t>Strategy 3: Incentives encourage owner investment in older or historic apartment buildings or homes.</w:t>
            </w:r>
            <w:r w:rsidRPr="00344973">
              <w:rPr>
                <w:rStyle w:val="FootnoteReference"/>
                <w:rFonts w:asciiTheme="minorHAnsi" w:hAnsiTheme="minorHAnsi"/>
              </w:rPr>
              <w:footnoteReference w:id="5"/>
            </w:r>
            <w:r w:rsidRPr="00344973">
              <w:rPr>
                <w:rFonts w:asciiTheme="minorHAnsi" w:hAnsiTheme="minorHAnsi"/>
                <w:vertAlign w:val="superscript"/>
              </w:rPr>
              <w:t>,</w:t>
            </w:r>
            <w:r w:rsidRPr="00344973">
              <w:rPr>
                <w:rStyle w:val="FootnoteReference"/>
                <w:rFonts w:asciiTheme="minorHAnsi" w:hAnsiTheme="minorHAnsi"/>
              </w:rPr>
              <w:footnoteReference w:id="6"/>
            </w:r>
            <w:r w:rsidRPr="00344973">
              <w:rPr>
                <w:rFonts w:asciiTheme="minorHAnsi" w:hAnsiTheme="minorHAnsi"/>
                <w:vertAlign w:val="superscript"/>
              </w:rPr>
              <w:t>,</w:t>
            </w:r>
            <w:r w:rsidRPr="00344973">
              <w:rPr>
                <w:rStyle w:val="FootnoteReference"/>
                <w:rFonts w:asciiTheme="minorHAnsi" w:hAnsiTheme="minorHAnsi"/>
              </w:rPr>
              <w:footnoteReference w:id="7"/>
            </w:r>
            <w:r w:rsidR="00E97A3F" w:rsidRPr="00344973">
              <w:rPr>
                <w:rFonts w:asciiTheme="minorHAnsi" w:hAnsiTheme="minorHAnsi"/>
                <w:vertAlign w:val="superscript"/>
              </w:rPr>
              <w:t xml:space="preserve"> </w:t>
            </w:r>
            <w:r w:rsidR="00E97A3F" w:rsidRPr="00344973">
              <w:rPr>
                <w:rFonts w:asciiTheme="minorHAnsi" w:hAnsiTheme="minorHAnsi"/>
                <w:i/>
                <w:color w:val="FF0000"/>
              </w:rPr>
              <w:fldChar w:fldCharType="begin">
                <w:ffData>
                  <w:name w:val="Text1"/>
                  <w:enabled/>
                  <w:calcOnExit w:val="0"/>
                  <w:textInput/>
                </w:ffData>
              </w:fldChar>
            </w:r>
            <w:r w:rsidR="00E97A3F" w:rsidRPr="00344973">
              <w:rPr>
                <w:rFonts w:asciiTheme="minorHAnsi" w:hAnsiTheme="minorHAnsi"/>
                <w:i/>
                <w:color w:val="FF0000"/>
              </w:rPr>
              <w:instrText xml:space="preserve"> FORMTEXT </w:instrText>
            </w:r>
            <w:r w:rsidR="00E97A3F" w:rsidRPr="00344973">
              <w:rPr>
                <w:rFonts w:asciiTheme="minorHAnsi" w:hAnsiTheme="minorHAnsi"/>
                <w:i/>
                <w:color w:val="FF0000"/>
              </w:rPr>
            </w:r>
            <w:r w:rsidR="00E97A3F" w:rsidRPr="00344973">
              <w:rPr>
                <w:rFonts w:asciiTheme="minorHAnsi" w:hAnsiTheme="minorHAnsi"/>
                <w:i/>
                <w:color w:val="FF0000"/>
              </w:rPr>
              <w:fldChar w:fldCharType="separate"/>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color w:val="FF0000"/>
              </w:rPr>
              <w:fldChar w:fldCharType="end"/>
            </w:r>
          </w:p>
        </w:tc>
        <w:sdt>
          <w:sdtPr>
            <w:rPr>
              <w:rFonts w:asciiTheme="minorHAnsi" w:hAnsiTheme="minorHAnsi"/>
            </w:rPr>
            <w:id w:val="-356576236"/>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202909325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 xml:space="preserve">Strategy 4: Carefully evaluate building code requirements that increase construction costs (such as requirements pertaining to exterior materials). </w:t>
            </w:r>
            <w:r w:rsidR="00E97A3F" w:rsidRPr="00344973">
              <w:rPr>
                <w:rFonts w:asciiTheme="minorHAnsi" w:hAnsiTheme="minorHAnsi"/>
                <w:i/>
                <w:color w:val="FF0000"/>
              </w:rPr>
              <w:fldChar w:fldCharType="begin">
                <w:ffData>
                  <w:name w:val="Text1"/>
                  <w:enabled/>
                  <w:calcOnExit w:val="0"/>
                  <w:textInput/>
                </w:ffData>
              </w:fldChar>
            </w:r>
            <w:r w:rsidR="00E97A3F" w:rsidRPr="00344973">
              <w:rPr>
                <w:rFonts w:asciiTheme="minorHAnsi" w:hAnsiTheme="minorHAnsi"/>
                <w:i/>
                <w:color w:val="FF0000"/>
              </w:rPr>
              <w:instrText xml:space="preserve"> FORMTEXT </w:instrText>
            </w:r>
            <w:r w:rsidR="00E97A3F" w:rsidRPr="00344973">
              <w:rPr>
                <w:rFonts w:asciiTheme="minorHAnsi" w:hAnsiTheme="minorHAnsi"/>
                <w:i/>
                <w:color w:val="FF0000"/>
              </w:rPr>
            </w:r>
            <w:r w:rsidR="00E97A3F" w:rsidRPr="00344973">
              <w:rPr>
                <w:rFonts w:asciiTheme="minorHAnsi" w:hAnsiTheme="minorHAnsi"/>
                <w:i/>
                <w:color w:val="FF0000"/>
              </w:rPr>
              <w:fldChar w:fldCharType="separate"/>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color w:val="FF0000"/>
              </w:rPr>
              <w:fldChar w:fldCharType="end"/>
            </w:r>
          </w:p>
        </w:tc>
        <w:sdt>
          <w:sdtPr>
            <w:rPr>
              <w:rFonts w:asciiTheme="minorHAnsi" w:hAnsiTheme="minorHAnsi"/>
            </w:rPr>
            <w:id w:val="501013733"/>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31431895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5: Locate affordable housing in village and town centers to give residents easier access to jobs, stores, services, and amenities.</w:t>
            </w:r>
            <w:r w:rsidRPr="00344973">
              <w:rPr>
                <w:rStyle w:val="FootnoteReference"/>
                <w:rFonts w:asciiTheme="minorHAnsi" w:hAnsiTheme="minorHAnsi"/>
              </w:rPr>
              <w:footnoteReference w:id="8"/>
            </w:r>
            <w:r w:rsidR="00E97A3F" w:rsidRPr="00344973">
              <w:rPr>
                <w:rFonts w:asciiTheme="minorHAnsi" w:hAnsiTheme="minorHAnsi"/>
              </w:rPr>
              <w:t xml:space="preserve"> </w:t>
            </w:r>
            <w:r w:rsidR="00E97A3F" w:rsidRPr="00344973">
              <w:rPr>
                <w:rFonts w:asciiTheme="minorHAnsi" w:hAnsiTheme="minorHAnsi"/>
                <w:i/>
                <w:color w:val="FF0000"/>
              </w:rPr>
              <w:fldChar w:fldCharType="begin">
                <w:ffData>
                  <w:name w:val="Text1"/>
                  <w:enabled/>
                  <w:calcOnExit w:val="0"/>
                  <w:textInput/>
                </w:ffData>
              </w:fldChar>
            </w:r>
            <w:r w:rsidR="00E97A3F" w:rsidRPr="00344973">
              <w:rPr>
                <w:rFonts w:asciiTheme="minorHAnsi" w:hAnsiTheme="minorHAnsi"/>
                <w:i/>
                <w:color w:val="FF0000"/>
              </w:rPr>
              <w:instrText xml:space="preserve"> FORMTEXT </w:instrText>
            </w:r>
            <w:r w:rsidR="00E97A3F" w:rsidRPr="00344973">
              <w:rPr>
                <w:rFonts w:asciiTheme="minorHAnsi" w:hAnsiTheme="minorHAnsi"/>
                <w:i/>
                <w:color w:val="FF0000"/>
              </w:rPr>
            </w:r>
            <w:r w:rsidR="00E97A3F" w:rsidRPr="00344973">
              <w:rPr>
                <w:rFonts w:asciiTheme="minorHAnsi" w:hAnsiTheme="minorHAnsi"/>
                <w:i/>
                <w:color w:val="FF0000"/>
              </w:rPr>
              <w:fldChar w:fldCharType="separate"/>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noProof/>
                <w:color w:val="FF0000"/>
              </w:rPr>
              <w:t> </w:t>
            </w:r>
            <w:r w:rsidR="00E97A3F" w:rsidRPr="00344973">
              <w:rPr>
                <w:rFonts w:asciiTheme="minorHAnsi" w:hAnsiTheme="minorHAnsi"/>
                <w:i/>
                <w:color w:val="FF0000"/>
              </w:rPr>
              <w:fldChar w:fldCharType="end"/>
            </w:r>
          </w:p>
        </w:tc>
        <w:sdt>
          <w:sdtPr>
            <w:rPr>
              <w:rFonts w:asciiTheme="minorHAnsi" w:hAnsiTheme="minorHAnsi"/>
            </w:rPr>
            <w:id w:val="37412132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43069517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tcBorders>
              <w:right w:val="nil"/>
            </w:tcBorders>
            <w:shd w:val="clear" w:color="auto" w:fill="95B3D7"/>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i/>
              </w:rPr>
              <w:t>Supporting Development of Affordable Housing for Older Adults</w:t>
            </w: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253" w:type="dxa"/>
            <w:tcBorders>
              <w:lef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Do codes facilitate housing types that accommodate older adults?</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6: Allow accessory units in single-family residential areas.</w:t>
            </w:r>
            <w:r w:rsidRPr="00344973">
              <w:rPr>
                <w:rStyle w:val="FootnoteReference"/>
                <w:rFonts w:asciiTheme="minorHAnsi" w:hAnsiTheme="minorHAnsi"/>
              </w:rPr>
              <w:footnoteReference w:id="9"/>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6382978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9351940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7: Allow age-restricted communities, including facilities with varying levels of care.</w:t>
            </w:r>
            <w:r w:rsidRPr="00344973">
              <w:rPr>
                <w:rStyle w:val="FootnoteReference"/>
                <w:rFonts w:asciiTheme="minorHAnsi" w:hAnsiTheme="minorHAnsi"/>
              </w:rPr>
              <w:footnoteReference w:id="10"/>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41072526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59237898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8: Allow elder cohousing development and retrofitting buildings for cohousing.</w:t>
            </w:r>
            <w:r w:rsidRPr="00344973">
              <w:rPr>
                <w:rStyle w:val="FootnoteReference"/>
                <w:rFonts w:asciiTheme="minorHAnsi" w:hAnsiTheme="minorHAnsi"/>
              </w:rPr>
              <w:footnoteReference w:id="11"/>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81741814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566868986"/>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rPr>
            </w:pPr>
            <w:r w:rsidRPr="00344973">
              <w:rPr>
                <w:rFonts w:asciiTheme="minorHAnsi" w:hAnsiTheme="minorHAnsi"/>
                <w:b/>
              </w:rPr>
              <w:t>Do codes require ADA accessibility?</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9: Commercial and residential properties are accessible by wheelchair, which encourages “visitability.”</w:t>
            </w:r>
            <w:r w:rsidRPr="00344973">
              <w:rPr>
                <w:rStyle w:val="FootnoteReference"/>
                <w:rFonts w:asciiTheme="minorHAnsi" w:hAnsiTheme="minorHAnsi"/>
              </w:rPr>
              <w:footnoteReference w:id="12"/>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24822680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44234840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10: Codes identify the concept of universal design in new buildings, calling for features that allow everyone, regardless of age, ability, or circumstance, to live in or use the building.</w:t>
            </w:r>
            <w:r w:rsidRPr="00344973">
              <w:rPr>
                <w:rStyle w:val="FootnoteReference"/>
                <w:rFonts w:asciiTheme="minorHAnsi" w:hAnsiTheme="minorHAnsi"/>
              </w:rPr>
              <w:footnoteReference w:id="13"/>
            </w:r>
            <w:r w:rsidRPr="00344973">
              <w:rPr>
                <w:rFonts w:asciiTheme="minorHAnsi" w:hAnsiTheme="minorHAnsi"/>
              </w:rPr>
              <w:t xml:space="preserve"> </w:t>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53281290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65750452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Borders>
              <w:right w:val="nil"/>
            </w:tcBorders>
            <w:shd w:val="clear" w:color="auto" w:fill="95B3D7"/>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i/>
              </w:rPr>
              <w:t>Allowing a Mix of Housing Types and Lot Sizes</w:t>
            </w: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253" w:type="dxa"/>
            <w:tcBorders>
              <w:lef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 xml:space="preserve">Do codes allow a wide range of housing types? </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lastRenderedPageBreak/>
              <w:t>Strategy 11: Codes allow townhomes.</w:t>
            </w:r>
            <w:r w:rsidRPr="00344973">
              <w:rPr>
                <w:rStyle w:val="FootnoteReference"/>
                <w:rFonts w:asciiTheme="minorHAnsi" w:hAnsiTheme="minorHAnsi"/>
              </w:rPr>
              <w:footnoteReference w:id="14"/>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93192658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57686739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shd w:val="clear" w:color="auto" w:fill="auto"/>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12: Codes allow two-family housing units.</w:t>
            </w:r>
            <w:bookmarkStart w:id="1" w:name="_Ref353525452"/>
            <w:r w:rsidRPr="00344973">
              <w:rPr>
                <w:rStyle w:val="FootnoteReference"/>
                <w:rFonts w:asciiTheme="minorHAnsi" w:hAnsiTheme="minorHAnsi"/>
              </w:rPr>
              <w:footnoteReference w:id="15"/>
            </w:r>
            <w:bookmarkEnd w:id="1"/>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99498916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4757608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13: Codes allow multifamily housing in villages and town centers.</w:t>
            </w:r>
            <w:r w:rsidRPr="00344973">
              <w:rPr>
                <w:rStyle w:val="FootnoteReference"/>
                <w:rFonts w:asciiTheme="minorHAnsi" w:hAnsiTheme="minorHAnsi"/>
              </w:rPr>
              <w:footnoteReference w:id="16"/>
            </w:r>
            <w:r w:rsidRPr="00344973">
              <w:rPr>
                <w:rFonts w:asciiTheme="minorHAnsi" w:hAnsiTheme="minorHAnsi"/>
              </w:rPr>
              <w:t xml:space="preserve"> </w:t>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43226787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11798871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14: Allow manufactured homes in all zones where residential uses are allowed.</w:t>
            </w:r>
            <w:r w:rsidRPr="00344973">
              <w:rPr>
                <w:rStyle w:val="FootnoteReference"/>
                <w:rFonts w:asciiTheme="minorHAnsi" w:hAnsiTheme="minorHAnsi"/>
              </w:rPr>
              <w:footnoteReference w:id="17"/>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54819109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935194914"/>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15: Allow home-sharing</w:t>
            </w:r>
            <w:r w:rsidRPr="00344973">
              <w:rPr>
                <w:rStyle w:val="FootnoteReference"/>
                <w:rFonts w:asciiTheme="minorHAnsi" w:hAnsiTheme="minorHAnsi"/>
              </w:rPr>
              <w:footnoteReference w:id="18"/>
            </w:r>
            <w:r w:rsidRPr="00344973">
              <w:rPr>
                <w:rFonts w:asciiTheme="minorHAnsi" w:hAnsiTheme="minorHAnsi"/>
              </w:rPr>
              <w:t xml:space="preserve"> on single-family lots.</w:t>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85507980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29170064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16: Zoning encourages a mix of housing types and sizes to accommodate households with a wide range of income levels.</w:t>
            </w:r>
            <w:r w:rsidRPr="00344973">
              <w:rPr>
                <w:rStyle w:val="FootnoteReference"/>
                <w:rFonts w:asciiTheme="minorHAnsi" w:hAnsiTheme="minorHAnsi"/>
              </w:rPr>
              <w:footnoteReference w:id="19"/>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84716745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39758348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Do codes allow varied lot and dwelling unit sizes?</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17: Reduce or eliminate minimum single-family lot sizes.</w:t>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996952853"/>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5038882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18: Reduce or eliminate multifamily development parking requirements in pedestrian-oriented districts such as town and village centers.</w:t>
            </w:r>
            <w:r w:rsidRPr="00344973">
              <w:rPr>
                <w:rStyle w:val="FootnoteReference"/>
                <w:rFonts w:asciiTheme="minorHAnsi" w:hAnsiTheme="minorHAnsi"/>
              </w:rPr>
              <w:footnoteReference w:id="20"/>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8657141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10923714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19: Codes encourage a variety of dwelling unit sizes to allow smaller, affordable units.</w:t>
            </w:r>
            <w:r w:rsidRPr="00344973">
              <w:rPr>
                <w:rStyle w:val="FootnoteReference"/>
                <w:rFonts w:asciiTheme="minorHAnsi" w:hAnsiTheme="minorHAnsi"/>
              </w:rPr>
              <w:footnoteReference w:id="21"/>
            </w:r>
            <w:r w:rsidRPr="00344973">
              <w:rPr>
                <w:rFonts w:asciiTheme="minorHAnsi" w:hAnsiTheme="minorHAnsi"/>
                <w:vertAlign w:val="superscript"/>
              </w:rPr>
              <w:t>,</w:t>
            </w:r>
            <w:r w:rsidRPr="00344973">
              <w:rPr>
                <w:rStyle w:val="FootnoteReference"/>
                <w:rFonts w:asciiTheme="minorHAnsi" w:hAnsiTheme="minorHAnsi"/>
              </w:rPr>
              <w:footnoteReference w:id="22"/>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209839826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43594547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Borders>
              <w:right w:val="nil"/>
            </w:tcBorders>
            <w:shd w:val="clear" w:color="auto" w:fill="95B3D7"/>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i/>
              </w:rPr>
              <w:t>Allowing a Mix of Uses in New Development</w:t>
            </w: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429" w:type="dxa"/>
            <w:tcBorders>
              <w:left w:val="nil"/>
              <w:righ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c>
          <w:tcPr>
            <w:tcW w:w="1253" w:type="dxa"/>
            <w:tcBorders>
              <w:left w:val="nil"/>
            </w:tcBorders>
            <w:shd w:val="clear" w:color="auto" w:fill="95B3D7"/>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Do codes allow a mix of uses?</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lastRenderedPageBreak/>
              <w:t>Strategy 20: Zoning regulations allow residential units above commercial uses in appropriate districts.</w:t>
            </w:r>
            <w:r w:rsidRPr="00344973">
              <w:rPr>
                <w:rStyle w:val="FootnoteReference"/>
                <w:rFonts w:asciiTheme="minorHAnsi" w:hAnsiTheme="minorHAnsi"/>
              </w:rPr>
              <w:footnoteReference w:id="23"/>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797454374"/>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36147377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21: Zoning regulations allow residential units by right in commercial districts.</w:t>
            </w:r>
            <w:r w:rsidRPr="00344973">
              <w:rPr>
                <w:rStyle w:val="FootnoteReference"/>
                <w:rFonts w:asciiTheme="minorHAnsi" w:hAnsiTheme="minorHAnsi"/>
              </w:rPr>
              <w:footnoteReference w:id="24"/>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81068159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636649253"/>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tcBorders>
              <w:right w:val="nil"/>
            </w:tcBorders>
            <w:shd w:val="clear" w:color="auto" w:fill="C2D69B"/>
          </w:tcPr>
          <w:p w:rsidR="00C915A8" w:rsidRPr="00344973" w:rsidRDefault="00C915A8" w:rsidP="00D04DC4">
            <w:pPr>
              <w:pStyle w:val="tablequestions"/>
              <w:spacing w:before="80" w:after="80"/>
              <w:rPr>
                <w:rFonts w:asciiTheme="minorHAnsi" w:hAnsiTheme="minorHAnsi"/>
                <w:i/>
              </w:rPr>
            </w:pPr>
            <w:r w:rsidRPr="00344973">
              <w:rPr>
                <w:rFonts w:asciiTheme="minorHAnsi" w:hAnsiTheme="minorHAnsi"/>
                <w:i/>
              </w:rPr>
              <w:t>Meeting Housing Needs Through Comprehensive Plans and Local Government Policies</w:t>
            </w:r>
          </w:p>
        </w:tc>
        <w:tc>
          <w:tcPr>
            <w:tcW w:w="1429" w:type="dxa"/>
            <w:tcBorders>
              <w:left w:val="nil"/>
              <w:right w:val="nil"/>
            </w:tcBorders>
            <w:shd w:val="clear" w:color="auto" w:fill="C2D69B"/>
          </w:tcPr>
          <w:p w:rsidR="00C915A8" w:rsidRPr="00344973" w:rsidRDefault="00C915A8" w:rsidP="00D04DC4">
            <w:pPr>
              <w:pStyle w:val="tablequestions"/>
              <w:spacing w:before="80" w:after="80"/>
              <w:rPr>
                <w:rFonts w:asciiTheme="minorHAnsi" w:hAnsiTheme="minorHAnsi"/>
              </w:rPr>
            </w:pPr>
          </w:p>
        </w:tc>
        <w:tc>
          <w:tcPr>
            <w:tcW w:w="1429" w:type="dxa"/>
            <w:tcBorders>
              <w:left w:val="nil"/>
              <w:right w:val="nil"/>
            </w:tcBorders>
            <w:shd w:val="clear" w:color="auto" w:fill="C2D69B"/>
          </w:tcPr>
          <w:p w:rsidR="00C915A8" w:rsidRPr="00344973" w:rsidRDefault="00C915A8" w:rsidP="00D04DC4">
            <w:pPr>
              <w:pStyle w:val="tablequestions"/>
              <w:spacing w:before="80" w:after="80"/>
              <w:rPr>
                <w:rFonts w:asciiTheme="minorHAnsi" w:hAnsiTheme="minorHAnsi"/>
              </w:rPr>
            </w:pPr>
          </w:p>
        </w:tc>
        <w:tc>
          <w:tcPr>
            <w:tcW w:w="1253" w:type="dxa"/>
            <w:tcBorders>
              <w:left w:val="nil"/>
            </w:tcBorders>
            <w:shd w:val="clear" w:color="auto" w:fill="C2D69B"/>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r w:rsidRPr="00344973">
              <w:rPr>
                <w:rFonts w:asciiTheme="minorHAnsi" w:hAnsiTheme="minorHAnsi"/>
              </w:rPr>
              <w:t>Do new developments for older adults consider access to everyday needs?</w:t>
            </w: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22: Older adult housing developments are encouraged in locations where residents can reach shops, amenities, and services by walking or taking transit.</w:t>
            </w:r>
            <w:r w:rsidRPr="00344973">
              <w:rPr>
                <w:rStyle w:val="FootnoteReference"/>
                <w:rFonts w:asciiTheme="minorHAnsi" w:hAnsiTheme="minorHAnsi"/>
              </w:rPr>
              <w:footnoteReference w:id="25"/>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233204934"/>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88277015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Are there programs to inventory locations of new affordable housing developments?</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23: Publicly owned land is identified that could be used for affordable homes.</w:t>
            </w:r>
            <w:r w:rsidRPr="00344973">
              <w:rPr>
                <w:rStyle w:val="FootnoteReference"/>
                <w:rFonts w:asciiTheme="minorHAnsi" w:hAnsiTheme="minorHAnsi"/>
              </w:rPr>
              <w:footnoteReference w:id="26"/>
            </w:r>
            <w:r w:rsidRPr="00344973">
              <w:rPr>
                <w:rFonts w:asciiTheme="minorHAnsi" w:hAnsiTheme="minorHAnsi"/>
                <w:vertAlign w:val="superscript"/>
              </w:rPr>
              <w:t>,</w:t>
            </w:r>
            <w:r w:rsidRPr="00344973">
              <w:rPr>
                <w:rStyle w:val="FootnoteReference"/>
                <w:rFonts w:asciiTheme="minorHAnsi" w:hAnsiTheme="minorHAnsi"/>
              </w:rPr>
              <w:footnoteReference w:id="27"/>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323776394"/>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43173837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Borders>
              <w:bottom w:val="single" w:sz="4" w:space="0" w:color="auto"/>
            </w:tcBorders>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24: Affordable homes are encouraged in locations near employment centers and with good transit access to reduce residents’ transportation costs.</w:t>
            </w:r>
            <w:r w:rsidRPr="00344973">
              <w:rPr>
                <w:rStyle w:val="FootnoteReference"/>
                <w:rFonts w:asciiTheme="minorHAnsi" w:hAnsiTheme="minorHAnsi"/>
              </w:rPr>
              <w:footnoteReference w:id="28"/>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423228962"/>
            <w14:checkbox>
              <w14:checked w14:val="0"/>
              <w14:checkedState w14:val="2612" w14:font="MS Gothic"/>
              <w14:uncheckedState w14:val="2610" w14:font="MS Gothic"/>
            </w14:checkbox>
          </w:sdtPr>
          <w:sdtEndPr/>
          <w:sdtContent>
            <w:tc>
              <w:tcPr>
                <w:tcW w:w="1429" w:type="dxa"/>
                <w:tcBorders>
                  <w:bottom w:val="single" w:sz="4" w:space="0" w:color="auto"/>
                </w:tcBorders>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467122605"/>
            <w14:checkbox>
              <w14:checked w14:val="0"/>
              <w14:checkedState w14:val="2612" w14:font="MS Gothic"/>
              <w14:uncheckedState w14:val="2610" w14:font="MS Gothic"/>
            </w14:checkbox>
          </w:sdtPr>
          <w:sdtEndPr/>
          <w:sdtContent>
            <w:tc>
              <w:tcPr>
                <w:tcW w:w="1429" w:type="dxa"/>
                <w:tcBorders>
                  <w:bottom w:val="single" w:sz="4" w:space="0" w:color="auto"/>
                </w:tcBorders>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Borders>
              <w:bottom w:val="single" w:sz="4" w:space="0" w:color="auto"/>
            </w:tcBorders>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r w:rsidR="00C915A8" w:rsidRPr="00344973" w:rsidTr="00C915A8">
        <w:trPr>
          <w:cantSplit/>
        </w:trPr>
        <w:tc>
          <w:tcPr>
            <w:tcW w:w="9459" w:type="dxa"/>
            <w:tcBorders>
              <w:bottom w:val="single" w:sz="4" w:space="0" w:color="auto"/>
            </w:tcBorders>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Does the local government encourage more rental housing to meet demand?</w:t>
            </w:r>
          </w:p>
        </w:tc>
        <w:tc>
          <w:tcPr>
            <w:tcW w:w="1429" w:type="dxa"/>
            <w:tcBorders>
              <w:bottom w:val="single" w:sz="4" w:space="0" w:color="auto"/>
            </w:tcBorders>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tcBorders>
              <w:bottom w:val="single" w:sz="4" w:space="0" w:color="auto"/>
            </w:tcBorders>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tcBorders>
              <w:bottom w:val="single" w:sz="4" w:space="0" w:color="auto"/>
            </w:tcBorders>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shd w:val="clear" w:color="auto" w:fill="FFFFFF" w:themeFill="background1"/>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25: The local government encourages inclusion of affordable units in new market-rate rental housing to increase the supply and reduce rents.</w:t>
            </w:r>
            <w:r w:rsidRPr="00344973">
              <w:rPr>
                <w:rStyle w:val="FootnoteReference"/>
                <w:rFonts w:asciiTheme="minorHAnsi" w:hAnsiTheme="minorHAnsi"/>
              </w:rPr>
              <w:footnoteReference w:id="29"/>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902595607"/>
            <w14:checkbox>
              <w14:checked w14:val="0"/>
              <w14:checkedState w14:val="2612" w14:font="MS Gothic"/>
              <w14:uncheckedState w14:val="2610" w14:font="MS Gothic"/>
            </w14:checkbox>
          </w:sdtPr>
          <w:sdtEndPr/>
          <w:sdtContent>
            <w:tc>
              <w:tcPr>
                <w:tcW w:w="1429" w:type="dxa"/>
                <w:shd w:val="clear" w:color="auto" w:fill="FFFFFF" w:themeFill="background1"/>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205338522"/>
            <w14:checkbox>
              <w14:checked w14:val="0"/>
              <w14:checkedState w14:val="2612" w14:font="MS Gothic"/>
              <w14:uncheckedState w14:val="2610" w14:font="MS Gothic"/>
            </w14:checkbox>
          </w:sdtPr>
          <w:sdtEndPr/>
          <w:sdtContent>
            <w:tc>
              <w:tcPr>
                <w:tcW w:w="1429" w:type="dxa"/>
                <w:shd w:val="clear" w:color="auto" w:fill="FFFFFF" w:themeFill="background1"/>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shd w:val="clear" w:color="auto" w:fill="FFFFFF" w:themeFill="background1"/>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Borders>
              <w:right w:val="nil"/>
            </w:tcBorders>
            <w:shd w:val="clear" w:color="auto" w:fill="FABF8F"/>
          </w:tcPr>
          <w:p w:rsidR="00C915A8" w:rsidRPr="00344973" w:rsidRDefault="00C915A8" w:rsidP="00D04DC4">
            <w:pPr>
              <w:pStyle w:val="tablequestions"/>
              <w:spacing w:before="80" w:after="80"/>
              <w:rPr>
                <w:rFonts w:asciiTheme="minorHAnsi" w:hAnsiTheme="minorHAnsi"/>
                <w:i/>
              </w:rPr>
            </w:pPr>
            <w:r w:rsidRPr="00344973">
              <w:rPr>
                <w:rFonts w:asciiTheme="minorHAnsi" w:hAnsiTheme="minorHAnsi"/>
                <w:i/>
              </w:rPr>
              <w:t>Meeting Housing Needs Through Programs and Services</w:t>
            </w:r>
          </w:p>
        </w:tc>
        <w:tc>
          <w:tcPr>
            <w:tcW w:w="1429" w:type="dxa"/>
            <w:tcBorders>
              <w:left w:val="nil"/>
              <w:right w:val="nil"/>
            </w:tcBorders>
            <w:shd w:val="clear" w:color="auto" w:fill="FABF8F"/>
          </w:tcPr>
          <w:p w:rsidR="00C915A8" w:rsidRPr="00344973" w:rsidRDefault="00C915A8" w:rsidP="00D04DC4">
            <w:pPr>
              <w:pStyle w:val="tablequestions"/>
              <w:spacing w:before="80" w:after="80"/>
              <w:rPr>
                <w:rFonts w:asciiTheme="minorHAnsi" w:hAnsiTheme="minorHAnsi"/>
              </w:rPr>
            </w:pPr>
          </w:p>
        </w:tc>
        <w:tc>
          <w:tcPr>
            <w:tcW w:w="1429" w:type="dxa"/>
            <w:tcBorders>
              <w:left w:val="nil"/>
              <w:right w:val="nil"/>
            </w:tcBorders>
            <w:shd w:val="clear" w:color="auto" w:fill="FABF8F"/>
          </w:tcPr>
          <w:p w:rsidR="00C915A8" w:rsidRPr="00344973" w:rsidRDefault="00C915A8" w:rsidP="00D04DC4">
            <w:pPr>
              <w:pStyle w:val="tablequestions"/>
              <w:spacing w:before="80" w:after="80"/>
              <w:rPr>
                <w:rFonts w:asciiTheme="minorHAnsi" w:hAnsiTheme="minorHAnsi"/>
              </w:rPr>
            </w:pPr>
          </w:p>
        </w:tc>
        <w:tc>
          <w:tcPr>
            <w:tcW w:w="1253" w:type="dxa"/>
            <w:tcBorders>
              <w:left w:val="nil"/>
            </w:tcBorders>
            <w:shd w:val="clear" w:color="auto" w:fill="FABF8F"/>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r w:rsidRPr="00344973">
              <w:rPr>
                <w:rFonts w:asciiTheme="minorHAnsi" w:hAnsiTheme="minorHAnsi"/>
              </w:rPr>
              <w:t>Are tax incentive programs available?</w:t>
            </w: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429"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c>
          <w:tcPr>
            <w:tcW w:w="1253" w:type="dxa"/>
            <w:shd w:val="clear" w:color="auto" w:fill="D9D9D9" w:themeFill="background1" w:themeFillShade="D9"/>
          </w:tcPr>
          <w:p w:rsidR="00C915A8" w:rsidRPr="00344973" w:rsidRDefault="00C915A8" w:rsidP="00D04DC4">
            <w:pPr>
              <w:pStyle w:val="tablequestions"/>
              <w:spacing w:before="80" w:after="80"/>
              <w:rPr>
                <w:rFonts w:asciiTheme="minorHAnsi" w:hAnsiTheme="minorHAnsi"/>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26: The local government offers property tax abatements, rehabilitation funding, and/or other financial support to existing mixed-income rental housing in return for a commitment to affordable rent levels.</w:t>
            </w:r>
            <w:r w:rsidRPr="00344973">
              <w:rPr>
                <w:rStyle w:val="FootnoteReference"/>
                <w:rFonts w:asciiTheme="minorHAnsi" w:hAnsiTheme="minorHAnsi"/>
              </w:rPr>
              <w:footnoteReference w:id="30"/>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1110117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01742614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lastRenderedPageBreak/>
              <w:t>Strategy 27: A property tax abatement program is available for lower-income homeowners.</w:t>
            </w:r>
            <w:r w:rsidRPr="00344973">
              <w:rPr>
                <w:rStyle w:val="FootnoteReference"/>
                <w:rFonts w:asciiTheme="minorHAnsi" w:hAnsiTheme="minorHAnsi"/>
              </w:rPr>
              <w:footnoteReference w:id="31"/>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42115045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61389680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28: Affordable housing developments receive support applying for Low Income Housing Tax Credits.</w:t>
            </w:r>
            <w:r w:rsidRPr="00344973">
              <w:rPr>
                <w:rStyle w:val="FootnoteReference"/>
                <w:rFonts w:asciiTheme="minorHAnsi" w:hAnsiTheme="minorHAnsi"/>
              </w:rPr>
              <w:footnoteReference w:id="32"/>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2136130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59215892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Are there educational or technical assistance programs that help residents buy a home?</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29: Homebuyer education programs are available.</w:t>
            </w:r>
            <w:r w:rsidRPr="00344973">
              <w:rPr>
                <w:rStyle w:val="FootnoteReference"/>
                <w:rFonts w:asciiTheme="minorHAnsi" w:hAnsiTheme="minorHAnsi"/>
              </w:rPr>
              <w:footnoteReference w:id="33"/>
            </w:r>
          </w:p>
        </w:tc>
        <w:sdt>
          <w:sdtPr>
            <w:rPr>
              <w:rFonts w:asciiTheme="minorHAnsi" w:hAnsiTheme="minorHAnsi"/>
            </w:rPr>
            <w:id w:val="-164295257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327736812"/>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30: Provide support for nonprofit housing organizations that address housing needs, affordability, provide education and training for renters and first time homebuyers, etc.</w:t>
            </w:r>
            <w:r w:rsidRPr="00344973">
              <w:rPr>
                <w:rStyle w:val="FootnoteReference"/>
                <w:rFonts w:asciiTheme="minorHAnsi" w:hAnsiTheme="minorHAnsi"/>
              </w:rPr>
              <w:footnoteReference w:id="34"/>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483090600"/>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435637428"/>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31: A homeowner assistance program helps owners comply with code enforcement requirements if they cannot afford to comply on their own.</w:t>
            </w:r>
            <w:r w:rsidRPr="00344973">
              <w:rPr>
                <w:rStyle w:val="FootnoteReference"/>
                <w:rFonts w:asciiTheme="minorHAnsi" w:hAnsiTheme="minorHAnsi"/>
              </w:rPr>
              <w:footnoteReference w:id="35"/>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2133087891"/>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403730127"/>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shd w:val="clear" w:color="auto" w:fill="D9D9D9" w:themeFill="background1" w:themeFillShade="D9"/>
          </w:tcPr>
          <w:p w:rsidR="00C915A8" w:rsidRPr="00344973" w:rsidRDefault="00C915A8" w:rsidP="00D04DC4">
            <w:pPr>
              <w:pStyle w:val="tabletext"/>
              <w:spacing w:before="80" w:after="80"/>
              <w:rPr>
                <w:rFonts w:asciiTheme="minorHAnsi" w:hAnsiTheme="minorHAnsi"/>
                <w:b/>
              </w:rPr>
            </w:pPr>
            <w:r w:rsidRPr="00344973">
              <w:rPr>
                <w:rFonts w:asciiTheme="minorHAnsi" w:hAnsiTheme="minorHAnsi"/>
                <w:b/>
              </w:rPr>
              <w:t>Are there programs that increase the supply of affordable housing stock?</w:t>
            </w: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429"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c>
          <w:tcPr>
            <w:tcW w:w="1253" w:type="dxa"/>
            <w:shd w:val="clear" w:color="auto" w:fill="D9D9D9" w:themeFill="background1" w:themeFillShade="D9"/>
          </w:tcPr>
          <w:p w:rsidR="00C915A8" w:rsidRPr="00344973" w:rsidRDefault="00C915A8" w:rsidP="00D04DC4">
            <w:pPr>
              <w:pStyle w:val="tabletext"/>
              <w:spacing w:before="80" w:after="80"/>
              <w:jc w:val="center"/>
              <w:rPr>
                <w:rFonts w:asciiTheme="minorHAnsi" w:hAnsiTheme="minorHAnsi"/>
                <w:b/>
              </w:rPr>
            </w:pP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32: A rehabilitation program invests funds in older housing stock while preserving its architectural integrity.</w:t>
            </w:r>
            <w:r w:rsidRPr="00344973">
              <w:rPr>
                <w:rStyle w:val="FootnoteReference"/>
                <w:rFonts w:asciiTheme="minorHAnsi" w:hAnsiTheme="minorHAnsi"/>
              </w:rPr>
              <w:footnoteReference w:id="36"/>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082684666"/>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066493903"/>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33: The local government encourages churches and civic institutions to identify land they own that could be used for affordable housing.</w:t>
            </w:r>
            <w:r w:rsidRPr="00344973">
              <w:rPr>
                <w:rStyle w:val="FootnoteReference"/>
                <w:rFonts w:asciiTheme="minorHAnsi" w:hAnsiTheme="minorHAnsi"/>
              </w:rPr>
              <w:footnoteReference w:id="37"/>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21288504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67915611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1,2,3</w:t>
            </w:r>
          </w:p>
        </w:tc>
      </w:tr>
      <w:tr w:rsidR="00C915A8" w:rsidRPr="00344973" w:rsidTr="00C915A8">
        <w:trPr>
          <w:cantSplit/>
        </w:trPr>
        <w:tc>
          <w:tcPr>
            <w:tcW w:w="9459" w:type="dxa"/>
          </w:tcPr>
          <w:p w:rsidR="00C915A8" w:rsidRPr="00344973" w:rsidRDefault="00C915A8" w:rsidP="00D04DC4">
            <w:pPr>
              <w:pStyle w:val="tabletext"/>
              <w:spacing w:before="80" w:after="80"/>
              <w:rPr>
                <w:rFonts w:asciiTheme="minorHAnsi" w:hAnsiTheme="minorHAnsi"/>
              </w:rPr>
            </w:pPr>
            <w:r w:rsidRPr="00344973">
              <w:rPr>
                <w:rFonts w:asciiTheme="minorHAnsi" w:hAnsiTheme="minorHAnsi"/>
              </w:rPr>
              <w:t>Strategy 34: A home-sharing program allows older adults to identify people who live in centrally located, walkable, and mixed-use places near transit, and are interested in leasing space in their homes.</w:t>
            </w:r>
            <w:r w:rsidRPr="00344973">
              <w:rPr>
                <w:rStyle w:val="FootnoteReference"/>
                <w:rFonts w:asciiTheme="minorHAnsi" w:hAnsiTheme="minorHAnsi"/>
              </w:rPr>
              <w:footnoteReference w:id="38"/>
            </w:r>
            <w:r w:rsidR="00D04DC4" w:rsidRPr="00344973">
              <w:rPr>
                <w:rFonts w:asciiTheme="minorHAnsi" w:hAnsiTheme="minorHAnsi"/>
              </w:rPr>
              <w:t xml:space="preserve">  </w:t>
            </w:r>
            <w:r w:rsidR="00D04DC4" w:rsidRPr="00344973">
              <w:rPr>
                <w:rFonts w:asciiTheme="minorHAnsi" w:hAnsiTheme="minorHAnsi"/>
                <w:i/>
                <w:color w:val="FF0000"/>
              </w:rPr>
              <w:fldChar w:fldCharType="begin">
                <w:ffData>
                  <w:name w:val="Text1"/>
                  <w:enabled/>
                  <w:calcOnExit w:val="0"/>
                  <w:textInput/>
                </w:ffData>
              </w:fldChar>
            </w:r>
            <w:r w:rsidR="00D04DC4" w:rsidRPr="00344973">
              <w:rPr>
                <w:rFonts w:asciiTheme="minorHAnsi" w:hAnsiTheme="minorHAnsi"/>
                <w:i/>
                <w:color w:val="FF0000"/>
              </w:rPr>
              <w:instrText xml:space="preserve"> FORMTEXT </w:instrText>
            </w:r>
            <w:r w:rsidR="00D04DC4" w:rsidRPr="00344973">
              <w:rPr>
                <w:rFonts w:asciiTheme="minorHAnsi" w:hAnsiTheme="minorHAnsi"/>
                <w:i/>
                <w:color w:val="FF0000"/>
              </w:rPr>
            </w:r>
            <w:r w:rsidR="00D04DC4" w:rsidRPr="00344973">
              <w:rPr>
                <w:rFonts w:asciiTheme="minorHAnsi" w:hAnsiTheme="minorHAnsi"/>
                <w:i/>
                <w:color w:val="FF0000"/>
              </w:rPr>
              <w:fldChar w:fldCharType="separate"/>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noProof/>
                <w:color w:val="FF0000"/>
              </w:rPr>
              <w:t> </w:t>
            </w:r>
            <w:r w:rsidR="00D04DC4" w:rsidRPr="00344973">
              <w:rPr>
                <w:rFonts w:asciiTheme="minorHAnsi" w:hAnsiTheme="minorHAnsi"/>
                <w:i/>
                <w:color w:val="FF0000"/>
              </w:rPr>
              <w:fldChar w:fldCharType="end"/>
            </w:r>
          </w:p>
        </w:tc>
        <w:sdt>
          <w:sdtPr>
            <w:rPr>
              <w:rFonts w:asciiTheme="minorHAnsi" w:hAnsiTheme="minorHAnsi"/>
            </w:rPr>
            <w:id w:val="-1690520875"/>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sdt>
          <w:sdtPr>
            <w:rPr>
              <w:rFonts w:asciiTheme="minorHAnsi" w:hAnsiTheme="minorHAnsi"/>
            </w:rPr>
            <w:id w:val="164834369"/>
            <w14:checkbox>
              <w14:checked w14:val="0"/>
              <w14:checkedState w14:val="2612" w14:font="MS Gothic"/>
              <w14:uncheckedState w14:val="2610" w14:font="MS Gothic"/>
            </w14:checkbox>
          </w:sdtPr>
          <w:sdtEndPr/>
          <w:sdtContent>
            <w:tc>
              <w:tcPr>
                <w:tcW w:w="1429" w:type="dxa"/>
              </w:tcPr>
              <w:p w:rsidR="00C915A8" w:rsidRPr="00344973" w:rsidRDefault="00C915A8" w:rsidP="00D04DC4">
                <w:pPr>
                  <w:pStyle w:val="tabletext"/>
                  <w:spacing w:before="80" w:after="80"/>
                  <w:jc w:val="center"/>
                  <w:rPr>
                    <w:rFonts w:asciiTheme="minorHAnsi" w:hAnsiTheme="minorHAnsi"/>
                  </w:rPr>
                </w:pPr>
                <w:r w:rsidRPr="00344973">
                  <w:rPr>
                    <w:rFonts w:ascii="MS Gothic" w:eastAsia="MS Gothic" w:hAnsi="MS Gothic" w:cs="MS Gothic" w:hint="eastAsia"/>
                  </w:rPr>
                  <w:t>☐</w:t>
                </w:r>
              </w:p>
            </w:tc>
          </w:sdtContent>
        </w:sdt>
        <w:tc>
          <w:tcPr>
            <w:tcW w:w="1253" w:type="dxa"/>
          </w:tcPr>
          <w:p w:rsidR="00C915A8" w:rsidRPr="00344973" w:rsidRDefault="00C915A8" w:rsidP="00D04DC4">
            <w:pPr>
              <w:pStyle w:val="tabletext"/>
              <w:spacing w:before="80" w:after="80"/>
              <w:jc w:val="center"/>
              <w:rPr>
                <w:rFonts w:asciiTheme="minorHAnsi" w:hAnsiTheme="minorHAnsi"/>
              </w:rPr>
            </w:pPr>
            <w:r w:rsidRPr="00344973">
              <w:rPr>
                <w:rFonts w:asciiTheme="minorHAnsi" w:hAnsiTheme="minorHAnsi"/>
              </w:rPr>
              <w:t>1,2</w:t>
            </w:r>
          </w:p>
        </w:tc>
      </w:tr>
    </w:tbl>
    <w:p w:rsidR="00DC4273" w:rsidRPr="00B7373C" w:rsidRDefault="00DC4273" w:rsidP="00C915A8"/>
    <w:sectPr w:rsidR="00DC4273" w:rsidRPr="00B7373C" w:rsidSect="00E97A3F">
      <w:headerReference w:type="default" r:id="rId8"/>
      <w:footerReference w:type="default" r:id="rId9"/>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27" w:rsidRDefault="009D1C27" w:rsidP="000364A3">
      <w:pPr>
        <w:spacing w:after="0" w:line="240" w:lineRule="auto"/>
      </w:pPr>
      <w:r>
        <w:separator/>
      </w:r>
    </w:p>
  </w:endnote>
  <w:endnote w:type="continuationSeparator" w:id="0">
    <w:p w:rsidR="009D1C27" w:rsidRDefault="009D1C27"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0364A3" w:rsidTr="00D6406A">
      <w:tc>
        <w:tcPr>
          <w:tcW w:w="4500" w:type="pct"/>
          <w:tcBorders>
            <w:top w:val="single" w:sz="4" w:space="0" w:color="000000" w:themeColor="text1"/>
          </w:tcBorders>
        </w:tcPr>
        <w:p w:rsidR="000364A3" w:rsidRPr="00724694" w:rsidRDefault="000364A3"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0364A3" w:rsidRPr="00724694" w:rsidRDefault="000364A3" w:rsidP="00D6406A">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B94429">
            <w:rPr>
              <w:noProof/>
              <w:color w:val="FFFFFF" w:themeColor="background1"/>
              <w:sz w:val="18"/>
              <w:szCs w:val="18"/>
            </w:rPr>
            <w:t>5</w:t>
          </w:r>
          <w:r w:rsidRPr="00846C31">
            <w:rPr>
              <w:noProof/>
              <w:color w:val="FFFFFF" w:themeColor="background1"/>
              <w:sz w:val="18"/>
              <w:szCs w:val="18"/>
            </w:rPr>
            <w:fldChar w:fldCharType="end"/>
          </w:r>
        </w:p>
      </w:tc>
    </w:tr>
  </w:tbl>
  <w:p w:rsidR="000364A3" w:rsidRPr="00666A88" w:rsidRDefault="000364A3"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27" w:rsidRDefault="009D1C27" w:rsidP="000364A3">
      <w:pPr>
        <w:spacing w:after="0" w:line="240" w:lineRule="auto"/>
      </w:pPr>
      <w:r>
        <w:separator/>
      </w:r>
    </w:p>
  </w:footnote>
  <w:footnote w:type="continuationSeparator" w:id="0">
    <w:p w:rsidR="009D1C27" w:rsidRDefault="009D1C27" w:rsidP="000364A3">
      <w:pPr>
        <w:spacing w:after="0" w:line="240" w:lineRule="auto"/>
      </w:pPr>
      <w:r>
        <w:continuationSeparator/>
      </w:r>
    </w:p>
  </w:footnote>
  <w:footnote w:id="1">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EPA’s smart growth website has a page with more information and resources on smart growth and affordable housing: </w:t>
      </w:r>
      <w:r>
        <w:rPr>
          <w:sz w:val="16"/>
        </w:rPr>
        <w:t>(</w:t>
      </w:r>
      <w:hyperlink r:id="rId1" w:history="1">
        <w:r w:rsidRPr="009C63D2">
          <w:rPr>
            <w:rStyle w:val="Hyperlink"/>
            <w:sz w:val="16"/>
          </w:rPr>
          <w:t>http://www.epa.gov/smartgrowth/topics/ah.htm</w:t>
        </w:r>
      </w:hyperlink>
      <w:r w:rsidRPr="004F661D">
        <w:rPr>
          <w:rStyle w:val="Hyperlink"/>
          <w:sz w:val="16"/>
        </w:rPr>
        <w:t>)</w:t>
      </w:r>
      <w:r w:rsidRPr="009C63D2">
        <w:rPr>
          <w:sz w:val="16"/>
        </w:rPr>
        <w:t xml:space="preserve">. </w:t>
      </w:r>
    </w:p>
  </w:footnote>
  <w:footnote w:id="2">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3">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Fort Collins, C</w:t>
      </w:r>
      <w:r>
        <w:rPr>
          <w:sz w:val="16"/>
        </w:rPr>
        <w:t>olorado</w:t>
      </w:r>
      <w:r w:rsidRPr="009C63D2">
        <w:rPr>
          <w:sz w:val="16"/>
        </w:rPr>
        <w:t xml:space="preserve"> Affordable Housing Programs (</w:t>
      </w:r>
      <w:hyperlink r:id="rId2" w:history="1">
        <w:r w:rsidRPr="009C63D2">
          <w:rPr>
            <w:rStyle w:val="Hyperlink"/>
            <w:sz w:val="16"/>
          </w:rPr>
          <w:t>http://www.fcgov.com/socialsustainability/other.php</w:t>
        </w:r>
      </w:hyperlink>
      <w:r w:rsidRPr="009C63D2">
        <w:rPr>
          <w:sz w:val="16"/>
        </w:rPr>
        <w:t>).</w:t>
      </w:r>
    </w:p>
  </w:footnote>
  <w:footnote w:id="4">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Gardena, C</w:t>
      </w:r>
      <w:r>
        <w:rPr>
          <w:sz w:val="16"/>
        </w:rPr>
        <w:t>alifornia</w:t>
      </w:r>
      <w:r w:rsidRPr="009C63D2">
        <w:rPr>
          <w:sz w:val="16"/>
        </w:rPr>
        <w:t xml:space="preserve"> Senior Citizen Housing Incentives (</w:t>
      </w:r>
      <w:hyperlink r:id="rId3" w:history="1">
        <w:r w:rsidRPr="009C63D2">
          <w:rPr>
            <w:rStyle w:val="Hyperlink"/>
            <w:sz w:val="16"/>
          </w:rPr>
          <w:t>http://www.codepublishing.com/CA/Gardena/mobile/?pg=Gardena18/Gardena1843.html</w:t>
        </w:r>
      </w:hyperlink>
      <w:r w:rsidRPr="009C63D2">
        <w:rPr>
          <w:sz w:val="16"/>
        </w:rPr>
        <w:t xml:space="preserve">). </w:t>
      </w:r>
    </w:p>
  </w:footnote>
  <w:footnote w:id="5">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For more strategies to encourage reinvestment in historic buildings, please see the “Preserve Historic and Cultural Resources” tool section.</w:t>
      </w:r>
    </w:p>
  </w:footnote>
  <w:footnote w:id="6">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Gresham</w:t>
      </w:r>
      <w:r>
        <w:rPr>
          <w:sz w:val="16"/>
        </w:rPr>
        <w:t>,</w:t>
      </w:r>
      <w:r w:rsidRPr="009C63D2">
        <w:rPr>
          <w:sz w:val="16"/>
        </w:rPr>
        <w:t xml:space="preserve"> O</w:t>
      </w:r>
      <w:r>
        <w:rPr>
          <w:sz w:val="16"/>
        </w:rPr>
        <w:t>regon</w:t>
      </w:r>
      <w:r w:rsidRPr="009C63D2">
        <w:rPr>
          <w:sz w:val="16"/>
        </w:rPr>
        <w:t xml:space="preserve"> Apartment Rehabilitation Grant Program (</w:t>
      </w:r>
      <w:hyperlink r:id="rId4" w:history="1">
        <w:r w:rsidRPr="009C63D2">
          <w:rPr>
            <w:rStyle w:val="Hyperlink"/>
            <w:sz w:val="16"/>
          </w:rPr>
          <w:t>http://greshamoregon.gov/city/city-departments/urban-renewal/grant-programs/template.aspx?id=7308</w:t>
        </w:r>
      </w:hyperlink>
      <w:r w:rsidRPr="009C63D2">
        <w:rPr>
          <w:sz w:val="16"/>
        </w:rPr>
        <w:t>).</w:t>
      </w:r>
    </w:p>
  </w:footnote>
  <w:footnote w:id="7">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Westminster, M</w:t>
      </w:r>
      <w:r>
        <w:rPr>
          <w:sz w:val="16"/>
        </w:rPr>
        <w:t>aryland</w:t>
      </w:r>
      <w:r w:rsidRPr="009C63D2">
        <w:rPr>
          <w:sz w:val="16"/>
        </w:rPr>
        <w:t xml:space="preserve"> 2009 Comprehensive Plan: Housing &amp; Neighborhood Revitalization (</w:t>
      </w:r>
      <w:hyperlink r:id="rId5" w:history="1">
        <w:r w:rsidRPr="009C63D2">
          <w:rPr>
            <w:rStyle w:val="Hyperlink"/>
            <w:sz w:val="16"/>
          </w:rPr>
          <w:t>http://www.westgov.com/162/Comprehensive-Plan</w:t>
        </w:r>
      </w:hyperlink>
      <w:r w:rsidRPr="009C63D2">
        <w:rPr>
          <w:sz w:val="16"/>
        </w:rPr>
        <w:t xml:space="preserve">). </w:t>
      </w:r>
    </w:p>
  </w:footnote>
  <w:footnote w:id="8">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Altamonte Springs City Plan 2030: Housing Element (</w:t>
      </w:r>
      <w:hyperlink r:id="rId6" w:history="1">
        <w:r w:rsidRPr="009C63D2">
          <w:rPr>
            <w:rStyle w:val="Hyperlink"/>
            <w:sz w:val="16"/>
          </w:rPr>
          <w:t>http://www.altamonte.org/index.aspx?NID=410</w:t>
        </w:r>
      </w:hyperlink>
      <w:r w:rsidRPr="009C63D2">
        <w:rPr>
          <w:sz w:val="16"/>
        </w:rPr>
        <w:t xml:space="preserve">). </w:t>
      </w:r>
    </w:p>
  </w:footnote>
  <w:footnote w:id="9">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Medford, O</w:t>
      </w:r>
      <w:r>
        <w:rPr>
          <w:sz w:val="16"/>
        </w:rPr>
        <w:t>regon</w:t>
      </w:r>
      <w:r w:rsidRPr="009C63D2">
        <w:rPr>
          <w:sz w:val="16"/>
        </w:rPr>
        <w:t>: Accessory Dwelling Units (</w:t>
      </w:r>
      <w:hyperlink r:id="rId7" w:history="1">
        <w:r w:rsidRPr="009C63D2">
          <w:rPr>
            <w:rStyle w:val="Hyperlink"/>
            <w:sz w:val="16"/>
          </w:rPr>
          <w:t>http://www.ci.medford.or.us/Code.asp?CodeID=3942</w:t>
        </w:r>
      </w:hyperlink>
      <w:r w:rsidRPr="009C63D2">
        <w:rPr>
          <w:sz w:val="16"/>
        </w:rPr>
        <w:t xml:space="preserve">). </w:t>
      </w:r>
    </w:p>
  </w:footnote>
  <w:footnote w:id="10">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East Norriton, P</w:t>
      </w:r>
      <w:r>
        <w:rPr>
          <w:sz w:val="16"/>
        </w:rPr>
        <w:t>ensylvania</w:t>
      </w:r>
      <w:r w:rsidRPr="009C63D2">
        <w:rPr>
          <w:sz w:val="16"/>
        </w:rPr>
        <w:t>. Creation of Age-Targeted Residential District (</w:t>
      </w:r>
      <w:hyperlink r:id="rId8" w:history="1">
        <w:r w:rsidRPr="009C63D2">
          <w:rPr>
            <w:rStyle w:val="Hyperlink"/>
            <w:sz w:val="16"/>
          </w:rPr>
          <w:t>http://www.eastnorritontwp.org/home/resources/ordinances/ordinances-400-present.aspx</w:t>
        </w:r>
      </w:hyperlink>
      <w:r w:rsidRPr="009C63D2">
        <w:rPr>
          <w:sz w:val="16"/>
        </w:rPr>
        <w:t xml:space="preserve">). </w:t>
      </w:r>
    </w:p>
  </w:footnote>
  <w:footnote w:id="11">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The Cohousing Association of the United States provides information about cohousing on its website: </w:t>
      </w:r>
      <w:r>
        <w:rPr>
          <w:sz w:val="16"/>
        </w:rPr>
        <w:t>(</w:t>
      </w:r>
      <w:hyperlink r:id="rId9" w:history="1">
        <w:r w:rsidRPr="009C63D2">
          <w:rPr>
            <w:rStyle w:val="Hyperlink"/>
            <w:sz w:val="16"/>
          </w:rPr>
          <w:t>http://www.cohousing.org/what_is_cohousing</w:t>
        </w:r>
      </w:hyperlink>
      <w:r w:rsidRPr="004F661D">
        <w:rPr>
          <w:rStyle w:val="Hyperlink"/>
          <w:sz w:val="16"/>
        </w:rPr>
        <w:t>)</w:t>
      </w:r>
      <w:r w:rsidRPr="009C63D2">
        <w:rPr>
          <w:sz w:val="16"/>
        </w:rPr>
        <w:t xml:space="preserve">. </w:t>
      </w:r>
    </w:p>
  </w:footnote>
  <w:footnote w:id="12">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The Access Board's ADA Standards are available at its website:</w:t>
      </w:r>
      <w:r>
        <w:rPr>
          <w:sz w:val="16"/>
        </w:rPr>
        <w:t xml:space="preserve"> (</w:t>
      </w:r>
      <w:hyperlink r:id="rId10" w:history="1">
        <w:r w:rsidRPr="009C63D2">
          <w:rPr>
            <w:rStyle w:val="Hyperlink"/>
            <w:sz w:val="16"/>
          </w:rPr>
          <w:t>http://www.access-board.gov/guidelines-and-standards/buildings-and-sites/about-the-ada-standards</w:t>
        </w:r>
      </w:hyperlink>
      <w:r>
        <w:rPr>
          <w:rStyle w:val="Hyperlink"/>
          <w:sz w:val="16"/>
        </w:rPr>
        <w:t>).</w:t>
      </w:r>
      <w:r w:rsidRPr="009C63D2">
        <w:rPr>
          <w:sz w:val="16"/>
        </w:rPr>
        <w:t xml:space="preserve"> </w:t>
      </w:r>
    </w:p>
  </w:footnote>
  <w:footnote w:id="13">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North Carolina State University’s Center for Universal Design provides resources on universal design: </w:t>
      </w:r>
      <w:r>
        <w:rPr>
          <w:sz w:val="16"/>
        </w:rPr>
        <w:t>(</w:t>
      </w:r>
      <w:hyperlink r:id="rId11" w:history="1">
        <w:r w:rsidRPr="009C63D2">
          <w:rPr>
            <w:rStyle w:val="Hyperlink"/>
            <w:sz w:val="16"/>
          </w:rPr>
          <w:t>http://www.ncsu.edu/ncsu/design/cud/quicklinks_ql/qlquicklinks.htm</w:t>
        </w:r>
      </w:hyperlink>
      <w:r w:rsidRPr="004F661D">
        <w:rPr>
          <w:rStyle w:val="Hyperlink"/>
          <w:sz w:val="16"/>
        </w:rPr>
        <w:t>)</w:t>
      </w:r>
      <w:r w:rsidRPr="009C63D2">
        <w:rPr>
          <w:rStyle w:val="Hyperlink"/>
          <w:sz w:val="16"/>
        </w:rPr>
        <w:t>.</w:t>
      </w:r>
      <w:r w:rsidRPr="009C63D2">
        <w:rPr>
          <w:sz w:val="16"/>
        </w:rPr>
        <w:t xml:space="preserve"> </w:t>
      </w:r>
    </w:p>
  </w:footnote>
  <w:footnote w:id="14">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Belgrade, M</w:t>
      </w:r>
      <w:r>
        <w:rPr>
          <w:sz w:val="16"/>
        </w:rPr>
        <w:t>ontana</w:t>
      </w:r>
      <w:r w:rsidRPr="009C63D2">
        <w:rPr>
          <w:sz w:val="16"/>
        </w:rPr>
        <w:t xml:space="preserve"> Zoning Ordinance</w:t>
      </w:r>
      <w:r>
        <w:rPr>
          <w:sz w:val="16"/>
        </w:rPr>
        <w:t>: Townhouse Standards</w:t>
      </w:r>
      <w:r w:rsidRPr="009C63D2">
        <w:rPr>
          <w:sz w:val="16"/>
        </w:rPr>
        <w:t xml:space="preserve"> (</w:t>
      </w:r>
      <w:hyperlink r:id="rId12" w:history="1">
        <w:r w:rsidRPr="009C63D2">
          <w:rPr>
            <w:rStyle w:val="Hyperlink"/>
            <w:sz w:val="16"/>
          </w:rPr>
          <w:t>http://ci.belgrade.mt.us/zoning/11-32.htm</w:t>
        </w:r>
      </w:hyperlink>
      <w:r w:rsidRPr="009C63D2">
        <w:rPr>
          <w:sz w:val="16"/>
        </w:rPr>
        <w:t>).</w:t>
      </w:r>
    </w:p>
  </w:footnote>
  <w:footnote w:id="15">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Keller, T</w:t>
      </w:r>
      <w:r>
        <w:rPr>
          <w:sz w:val="16"/>
        </w:rPr>
        <w:t>exas</w:t>
      </w:r>
      <w:r w:rsidRPr="009C63D2">
        <w:rPr>
          <w:sz w:val="16"/>
        </w:rPr>
        <w:t xml:space="preserve"> Zoning Districts (</w:t>
      </w:r>
      <w:hyperlink r:id="rId13" w:history="1">
        <w:r w:rsidRPr="009C63D2">
          <w:rPr>
            <w:rStyle w:val="Hyperlink"/>
            <w:sz w:val="16"/>
          </w:rPr>
          <w:t>http://www.cityofkeller.com/index.aspx?page=531</w:t>
        </w:r>
      </w:hyperlink>
      <w:r w:rsidRPr="009C63D2">
        <w:rPr>
          <w:sz w:val="16"/>
        </w:rPr>
        <w:t>).</w:t>
      </w:r>
    </w:p>
  </w:footnote>
  <w:footnote w:id="16">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Pierce County, W</w:t>
      </w:r>
      <w:r>
        <w:rPr>
          <w:sz w:val="16"/>
        </w:rPr>
        <w:t>ashington</w:t>
      </w:r>
      <w:r w:rsidRPr="009C63D2">
        <w:rPr>
          <w:sz w:val="16"/>
        </w:rPr>
        <w:t xml:space="preserve"> Development </w:t>
      </w:r>
      <w:r w:rsidRPr="0089667A">
        <w:rPr>
          <w:sz w:val="16"/>
        </w:rPr>
        <w:t>Regulations (</w:t>
      </w:r>
      <w:hyperlink r:id="rId14" w:history="1">
        <w:r w:rsidRPr="0089667A">
          <w:rPr>
            <w:rStyle w:val="Hyperlink"/>
            <w:sz w:val="16"/>
          </w:rPr>
          <w:t>https://www.co.pierce.wa.us/DocumentCenter/View/5333</w:t>
        </w:r>
      </w:hyperlink>
      <w:r w:rsidRPr="0089667A">
        <w:rPr>
          <w:sz w:val="16"/>
        </w:rPr>
        <w:t>).</w:t>
      </w:r>
    </w:p>
  </w:footnote>
  <w:footnote w:id="17">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Longview, W</w:t>
      </w:r>
      <w:r>
        <w:rPr>
          <w:sz w:val="16"/>
        </w:rPr>
        <w:t>ashington</w:t>
      </w:r>
      <w:r w:rsidRPr="009C63D2">
        <w:rPr>
          <w:sz w:val="16"/>
        </w:rPr>
        <w:t xml:space="preserve"> Manufactured Homes permitted in all Single Family Districts (</w:t>
      </w:r>
      <w:hyperlink r:id="rId15" w:history="1">
        <w:r w:rsidRPr="009C63D2">
          <w:rPr>
            <w:rStyle w:val="Hyperlink"/>
            <w:sz w:val="16"/>
          </w:rPr>
          <w:t>http://www.codepublishing.com/wa/longview/html/Longview16/Longview1638.html</w:t>
        </w:r>
      </w:hyperlink>
      <w:r w:rsidRPr="009C63D2">
        <w:rPr>
          <w:sz w:val="16"/>
        </w:rPr>
        <w:t>).</w:t>
      </w:r>
    </w:p>
  </w:footnote>
  <w:footnote w:id="18">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Home-sharing is generally defined as people who are not from the same immediate family living in one house. Many towns, especially college towns, restrict unrelated people from living together to prevent student housing from taking over neighborhoods. Communities should implement </w:t>
      </w:r>
      <w:r w:rsidRPr="009C63D2">
        <w:rPr>
          <w:sz w:val="16"/>
          <w:szCs w:val="16"/>
        </w:rPr>
        <w:t xml:space="preserve">this practice </w:t>
      </w:r>
      <w:r w:rsidRPr="009C63D2">
        <w:rPr>
          <w:sz w:val="16"/>
        </w:rPr>
        <w:t>with an understanding of how shared housing is affected. The National Shared Housing Resource Center provides additional information about shared housing</w:t>
      </w:r>
      <w:r>
        <w:rPr>
          <w:sz w:val="16"/>
        </w:rPr>
        <w:t>: (</w:t>
      </w:r>
      <w:hyperlink r:id="rId16" w:history="1">
        <w:r w:rsidRPr="009C63D2">
          <w:rPr>
            <w:rStyle w:val="Hyperlink"/>
            <w:sz w:val="16"/>
          </w:rPr>
          <w:t>http://nationalsharedhousing.org</w:t>
        </w:r>
      </w:hyperlink>
      <w:r>
        <w:rPr>
          <w:sz w:val="16"/>
        </w:rPr>
        <w:t>).</w:t>
      </w:r>
      <w:r w:rsidRPr="009C63D2">
        <w:rPr>
          <w:sz w:val="16"/>
        </w:rPr>
        <w:t xml:space="preserve"> </w:t>
      </w:r>
    </w:p>
  </w:footnote>
  <w:footnote w:id="19">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Mendocino County, C</w:t>
      </w:r>
      <w:r>
        <w:rPr>
          <w:sz w:val="16"/>
        </w:rPr>
        <w:t>alifornia</w:t>
      </w:r>
      <w:r w:rsidRPr="009C63D2">
        <w:rPr>
          <w:sz w:val="16"/>
        </w:rPr>
        <w:t xml:space="preserve"> </w:t>
      </w:r>
      <w:r>
        <w:rPr>
          <w:sz w:val="16"/>
        </w:rPr>
        <w:t xml:space="preserve">General Plan: </w:t>
      </w:r>
      <w:r w:rsidRPr="009C63D2">
        <w:rPr>
          <w:sz w:val="16"/>
        </w:rPr>
        <w:t>Housing Element</w:t>
      </w:r>
      <w:r>
        <w:rPr>
          <w:sz w:val="16"/>
        </w:rPr>
        <w:t xml:space="preserve"> - a required element designed to facilitate the development of housing capable of meeting the needs of all County residents</w:t>
      </w:r>
      <w:r w:rsidRPr="009C63D2">
        <w:rPr>
          <w:sz w:val="16"/>
        </w:rPr>
        <w:t xml:space="preserve"> (</w:t>
      </w:r>
      <w:hyperlink r:id="rId17" w:history="1">
        <w:r w:rsidRPr="009C63D2">
          <w:rPr>
            <w:rStyle w:val="Hyperlink"/>
            <w:sz w:val="16"/>
          </w:rPr>
          <w:t>http://www.co.mendocino.ca.us/planning/plans/planGeneralTOC.htm</w:t>
        </w:r>
      </w:hyperlink>
      <w:r w:rsidRPr="009C63D2">
        <w:rPr>
          <w:sz w:val="16"/>
        </w:rPr>
        <w:t xml:space="preserve">). </w:t>
      </w:r>
    </w:p>
  </w:footnote>
  <w:footnote w:id="20">
    <w:p w:rsidR="00C915A8" w:rsidRPr="009C63D2" w:rsidRDefault="00C915A8" w:rsidP="00C915A8">
      <w:pPr>
        <w:pStyle w:val="FootnoteText"/>
        <w:contextualSpacing/>
        <w:rPr>
          <w:sz w:val="16"/>
        </w:rPr>
      </w:pPr>
      <w:r w:rsidRPr="009C63D2">
        <w:rPr>
          <w:rStyle w:val="FootnoteReference"/>
          <w:sz w:val="16"/>
        </w:rPr>
        <w:footnoteRef/>
      </w:r>
      <w:r>
        <w:rPr>
          <w:sz w:val="16"/>
        </w:rPr>
        <w:t xml:space="preserve"> Niwot, Colorado</w:t>
      </w:r>
      <w:r w:rsidRPr="009C63D2">
        <w:rPr>
          <w:sz w:val="16"/>
        </w:rPr>
        <w:t xml:space="preserve"> Rural Community District (</w:t>
      </w:r>
      <w:hyperlink r:id="rId18" w:history="1">
        <w:r w:rsidRPr="009C63D2">
          <w:rPr>
            <w:rStyle w:val="Hyperlink"/>
            <w:sz w:val="16"/>
          </w:rPr>
          <w:t>http://www.bouldercounty.org/property/build/pages/lucodeupdatedc120004.aspx</w:t>
        </w:r>
      </w:hyperlink>
      <w:r w:rsidRPr="009C63D2">
        <w:rPr>
          <w:sz w:val="16"/>
        </w:rPr>
        <w:t xml:space="preserve">). </w:t>
      </w:r>
    </w:p>
  </w:footnote>
  <w:footnote w:id="21">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Albemarle County, V</w:t>
      </w:r>
      <w:r>
        <w:rPr>
          <w:sz w:val="16"/>
        </w:rPr>
        <w:t>irginia</w:t>
      </w:r>
      <w:r w:rsidRPr="009C63D2">
        <w:rPr>
          <w:sz w:val="16"/>
        </w:rPr>
        <w:t xml:space="preserve"> Neighborhood Model: Mixture of Housing Types and Affordability (</w:t>
      </w:r>
      <w:hyperlink r:id="rId19" w:history="1">
        <w:r w:rsidRPr="009C63D2">
          <w:rPr>
            <w:rStyle w:val="Hyperlink"/>
            <w:sz w:val="16"/>
          </w:rPr>
          <w:t>http://www.albemarle.org/department.asp?department=cdd&amp;relpage=3981</w:t>
        </w:r>
      </w:hyperlink>
      <w:r w:rsidRPr="009C63D2">
        <w:rPr>
          <w:sz w:val="16"/>
        </w:rPr>
        <w:t xml:space="preserve">). </w:t>
      </w:r>
    </w:p>
  </w:footnote>
  <w:footnote w:id="22">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Sacramento, C</w:t>
      </w:r>
      <w:r>
        <w:rPr>
          <w:sz w:val="16"/>
        </w:rPr>
        <w:t>alifornia</w:t>
      </w:r>
      <w:r w:rsidRPr="009C63D2">
        <w:rPr>
          <w:sz w:val="16"/>
        </w:rPr>
        <w:t xml:space="preserve"> Mixed Income Housing Ordinance (</w:t>
      </w:r>
      <w:hyperlink r:id="rId20" w:history="1">
        <w:r w:rsidRPr="009C63D2">
          <w:rPr>
            <w:rStyle w:val="Hyperlink"/>
            <w:sz w:val="16"/>
          </w:rPr>
          <w:t>http://www.shra.org/Housing/MultifamilyHousing/InclusionaryHousing.aspx</w:t>
        </w:r>
      </w:hyperlink>
      <w:r w:rsidRPr="009C63D2">
        <w:rPr>
          <w:sz w:val="16"/>
        </w:rPr>
        <w:t xml:space="preserve">). </w:t>
      </w:r>
    </w:p>
  </w:footnote>
  <w:footnote w:id="23">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Wake Forest, N</w:t>
      </w:r>
      <w:r>
        <w:rPr>
          <w:sz w:val="16"/>
        </w:rPr>
        <w:t>orth Carolina</w:t>
      </w:r>
      <w:r w:rsidRPr="009C63D2">
        <w:rPr>
          <w:sz w:val="16"/>
        </w:rPr>
        <w:t xml:space="preserve"> Unified Development Ordinance Handbook (</w:t>
      </w:r>
      <w:hyperlink r:id="rId21" w:history="1">
        <w:r w:rsidRPr="009C63D2">
          <w:rPr>
            <w:rStyle w:val="Hyperlink"/>
            <w:sz w:val="16"/>
          </w:rPr>
          <w:t>http://www.wakeforestnc.gov/planning.aspx</w:t>
        </w:r>
      </w:hyperlink>
      <w:r w:rsidRPr="009C63D2">
        <w:rPr>
          <w:sz w:val="16"/>
        </w:rPr>
        <w:t xml:space="preserve">). </w:t>
      </w:r>
    </w:p>
  </w:footnote>
  <w:footnote w:id="24">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Montgomery County, M</w:t>
      </w:r>
      <w:r>
        <w:rPr>
          <w:sz w:val="16"/>
        </w:rPr>
        <w:t>aryland</w:t>
      </w:r>
      <w:r w:rsidRPr="009C63D2">
        <w:rPr>
          <w:sz w:val="16"/>
        </w:rPr>
        <w:t xml:space="preserve"> Commercial Residential Zones (</w:t>
      </w:r>
      <w:hyperlink r:id="rId22" w:history="1">
        <w:r w:rsidRPr="009C63D2">
          <w:rPr>
            <w:rStyle w:val="Hyperlink"/>
            <w:sz w:val="16"/>
          </w:rPr>
          <w:t>http://www.montgomeryplanning.org/development/com_res_zones.shtm</w:t>
        </w:r>
      </w:hyperlink>
      <w:r w:rsidRPr="009C63D2">
        <w:rPr>
          <w:sz w:val="16"/>
        </w:rPr>
        <w:t>).</w:t>
      </w:r>
    </w:p>
  </w:footnote>
  <w:footnote w:id="25">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Atlanta Regional Commission’s Lifelong Communities Program (</w:t>
      </w:r>
      <w:hyperlink r:id="rId23" w:history="1">
        <w:r w:rsidRPr="009C63D2">
          <w:rPr>
            <w:rStyle w:val="Hyperlink"/>
            <w:sz w:val="16"/>
          </w:rPr>
          <w:t>http://www.atlantaregional.com/aging-resources/lifelong-communities</w:t>
        </w:r>
      </w:hyperlink>
      <w:r w:rsidRPr="009C63D2">
        <w:rPr>
          <w:sz w:val="16"/>
        </w:rPr>
        <w:t xml:space="preserve">). </w:t>
      </w:r>
    </w:p>
  </w:footnote>
  <w:footnote w:id="26">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Center for Housing Policy</w:t>
      </w:r>
      <w:r>
        <w:rPr>
          <w:sz w:val="16"/>
        </w:rPr>
        <w:t>. Prioritize the use of suitable publicly-owned land for affordable homes</w:t>
      </w:r>
      <w:r w:rsidRPr="009C63D2">
        <w:rPr>
          <w:sz w:val="16"/>
        </w:rPr>
        <w:t xml:space="preserve"> (</w:t>
      </w:r>
      <w:hyperlink r:id="rId24" w:history="1">
        <w:r w:rsidRPr="009C63D2">
          <w:rPr>
            <w:rStyle w:val="Hyperlink"/>
            <w:sz w:val="16"/>
          </w:rPr>
          <w:t>http://www.housingpolicy.org/toolbox/strategy/policies/public_land.html?tierid=157</w:t>
        </w:r>
      </w:hyperlink>
      <w:r w:rsidRPr="009C63D2">
        <w:rPr>
          <w:sz w:val="16"/>
        </w:rPr>
        <w:t>).</w:t>
      </w:r>
    </w:p>
  </w:footnote>
  <w:footnote w:id="27">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Washington State Legislature. Affordable Housing – Inventory of State</w:t>
      </w:r>
      <w:r>
        <w:rPr>
          <w:sz w:val="16"/>
        </w:rPr>
        <w:t>-</w:t>
      </w:r>
      <w:r w:rsidRPr="009C63D2">
        <w:rPr>
          <w:sz w:val="16"/>
        </w:rPr>
        <w:t>Owned Land (</w:t>
      </w:r>
      <w:hyperlink r:id="rId25" w:history="1">
        <w:r w:rsidRPr="009C63D2">
          <w:rPr>
            <w:rStyle w:val="Hyperlink"/>
            <w:sz w:val="16"/>
          </w:rPr>
          <w:t>http://apps.leg.wa.gov/RCW/default.aspx?cite=43.63A.510</w:t>
        </w:r>
      </w:hyperlink>
      <w:r w:rsidRPr="009C63D2">
        <w:rPr>
          <w:sz w:val="16"/>
        </w:rPr>
        <w:t>).</w:t>
      </w:r>
    </w:p>
  </w:footnote>
  <w:footnote w:id="28">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The Center for Neighborhood Technology’s Housing + Transportation Affordability Index provides information on the combined cost of transportation and housing for several regions across the United States. More information on the index is available on their website: </w:t>
      </w:r>
      <w:r>
        <w:rPr>
          <w:sz w:val="16"/>
        </w:rPr>
        <w:t>(</w:t>
      </w:r>
      <w:hyperlink r:id="rId26" w:history="1">
        <w:r w:rsidRPr="00D00A79">
          <w:rPr>
            <w:rStyle w:val="Hyperlink"/>
            <w:sz w:val="16"/>
          </w:rPr>
          <w:t>http://htaindex.cnt.org/about/</w:t>
        </w:r>
      </w:hyperlink>
      <w:r>
        <w:rPr>
          <w:sz w:val="16"/>
        </w:rPr>
        <w:t>).</w:t>
      </w:r>
      <w:r w:rsidRPr="009C63D2">
        <w:rPr>
          <w:sz w:val="16"/>
        </w:rPr>
        <w:t xml:space="preserve"> </w:t>
      </w:r>
    </w:p>
  </w:footnote>
  <w:footnote w:id="29">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Minnesota House of Representatives. Tools for Increasing and Preserving the Current Supply of Affordable Rental Housing (</w:t>
      </w:r>
      <w:hyperlink r:id="rId27" w:history="1">
        <w:r w:rsidRPr="009C63D2">
          <w:rPr>
            <w:rStyle w:val="Hyperlink"/>
            <w:sz w:val="16"/>
          </w:rPr>
          <w:t>http://www.house.leg.state.mn.us/fiscal/moneymatters.asp</w:t>
        </w:r>
      </w:hyperlink>
      <w:r w:rsidRPr="009C63D2">
        <w:rPr>
          <w:sz w:val="16"/>
        </w:rPr>
        <w:t xml:space="preserve">). </w:t>
      </w:r>
    </w:p>
  </w:footnote>
  <w:footnote w:id="30">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Buncombe County, N</w:t>
      </w:r>
      <w:r>
        <w:rPr>
          <w:sz w:val="16"/>
        </w:rPr>
        <w:t>orth Carolina</w:t>
      </w:r>
      <w:r w:rsidRPr="009C63D2">
        <w:rPr>
          <w:sz w:val="16"/>
        </w:rPr>
        <w:t xml:space="preserve"> Workforce Housing Incentive Policy for Rental Development (</w:t>
      </w:r>
      <w:hyperlink r:id="rId28" w:history="1">
        <w:r w:rsidRPr="009C63D2">
          <w:rPr>
            <w:rStyle w:val="Hyperlink"/>
            <w:sz w:val="16"/>
          </w:rPr>
          <w:t>http://www.buncombecounty.org/Governing/Depts/Planning/Housing.aspx</w:t>
        </w:r>
      </w:hyperlink>
      <w:r w:rsidRPr="009C63D2">
        <w:rPr>
          <w:sz w:val="16"/>
        </w:rPr>
        <w:t xml:space="preserve">). </w:t>
      </w:r>
    </w:p>
  </w:footnote>
  <w:footnote w:id="31">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New Hampshire Low and Moderate Income Homeowner’s Property Tax Relief Program (</w:t>
      </w:r>
      <w:hyperlink r:id="rId29" w:history="1">
        <w:r>
          <w:rPr>
            <w:rStyle w:val="Hyperlink"/>
            <w:sz w:val="16"/>
          </w:rPr>
          <w:t>http://revenue.nh.gov/assistance/low-moderate.htm</w:t>
        </w:r>
      </w:hyperlink>
      <w:r w:rsidRPr="009C63D2">
        <w:rPr>
          <w:sz w:val="16"/>
        </w:rPr>
        <w:t xml:space="preserve">). </w:t>
      </w:r>
    </w:p>
  </w:footnote>
  <w:footnote w:id="32">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Michigan </w:t>
      </w:r>
      <w:r>
        <w:rPr>
          <w:sz w:val="16"/>
        </w:rPr>
        <w:t xml:space="preserve">State Housing Development Authority. </w:t>
      </w:r>
      <w:r w:rsidRPr="009C63D2">
        <w:rPr>
          <w:sz w:val="16"/>
        </w:rPr>
        <w:t>Low Income Housing Tax Credits (</w:t>
      </w:r>
      <w:hyperlink r:id="rId30" w:history="1">
        <w:r w:rsidRPr="009C63D2">
          <w:rPr>
            <w:rStyle w:val="Hyperlink"/>
            <w:sz w:val="16"/>
          </w:rPr>
          <w:t>http://www.michigan.gov/mshda/0,1607,7-141-5587_5601---,00.html</w:t>
        </w:r>
      </w:hyperlink>
      <w:r w:rsidRPr="009C63D2">
        <w:rPr>
          <w:sz w:val="16"/>
        </w:rPr>
        <w:t>).</w:t>
      </w:r>
    </w:p>
  </w:footnote>
  <w:footnote w:id="33">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w:t>
      </w:r>
      <w:r>
        <w:rPr>
          <w:sz w:val="16"/>
        </w:rPr>
        <w:t xml:space="preserve">Neighborhood Housing Services of </w:t>
      </w:r>
      <w:r w:rsidRPr="009C63D2">
        <w:rPr>
          <w:sz w:val="16"/>
        </w:rPr>
        <w:t>San Antonio, T</w:t>
      </w:r>
      <w:r>
        <w:rPr>
          <w:sz w:val="16"/>
        </w:rPr>
        <w:t>exas.</w:t>
      </w:r>
      <w:r w:rsidRPr="009C63D2">
        <w:rPr>
          <w:sz w:val="16"/>
        </w:rPr>
        <w:t xml:space="preserve"> Home Buyer Education Program (</w:t>
      </w:r>
      <w:hyperlink r:id="rId31" w:history="1">
        <w:r w:rsidRPr="009C63D2">
          <w:rPr>
            <w:rStyle w:val="Hyperlink"/>
            <w:sz w:val="16"/>
          </w:rPr>
          <w:t>http://www.nhsofsa.org/en/home-buyer-resources/homebuyer-education-program.aspx</w:t>
        </w:r>
      </w:hyperlink>
      <w:r w:rsidRPr="009C63D2">
        <w:rPr>
          <w:sz w:val="16"/>
        </w:rPr>
        <w:t>).</w:t>
      </w:r>
    </w:p>
  </w:footnote>
  <w:footnote w:id="34">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Washtenaw County, M</w:t>
      </w:r>
      <w:r>
        <w:rPr>
          <w:sz w:val="16"/>
        </w:rPr>
        <w:t>ichigan</w:t>
      </w:r>
      <w:r w:rsidRPr="009C63D2">
        <w:rPr>
          <w:sz w:val="16"/>
        </w:rPr>
        <w:t xml:space="preserve"> Housing Education Partners (</w:t>
      </w:r>
      <w:hyperlink r:id="rId32" w:history="1">
        <w:r w:rsidRPr="009C63D2">
          <w:rPr>
            <w:rStyle w:val="Hyperlink"/>
            <w:sz w:val="16"/>
          </w:rPr>
          <w:t>http://www.ewashtenaw.org/government/departments/community-and-economic-development/housing-and-community-infrastructure/home-buyer-program/whep/Homebuyer%20Education%20Program</w:t>
        </w:r>
      </w:hyperlink>
      <w:r w:rsidRPr="009C63D2">
        <w:rPr>
          <w:sz w:val="16"/>
        </w:rPr>
        <w:t>).</w:t>
      </w:r>
    </w:p>
  </w:footnote>
  <w:footnote w:id="35">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Upper Darby Township, P</w:t>
      </w:r>
      <w:r>
        <w:rPr>
          <w:sz w:val="16"/>
        </w:rPr>
        <w:t xml:space="preserve">ennsylvania </w:t>
      </w:r>
      <w:r w:rsidRPr="009C63D2">
        <w:rPr>
          <w:sz w:val="16"/>
        </w:rPr>
        <w:t>Homeowner Improvement Code Compliance Program</w:t>
      </w:r>
      <w:r>
        <w:rPr>
          <w:sz w:val="16"/>
        </w:rPr>
        <w:t>: Guidelines and Procedures</w:t>
      </w:r>
      <w:r w:rsidRPr="009C63D2">
        <w:rPr>
          <w:sz w:val="16"/>
        </w:rPr>
        <w:t xml:space="preserve"> (</w:t>
      </w:r>
      <w:hyperlink r:id="rId33" w:history="1">
        <w:r w:rsidRPr="009C63D2">
          <w:rPr>
            <w:rStyle w:val="Hyperlink"/>
            <w:sz w:val="16"/>
          </w:rPr>
          <w:t>http://www.upperdarby.org/Gov/Community_Development/HICCP.html</w:t>
        </w:r>
      </w:hyperlink>
      <w:r w:rsidRPr="009C63D2">
        <w:rPr>
          <w:sz w:val="16"/>
          <w:szCs w:val="16"/>
        </w:rPr>
        <w:t>).</w:t>
      </w:r>
    </w:p>
  </w:footnote>
  <w:footnote w:id="36">
    <w:p w:rsidR="00C915A8" w:rsidRPr="009C63D2" w:rsidRDefault="00C915A8" w:rsidP="00C915A8">
      <w:pPr>
        <w:pStyle w:val="FootnoteText"/>
        <w:contextualSpacing/>
        <w:rPr>
          <w:sz w:val="16"/>
        </w:rPr>
      </w:pPr>
      <w:r w:rsidRPr="009C63D2">
        <w:rPr>
          <w:rStyle w:val="FootnoteReference"/>
          <w:sz w:val="16"/>
        </w:rPr>
        <w:footnoteRef/>
      </w:r>
      <w:r>
        <w:rPr>
          <w:sz w:val="16"/>
        </w:rPr>
        <w:t xml:space="preserve"> Cary, North Carolina’s </w:t>
      </w:r>
      <w:r w:rsidRPr="009C63D2">
        <w:rPr>
          <w:sz w:val="16"/>
        </w:rPr>
        <w:t>Housing Rehabilitation Program</w:t>
      </w:r>
      <w:r>
        <w:rPr>
          <w:sz w:val="16"/>
        </w:rPr>
        <w:t xml:space="preserve"> provides federal funds to assist residential property owners to undertake home repairs and improvements</w:t>
      </w:r>
      <w:r w:rsidRPr="009C63D2">
        <w:rPr>
          <w:sz w:val="16"/>
        </w:rPr>
        <w:t xml:space="preserve"> (</w:t>
      </w:r>
      <w:hyperlink r:id="rId34" w:history="1">
        <w:r w:rsidRPr="009C63D2">
          <w:rPr>
            <w:rStyle w:val="Hyperlink"/>
            <w:sz w:val="16"/>
          </w:rPr>
          <w:t>http://www.townofcary.org/Departments/Planning_Department/Housing/Affordable_Housing_Initiative/Housing_Rehabilitation_Program.htm</w:t>
        </w:r>
      </w:hyperlink>
      <w:r w:rsidRPr="009C63D2">
        <w:rPr>
          <w:sz w:val="16"/>
        </w:rPr>
        <w:t>).</w:t>
      </w:r>
    </w:p>
  </w:footnote>
  <w:footnote w:id="37">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MWCOG Washington Area Housing Partnership</w:t>
      </w:r>
      <w:r>
        <w:rPr>
          <w:sz w:val="16"/>
        </w:rPr>
        <w:t>: Toolkits for Affordable Housing Advocacy and Development</w:t>
      </w:r>
      <w:r w:rsidRPr="009C63D2">
        <w:rPr>
          <w:sz w:val="16"/>
        </w:rPr>
        <w:t xml:space="preserve"> (</w:t>
      </w:r>
      <w:hyperlink r:id="rId35" w:history="1">
        <w:r w:rsidRPr="009C63D2">
          <w:rPr>
            <w:rStyle w:val="Hyperlink"/>
            <w:sz w:val="16"/>
          </w:rPr>
          <w:t>http://www.wahpdc.org/</w:t>
        </w:r>
      </w:hyperlink>
      <w:r w:rsidRPr="009C63D2">
        <w:rPr>
          <w:sz w:val="16"/>
        </w:rPr>
        <w:t>).</w:t>
      </w:r>
    </w:p>
  </w:footnote>
  <w:footnote w:id="38">
    <w:p w:rsidR="00C915A8" w:rsidRPr="009C63D2" w:rsidRDefault="00C915A8" w:rsidP="00C915A8">
      <w:pPr>
        <w:pStyle w:val="FootnoteText"/>
        <w:contextualSpacing/>
        <w:rPr>
          <w:sz w:val="16"/>
        </w:rPr>
      </w:pPr>
      <w:r w:rsidRPr="009C63D2">
        <w:rPr>
          <w:rStyle w:val="FootnoteReference"/>
          <w:sz w:val="16"/>
        </w:rPr>
        <w:footnoteRef/>
      </w:r>
      <w:r w:rsidRPr="009C63D2">
        <w:rPr>
          <w:sz w:val="16"/>
        </w:rPr>
        <w:t xml:space="preserve"> New Orleans, L</w:t>
      </w:r>
      <w:r>
        <w:rPr>
          <w:sz w:val="16"/>
        </w:rPr>
        <w:t xml:space="preserve">ouisiana: The </w:t>
      </w:r>
      <w:r w:rsidRPr="009C63D2">
        <w:rPr>
          <w:sz w:val="16"/>
        </w:rPr>
        <w:t>Shared Housing of New Orleans</w:t>
      </w:r>
      <w:r>
        <w:rPr>
          <w:sz w:val="16"/>
        </w:rPr>
        <w:t xml:space="preserve"> program helps elderly and disabled individuals stay out of nursing homes</w:t>
      </w:r>
      <w:r w:rsidRPr="009C63D2">
        <w:rPr>
          <w:sz w:val="16"/>
        </w:rPr>
        <w:t xml:space="preserve"> (</w:t>
      </w:r>
      <w:hyperlink r:id="rId36" w:history="1">
        <w:r w:rsidRPr="009C63D2">
          <w:rPr>
            <w:rStyle w:val="Hyperlink"/>
            <w:sz w:val="16"/>
          </w:rPr>
          <w:t>http://sharedhousingofneworleans.org/</w:t>
        </w:r>
      </w:hyperlink>
      <w:r w:rsidRPr="009C63D2">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A3" w:rsidRDefault="00B7373C" w:rsidP="00FB2179">
    <w:pPr>
      <w:pStyle w:val="SGHeader"/>
      <w:numPr>
        <w:ilvl w:val="0"/>
        <w:numId w:val="0"/>
      </w:numPr>
      <w:tabs>
        <w:tab w:val="left" w:pos="360"/>
      </w:tabs>
    </w:pPr>
    <w:r>
      <w:t>V</w:t>
    </w:r>
    <w:r w:rsidR="00C915A8">
      <w:t>I</w:t>
    </w:r>
    <w:r w:rsidR="001E4271">
      <w:t>I</w:t>
    </w:r>
    <w:r>
      <w:t>.</w:t>
    </w:r>
    <w:r>
      <w:tab/>
    </w:r>
    <w:r w:rsidR="00C915A8">
      <w:t>Meet Housing Needs for Different Ages and Incomes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64A3"/>
    <w:rsid w:val="00055FE3"/>
    <w:rsid w:val="001847B0"/>
    <w:rsid w:val="00196EB3"/>
    <w:rsid w:val="001C4D41"/>
    <w:rsid w:val="001E4271"/>
    <w:rsid w:val="002B60BB"/>
    <w:rsid w:val="0030528D"/>
    <w:rsid w:val="00337159"/>
    <w:rsid w:val="00344973"/>
    <w:rsid w:val="003F764B"/>
    <w:rsid w:val="00410D19"/>
    <w:rsid w:val="00423216"/>
    <w:rsid w:val="005426E4"/>
    <w:rsid w:val="005B315E"/>
    <w:rsid w:val="00622312"/>
    <w:rsid w:val="00680B7B"/>
    <w:rsid w:val="007F535A"/>
    <w:rsid w:val="008A1DC8"/>
    <w:rsid w:val="00952192"/>
    <w:rsid w:val="00980C88"/>
    <w:rsid w:val="009C5516"/>
    <w:rsid w:val="009D1C27"/>
    <w:rsid w:val="00A15440"/>
    <w:rsid w:val="00B7373C"/>
    <w:rsid w:val="00B94429"/>
    <w:rsid w:val="00BE5DFC"/>
    <w:rsid w:val="00C915A8"/>
    <w:rsid w:val="00CA02F2"/>
    <w:rsid w:val="00CC7C4E"/>
    <w:rsid w:val="00D04DC4"/>
    <w:rsid w:val="00D2343F"/>
    <w:rsid w:val="00D23A4B"/>
    <w:rsid w:val="00D34B00"/>
    <w:rsid w:val="00DC4273"/>
    <w:rsid w:val="00DD64C7"/>
    <w:rsid w:val="00E945CF"/>
    <w:rsid w:val="00E97A3F"/>
    <w:rsid w:val="00E97D1B"/>
    <w:rsid w:val="00EF2544"/>
    <w:rsid w:val="00F80DD4"/>
    <w:rsid w:val="00F83EFD"/>
    <w:rsid w:val="00FB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C9914"/>
  <w15:docId w15:val="{F1315733-4D7F-4ADC-BE6F-5EB18698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astnorritontwp.org/home/resources/ordinances/ordinances-400-present.aspx" TargetMode="External"/><Relationship Id="rId13" Type="http://schemas.openxmlformats.org/officeDocument/2006/relationships/hyperlink" Target="http://www.cityofkeller.com/index.aspx?page=531" TargetMode="External"/><Relationship Id="rId18" Type="http://schemas.openxmlformats.org/officeDocument/2006/relationships/hyperlink" Target="http://www.bouldercounty.org/property/build/pages/lucodeupdatedc120004.aspx" TargetMode="External"/><Relationship Id="rId26" Type="http://schemas.openxmlformats.org/officeDocument/2006/relationships/hyperlink" Target="http://htaindex.cnt.org/about/" TargetMode="External"/><Relationship Id="rId3" Type="http://schemas.openxmlformats.org/officeDocument/2006/relationships/hyperlink" Target="http://www.codepublishing.com/CA/Gardena/mobile/?pg=Gardena18/Gardena1843.html" TargetMode="External"/><Relationship Id="rId21" Type="http://schemas.openxmlformats.org/officeDocument/2006/relationships/hyperlink" Target="http://www.wakeforestnc.gov/planning.aspx" TargetMode="External"/><Relationship Id="rId34" Type="http://schemas.openxmlformats.org/officeDocument/2006/relationships/hyperlink" Target="http://www.townofcary.org/Departments/Planning_Department/Housing/Affordable_Housing_Initiative/Housing_Rehabilitation_Program.htm" TargetMode="External"/><Relationship Id="rId7" Type="http://schemas.openxmlformats.org/officeDocument/2006/relationships/hyperlink" Target="http://www.ci.medford.or.us/Code.asp?CodeID=3942" TargetMode="External"/><Relationship Id="rId12" Type="http://schemas.openxmlformats.org/officeDocument/2006/relationships/hyperlink" Target="http://ci.belgrade.mt.us/zoning/11-32.htm" TargetMode="External"/><Relationship Id="rId17" Type="http://schemas.openxmlformats.org/officeDocument/2006/relationships/hyperlink" Target="http://www.co.mendocino.ca.us/planning/plans/planGeneralTOC.htm" TargetMode="External"/><Relationship Id="rId25" Type="http://schemas.openxmlformats.org/officeDocument/2006/relationships/hyperlink" Target="http://apps.leg.wa.gov/RCW/default.aspx?cite=43.63A.510" TargetMode="External"/><Relationship Id="rId33" Type="http://schemas.openxmlformats.org/officeDocument/2006/relationships/hyperlink" Target="http://www.upperdarby.org/Gov/Community_Development/HICCP.html" TargetMode="External"/><Relationship Id="rId2" Type="http://schemas.openxmlformats.org/officeDocument/2006/relationships/hyperlink" Target="http://www.fcgov.com/socialsustainability/other.php" TargetMode="External"/><Relationship Id="rId16" Type="http://schemas.openxmlformats.org/officeDocument/2006/relationships/hyperlink" Target="http://nationalsharedhousing.org/" TargetMode="External"/><Relationship Id="rId20" Type="http://schemas.openxmlformats.org/officeDocument/2006/relationships/hyperlink" Target="http://www.shra.org/Housing/MultifamilyHousing/InclusionaryHousing.aspx" TargetMode="External"/><Relationship Id="rId29" Type="http://schemas.openxmlformats.org/officeDocument/2006/relationships/hyperlink" Target="http://revenue.nh.gov/assistance/low-moderate.htm" TargetMode="External"/><Relationship Id="rId1" Type="http://schemas.openxmlformats.org/officeDocument/2006/relationships/hyperlink" Target="http://www.epa.gov/smartgrowth/topics/ah.htm" TargetMode="External"/><Relationship Id="rId6" Type="http://schemas.openxmlformats.org/officeDocument/2006/relationships/hyperlink" Target="http://www.altamonte.org/index.aspx?NID=410" TargetMode="External"/><Relationship Id="rId11" Type="http://schemas.openxmlformats.org/officeDocument/2006/relationships/hyperlink" Target="http://www.ncsu.edu/ncsu/design/cud/quicklinks_ql/qlquicklinks.htm" TargetMode="External"/><Relationship Id="rId24" Type="http://schemas.openxmlformats.org/officeDocument/2006/relationships/hyperlink" Target="http://www.housingpolicy.org/toolbox/strategy/policies/public_land.html?tierid=157" TargetMode="External"/><Relationship Id="rId32" Type="http://schemas.openxmlformats.org/officeDocument/2006/relationships/hyperlink" Target="http://www.ewashtenaw.org/government/departments/community-and-economic-development/housing-and-community-infrastructure/home-buyer-program/whep/Homebuyer%20Education%20Program" TargetMode="External"/><Relationship Id="rId5" Type="http://schemas.openxmlformats.org/officeDocument/2006/relationships/hyperlink" Target="http://www.westgov.com/162/Comprehensive-Plan" TargetMode="External"/><Relationship Id="rId15" Type="http://schemas.openxmlformats.org/officeDocument/2006/relationships/hyperlink" Target="http://www.codepublishing.com/wa/longview/html/Longview16/Longview1638.html" TargetMode="External"/><Relationship Id="rId23" Type="http://schemas.openxmlformats.org/officeDocument/2006/relationships/hyperlink" Target="http://www.atlantaregional.com/aging-resources/lifelong-communities" TargetMode="External"/><Relationship Id="rId28" Type="http://schemas.openxmlformats.org/officeDocument/2006/relationships/hyperlink" Target="http://www.buncombecounty.org/Governing/Depts/Planning/Housing.aspx" TargetMode="External"/><Relationship Id="rId36" Type="http://schemas.openxmlformats.org/officeDocument/2006/relationships/hyperlink" Target="http://sharedhousingofneworleans.org/" TargetMode="External"/><Relationship Id="rId10" Type="http://schemas.openxmlformats.org/officeDocument/2006/relationships/hyperlink" Target="http://www.access-board.gov/guidelines-and-standards/buildings-and-sites/about-the-ada-standards" TargetMode="External"/><Relationship Id="rId19" Type="http://schemas.openxmlformats.org/officeDocument/2006/relationships/hyperlink" Target="http://www.albemarle.org/department.asp?department=cdd&amp;relpage=3981" TargetMode="External"/><Relationship Id="rId31" Type="http://schemas.openxmlformats.org/officeDocument/2006/relationships/hyperlink" Target="http://www.nhsofsa.org/en/home-buyer-resources/homebuyer-education-program.aspx" TargetMode="External"/><Relationship Id="rId4" Type="http://schemas.openxmlformats.org/officeDocument/2006/relationships/hyperlink" Target="http://greshamoregon.gov/city/city-departments/urban-renewal/grant-programs/template.aspx?id=7308" TargetMode="External"/><Relationship Id="rId9" Type="http://schemas.openxmlformats.org/officeDocument/2006/relationships/hyperlink" Target="http://www.cohousing.org/what_is_cohousing" TargetMode="External"/><Relationship Id="rId14" Type="http://schemas.openxmlformats.org/officeDocument/2006/relationships/hyperlink" Target="https://www.co.pierce.wa.us/DocumentCenter/View/5333" TargetMode="External"/><Relationship Id="rId22" Type="http://schemas.openxmlformats.org/officeDocument/2006/relationships/hyperlink" Target="http://www.montgomeryplanning.org/development/com_res_zones.shtm" TargetMode="External"/><Relationship Id="rId27" Type="http://schemas.openxmlformats.org/officeDocument/2006/relationships/hyperlink" Target="http://www.house.leg.state.mn.us/fiscal/moneymatters.asp" TargetMode="External"/><Relationship Id="rId30" Type="http://schemas.openxmlformats.org/officeDocument/2006/relationships/hyperlink" Target="http://www.michigan.gov/mshda/0,1607,7-141-5587_5601---,00.html" TargetMode="External"/><Relationship Id="rId35" Type="http://schemas.openxmlformats.org/officeDocument/2006/relationships/hyperlink" Target="http://www.wahp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DADF-0DAE-48A9-BA1C-D7E42BCD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VII. Meet Housing Needs for Different Ages and Incomes</vt:lpstr>
    </vt:vector>
  </TitlesOfParts>
  <Company>U.S. EPA</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Meet Housing Needs for Different Ages and Incomes</dc:title>
  <dc:subject>This document contains section VII of the Smart Growth Self-Assessment for Rural Communities.</dc:subject>
  <dc:creator>U.S. EPA;Smart Growth Program</dc:creator>
  <cp:keywords>U.S. EPA, Smart Growth, Section VII, housing, needs, different, ages, incomes</cp:keywords>
  <cp:lastModifiedBy>Susman, Megan</cp:lastModifiedBy>
  <cp:revision>3</cp:revision>
  <dcterms:created xsi:type="dcterms:W3CDTF">2016-12-08T15:54:00Z</dcterms:created>
  <dcterms:modified xsi:type="dcterms:W3CDTF">2016-12-08T15:54:00Z</dcterms:modified>
</cp:coreProperties>
</file>