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AE0" w:rsidRDefault="00AB2AE0" w:rsidP="00EA54D9">
      <w:pPr>
        <w:pStyle w:val="Heading3"/>
        <w:rPr>
          <w:i/>
        </w:rPr>
      </w:pPr>
      <w:r w:rsidRPr="003F070C">
        <w:rPr>
          <w:sz w:val="28"/>
        </w:rPr>
        <w:t>Smart Growth</w:t>
      </w:r>
      <w:r w:rsidR="001940D0">
        <w:rPr>
          <w:sz w:val="28"/>
        </w:rPr>
        <w:t xml:space="preserve"> Self</w:t>
      </w:r>
      <w:r w:rsidRPr="003F070C">
        <w:rPr>
          <w:sz w:val="28"/>
        </w:rPr>
        <w:t>-Assessment for Rural Communities</w:t>
      </w:r>
      <w:r w:rsidRPr="00AB2AE0">
        <w:rPr>
          <w:i/>
        </w:rPr>
        <w:t xml:space="preserve"> </w:t>
      </w:r>
    </w:p>
    <w:p w:rsidR="00EA54D9" w:rsidRPr="00AB2AE0" w:rsidRDefault="00AB2AE0" w:rsidP="00EA54D9">
      <w:pPr>
        <w:pStyle w:val="Heading3"/>
        <w:rPr>
          <w:i/>
        </w:rPr>
      </w:pPr>
      <w:r w:rsidRPr="00AB2AE0">
        <w:rPr>
          <w:i/>
        </w:rPr>
        <w:t xml:space="preserve">Section VIII: </w:t>
      </w:r>
      <w:r w:rsidR="00EA54D9" w:rsidRPr="00AB2AE0">
        <w:rPr>
          <w:i/>
        </w:rPr>
        <w:t>Preserve Historic and Cultural Resources</w:t>
      </w:r>
    </w:p>
    <w:p w:rsidR="00AB2AE0" w:rsidRPr="00147CD9" w:rsidRDefault="00AB2AE0" w:rsidP="00AB2AE0">
      <w:pPr>
        <w:pStyle w:val="Heading3"/>
        <w:tabs>
          <w:tab w:val="left" w:pos="360"/>
        </w:tabs>
      </w:pPr>
      <w:r>
        <w:rPr>
          <w:b w:val="0"/>
          <w:i/>
        </w:rPr>
        <w:t>This tool is part of the Smart Growth Self-Assessment for Rural Communities, developed by the U.S. Environmental Protection Agency. EPA suggest</w:t>
      </w:r>
      <w:r w:rsidR="001940D0">
        <w:rPr>
          <w:b w:val="0"/>
          <w:i/>
        </w:rPr>
        <w:t>s</w:t>
      </w:r>
      <w:r>
        <w:rPr>
          <w:b w:val="0"/>
          <w:i/>
        </w:rPr>
        <w:t xml:space="preserve"> that communities using this tool </w:t>
      </w:r>
      <w:r w:rsidRPr="00C03BD6">
        <w:rPr>
          <w:b w:val="0"/>
          <w:i/>
        </w:rPr>
        <w:t>complete Section I: “Revitalize Village and Town Center</w:t>
      </w:r>
      <w:r w:rsidR="001940D0">
        <w:rPr>
          <w:b w:val="0"/>
          <w:i/>
        </w:rPr>
        <w:t>s</w:t>
      </w:r>
      <w:r w:rsidRPr="00C03BD6">
        <w:rPr>
          <w:b w:val="0"/>
          <w:i/>
        </w:rPr>
        <w:t>,”</w:t>
      </w:r>
      <w:r>
        <w:rPr>
          <w:b w:val="0"/>
          <w:i/>
        </w:rPr>
        <w:t xml:space="preserve"> before filling out other sections. For more information and the tool’s other sections, see</w:t>
      </w:r>
      <w:r>
        <w:t xml:space="preserve"> </w:t>
      </w:r>
      <w:bookmarkStart w:id="0" w:name="_GoBack"/>
      <w:bookmarkEnd w:id="0"/>
      <w:r w:rsidR="00EB7624">
        <w:rPr>
          <w:b w:val="0"/>
          <w:i/>
        </w:rPr>
        <w:fldChar w:fldCharType="begin"/>
      </w:r>
      <w:r w:rsidR="00EB7624">
        <w:rPr>
          <w:b w:val="0"/>
          <w:i/>
        </w:rPr>
        <w:instrText xml:space="preserve"> HYPERLINK "</w:instrText>
      </w:r>
      <w:r w:rsidR="00EB7624" w:rsidRPr="00EB7624">
        <w:rPr>
          <w:b w:val="0"/>
          <w:i/>
        </w:rPr>
        <w:instrText>https://www.epa.gov/smartgrowth/smart-growth-self-assessment-rural-communities</w:instrText>
      </w:r>
      <w:r w:rsidR="00EB7624">
        <w:rPr>
          <w:b w:val="0"/>
          <w:i/>
        </w:rPr>
        <w:instrText xml:space="preserve">" </w:instrText>
      </w:r>
      <w:r w:rsidR="00EB7624">
        <w:rPr>
          <w:b w:val="0"/>
          <w:i/>
        </w:rPr>
        <w:fldChar w:fldCharType="separate"/>
      </w:r>
      <w:r w:rsidR="00EB7624" w:rsidRPr="001041F9">
        <w:rPr>
          <w:rStyle w:val="Hyperlink"/>
          <w:b w:val="0"/>
          <w:i/>
        </w:rPr>
        <w:t>https://www.epa.gov/smartgrowth/smart-growth-self-assessment-rural-communities</w:t>
      </w:r>
      <w:r w:rsidR="00EB7624">
        <w:rPr>
          <w:b w:val="0"/>
          <w:i/>
        </w:rPr>
        <w:fldChar w:fldCharType="end"/>
      </w:r>
      <w:r w:rsidRPr="003F070C">
        <w:rPr>
          <w:b w:val="0"/>
          <w:i/>
        </w:rPr>
        <w:t>.</w:t>
      </w:r>
    </w:p>
    <w:p w:rsidR="00AB2AE0" w:rsidRPr="00AB2AE0" w:rsidRDefault="00AB2AE0" w:rsidP="00AB2AE0"/>
    <w:p w:rsidR="00EA54D9" w:rsidRPr="007B3406" w:rsidRDefault="00EA54D9" w:rsidP="00EA54D9">
      <w:r>
        <w:t>Reusing buildings, especially those with historic value, contributes to a community’s distinctive</w:t>
      </w:r>
      <w:r w:rsidRPr="007B3406">
        <w:t xml:space="preserve"> identity</w:t>
      </w:r>
      <w:r>
        <w:t xml:space="preserve">, which can attract tourists and new residents. These buildings are often in the village or town center, so redeveloping them can bring new life to these places and absorb demand for residential, office, and retail space that might otherwise be satisfied at a more distant location. Preserving a community’s cultural icons can also help attract tourism while promoting healthy living, beauty, and community pride. </w:t>
      </w:r>
    </w:p>
    <w:tbl>
      <w:tblPr>
        <w:tblStyle w:val="TableGrid"/>
        <w:tblW w:w="13680" w:type="dxa"/>
        <w:tblInd w:w="108" w:type="dxa"/>
        <w:tblLayout w:type="fixed"/>
        <w:tblLook w:val="04A0" w:firstRow="1" w:lastRow="0" w:firstColumn="1" w:lastColumn="0" w:noHBand="0" w:noVBand="1"/>
      </w:tblPr>
      <w:tblGrid>
        <w:gridCol w:w="9540"/>
        <w:gridCol w:w="1440"/>
        <w:gridCol w:w="1440"/>
        <w:gridCol w:w="1260"/>
      </w:tblGrid>
      <w:tr w:rsidR="00EA54D9" w:rsidRPr="00985A93" w:rsidTr="00D921B9">
        <w:trPr>
          <w:cantSplit/>
          <w:trHeight w:val="773"/>
          <w:tblHeader/>
        </w:trPr>
        <w:tc>
          <w:tcPr>
            <w:tcW w:w="9540" w:type="dxa"/>
            <w:tcBorders>
              <w:bottom w:val="single" w:sz="4" w:space="0" w:color="auto"/>
            </w:tcBorders>
            <w:shd w:val="clear" w:color="auto" w:fill="000000" w:themeFill="text1"/>
            <w:vAlign w:val="center"/>
          </w:tcPr>
          <w:p w:rsidR="00EA54D9" w:rsidRPr="00985A93" w:rsidRDefault="00EA54D9" w:rsidP="00D921B9">
            <w:pPr>
              <w:spacing w:before="80" w:after="80"/>
              <w:rPr>
                <w:rStyle w:val="Emphasis"/>
              </w:rPr>
            </w:pPr>
            <w:r w:rsidRPr="00985A93">
              <w:rPr>
                <w:rStyle w:val="Emphasis"/>
              </w:rPr>
              <w:t>Goal: Preserve Historic and Cultural Resources</w:t>
            </w:r>
          </w:p>
        </w:tc>
        <w:tc>
          <w:tcPr>
            <w:tcW w:w="1440" w:type="dxa"/>
            <w:tcBorders>
              <w:bottom w:val="single" w:sz="4" w:space="0" w:color="auto"/>
            </w:tcBorders>
            <w:shd w:val="clear" w:color="auto" w:fill="000000" w:themeFill="text1"/>
            <w:vAlign w:val="center"/>
          </w:tcPr>
          <w:p w:rsidR="00EA54D9" w:rsidRPr="00985A93" w:rsidRDefault="00D921B9" w:rsidP="00D921B9">
            <w:pPr>
              <w:spacing w:before="80" w:after="80"/>
              <w:jc w:val="center"/>
              <w:rPr>
                <w:rStyle w:val="Emphasis"/>
                <w:b w:val="0"/>
              </w:rPr>
            </w:pPr>
            <w:r w:rsidRPr="00985A93">
              <w:rPr>
                <w:rStyle w:val="Emphasis"/>
              </w:rPr>
              <w:t>Adopted?</w:t>
            </w:r>
          </w:p>
        </w:tc>
        <w:tc>
          <w:tcPr>
            <w:tcW w:w="1440" w:type="dxa"/>
            <w:tcBorders>
              <w:bottom w:val="single" w:sz="4" w:space="0" w:color="auto"/>
            </w:tcBorders>
            <w:shd w:val="clear" w:color="auto" w:fill="000000" w:themeFill="text1"/>
            <w:vAlign w:val="center"/>
          </w:tcPr>
          <w:p w:rsidR="00EA54D9" w:rsidRPr="00985A93" w:rsidRDefault="00EA54D9" w:rsidP="00D921B9">
            <w:pPr>
              <w:spacing w:before="80" w:after="80"/>
              <w:jc w:val="center"/>
              <w:rPr>
                <w:rStyle w:val="Emphasis"/>
                <w:b w:val="0"/>
              </w:rPr>
            </w:pPr>
            <w:r w:rsidRPr="00985A93">
              <w:rPr>
                <w:rStyle w:val="Emphasis"/>
              </w:rPr>
              <w:t>Add or Improve?</w:t>
            </w:r>
          </w:p>
        </w:tc>
        <w:tc>
          <w:tcPr>
            <w:tcW w:w="1260" w:type="dxa"/>
            <w:tcBorders>
              <w:bottom w:val="single" w:sz="4" w:space="0" w:color="auto"/>
            </w:tcBorders>
            <w:shd w:val="clear" w:color="auto" w:fill="000000" w:themeFill="text1"/>
            <w:vAlign w:val="center"/>
          </w:tcPr>
          <w:p w:rsidR="00EA54D9" w:rsidRPr="00985A93" w:rsidRDefault="00EA54D9" w:rsidP="00D921B9">
            <w:pPr>
              <w:spacing w:before="80" w:after="80"/>
              <w:jc w:val="center"/>
              <w:rPr>
                <w:rStyle w:val="Emphasis"/>
                <w:b w:val="0"/>
              </w:rPr>
            </w:pPr>
            <w:r w:rsidRPr="00985A93">
              <w:rPr>
                <w:rStyle w:val="Emphasis"/>
              </w:rPr>
              <w:t xml:space="preserve">Context </w:t>
            </w:r>
            <w:r w:rsidRPr="00985A93">
              <w:rPr>
                <w:rStyle w:val="Emphasis"/>
                <w:vertAlign w:val="superscript"/>
              </w:rPr>
              <w:footnoteReference w:id="1"/>
            </w:r>
          </w:p>
        </w:tc>
      </w:tr>
      <w:tr w:rsidR="00EA54D9" w:rsidRPr="00985A93" w:rsidTr="00D921B9">
        <w:trPr>
          <w:cantSplit/>
        </w:trPr>
        <w:tc>
          <w:tcPr>
            <w:tcW w:w="9540" w:type="dxa"/>
            <w:tcBorders>
              <w:right w:val="nil"/>
            </w:tcBorders>
            <w:shd w:val="clear" w:color="auto" w:fill="95B3D7"/>
          </w:tcPr>
          <w:p w:rsidR="00EA54D9" w:rsidRPr="00985A93" w:rsidRDefault="00EA54D9" w:rsidP="00D921B9">
            <w:pPr>
              <w:pStyle w:val="tabletext"/>
              <w:spacing w:before="80" w:after="80"/>
              <w:rPr>
                <w:rFonts w:asciiTheme="minorHAnsi" w:hAnsiTheme="minorHAnsi"/>
                <w:b/>
                <w:i/>
              </w:rPr>
            </w:pPr>
            <w:r w:rsidRPr="00985A93">
              <w:rPr>
                <w:rFonts w:asciiTheme="minorHAnsi" w:hAnsiTheme="minorHAnsi"/>
                <w:b/>
                <w:i/>
              </w:rPr>
              <w:t>Preserving Sites and Areas of Historical Significance</w:t>
            </w:r>
          </w:p>
        </w:tc>
        <w:tc>
          <w:tcPr>
            <w:tcW w:w="1440" w:type="dxa"/>
            <w:tcBorders>
              <w:left w:val="nil"/>
              <w:right w:val="nil"/>
            </w:tcBorders>
            <w:shd w:val="clear" w:color="auto" w:fill="95B3D7"/>
          </w:tcPr>
          <w:p w:rsidR="00EA54D9" w:rsidRPr="00985A93" w:rsidRDefault="00EA54D9" w:rsidP="00D921B9">
            <w:pPr>
              <w:pStyle w:val="tabletext"/>
              <w:spacing w:before="80" w:after="80"/>
              <w:jc w:val="center"/>
              <w:rPr>
                <w:rFonts w:asciiTheme="minorHAnsi" w:hAnsiTheme="minorHAnsi"/>
                <w:b/>
              </w:rPr>
            </w:pPr>
          </w:p>
        </w:tc>
        <w:tc>
          <w:tcPr>
            <w:tcW w:w="1440" w:type="dxa"/>
            <w:tcBorders>
              <w:left w:val="nil"/>
              <w:right w:val="nil"/>
            </w:tcBorders>
            <w:shd w:val="clear" w:color="auto" w:fill="95B3D7"/>
          </w:tcPr>
          <w:p w:rsidR="00EA54D9" w:rsidRPr="00985A93" w:rsidRDefault="00EA54D9" w:rsidP="00D921B9">
            <w:pPr>
              <w:pStyle w:val="tabletext"/>
              <w:spacing w:before="80" w:after="80"/>
              <w:jc w:val="center"/>
              <w:rPr>
                <w:rFonts w:asciiTheme="minorHAnsi" w:hAnsiTheme="minorHAnsi"/>
                <w:b/>
              </w:rPr>
            </w:pPr>
          </w:p>
        </w:tc>
        <w:tc>
          <w:tcPr>
            <w:tcW w:w="1260" w:type="dxa"/>
            <w:tcBorders>
              <w:left w:val="nil"/>
            </w:tcBorders>
            <w:shd w:val="clear" w:color="auto" w:fill="95B3D7"/>
          </w:tcPr>
          <w:p w:rsidR="00EA54D9" w:rsidRPr="00985A93" w:rsidRDefault="00EA54D9" w:rsidP="00D921B9">
            <w:pPr>
              <w:pStyle w:val="tabletext"/>
              <w:spacing w:before="80" w:after="80"/>
              <w:jc w:val="center"/>
              <w:rPr>
                <w:rFonts w:asciiTheme="minorHAnsi" w:hAnsiTheme="minorHAnsi"/>
                <w:b/>
              </w:rPr>
            </w:pPr>
          </w:p>
        </w:tc>
      </w:tr>
      <w:tr w:rsidR="00EA54D9" w:rsidRPr="00985A93" w:rsidTr="00D921B9">
        <w:trPr>
          <w:cantSplit/>
        </w:trPr>
        <w:tc>
          <w:tcPr>
            <w:tcW w:w="9540" w:type="dxa"/>
            <w:shd w:val="clear" w:color="auto" w:fill="D9D9D9" w:themeFill="background1" w:themeFillShade="D9"/>
          </w:tcPr>
          <w:p w:rsidR="00EA54D9" w:rsidRPr="00985A93" w:rsidRDefault="00EA54D9" w:rsidP="00D921B9">
            <w:pPr>
              <w:pStyle w:val="tabletext"/>
              <w:spacing w:before="80" w:after="80"/>
              <w:rPr>
                <w:rFonts w:asciiTheme="minorHAnsi" w:hAnsiTheme="minorHAnsi"/>
                <w:b/>
              </w:rPr>
            </w:pPr>
            <w:r w:rsidRPr="00985A93">
              <w:rPr>
                <w:rFonts w:asciiTheme="minorHAnsi" w:hAnsiTheme="minorHAnsi"/>
                <w:b/>
              </w:rPr>
              <w:t>Do codes create a process for designating and protecting historic properties and districts?</w:t>
            </w:r>
            <w:r w:rsidRPr="00985A93">
              <w:rPr>
                <w:rStyle w:val="FootnoteReference"/>
                <w:rFonts w:asciiTheme="minorHAnsi" w:hAnsiTheme="minorHAnsi"/>
                <w:b/>
              </w:rPr>
              <w:footnoteReference w:id="2"/>
            </w:r>
          </w:p>
        </w:tc>
        <w:tc>
          <w:tcPr>
            <w:tcW w:w="1440" w:type="dxa"/>
            <w:shd w:val="clear" w:color="auto" w:fill="D9D9D9" w:themeFill="background1" w:themeFillShade="D9"/>
          </w:tcPr>
          <w:p w:rsidR="00EA54D9" w:rsidRPr="00985A93" w:rsidRDefault="00EA54D9" w:rsidP="00D921B9">
            <w:pPr>
              <w:pStyle w:val="tabletext"/>
              <w:spacing w:before="80" w:after="80"/>
              <w:jc w:val="center"/>
              <w:rPr>
                <w:rFonts w:asciiTheme="minorHAnsi" w:hAnsiTheme="minorHAnsi"/>
                <w:b/>
              </w:rPr>
            </w:pPr>
          </w:p>
        </w:tc>
        <w:tc>
          <w:tcPr>
            <w:tcW w:w="1440" w:type="dxa"/>
            <w:shd w:val="clear" w:color="auto" w:fill="D9D9D9" w:themeFill="background1" w:themeFillShade="D9"/>
          </w:tcPr>
          <w:p w:rsidR="00EA54D9" w:rsidRPr="00985A93" w:rsidRDefault="00EA54D9" w:rsidP="00D921B9">
            <w:pPr>
              <w:pStyle w:val="tabletext"/>
              <w:spacing w:before="80" w:after="80"/>
              <w:jc w:val="center"/>
              <w:rPr>
                <w:rFonts w:asciiTheme="minorHAnsi" w:hAnsiTheme="minorHAnsi"/>
                <w:b/>
              </w:rPr>
            </w:pPr>
          </w:p>
        </w:tc>
        <w:tc>
          <w:tcPr>
            <w:tcW w:w="1260" w:type="dxa"/>
            <w:shd w:val="clear" w:color="auto" w:fill="D9D9D9" w:themeFill="background1" w:themeFillShade="D9"/>
          </w:tcPr>
          <w:p w:rsidR="00EA54D9" w:rsidRPr="00985A93" w:rsidRDefault="00EA54D9" w:rsidP="00D921B9">
            <w:pPr>
              <w:pStyle w:val="tabletext"/>
              <w:spacing w:before="80" w:after="80"/>
              <w:jc w:val="center"/>
              <w:rPr>
                <w:rFonts w:asciiTheme="minorHAnsi" w:hAnsiTheme="minorHAnsi"/>
                <w:b/>
              </w:rPr>
            </w:pPr>
          </w:p>
        </w:tc>
      </w:tr>
      <w:tr w:rsidR="00EA54D9" w:rsidRPr="00985A93" w:rsidTr="00D921B9">
        <w:trPr>
          <w:cantSplit/>
        </w:trPr>
        <w:tc>
          <w:tcPr>
            <w:tcW w:w="9540" w:type="dxa"/>
          </w:tcPr>
          <w:p w:rsidR="00EA54D9" w:rsidRPr="00985A93" w:rsidRDefault="00EA54D9" w:rsidP="00A53CA3">
            <w:pPr>
              <w:pStyle w:val="tabletext"/>
              <w:spacing w:before="80" w:after="80"/>
              <w:rPr>
                <w:rFonts w:asciiTheme="minorHAnsi" w:hAnsiTheme="minorHAnsi"/>
              </w:rPr>
            </w:pPr>
            <w:r w:rsidRPr="00985A93">
              <w:rPr>
                <w:rFonts w:asciiTheme="minorHAnsi" w:hAnsiTheme="minorHAnsi"/>
              </w:rPr>
              <w:t>Strategy 1: A local administrative body is established to oversee historic preservation.</w:t>
            </w:r>
            <w:r w:rsidRPr="00985A93">
              <w:rPr>
                <w:rStyle w:val="FootnoteReference"/>
                <w:rFonts w:asciiTheme="minorHAnsi" w:hAnsiTheme="minorHAnsi"/>
              </w:rPr>
              <w:footnoteReference w:id="3"/>
            </w:r>
            <w:r w:rsidRPr="00985A93">
              <w:rPr>
                <w:rFonts w:asciiTheme="minorHAnsi" w:hAnsiTheme="minorHAnsi"/>
                <w:vertAlign w:val="superscript"/>
              </w:rPr>
              <w:t>,</w:t>
            </w:r>
            <w:r w:rsidRPr="00985A93">
              <w:rPr>
                <w:rStyle w:val="FootnoteReference"/>
                <w:rFonts w:asciiTheme="minorHAnsi" w:hAnsiTheme="minorHAnsi"/>
              </w:rPr>
              <w:footnoteReference w:id="4"/>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894D73" w:rsidRPr="00894D73">
              <w:rPr>
                <w:rFonts w:asciiTheme="minorHAnsi" w:hAnsiTheme="minorHAnsi"/>
                <w:i/>
                <w:noProof/>
                <w:color w:val="FF0000"/>
              </w:rPr>
              <w:t>[Enter</w:t>
            </w:r>
            <w:r w:rsidR="00A53CA3">
              <w:rPr>
                <w:rFonts w:asciiTheme="minorHAnsi" w:hAnsiTheme="minorHAnsi"/>
                <w:i/>
                <w:noProof/>
                <w:color w:val="FF0000"/>
              </w:rPr>
              <w:t xml:space="preserve"> optional</w:t>
            </w:r>
            <w:r w:rsidR="00894D73" w:rsidRPr="00894D73">
              <w:rPr>
                <w:rFonts w:asciiTheme="minorHAnsi" w:hAnsiTheme="minorHAnsi"/>
                <w:i/>
                <w:noProof/>
                <w:color w:val="FF0000"/>
              </w:rPr>
              <w:t xml:space="preserve"> notes in gray boxes for all strategies]</w:t>
            </w:r>
            <w:r w:rsidR="007215F2" w:rsidRPr="00985A93">
              <w:rPr>
                <w:rFonts w:asciiTheme="minorHAnsi" w:hAnsiTheme="minorHAnsi"/>
                <w:i/>
                <w:color w:val="FF0000"/>
              </w:rPr>
              <w:fldChar w:fldCharType="end"/>
            </w:r>
          </w:p>
        </w:tc>
        <w:sdt>
          <w:sdtPr>
            <w:rPr>
              <w:rFonts w:asciiTheme="minorHAnsi" w:hAnsiTheme="minorHAnsi"/>
            </w:rPr>
            <w:id w:val="-1466274709"/>
            <w14:checkbox>
              <w14:checked w14:val="0"/>
              <w14:checkedState w14:val="2612" w14:font="MS Gothic"/>
              <w14:uncheckedState w14:val="2610" w14:font="MS Gothic"/>
            </w14:checkbox>
          </w:sdtPr>
          <w:sdtEndPr/>
          <w:sdtContent>
            <w:tc>
              <w:tcPr>
                <w:tcW w:w="1440" w:type="dxa"/>
              </w:tcPr>
              <w:p w:rsidR="00EA54D9" w:rsidRPr="00985A93" w:rsidRDefault="00D921B9" w:rsidP="00D921B9">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870899426"/>
            <w14:checkbox>
              <w14:checked w14:val="0"/>
              <w14:checkedState w14:val="2612" w14:font="MS Gothic"/>
              <w14:uncheckedState w14:val="2610" w14:font="MS Gothic"/>
            </w14:checkbox>
          </w:sdtPr>
          <w:sdtEndPr/>
          <w:sdtContent>
            <w:tc>
              <w:tcPr>
                <w:tcW w:w="1440" w:type="dxa"/>
              </w:tcPr>
              <w:p w:rsidR="00EA54D9" w:rsidRPr="00985A93" w:rsidRDefault="00D921B9" w:rsidP="00D921B9">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EA54D9" w:rsidRPr="00985A93" w:rsidRDefault="00EA54D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spacing w:val="-4"/>
              </w:rPr>
            </w:pPr>
            <w:r w:rsidRPr="00985A93">
              <w:rPr>
                <w:rFonts w:asciiTheme="minorHAnsi" w:hAnsiTheme="minorHAnsi"/>
                <w:spacing w:val="-4"/>
              </w:rPr>
              <w:t>Strategy 2: Codes or guidelines establish criteria for designating a property or neighborhood as historic.</w:t>
            </w:r>
            <w:r w:rsidRPr="00985A93">
              <w:rPr>
                <w:rStyle w:val="FootnoteReference"/>
                <w:rFonts w:asciiTheme="minorHAnsi" w:hAnsiTheme="minorHAnsi"/>
                <w:spacing w:val="-4"/>
              </w:rPr>
              <w:footnoteReference w:id="5"/>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91295888"/>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528693509"/>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3: A local historic district or overlay zone has been adopted by ordinance.</w:t>
            </w:r>
            <w:r w:rsidRPr="00985A93">
              <w:rPr>
                <w:rStyle w:val="FootnoteReference"/>
                <w:rFonts w:asciiTheme="minorHAnsi" w:hAnsiTheme="minorHAnsi"/>
              </w:rPr>
              <w:footnoteReference w:id="6"/>
            </w:r>
            <w:r w:rsidRPr="00985A93">
              <w:rPr>
                <w:rFonts w:asciiTheme="minorHAnsi" w:hAnsiTheme="minorHAnsi"/>
                <w:vertAlign w:val="superscript"/>
              </w:rPr>
              <w:t>,</w:t>
            </w:r>
            <w:r w:rsidRPr="00985A93">
              <w:rPr>
                <w:rStyle w:val="FootnoteReference"/>
                <w:rFonts w:asciiTheme="minorHAnsi" w:hAnsiTheme="minorHAnsi"/>
              </w:rPr>
              <w:footnoteReference w:id="7"/>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784185500"/>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194228406"/>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4: The administrative body reviews proposed additions, demolitions, new construction, rehabilitation projects, or other alterations to sites or buildings in the historic district.</w:t>
            </w:r>
            <w:bookmarkStart w:id="1" w:name="_Ref353441577"/>
            <w:r w:rsidRPr="00985A93">
              <w:rPr>
                <w:rStyle w:val="FootnoteReference"/>
                <w:rFonts w:asciiTheme="minorHAnsi" w:hAnsiTheme="minorHAnsi"/>
              </w:rPr>
              <w:footnoteReference w:id="8"/>
            </w:r>
            <w:bookmarkEnd w:id="1"/>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578133135"/>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248082722"/>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lastRenderedPageBreak/>
              <w:t>Strategy 5: Codes establish criteria for issuing demolition permits for historic structures.</w:t>
            </w:r>
            <w:r w:rsidRPr="00985A93">
              <w:rPr>
                <w:rFonts w:asciiTheme="minorHAnsi" w:hAnsiTheme="minorHAnsi"/>
                <w:vertAlign w:val="superscript"/>
              </w:rPr>
              <w:fldChar w:fldCharType="begin"/>
            </w:r>
            <w:r w:rsidRPr="00985A93">
              <w:rPr>
                <w:rFonts w:asciiTheme="minorHAnsi" w:hAnsiTheme="minorHAnsi"/>
                <w:vertAlign w:val="superscript"/>
              </w:rPr>
              <w:instrText xml:space="preserve"> NOTEREF _Ref353441577 \h  \* MERGEFORMAT </w:instrText>
            </w:r>
            <w:r w:rsidRPr="00985A93">
              <w:rPr>
                <w:rFonts w:asciiTheme="minorHAnsi" w:hAnsiTheme="minorHAnsi"/>
                <w:vertAlign w:val="superscript"/>
              </w:rPr>
            </w:r>
            <w:r w:rsidRPr="00985A93">
              <w:rPr>
                <w:rFonts w:asciiTheme="minorHAnsi" w:hAnsiTheme="minorHAnsi"/>
                <w:vertAlign w:val="superscript"/>
              </w:rPr>
              <w:fldChar w:fldCharType="separate"/>
            </w:r>
            <w:r w:rsidRPr="00985A93">
              <w:rPr>
                <w:rFonts w:asciiTheme="minorHAnsi" w:hAnsiTheme="minorHAnsi"/>
                <w:vertAlign w:val="superscript"/>
              </w:rPr>
              <w:t>395</w:t>
            </w:r>
            <w:r w:rsidRPr="00985A93">
              <w:rPr>
                <w:rFonts w:asciiTheme="minorHAnsi" w:hAnsiTheme="minorHAnsi"/>
                <w:vertAlign w:val="superscript"/>
              </w:rPr>
              <w:fldChar w:fldCharType="end"/>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513528102"/>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307965386"/>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EA54D9" w:rsidRPr="00985A93" w:rsidTr="00D921B9">
        <w:trPr>
          <w:cantSplit/>
        </w:trPr>
        <w:tc>
          <w:tcPr>
            <w:tcW w:w="9540" w:type="dxa"/>
            <w:tcBorders>
              <w:right w:val="nil"/>
            </w:tcBorders>
            <w:shd w:val="clear" w:color="auto" w:fill="95B3D7"/>
          </w:tcPr>
          <w:p w:rsidR="00EA54D9" w:rsidRPr="00985A93" w:rsidRDefault="00EA54D9" w:rsidP="00D921B9">
            <w:pPr>
              <w:pStyle w:val="tablequestions"/>
              <w:spacing w:before="80" w:after="80"/>
              <w:rPr>
                <w:rFonts w:asciiTheme="minorHAnsi" w:hAnsiTheme="minorHAnsi"/>
                <w:i/>
              </w:rPr>
            </w:pPr>
            <w:r w:rsidRPr="00985A93">
              <w:rPr>
                <w:rFonts w:asciiTheme="minorHAnsi" w:hAnsiTheme="minorHAnsi"/>
                <w:i/>
              </w:rPr>
              <w:t>Respecting Important Historic and Cultural Resources</w:t>
            </w:r>
          </w:p>
        </w:tc>
        <w:tc>
          <w:tcPr>
            <w:tcW w:w="1440" w:type="dxa"/>
            <w:tcBorders>
              <w:left w:val="nil"/>
              <w:right w:val="nil"/>
            </w:tcBorders>
            <w:shd w:val="clear" w:color="auto" w:fill="95B3D7"/>
          </w:tcPr>
          <w:p w:rsidR="00EA54D9" w:rsidRPr="00985A93" w:rsidRDefault="00EA54D9" w:rsidP="00D921B9">
            <w:pPr>
              <w:pStyle w:val="tablequestions"/>
              <w:spacing w:before="80" w:after="80"/>
              <w:rPr>
                <w:rFonts w:asciiTheme="minorHAnsi" w:hAnsiTheme="minorHAnsi"/>
              </w:rPr>
            </w:pPr>
          </w:p>
        </w:tc>
        <w:tc>
          <w:tcPr>
            <w:tcW w:w="1440" w:type="dxa"/>
            <w:tcBorders>
              <w:left w:val="nil"/>
              <w:right w:val="nil"/>
            </w:tcBorders>
            <w:shd w:val="clear" w:color="auto" w:fill="95B3D7"/>
          </w:tcPr>
          <w:p w:rsidR="00EA54D9" w:rsidRPr="00985A93" w:rsidRDefault="00EA54D9" w:rsidP="00D921B9">
            <w:pPr>
              <w:pStyle w:val="tablequestions"/>
              <w:spacing w:before="80" w:after="80"/>
              <w:rPr>
                <w:rFonts w:asciiTheme="minorHAnsi" w:hAnsiTheme="minorHAnsi"/>
              </w:rPr>
            </w:pPr>
          </w:p>
        </w:tc>
        <w:tc>
          <w:tcPr>
            <w:tcW w:w="1260" w:type="dxa"/>
            <w:tcBorders>
              <w:left w:val="nil"/>
            </w:tcBorders>
            <w:shd w:val="clear" w:color="auto" w:fill="95B3D7"/>
          </w:tcPr>
          <w:p w:rsidR="00EA54D9" w:rsidRPr="00985A93" w:rsidRDefault="00EA54D9" w:rsidP="00D921B9">
            <w:pPr>
              <w:pStyle w:val="tablequestions"/>
              <w:spacing w:before="80" w:after="80"/>
              <w:rPr>
                <w:rFonts w:asciiTheme="minorHAnsi" w:hAnsiTheme="minorHAnsi"/>
              </w:rPr>
            </w:pPr>
          </w:p>
        </w:tc>
      </w:tr>
      <w:tr w:rsidR="00EA54D9" w:rsidRPr="00985A93" w:rsidTr="00D921B9">
        <w:trPr>
          <w:cantSplit/>
        </w:trPr>
        <w:tc>
          <w:tcPr>
            <w:tcW w:w="95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r w:rsidRPr="00985A93">
              <w:rPr>
                <w:rFonts w:asciiTheme="minorHAnsi" w:hAnsiTheme="minorHAnsi"/>
              </w:rPr>
              <w:t xml:space="preserve">Do codes establish design guidelines for new development? </w:t>
            </w:r>
          </w:p>
        </w:tc>
        <w:tc>
          <w:tcPr>
            <w:tcW w:w="14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c>
          <w:tcPr>
            <w:tcW w:w="14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c>
          <w:tcPr>
            <w:tcW w:w="126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6: Design standards apply to new residential and commercial development in historic or cultural districts to require design features that are consistent with the historic architecture or natural features of the area.</w:t>
            </w:r>
            <w:r w:rsidRPr="00985A93">
              <w:rPr>
                <w:rStyle w:val="FootnoteReference"/>
                <w:rFonts w:asciiTheme="minorHAnsi" w:hAnsiTheme="minorHAnsi"/>
              </w:rPr>
              <w:footnoteReference w:id="9"/>
            </w:r>
            <w:r w:rsidRPr="00985A93">
              <w:rPr>
                <w:rFonts w:asciiTheme="minorHAnsi" w:hAnsiTheme="minorHAnsi"/>
                <w:vertAlign w:val="superscript"/>
              </w:rPr>
              <w:t>,</w:t>
            </w:r>
            <w:r w:rsidRPr="00985A93" w:rsidDel="00834E99">
              <w:rPr>
                <w:rFonts w:asciiTheme="minorHAnsi" w:hAnsiTheme="minorHAnsi"/>
                <w:vertAlign w:val="superscript"/>
              </w:rPr>
              <w:t xml:space="preserve"> </w:t>
            </w:r>
            <w:r w:rsidRPr="00985A93">
              <w:rPr>
                <w:rStyle w:val="FootnoteReference"/>
                <w:rFonts w:asciiTheme="minorHAnsi" w:hAnsiTheme="minorHAnsi"/>
              </w:rPr>
              <w:footnoteReference w:id="10"/>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658415685"/>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555200591"/>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7: Design standards apply to the renovation of historic properties to ensure complementary features are integrated into new elements of the building.</w:t>
            </w:r>
            <w:r w:rsidRPr="00985A93">
              <w:rPr>
                <w:rStyle w:val="FootnoteReference"/>
                <w:rFonts w:asciiTheme="minorHAnsi" w:hAnsiTheme="minorHAnsi"/>
              </w:rPr>
              <w:footnoteReference w:id="11"/>
            </w:r>
            <w:r w:rsidRPr="00985A93">
              <w:rPr>
                <w:rFonts w:asciiTheme="minorHAnsi" w:hAnsiTheme="minorHAnsi"/>
                <w:vertAlign w:val="superscript"/>
              </w:rPr>
              <w:t>,7</w:t>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854690930"/>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672633605"/>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EA54D9" w:rsidRPr="00985A93" w:rsidTr="00D921B9">
        <w:trPr>
          <w:cantSplit/>
        </w:trPr>
        <w:tc>
          <w:tcPr>
            <w:tcW w:w="9540" w:type="dxa"/>
            <w:shd w:val="clear" w:color="auto" w:fill="D9D9D9" w:themeFill="background1" w:themeFillShade="D9"/>
          </w:tcPr>
          <w:p w:rsidR="00EA54D9" w:rsidRPr="00985A93" w:rsidRDefault="00EA54D9" w:rsidP="00D921B9">
            <w:pPr>
              <w:pStyle w:val="tabletext"/>
              <w:spacing w:before="80" w:after="80"/>
              <w:rPr>
                <w:rFonts w:asciiTheme="minorHAnsi" w:hAnsiTheme="minorHAnsi"/>
                <w:b/>
              </w:rPr>
            </w:pPr>
            <w:r w:rsidRPr="00985A93">
              <w:rPr>
                <w:rFonts w:asciiTheme="minorHAnsi" w:hAnsiTheme="minorHAnsi"/>
                <w:b/>
              </w:rPr>
              <w:t>Do codes and policies encourage reuse or redevelopment of historic buildings?</w:t>
            </w:r>
          </w:p>
        </w:tc>
        <w:tc>
          <w:tcPr>
            <w:tcW w:w="1440" w:type="dxa"/>
            <w:shd w:val="clear" w:color="auto" w:fill="D9D9D9" w:themeFill="background1" w:themeFillShade="D9"/>
          </w:tcPr>
          <w:p w:rsidR="00EA54D9" w:rsidRPr="00985A93" w:rsidRDefault="00EA54D9" w:rsidP="00D921B9">
            <w:pPr>
              <w:pStyle w:val="tabletext"/>
              <w:spacing w:before="80" w:after="80"/>
              <w:jc w:val="center"/>
              <w:rPr>
                <w:rFonts w:asciiTheme="minorHAnsi" w:hAnsiTheme="minorHAnsi"/>
                <w:b/>
              </w:rPr>
            </w:pPr>
          </w:p>
        </w:tc>
        <w:tc>
          <w:tcPr>
            <w:tcW w:w="1440" w:type="dxa"/>
            <w:shd w:val="clear" w:color="auto" w:fill="D9D9D9" w:themeFill="background1" w:themeFillShade="D9"/>
          </w:tcPr>
          <w:p w:rsidR="00EA54D9" w:rsidRPr="00985A93" w:rsidRDefault="00EA54D9" w:rsidP="00D921B9">
            <w:pPr>
              <w:pStyle w:val="tabletext"/>
              <w:spacing w:before="80" w:after="80"/>
              <w:jc w:val="center"/>
              <w:rPr>
                <w:rFonts w:asciiTheme="minorHAnsi" w:hAnsiTheme="minorHAnsi"/>
                <w:b/>
              </w:rPr>
            </w:pPr>
          </w:p>
        </w:tc>
        <w:tc>
          <w:tcPr>
            <w:tcW w:w="1260" w:type="dxa"/>
            <w:shd w:val="clear" w:color="auto" w:fill="D9D9D9" w:themeFill="background1" w:themeFillShade="D9"/>
          </w:tcPr>
          <w:p w:rsidR="00EA54D9" w:rsidRPr="00985A93" w:rsidRDefault="00EA54D9" w:rsidP="00D921B9">
            <w:pPr>
              <w:pStyle w:val="tabletext"/>
              <w:spacing w:before="80" w:after="80"/>
              <w:jc w:val="center"/>
              <w:rPr>
                <w:rFonts w:asciiTheme="minorHAnsi" w:hAnsiTheme="minorHAnsi"/>
                <w:b/>
              </w:rPr>
            </w:pP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8: Codes allow rezoning to allow historic buildings be repurposed for a mix of uses.</w:t>
            </w:r>
            <w:r w:rsidRPr="00985A93">
              <w:rPr>
                <w:rStyle w:val="FootnoteReference"/>
                <w:rFonts w:asciiTheme="minorHAnsi" w:hAnsiTheme="minorHAnsi"/>
              </w:rPr>
              <w:footnoteReference w:id="12"/>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764877250"/>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91710626"/>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EA54D9" w:rsidRPr="00985A93" w:rsidTr="00D921B9">
        <w:trPr>
          <w:cantSplit/>
        </w:trPr>
        <w:tc>
          <w:tcPr>
            <w:tcW w:w="95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r w:rsidRPr="00985A93">
              <w:rPr>
                <w:rFonts w:asciiTheme="minorHAnsi" w:hAnsiTheme="minorHAnsi"/>
              </w:rPr>
              <w:t>Do codes protect views of natural, historic, or culturally significant features?</w:t>
            </w:r>
          </w:p>
        </w:tc>
        <w:tc>
          <w:tcPr>
            <w:tcW w:w="14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c>
          <w:tcPr>
            <w:tcW w:w="14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c>
          <w:tcPr>
            <w:tcW w:w="126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 xml:space="preserve">Strategy 9: Establish a review process for development in protected </w:t>
            </w:r>
            <w:proofErr w:type="spellStart"/>
            <w:r w:rsidRPr="00985A93">
              <w:rPr>
                <w:rFonts w:asciiTheme="minorHAnsi" w:hAnsiTheme="minorHAnsi"/>
              </w:rPr>
              <w:t>viewsheds</w:t>
            </w:r>
            <w:proofErr w:type="spellEnd"/>
            <w:r w:rsidRPr="00985A93">
              <w:rPr>
                <w:rFonts w:asciiTheme="minorHAnsi" w:hAnsiTheme="minorHAnsi"/>
              </w:rPr>
              <w:t xml:space="preserve"> (areas with views of attractive features such as ridge lines, water bodies, or landmarks).</w:t>
            </w:r>
            <w:r w:rsidRPr="00985A93">
              <w:rPr>
                <w:rStyle w:val="FootnoteReference"/>
                <w:rFonts w:asciiTheme="minorHAnsi" w:hAnsiTheme="minorHAnsi"/>
              </w:rPr>
              <w:footnoteReference w:id="13"/>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428035588"/>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361091272"/>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 xml:space="preserve">Strategy 10: Local codes regulate the height and size of signs and billboards in protected </w:t>
            </w:r>
            <w:proofErr w:type="spellStart"/>
            <w:r w:rsidRPr="00985A93">
              <w:rPr>
                <w:rFonts w:asciiTheme="minorHAnsi" w:hAnsiTheme="minorHAnsi"/>
              </w:rPr>
              <w:t>viewsheds</w:t>
            </w:r>
            <w:proofErr w:type="spellEnd"/>
            <w:r w:rsidRPr="00985A93">
              <w:rPr>
                <w:rFonts w:asciiTheme="minorHAnsi" w:hAnsiTheme="minorHAnsi"/>
              </w:rPr>
              <w:t>.</w:t>
            </w:r>
            <w:r w:rsidRPr="00985A93">
              <w:rPr>
                <w:rStyle w:val="FootnoteReference"/>
                <w:rFonts w:asciiTheme="minorHAnsi" w:hAnsiTheme="minorHAnsi"/>
              </w:rPr>
              <w:footnoteReference w:id="14"/>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799761286"/>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503850465"/>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 xml:space="preserve">Strategy 11: Subdivision codes encourage techniques, such as cluster subdivisions, to protect </w:t>
            </w:r>
            <w:proofErr w:type="spellStart"/>
            <w:r w:rsidRPr="00985A93">
              <w:rPr>
                <w:rFonts w:asciiTheme="minorHAnsi" w:hAnsiTheme="minorHAnsi"/>
              </w:rPr>
              <w:t>viewsheds</w:t>
            </w:r>
            <w:proofErr w:type="spellEnd"/>
            <w:r w:rsidRPr="00985A93">
              <w:rPr>
                <w:rFonts w:asciiTheme="minorHAnsi" w:hAnsiTheme="minorHAnsi"/>
              </w:rPr>
              <w:t>.</w:t>
            </w:r>
            <w:r w:rsidRPr="00985A93">
              <w:rPr>
                <w:rStyle w:val="FootnoteReference"/>
                <w:rFonts w:asciiTheme="minorHAnsi" w:hAnsiTheme="minorHAnsi"/>
              </w:rPr>
              <w:footnoteReference w:id="15"/>
            </w:r>
            <w:r w:rsidRPr="00985A93">
              <w:rPr>
                <w:rFonts w:asciiTheme="minorHAnsi" w:hAnsiTheme="minorHAnsi"/>
                <w:vertAlign w:val="superscript"/>
              </w:rPr>
              <w:t>,</w:t>
            </w:r>
            <w:r w:rsidRPr="00985A93">
              <w:rPr>
                <w:rStyle w:val="FootnoteReference"/>
                <w:rFonts w:asciiTheme="minorHAnsi" w:hAnsiTheme="minorHAnsi"/>
              </w:rPr>
              <w:footnoteReference w:id="16"/>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867212345"/>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611331804"/>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EA54D9" w:rsidRPr="00985A93" w:rsidTr="00D921B9">
        <w:trPr>
          <w:cantSplit/>
        </w:trPr>
        <w:tc>
          <w:tcPr>
            <w:tcW w:w="9540" w:type="dxa"/>
            <w:tcBorders>
              <w:right w:val="nil"/>
            </w:tcBorders>
            <w:shd w:val="clear" w:color="auto" w:fill="C2D69B"/>
          </w:tcPr>
          <w:p w:rsidR="00EA54D9" w:rsidRPr="00985A93" w:rsidRDefault="00EA54D9" w:rsidP="00D921B9">
            <w:pPr>
              <w:pStyle w:val="tablequestions"/>
              <w:spacing w:before="80" w:after="80"/>
              <w:rPr>
                <w:rFonts w:asciiTheme="minorHAnsi" w:hAnsiTheme="minorHAnsi"/>
                <w:i/>
              </w:rPr>
            </w:pPr>
            <w:r w:rsidRPr="00985A93">
              <w:rPr>
                <w:rFonts w:asciiTheme="minorHAnsi" w:hAnsiTheme="minorHAnsi"/>
                <w:i/>
              </w:rPr>
              <w:lastRenderedPageBreak/>
              <w:t>Preserving Historic and Cultural Resources Through Comprehensive Plans and Local Government Policies</w:t>
            </w:r>
          </w:p>
        </w:tc>
        <w:tc>
          <w:tcPr>
            <w:tcW w:w="1440" w:type="dxa"/>
            <w:tcBorders>
              <w:left w:val="nil"/>
              <w:right w:val="nil"/>
            </w:tcBorders>
            <w:shd w:val="clear" w:color="auto" w:fill="C2D69B"/>
          </w:tcPr>
          <w:p w:rsidR="00EA54D9" w:rsidRPr="00985A93" w:rsidRDefault="00EA54D9" w:rsidP="00D921B9">
            <w:pPr>
              <w:pStyle w:val="tablequestions"/>
              <w:spacing w:before="80" w:after="80"/>
              <w:rPr>
                <w:rFonts w:asciiTheme="minorHAnsi" w:hAnsiTheme="minorHAnsi"/>
              </w:rPr>
            </w:pPr>
          </w:p>
        </w:tc>
        <w:tc>
          <w:tcPr>
            <w:tcW w:w="1440" w:type="dxa"/>
            <w:tcBorders>
              <w:left w:val="nil"/>
              <w:right w:val="nil"/>
            </w:tcBorders>
            <w:shd w:val="clear" w:color="auto" w:fill="C2D69B"/>
          </w:tcPr>
          <w:p w:rsidR="00EA54D9" w:rsidRPr="00985A93" w:rsidRDefault="00EA54D9" w:rsidP="00D921B9">
            <w:pPr>
              <w:pStyle w:val="tablequestions"/>
              <w:spacing w:before="80" w:after="80"/>
              <w:rPr>
                <w:rFonts w:asciiTheme="minorHAnsi" w:hAnsiTheme="minorHAnsi"/>
              </w:rPr>
            </w:pPr>
          </w:p>
        </w:tc>
        <w:tc>
          <w:tcPr>
            <w:tcW w:w="1260" w:type="dxa"/>
            <w:tcBorders>
              <w:left w:val="nil"/>
            </w:tcBorders>
            <w:shd w:val="clear" w:color="auto" w:fill="C2D69B"/>
          </w:tcPr>
          <w:p w:rsidR="00EA54D9" w:rsidRPr="00985A93" w:rsidRDefault="00EA54D9" w:rsidP="00D921B9">
            <w:pPr>
              <w:pStyle w:val="tablequestions"/>
              <w:spacing w:before="80" w:after="80"/>
              <w:rPr>
                <w:rFonts w:asciiTheme="minorHAnsi" w:hAnsiTheme="minorHAnsi"/>
              </w:rPr>
            </w:pPr>
          </w:p>
        </w:tc>
      </w:tr>
      <w:tr w:rsidR="00EA54D9" w:rsidRPr="00985A93" w:rsidTr="00D921B9">
        <w:trPr>
          <w:cantSplit/>
        </w:trPr>
        <w:tc>
          <w:tcPr>
            <w:tcW w:w="95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r w:rsidRPr="00985A93">
              <w:rPr>
                <w:rFonts w:asciiTheme="minorHAnsi" w:hAnsiTheme="minorHAnsi"/>
              </w:rPr>
              <w:t>Have significant historic or cultural features been identified?</w:t>
            </w:r>
          </w:p>
        </w:tc>
        <w:tc>
          <w:tcPr>
            <w:tcW w:w="14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c>
          <w:tcPr>
            <w:tcW w:w="14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c>
          <w:tcPr>
            <w:tcW w:w="126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12: Develop an inventory of historic buildings, landmarks, and neighborhoods.</w:t>
            </w:r>
            <w:r w:rsidRPr="00985A93">
              <w:rPr>
                <w:rStyle w:val="FootnoteReference"/>
                <w:rFonts w:asciiTheme="minorHAnsi" w:hAnsiTheme="minorHAnsi"/>
              </w:rPr>
              <w:footnoteReference w:id="17"/>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060018599"/>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119061111"/>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13: The local government has established a historic district recognized by the National Register of Historic Places.</w:t>
            </w:r>
            <w:r w:rsidRPr="00985A93">
              <w:rPr>
                <w:rStyle w:val="FootnoteReference"/>
                <w:rFonts w:asciiTheme="minorHAnsi" w:hAnsiTheme="minorHAnsi"/>
              </w:rPr>
              <w:footnoteReference w:id="18"/>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2019882064"/>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502868272"/>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 xml:space="preserve">Strategy 14: Develop an inventory of significant </w:t>
            </w:r>
            <w:proofErr w:type="spellStart"/>
            <w:r w:rsidRPr="00985A93">
              <w:rPr>
                <w:rFonts w:asciiTheme="minorHAnsi" w:hAnsiTheme="minorHAnsi"/>
              </w:rPr>
              <w:t>viewsheds</w:t>
            </w:r>
            <w:proofErr w:type="spellEnd"/>
            <w:r w:rsidRPr="00985A93">
              <w:rPr>
                <w:rFonts w:asciiTheme="minorHAnsi" w:hAnsiTheme="minorHAnsi"/>
              </w:rPr>
              <w:t>.</w:t>
            </w:r>
            <w:r w:rsidRPr="00985A93">
              <w:rPr>
                <w:rStyle w:val="FootnoteReference"/>
                <w:rFonts w:asciiTheme="minorHAnsi" w:hAnsiTheme="minorHAnsi"/>
              </w:rPr>
              <w:footnoteReference w:id="19"/>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143739082"/>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457632781"/>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15: Develop an inventory of cultural heritage tourism sites.</w:t>
            </w:r>
            <w:r w:rsidRPr="00985A93">
              <w:rPr>
                <w:rStyle w:val="FootnoteReference"/>
                <w:rFonts w:asciiTheme="minorHAnsi" w:hAnsiTheme="minorHAnsi"/>
              </w:rPr>
              <w:footnoteReference w:id="20"/>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323780096"/>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870645261"/>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EA54D9" w:rsidRPr="00985A93" w:rsidTr="00D921B9">
        <w:trPr>
          <w:cantSplit/>
        </w:trPr>
        <w:tc>
          <w:tcPr>
            <w:tcW w:w="9540" w:type="dxa"/>
            <w:tcBorders>
              <w:right w:val="nil"/>
            </w:tcBorders>
            <w:shd w:val="clear" w:color="auto" w:fill="FABF8F"/>
          </w:tcPr>
          <w:p w:rsidR="00EA54D9" w:rsidRPr="00985A93" w:rsidRDefault="00EA54D9" w:rsidP="00D921B9">
            <w:pPr>
              <w:pStyle w:val="tablequestions"/>
              <w:spacing w:before="80" w:after="80"/>
              <w:rPr>
                <w:rFonts w:asciiTheme="minorHAnsi" w:hAnsiTheme="minorHAnsi"/>
                <w:i/>
              </w:rPr>
            </w:pPr>
            <w:r w:rsidRPr="00985A93">
              <w:rPr>
                <w:rFonts w:asciiTheme="minorHAnsi" w:hAnsiTheme="minorHAnsi"/>
                <w:i/>
              </w:rPr>
              <w:t>Preserving Historic and Cultural Resources Through Programs and Services</w:t>
            </w:r>
          </w:p>
        </w:tc>
        <w:tc>
          <w:tcPr>
            <w:tcW w:w="1440" w:type="dxa"/>
            <w:tcBorders>
              <w:left w:val="nil"/>
              <w:right w:val="nil"/>
            </w:tcBorders>
            <w:shd w:val="clear" w:color="auto" w:fill="FABF8F"/>
          </w:tcPr>
          <w:p w:rsidR="00EA54D9" w:rsidRPr="00985A93" w:rsidRDefault="00EA54D9" w:rsidP="00D921B9">
            <w:pPr>
              <w:pStyle w:val="tablequestions"/>
              <w:spacing w:before="80" w:after="80"/>
              <w:rPr>
                <w:rFonts w:asciiTheme="minorHAnsi" w:hAnsiTheme="minorHAnsi"/>
              </w:rPr>
            </w:pPr>
          </w:p>
        </w:tc>
        <w:tc>
          <w:tcPr>
            <w:tcW w:w="1440" w:type="dxa"/>
            <w:tcBorders>
              <w:left w:val="nil"/>
              <w:right w:val="nil"/>
            </w:tcBorders>
            <w:shd w:val="clear" w:color="auto" w:fill="FABF8F"/>
          </w:tcPr>
          <w:p w:rsidR="00EA54D9" w:rsidRPr="00985A93" w:rsidRDefault="00EA54D9" w:rsidP="00D921B9">
            <w:pPr>
              <w:pStyle w:val="tablequestions"/>
              <w:spacing w:before="80" w:after="80"/>
              <w:rPr>
                <w:rFonts w:asciiTheme="minorHAnsi" w:hAnsiTheme="minorHAnsi"/>
              </w:rPr>
            </w:pPr>
          </w:p>
        </w:tc>
        <w:tc>
          <w:tcPr>
            <w:tcW w:w="1260" w:type="dxa"/>
            <w:tcBorders>
              <w:left w:val="nil"/>
            </w:tcBorders>
            <w:shd w:val="clear" w:color="auto" w:fill="FABF8F"/>
          </w:tcPr>
          <w:p w:rsidR="00EA54D9" w:rsidRPr="00985A93" w:rsidRDefault="00EA54D9" w:rsidP="00D921B9">
            <w:pPr>
              <w:pStyle w:val="tablequestions"/>
              <w:spacing w:before="80" w:after="80"/>
              <w:rPr>
                <w:rFonts w:asciiTheme="minorHAnsi" w:hAnsiTheme="minorHAnsi"/>
              </w:rPr>
            </w:pPr>
          </w:p>
        </w:tc>
      </w:tr>
      <w:tr w:rsidR="00EA54D9" w:rsidRPr="00985A93" w:rsidTr="00D921B9">
        <w:trPr>
          <w:cantSplit/>
        </w:trPr>
        <w:tc>
          <w:tcPr>
            <w:tcW w:w="95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r w:rsidRPr="00985A93">
              <w:rPr>
                <w:rFonts w:asciiTheme="minorHAnsi" w:hAnsiTheme="minorHAnsi"/>
              </w:rPr>
              <w:t>Does the local government promote the rehabilitation and enjoyment of historic and cultural resources?</w:t>
            </w:r>
          </w:p>
        </w:tc>
        <w:tc>
          <w:tcPr>
            <w:tcW w:w="14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c>
          <w:tcPr>
            <w:tcW w:w="144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c>
          <w:tcPr>
            <w:tcW w:w="1260" w:type="dxa"/>
            <w:shd w:val="clear" w:color="auto" w:fill="D9D9D9" w:themeFill="background1" w:themeFillShade="D9"/>
          </w:tcPr>
          <w:p w:rsidR="00EA54D9" w:rsidRPr="00985A93" w:rsidRDefault="00EA54D9" w:rsidP="00D921B9">
            <w:pPr>
              <w:pStyle w:val="tablequestions"/>
              <w:spacing w:before="80" w:after="80"/>
              <w:rPr>
                <w:rFonts w:asciiTheme="minorHAnsi" w:hAnsiTheme="minorHAnsi"/>
              </w:rPr>
            </w:pPr>
          </w:p>
        </w:tc>
      </w:tr>
      <w:tr w:rsidR="00D921B9" w:rsidRPr="00985A93" w:rsidTr="00D921B9">
        <w:trPr>
          <w:cantSplit/>
        </w:trPr>
        <w:tc>
          <w:tcPr>
            <w:tcW w:w="9540" w:type="dxa"/>
            <w:tcBorders>
              <w:bottom w:val="single" w:sz="4" w:space="0" w:color="auto"/>
            </w:tcBorders>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16: Historic structures and sites have interpretative signs and are included in the community’s wayfinding signs.</w:t>
            </w:r>
            <w:r w:rsidRPr="00985A93">
              <w:rPr>
                <w:rStyle w:val="FootnoteReference"/>
                <w:rFonts w:asciiTheme="minorHAnsi" w:hAnsiTheme="minorHAnsi"/>
              </w:rPr>
              <w:footnoteReference w:id="21"/>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805347546"/>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2023814220"/>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Borders>
              <w:bottom w:val="single" w:sz="4" w:space="0" w:color="auto"/>
            </w:tcBorders>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Borders>
              <w:bottom w:val="single" w:sz="4" w:space="0" w:color="auto"/>
            </w:tcBorders>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17: A self-guided historical walking tour is available to the community.</w:t>
            </w:r>
            <w:r w:rsidRPr="00985A93">
              <w:rPr>
                <w:rStyle w:val="FootnoteReference"/>
                <w:rFonts w:asciiTheme="minorHAnsi" w:hAnsiTheme="minorHAnsi"/>
              </w:rPr>
              <w:footnoteReference w:id="22"/>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533572512"/>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207368579"/>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Borders>
              <w:bottom w:val="single" w:sz="4" w:space="0" w:color="auto"/>
            </w:tcBorders>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Borders>
              <w:bottom w:val="single" w:sz="4" w:space="0" w:color="auto"/>
            </w:tcBorders>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18: A façade improvement and landscaping grant program is available for historic properties.</w:t>
            </w:r>
            <w:r w:rsidRPr="00985A93">
              <w:rPr>
                <w:rStyle w:val="FootnoteReference"/>
                <w:rFonts w:asciiTheme="minorHAnsi" w:hAnsiTheme="minorHAnsi"/>
              </w:rPr>
              <w:footnoteReference w:id="23"/>
            </w:r>
            <w:r w:rsidRPr="00985A93">
              <w:rPr>
                <w:rFonts w:asciiTheme="minorHAnsi" w:hAnsiTheme="minorHAnsi"/>
                <w:vertAlign w:val="superscript"/>
              </w:rPr>
              <w:t>,</w:t>
            </w:r>
            <w:r w:rsidRPr="00985A93">
              <w:rPr>
                <w:rStyle w:val="FootnoteReference"/>
                <w:rFonts w:asciiTheme="minorHAnsi" w:hAnsiTheme="minorHAnsi"/>
              </w:rPr>
              <w:footnoteReference w:id="24"/>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382906722"/>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194063431"/>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Borders>
              <w:bottom w:val="single" w:sz="4" w:space="0" w:color="auto"/>
            </w:tcBorders>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Borders>
              <w:bottom w:val="single" w:sz="4" w:space="0" w:color="auto"/>
            </w:tcBorders>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19: A tax credit or tax abatement is available to buy and/or renovate historic properties.</w:t>
            </w:r>
            <w:r w:rsidRPr="00985A93">
              <w:rPr>
                <w:rStyle w:val="FootnoteReference"/>
                <w:rFonts w:asciiTheme="minorHAnsi" w:hAnsiTheme="minorHAnsi"/>
              </w:rPr>
              <w:footnoteReference w:id="25"/>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06475644"/>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602416241"/>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Borders>
              <w:bottom w:val="single" w:sz="4" w:space="0" w:color="auto"/>
            </w:tcBorders>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Borders>
              <w:bottom w:val="single" w:sz="4" w:space="0" w:color="auto"/>
            </w:tcBorders>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t>Strategy 20: A revolving loan fund is available to buy and/or renovate historic properties.</w:t>
            </w:r>
            <w:r w:rsidRPr="00985A93">
              <w:rPr>
                <w:rStyle w:val="FootnoteReference"/>
                <w:rFonts w:asciiTheme="minorHAnsi" w:hAnsiTheme="minorHAnsi"/>
              </w:rPr>
              <w:footnoteReference w:id="26"/>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367755875"/>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517889706"/>
            <w14:checkbox>
              <w14:checked w14:val="0"/>
              <w14:checkedState w14:val="2612" w14:font="MS Gothic"/>
              <w14:uncheckedState w14:val="2610" w14:font="MS Gothic"/>
            </w14:checkbox>
          </w:sdtPr>
          <w:sdtEndPr/>
          <w:sdtContent>
            <w:tc>
              <w:tcPr>
                <w:tcW w:w="1440" w:type="dxa"/>
                <w:tcBorders>
                  <w:bottom w:val="single" w:sz="4" w:space="0" w:color="auto"/>
                </w:tcBorders>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Borders>
              <w:bottom w:val="single" w:sz="4" w:space="0" w:color="auto"/>
            </w:tcBorders>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1,2,3</w:t>
            </w:r>
          </w:p>
        </w:tc>
      </w:tr>
      <w:tr w:rsidR="00D921B9" w:rsidRPr="00985A93" w:rsidTr="00D921B9">
        <w:trPr>
          <w:cantSplit/>
        </w:trPr>
        <w:tc>
          <w:tcPr>
            <w:tcW w:w="9540" w:type="dxa"/>
          </w:tcPr>
          <w:p w:rsidR="00D921B9" w:rsidRPr="00985A93" w:rsidRDefault="00D921B9" w:rsidP="00D921B9">
            <w:pPr>
              <w:pStyle w:val="tabletext"/>
              <w:spacing w:before="80" w:after="80"/>
              <w:rPr>
                <w:rFonts w:asciiTheme="minorHAnsi" w:hAnsiTheme="minorHAnsi"/>
              </w:rPr>
            </w:pPr>
            <w:r w:rsidRPr="00985A93">
              <w:rPr>
                <w:rFonts w:asciiTheme="minorHAnsi" w:hAnsiTheme="minorHAnsi"/>
              </w:rPr>
              <w:lastRenderedPageBreak/>
              <w:t>Strategy 21: Offer tax incentives to developers who redevelop historic buildings in city and town centers and maintain their historic character.</w:t>
            </w:r>
            <w:r w:rsidRPr="00985A93">
              <w:rPr>
                <w:rStyle w:val="FootnoteReference"/>
                <w:rFonts w:asciiTheme="minorHAnsi" w:hAnsiTheme="minorHAnsi"/>
              </w:rPr>
              <w:footnoteReference w:id="27"/>
            </w:r>
            <w:r w:rsidR="007215F2" w:rsidRPr="00985A93">
              <w:rPr>
                <w:rFonts w:asciiTheme="minorHAnsi" w:hAnsiTheme="minorHAnsi"/>
              </w:rPr>
              <w:t xml:space="preserve">  </w:t>
            </w:r>
            <w:r w:rsidR="007215F2" w:rsidRPr="00985A93">
              <w:rPr>
                <w:rFonts w:asciiTheme="minorHAnsi" w:hAnsiTheme="minorHAnsi"/>
                <w:i/>
                <w:color w:val="FF0000"/>
              </w:rPr>
              <w:fldChar w:fldCharType="begin">
                <w:ffData>
                  <w:name w:val="Text1"/>
                  <w:enabled/>
                  <w:calcOnExit w:val="0"/>
                  <w:textInput/>
                </w:ffData>
              </w:fldChar>
            </w:r>
            <w:r w:rsidR="007215F2" w:rsidRPr="00985A93">
              <w:rPr>
                <w:rFonts w:asciiTheme="minorHAnsi" w:hAnsiTheme="minorHAnsi"/>
                <w:i/>
                <w:color w:val="FF0000"/>
              </w:rPr>
              <w:instrText xml:space="preserve"> FORMTEXT </w:instrText>
            </w:r>
            <w:r w:rsidR="007215F2" w:rsidRPr="00985A93">
              <w:rPr>
                <w:rFonts w:asciiTheme="minorHAnsi" w:hAnsiTheme="minorHAnsi"/>
                <w:i/>
                <w:color w:val="FF0000"/>
              </w:rPr>
            </w:r>
            <w:r w:rsidR="007215F2" w:rsidRPr="00985A93">
              <w:rPr>
                <w:rFonts w:asciiTheme="minorHAnsi" w:hAnsiTheme="minorHAnsi"/>
                <w:i/>
                <w:color w:val="FF0000"/>
              </w:rPr>
              <w:fldChar w:fldCharType="separate"/>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noProof/>
                <w:color w:val="FF0000"/>
              </w:rPr>
              <w:t> </w:t>
            </w:r>
            <w:r w:rsidR="007215F2" w:rsidRPr="00985A93">
              <w:rPr>
                <w:rFonts w:asciiTheme="minorHAnsi" w:hAnsiTheme="minorHAnsi"/>
                <w:i/>
                <w:color w:val="FF0000"/>
              </w:rPr>
              <w:fldChar w:fldCharType="end"/>
            </w:r>
          </w:p>
        </w:tc>
        <w:sdt>
          <w:sdtPr>
            <w:rPr>
              <w:rFonts w:asciiTheme="minorHAnsi" w:hAnsiTheme="minorHAnsi"/>
            </w:rPr>
            <w:id w:val="1255872480"/>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sdt>
          <w:sdtPr>
            <w:rPr>
              <w:rFonts w:asciiTheme="minorHAnsi" w:hAnsiTheme="minorHAnsi"/>
            </w:rPr>
            <w:id w:val="1270275222"/>
            <w14:checkbox>
              <w14:checked w14:val="0"/>
              <w14:checkedState w14:val="2612" w14:font="MS Gothic"/>
              <w14:uncheckedState w14:val="2610" w14:font="MS Gothic"/>
            </w14:checkbox>
          </w:sdtPr>
          <w:sdtEndPr/>
          <w:sdtContent>
            <w:tc>
              <w:tcPr>
                <w:tcW w:w="1440" w:type="dxa"/>
              </w:tcPr>
              <w:p w:rsidR="00D921B9" w:rsidRPr="00985A93" w:rsidRDefault="00D921B9" w:rsidP="00D6406A">
                <w:pPr>
                  <w:pStyle w:val="tabletext"/>
                  <w:spacing w:before="80" w:after="80"/>
                  <w:jc w:val="center"/>
                  <w:rPr>
                    <w:rFonts w:asciiTheme="minorHAnsi" w:hAnsiTheme="minorHAnsi"/>
                  </w:rPr>
                </w:pPr>
                <w:r w:rsidRPr="00985A93">
                  <w:rPr>
                    <w:rFonts w:ascii="MS Gothic" w:eastAsia="MS Gothic" w:hAnsi="MS Gothic" w:cs="MS Gothic" w:hint="eastAsia"/>
                  </w:rPr>
                  <w:t>☐</w:t>
                </w:r>
              </w:p>
            </w:tc>
          </w:sdtContent>
        </w:sdt>
        <w:tc>
          <w:tcPr>
            <w:tcW w:w="1260" w:type="dxa"/>
          </w:tcPr>
          <w:p w:rsidR="00D921B9" w:rsidRPr="00985A93" w:rsidRDefault="00D921B9" w:rsidP="00D921B9">
            <w:pPr>
              <w:pStyle w:val="tabletext"/>
              <w:spacing w:before="80" w:after="80"/>
              <w:jc w:val="center"/>
              <w:rPr>
                <w:rFonts w:asciiTheme="minorHAnsi" w:hAnsiTheme="minorHAnsi"/>
              </w:rPr>
            </w:pPr>
            <w:r w:rsidRPr="00985A93">
              <w:rPr>
                <w:rFonts w:asciiTheme="minorHAnsi" w:hAnsiTheme="minorHAnsi"/>
              </w:rPr>
              <w:t>1,2</w:t>
            </w:r>
          </w:p>
        </w:tc>
      </w:tr>
    </w:tbl>
    <w:p w:rsidR="00DC4273" w:rsidRPr="00EA54D9" w:rsidRDefault="00DC4273" w:rsidP="00EA54D9"/>
    <w:sectPr w:rsidR="00DC4273" w:rsidRPr="00EA54D9" w:rsidSect="000B459D">
      <w:headerReference w:type="default" r:id="rId8"/>
      <w:footerReference w:type="default" r:id="rId9"/>
      <w:pgSz w:w="15840" w:h="12240" w:orient="landscape"/>
      <w:pgMar w:top="1296"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745" w:rsidRDefault="00957745" w:rsidP="000364A3">
      <w:pPr>
        <w:spacing w:after="0" w:line="240" w:lineRule="auto"/>
      </w:pPr>
      <w:r>
        <w:separator/>
      </w:r>
    </w:p>
  </w:endnote>
  <w:endnote w:type="continuationSeparator" w:id="0">
    <w:p w:rsidR="00957745" w:rsidRDefault="00957745" w:rsidP="0003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12312"/>
      <w:gridCol w:w="1368"/>
    </w:tblGrid>
    <w:tr w:rsidR="000364A3" w:rsidTr="00D6406A">
      <w:tc>
        <w:tcPr>
          <w:tcW w:w="4500" w:type="pct"/>
          <w:tcBorders>
            <w:top w:val="single" w:sz="4" w:space="0" w:color="000000" w:themeColor="text1"/>
          </w:tcBorders>
        </w:tcPr>
        <w:p w:rsidR="000364A3" w:rsidRPr="00724694" w:rsidRDefault="000364A3" w:rsidP="00680B7B">
          <w:pPr>
            <w:pStyle w:val="Footer"/>
            <w:rPr>
              <w:sz w:val="18"/>
            </w:rPr>
          </w:pPr>
          <w:r w:rsidRPr="00724694">
            <w:rPr>
              <w:sz w:val="18"/>
            </w:rPr>
            <w:t>Smart Growth Self-Assessment for Rural Communi</w:t>
          </w:r>
          <w:r>
            <w:rPr>
              <w:sz w:val="18"/>
            </w:rPr>
            <w:t>ties</w:t>
          </w:r>
        </w:p>
      </w:tc>
      <w:tc>
        <w:tcPr>
          <w:tcW w:w="500" w:type="pct"/>
          <w:tcBorders>
            <w:top w:val="single" w:sz="4" w:space="0" w:color="C0504D" w:themeColor="accent2"/>
          </w:tcBorders>
          <w:shd w:val="clear" w:color="auto" w:fill="76923C" w:themeFill="accent3" w:themeFillShade="BF"/>
        </w:tcPr>
        <w:p w:rsidR="000364A3" w:rsidRPr="00724694" w:rsidRDefault="000364A3" w:rsidP="00D6406A">
          <w:pPr>
            <w:pStyle w:val="Header"/>
            <w:jc w:val="right"/>
            <w:rPr>
              <w:color w:val="FFFFFF" w:themeColor="background1"/>
              <w:sz w:val="18"/>
            </w:rPr>
          </w:pPr>
          <w:r w:rsidRPr="00846C31">
            <w:rPr>
              <w:color w:val="FFFFFF" w:themeColor="background1"/>
              <w:sz w:val="18"/>
              <w:szCs w:val="18"/>
            </w:rPr>
            <w:fldChar w:fldCharType="begin"/>
          </w:r>
          <w:r w:rsidRPr="00846C31">
            <w:rPr>
              <w:color w:val="FFFFFF" w:themeColor="background1"/>
              <w:sz w:val="18"/>
              <w:szCs w:val="18"/>
            </w:rPr>
            <w:instrText xml:space="preserve"> PAGE   \* MERGEFORMAT </w:instrText>
          </w:r>
          <w:r w:rsidRPr="00846C31">
            <w:rPr>
              <w:color w:val="FFFFFF" w:themeColor="background1"/>
              <w:sz w:val="18"/>
              <w:szCs w:val="18"/>
            </w:rPr>
            <w:fldChar w:fldCharType="separate"/>
          </w:r>
          <w:r w:rsidR="00EB7624">
            <w:rPr>
              <w:noProof/>
              <w:color w:val="FFFFFF" w:themeColor="background1"/>
              <w:sz w:val="18"/>
              <w:szCs w:val="18"/>
            </w:rPr>
            <w:t>4</w:t>
          </w:r>
          <w:r w:rsidRPr="00846C31">
            <w:rPr>
              <w:noProof/>
              <w:color w:val="FFFFFF" w:themeColor="background1"/>
              <w:sz w:val="18"/>
              <w:szCs w:val="18"/>
            </w:rPr>
            <w:fldChar w:fldCharType="end"/>
          </w:r>
        </w:p>
      </w:tc>
    </w:tr>
  </w:tbl>
  <w:p w:rsidR="000364A3" w:rsidRPr="00666A88" w:rsidRDefault="000364A3" w:rsidP="0003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745" w:rsidRDefault="00957745" w:rsidP="000364A3">
      <w:pPr>
        <w:spacing w:after="0" w:line="240" w:lineRule="auto"/>
      </w:pPr>
      <w:r>
        <w:separator/>
      </w:r>
    </w:p>
  </w:footnote>
  <w:footnote w:type="continuationSeparator" w:id="0">
    <w:p w:rsidR="00957745" w:rsidRDefault="00957745" w:rsidP="000364A3">
      <w:pPr>
        <w:spacing w:after="0" w:line="240" w:lineRule="auto"/>
      </w:pPr>
      <w:r>
        <w:continuationSeparator/>
      </w:r>
    </w:p>
  </w:footnote>
  <w:footnote w:id="1">
    <w:p w:rsidR="00EA54D9" w:rsidRPr="009C63D2" w:rsidRDefault="00EA54D9" w:rsidP="00EA54D9">
      <w:pPr>
        <w:pStyle w:val="FootnoteText"/>
        <w:contextualSpacing/>
        <w:rPr>
          <w:sz w:val="16"/>
        </w:rPr>
      </w:pPr>
      <w:r w:rsidRPr="009C63D2">
        <w:rPr>
          <w:rStyle w:val="FootnoteReference"/>
          <w:sz w:val="16"/>
        </w:rPr>
        <w:footnoteRef/>
      </w:r>
      <w:r w:rsidRPr="009C63D2">
        <w:rPr>
          <w:sz w:val="16"/>
        </w:rPr>
        <w:t xml:space="preserve"> Self-assessment topics and recommendations apply to one or more of the following scales: 1 – large town/small city (population of approximately 10,000 or greater); 2 - village/small town (population typically under 10,000); 3 – rural (very low density places, working lands, and natural areas outside of towns, villages, and cities).</w:t>
      </w:r>
    </w:p>
  </w:footnote>
  <w:footnote w:id="2">
    <w:p w:rsidR="00EA54D9" w:rsidRPr="009C63D2" w:rsidRDefault="00EA54D9" w:rsidP="00EA54D9">
      <w:pPr>
        <w:pStyle w:val="FootnoteText"/>
        <w:contextualSpacing/>
        <w:rPr>
          <w:sz w:val="16"/>
        </w:rPr>
      </w:pPr>
      <w:r w:rsidRPr="009C63D2">
        <w:rPr>
          <w:rStyle w:val="FootnoteReference"/>
          <w:sz w:val="16"/>
        </w:rPr>
        <w:footnoteRef/>
      </w:r>
      <w:r w:rsidRPr="009C63D2">
        <w:rPr>
          <w:sz w:val="16"/>
        </w:rPr>
        <w:t xml:space="preserve"> The New York State Historic Preservation Office provides information on a wide range of topics related to historic preservation </w:t>
      </w:r>
      <w:r>
        <w:rPr>
          <w:sz w:val="16"/>
        </w:rPr>
        <w:t>(</w:t>
      </w:r>
      <w:hyperlink r:id="rId1" w:history="1">
        <w:r w:rsidRPr="009C63D2">
          <w:rPr>
            <w:rStyle w:val="Hyperlink"/>
            <w:sz w:val="16"/>
          </w:rPr>
          <w:t>http://nysparks.com/shpo/</w:t>
        </w:r>
      </w:hyperlink>
      <w:r>
        <w:rPr>
          <w:sz w:val="16"/>
        </w:rPr>
        <w:t>).</w:t>
      </w:r>
      <w:r w:rsidRPr="009C63D2">
        <w:rPr>
          <w:sz w:val="16"/>
        </w:rPr>
        <w:t xml:space="preserve"> </w:t>
      </w:r>
    </w:p>
  </w:footnote>
  <w:footnote w:id="3">
    <w:p w:rsidR="00EA54D9" w:rsidRPr="009C63D2" w:rsidRDefault="00EA54D9" w:rsidP="00EA54D9">
      <w:pPr>
        <w:pStyle w:val="FootnoteText"/>
        <w:contextualSpacing/>
        <w:rPr>
          <w:sz w:val="16"/>
        </w:rPr>
      </w:pPr>
      <w:r w:rsidRPr="009C63D2">
        <w:rPr>
          <w:rStyle w:val="FootnoteReference"/>
          <w:sz w:val="16"/>
        </w:rPr>
        <w:footnoteRef/>
      </w:r>
      <w:r w:rsidRPr="009C63D2">
        <w:rPr>
          <w:sz w:val="16"/>
        </w:rPr>
        <w:t xml:space="preserve"> This body is typically a historic preservation review commission or design review board for a designated historic district. An administrative review by local government staff is also an option.</w:t>
      </w:r>
    </w:p>
  </w:footnote>
  <w:footnote w:id="4">
    <w:p w:rsidR="00EA54D9" w:rsidRPr="009C63D2" w:rsidRDefault="00EA54D9" w:rsidP="00EA54D9">
      <w:pPr>
        <w:pStyle w:val="FootnoteText"/>
        <w:contextualSpacing/>
        <w:rPr>
          <w:sz w:val="16"/>
        </w:rPr>
      </w:pPr>
      <w:r w:rsidRPr="009C63D2">
        <w:rPr>
          <w:rStyle w:val="FootnoteReference"/>
          <w:sz w:val="16"/>
        </w:rPr>
        <w:footnoteRef/>
      </w:r>
      <w:r w:rsidRPr="009C63D2">
        <w:rPr>
          <w:sz w:val="16"/>
        </w:rPr>
        <w:t xml:space="preserve"> Montpelier Historic Preservation Commission (</w:t>
      </w:r>
      <w:hyperlink r:id="rId2" w:history="1">
        <w:r w:rsidRPr="009C63D2">
          <w:rPr>
            <w:rStyle w:val="Hyperlink"/>
            <w:sz w:val="16"/>
          </w:rPr>
          <w:t>http://www.montpelier-vt.org/group/68/Historic-Preservation-Commission.html</w:t>
        </w:r>
      </w:hyperlink>
      <w:r w:rsidRPr="009C63D2">
        <w:rPr>
          <w:sz w:val="16"/>
        </w:rPr>
        <w:t>).</w:t>
      </w:r>
    </w:p>
  </w:footnote>
  <w:footnote w:id="5">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Rockville</w:t>
      </w:r>
      <w:r>
        <w:rPr>
          <w:sz w:val="16"/>
        </w:rPr>
        <w:t>,</w:t>
      </w:r>
      <w:r w:rsidRPr="009C63D2">
        <w:rPr>
          <w:sz w:val="16"/>
        </w:rPr>
        <w:t xml:space="preserve"> M</w:t>
      </w:r>
      <w:r>
        <w:rPr>
          <w:sz w:val="16"/>
        </w:rPr>
        <w:t>aryland</w:t>
      </w:r>
      <w:r w:rsidRPr="009C63D2">
        <w:rPr>
          <w:sz w:val="16"/>
        </w:rPr>
        <w:t xml:space="preserve"> Historic Designation Criteria (</w:t>
      </w:r>
      <w:hyperlink r:id="rId3" w:history="1">
        <w:r>
          <w:rPr>
            <w:rStyle w:val="Hyperlink"/>
            <w:sz w:val="16"/>
          </w:rPr>
          <w:t>http://www.rockvillemd.gov/index.aspx?NID=625</w:t>
        </w:r>
      </w:hyperlink>
      <w:r w:rsidRPr="009C63D2">
        <w:rPr>
          <w:sz w:val="16"/>
        </w:rPr>
        <w:t>).</w:t>
      </w:r>
    </w:p>
  </w:footnote>
  <w:footnote w:id="6">
    <w:p w:rsidR="00D921B9" w:rsidRPr="00EE59F9" w:rsidRDefault="00D921B9" w:rsidP="00EA54D9">
      <w:pPr>
        <w:pStyle w:val="FootnoteText"/>
        <w:contextualSpacing/>
        <w:rPr>
          <w:spacing w:val="-6"/>
          <w:sz w:val="16"/>
        </w:rPr>
      </w:pPr>
      <w:r w:rsidRPr="00EE59F9">
        <w:rPr>
          <w:rStyle w:val="FootnoteReference"/>
          <w:spacing w:val="-6"/>
          <w:sz w:val="16"/>
        </w:rPr>
        <w:footnoteRef/>
      </w:r>
      <w:r w:rsidRPr="00EE59F9">
        <w:rPr>
          <w:spacing w:val="-6"/>
          <w:sz w:val="16"/>
        </w:rPr>
        <w:t xml:space="preserve"> A Model Historic District Ordinance for Local Governments in Pennsylvania (</w:t>
      </w:r>
      <w:hyperlink r:id="rId4" w:history="1">
        <w:r w:rsidRPr="00EE59F9">
          <w:rPr>
            <w:rStyle w:val="Hyperlink"/>
            <w:spacing w:val="-6"/>
            <w:sz w:val="16"/>
          </w:rPr>
          <w:t>http://conservationtools.org/libraries/1/library_items/944-A-Model-Historic-District-Ordinance-for-Local-Governments-in-Pennsylvania</w:t>
        </w:r>
      </w:hyperlink>
      <w:r w:rsidRPr="00EE59F9">
        <w:rPr>
          <w:spacing w:val="-6"/>
          <w:sz w:val="16"/>
        </w:rPr>
        <w:t>).</w:t>
      </w:r>
    </w:p>
  </w:footnote>
  <w:footnote w:id="7">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Lynchburg</w:t>
      </w:r>
      <w:r>
        <w:rPr>
          <w:sz w:val="16"/>
        </w:rPr>
        <w:t>,</w:t>
      </w:r>
      <w:r w:rsidRPr="009C63D2">
        <w:rPr>
          <w:sz w:val="16"/>
        </w:rPr>
        <w:t xml:space="preserve"> V</w:t>
      </w:r>
      <w:r>
        <w:rPr>
          <w:sz w:val="16"/>
        </w:rPr>
        <w:t>irginia</w:t>
      </w:r>
      <w:r w:rsidRPr="009C63D2">
        <w:rPr>
          <w:sz w:val="16"/>
        </w:rPr>
        <w:t xml:space="preserve"> Historic Districts Ordinance, Guidelines, Descriptions, and Maps (</w:t>
      </w:r>
      <w:hyperlink r:id="rId5" w:history="1">
        <w:r w:rsidRPr="009C63D2">
          <w:rPr>
            <w:rStyle w:val="Hyperlink"/>
            <w:sz w:val="16"/>
          </w:rPr>
          <w:t>http://www.lynchburgva.gov/historic-districts-ordinance-guidelines-descriptions-and-maps</w:t>
        </w:r>
      </w:hyperlink>
      <w:r w:rsidRPr="009C63D2">
        <w:rPr>
          <w:sz w:val="16"/>
        </w:rPr>
        <w:t>).</w:t>
      </w:r>
    </w:p>
  </w:footnote>
  <w:footnote w:id="8">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Boulder County</w:t>
      </w:r>
      <w:r>
        <w:rPr>
          <w:sz w:val="16"/>
        </w:rPr>
        <w:t>, Colorado</w:t>
      </w:r>
      <w:r w:rsidRPr="009C63D2">
        <w:rPr>
          <w:sz w:val="16"/>
        </w:rPr>
        <w:t xml:space="preserve">: </w:t>
      </w:r>
      <w:r>
        <w:rPr>
          <w:sz w:val="16"/>
        </w:rPr>
        <w:t xml:space="preserve">Permit Process for </w:t>
      </w:r>
      <w:r w:rsidRPr="009C63D2">
        <w:rPr>
          <w:sz w:val="16"/>
        </w:rPr>
        <w:t>Demolition and Alteration of Historic Structures (</w:t>
      </w:r>
      <w:hyperlink r:id="rId6" w:history="1">
        <w:r w:rsidRPr="009C63D2">
          <w:rPr>
            <w:rStyle w:val="Hyperlink"/>
            <w:sz w:val="16"/>
          </w:rPr>
          <w:t>http://www.bouldercounty.org/property/build/pages/historicdemo.aspx</w:t>
        </w:r>
      </w:hyperlink>
      <w:r w:rsidRPr="009C63D2">
        <w:rPr>
          <w:sz w:val="16"/>
        </w:rPr>
        <w:t>).</w:t>
      </w:r>
    </w:p>
  </w:footnote>
  <w:footnote w:id="9">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The Town of Dryden, New York has developed commercial and residential design guidelines. They are available from the town’s website (</w:t>
      </w:r>
      <w:hyperlink r:id="rId7" w:history="1">
        <w:r w:rsidRPr="009C63D2">
          <w:rPr>
            <w:rStyle w:val="Hyperlink"/>
            <w:sz w:val="16"/>
          </w:rPr>
          <w:t>http://dryden.ny.us/departments/planning-department/planning/design-guidelines</w:t>
        </w:r>
      </w:hyperlink>
      <w:r w:rsidRPr="009C63D2">
        <w:rPr>
          <w:sz w:val="16"/>
        </w:rPr>
        <w:t xml:space="preserve">). </w:t>
      </w:r>
    </w:p>
  </w:footnote>
  <w:footnote w:id="10">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Context sensitive zoning and development standards based on analysis of historic development patterns</w:t>
      </w:r>
      <w:r w:rsidRPr="009C63D2">
        <w:rPr>
          <w:spacing w:val="-8"/>
          <w:sz w:val="16"/>
        </w:rPr>
        <w:t xml:space="preserve"> (</w:t>
      </w:r>
      <w:hyperlink r:id="rId8" w:tgtFrame="_blank" w:history="1">
        <w:r w:rsidRPr="009C63D2">
          <w:rPr>
            <w:rStyle w:val="Hyperlink"/>
            <w:sz w:val="16"/>
          </w:rPr>
          <w:t>http://www.ci.benicia.ca.us/index.asp?Type=B_BASIC&amp;SEC={D87C20DD-AE9B-41D5-84A7-D29CAD93E9F3}</w:t>
        </w:r>
      </w:hyperlink>
      <w:r w:rsidRPr="009C63D2">
        <w:rPr>
          <w:spacing w:val="-8"/>
          <w:sz w:val="16"/>
        </w:rPr>
        <w:t>).</w:t>
      </w:r>
    </w:p>
  </w:footnote>
  <w:footnote w:id="11">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The strategy refers to renovations of historic buildings, where substantive changes to or additions of doors, windows, façade elements, ceilings, and interior materials need to complement, but not necessarily match, the structure’s historic elements.</w:t>
      </w:r>
    </w:p>
  </w:footnote>
  <w:footnote w:id="12">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Duvall</w:t>
      </w:r>
      <w:r>
        <w:rPr>
          <w:sz w:val="16"/>
        </w:rPr>
        <w:t>, Washington</w:t>
      </w:r>
      <w:r w:rsidRPr="009C63D2">
        <w:rPr>
          <w:sz w:val="16"/>
        </w:rPr>
        <w:t xml:space="preserve"> Old Town – Mixed Use Zoning </w:t>
      </w:r>
      <w:r w:rsidRPr="0089667A">
        <w:rPr>
          <w:sz w:val="16"/>
        </w:rPr>
        <w:t>District (</w:t>
      </w:r>
      <w:hyperlink r:id="rId9" w:history="1">
        <w:r w:rsidRPr="0089667A">
          <w:rPr>
            <w:rStyle w:val="Hyperlink"/>
            <w:sz w:val="16"/>
          </w:rPr>
          <w:t>http://www.duvallwa.gov/DocumentCenter/Home/View/519</w:t>
        </w:r>
      </w:hyperlink>
      <w:r w:rsidRPr="0089667A">
        <w:rPr>
          <w:sz w:val="16"/>
        </w:rPr>
        <w:t>).</w:t>
      </w:r>
    </w:p>
  </w:footnote>
  <w:footnote w:id="13">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Napa, California has a </w:t>
      </w:r>
      <w:proofErr w:type="spellStart"/>
      <w:r w:rsidRPr="009C63D2">
        <w:rPr>
          <w:sz w:val="16"/>
        </w:rPr>
        <w:t>Viewshed</w:t>
      </w:r>
      <w:proofErr w:type="spellEnd"/>
      <w:r w:rsidRPr="009C63D2">
        <w:rPr>
          <w:sz w:val="16"/>
        </w:rPr>
        <w:t xml:space="preserve"> Protection Program that aims to protect views of the area’s ri</w:t>
      </w:r>
      <w:r w:rsidRPr="009C63D2">
        <w:rPr>
          <w:sz w:val="16"/>
          <w:szCs w:val="16"/>
        </w:rPr>
        <w:t>dges. Chapter 18.06 of the city’s zoning ordinance describes it and it c</w:t>
      </w:r>
      <w:r w:rsidRPr="009C63D2">
        <w:rPr>
          <w:sz w:val="16"/>
        </w:rPr>
        <w:t>an also b</w:t>
      </w:r>
      <w:r>
        <w:rPr>
          <w:sz w:val="16"/>
        </w:rPr>
        <w:t xml:space="preserve">e found in the </w:t>
      </w:r>
      <w:proofErr w:type="spellStart"/>
      <w:r>
        <w:rPr>
          <w:sz w:val="16"/>
        </w:rPr>
        <w:t>viewshed</w:t>
      </w:r>
      <w:proofErr w:type="spellEnd"/>
      <w:r>
        <w:rPr>
          <w:sz w:val="16"/>
        </w:rPr>
        <w:t xml:space="preserve"> permit </w:t>
      </w:r>
      <w:r w:rsidRPr="009C63D2">
        <w:rPr>
          <w:sz w:val="16"/>
        </w:rPr>
        <w:t>(</w:t>
      </w:r>
      <w:hyperlink r:id="rId10" w:history="1">
        <w:r w:rsidRPr="009C63D2">
          <w:rPr>
            <w:rStyle w:val="Hyperlink"/>
            <w:sz w:val="16"/>
          </w:rPr>
          <w:t>http://www.countyofnapa.org/pages/departmentcontent.aspx?id=4294968649</w:t>
        </w:r>
      </w:hyperlink>
      <w:r w:rsidRPr="00C533D2">
        <w:rPr>
          <w:rStyle w:val="Hyperlink"/>
          <w:color w:val="000000" w:themeColor="text1"/>
          <w:sz w:val="16"/>
        </w:rPr>
        <w:t>)</w:t>
      </w:r>
      <w:r w:rsidRPr="009C63D2">
        <w:rPr>
          <w:sz w:val="16"/>
        </w:rPr>
        <w:t xml:space="preserve">. </w:t>
      </w:r>
    </w:p>
  </w:footnote>
  <w:footnote w:id="14">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w:t>
      </w:r>
      <w:r>
        <w:rPr>
          <w:sz w:val="16"/>
        </w:rPr>
        <w:t xml:space="preserve">Keuka Lake Waterfront Revitalization and Scenic </w:t>
      </w:r>
      <w:proofErr w:type="spellStart"/>
      <w:r>
        <w:rPr>
          <w:sz w:val="16"/>
        </w:rPr>
        <w:t>Viewshed</w:t>
      </w:r>
      <w:proofErr w:type="spellEnd"/>
      <w:r>
        <w:rPr>
          <w:sz w:val="16"/>
        </w:rPr>
        <w:t xml:space="preserve"> Protection Plan (</w:t>
      </w:r>
      <w:hyperlink r:id="rId11" w:history="1">
        <w:r w:rsidRPr="0089667A">
          <w:rPr>
            <w:rStyle w:val="Hyperlink"/>
            <w:sz w:val="16"/>
          </w:rPr>
          <w:t>http://www.stcplanning.org/usr/Program_Areas/Water_Resources/KeukaLake/Waterfront%20Revitalization%20and%20Scenic%20Viewshed%20Protection%20Plan_opt.pdf</w:t>
        </w:r>
      </w:hyperlink>
      <w:r>
        <w:rPr>
          <w:sz w:val="16"/>
        </w:rPr>
        <w:t>).</w:t>
      </w:r>
      <w:r w:rsidRPr="0089667A">
        <w:rPr>
          <w:sz w:val="16"/>
        </w:rPr>
        <w:t xml:space="preserve">  </w:t>
      </w:r>
    </w:p>
  </w:footnote>
  <w:footnote w:id="15">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w:t>
      </w:r>
      <w:r>
        <w:rPr>
          <w:sz w:val="16"/>
        </w:rPr>
        <w:t xml:space="preserve">Southeastern Wisconsin Regional Planning Commission. </w:t>
      </w:r>
      <w:r w:rsidRPr="009C63D2">
        <w:rPr>
          <w:sz w:val="16"/>
        </w:rPr>
        <w:t>Model Zoning Ordinance for Rural Cluster Development (</w:t>
      </w:r>
      <w:hyperlink r:id="rId12" w:history="1">
        <w:r w:rsidRPr="009C63D2">
          <w:rPr>
            <w:rStyle w:val="Hyperlink"/>
            <w:sz w:val="16"/>
          </w:rPr>
          <w:t>http://www.sewrpc.org/SEWRPC/communityassistance/ModelOrdinancesGuides.htm</w:t>
        </w:r>
      </w:hyperlink>
      <w:hyperlink r:id="rId13" w:history="1"/>
      <w:r w:rsidRPr="009C63D2">
        <w:rPr>
          <w:sz w:val="16"/>
        </w:rPr>
        <w:t>).</w:t>
      </w:r>
    </w:p>
  </w:footnote>
  <w:footnote w:id="16">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Conservation Subdivision </w:t>
      </w:r>
      <w:r>
        <w:rPr>
          <w:sz w:val="16"/>
        </w:rPr>
        <w:t xml:space="preserve">Design </w:t>
      </w:r>
      <w:r w:rsidRPr="009C63D2">
        <w:rPr>
          <w:sz w:val="16"/>
        </w:rPr>
        <w:t>Handbook (</w:t>
      </w:r>
      <w:hyperlink r:id="rId14" w:history="1">
        <w:r w:rsidRPr="009A6991">
          <w:rPr>
            <w:rStyle w:val="Hyperlink"/>
            <w:sz w:val="16"/>
          </w:rPr>
          <w:t>http://conservationtools.org/libraries/1/library_items/349-Conservation-Subdivision-Design-Handbook</w:t>
        </w:r>
      </w:hyperlink>
      <w:r w:rsidRPr="009C63D2">
        <w:rPr>
          <w:sz w:val="16"/>
        </w:rPr>
        <w:t>).</w:t>
      </w:r>
    </w:p>
  </w:footnote>
  <w:footnote w:id="17">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Santa Monica, C</w:t>
      </w:r>
      <w:r>
        <w:rPr>
          <w:sz w:val="16"/>
        </w:rPr>
        <w:t>alifornia</w:t>
      </w:r>
      <w:r w:rsidRPr="009C63D2">
        <w:rPr>
          <w:sz w:val="16"/>
        </w:rPr>
        <w:t>: Historic Resources Inventory (</w:t>
      </w:r>
      <w:hyperlink r:id="rId15" w:history="1">
        <w:r w:rsidRPr="009C63D2">
          <w:rPr>
            <w:rStyle w:val="Hyperlink"/>
            <w:sz w:val="16"/>
          </w:rPr>
          <w:t>http://www.smgov.net/Departments/PCD/Historic-Resources-Inventory/</w:t>
        </w:r>
      </w:hyperlink>
      <w:r w:rsidRPr="009C63D2">
        <w:rPr>
          <w:sz w:val="16"/>
        </w:rPr>
        <w:t>).</w:t>
      </w:r>
    </w:p>
  </w:footnote>
  <w:footnote w:id="18">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The National Register of Historic Places is the official list of the Nation's historic places worthy of preservation. Authorized by the National Historic Preservation Act of 1966, the National Park Service's National Register of Historic Places is part of a national program to coordinate and support public and private efforts to identify, evaluate, and protect America's historic and archeological resources</w:t>
      </w:r>
      <w:r w:rsidRPr="009C63D2" w:rsidDel="002D39AC">
        <w:rPr>
          <w:sz w:val="16"/>
        </w:rPr>
        <w:t xml:space="preserve"> </w:t>
      </w:r>
      <w:r w:rsidRPr="009C63D2">
        <w:rPr>
          <w:sz w:val="16"/>
        </w:rPr>
        <w:t>(</w:t>
      </w:r>
      <w:hyperlink r:id="rId16" w:history="1">
        <w:r w:rsidRPr="009C63D2">
          <w:rPr>
            <w:rStyle w:val="Hyperlink"/>
            <w:sz w:val="16"/>
          </w:rPr>
          <w:t>http://www.nationalregisterofhistoricplaces.com/</w:t>
        </w:r>
      </w:hyperlink>
      <w:r w:rsidRPr="009C63D2">
        <w:rPr>
          <w:sz w:val="16"/>
        </w:rPr>
        <w:t>).</w:t>
      </w:r>
    </w:p>
  </w:footnote>
  <w:footnote w:id="19">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Hancock County Scenic Assessment Inventory and Analysis (</w:t>
      </w:r>
      <w:hyperlink r:id="rId17" w:history="1">
        <w:r w:rsidRPr="009C63D2">
          <w:rPr>
            <w:rStyle w:val="Hyperlink"/>
            <w:sz w:val="16"/>
          </w:rPr>
          <w:t>http://www.hcpcme.org/environment/view/</w:t>
        </w:r>
      </w:hyperlink>
      <w:r w:rsidRPr="009C63D2">
        <w:rPr>
          <w:sz w:val="16"/>
        </w:rPr>
        <w:t>).</w:t>
      </w:r>
    </w:p>
  </w:footnote>
  <w:footnote w:id="20">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w:t>
      </w:r>
      <w:r>
        <w:rPr>
          <w:sz w:val="16"/>
        </w:rPr>
        <w:t xml:space="preserve">State of Utah </w:t>
      </w:r>
      <w:r w:rsidRPr="009C63D2">
        <w:rPr>
          <w:sz w:val="16"/>
        </w:rPr>
        <w:t>Cultural Heritage Tourism Planning (</w:t>
      </w:r>
      <w:hyperlink r:id="rId18" w:history="1">
        <w:r w:rsidRPr="009C63D2">
          <w:rPr>
            <w:rStyle w:val="Hyperlink"/>
            <w:sz w:val="16"/>
          </w:rPr>
          <w:t>http://www.planning.utah.gov/CRMPHeritageTourism.htm</w:t>
        </w:r>
      </w:hyperlink>
      <w:r w:rsidRPr="009C63D2">
        <w:rPr>
          <w:sz w:val="16"/>
        </w:rPr>
        <w:t>).</w:t>
      </w:r>
    </w:p>
  </w:footnote>
  <w:footnote w:id="21">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Best Practices for Developing Interpretive Signs (</w:t>
      </w:r>
      <w:hyperlink r:id="rId19" w:history="1">
        <w:r w:rsidRPr="009C63D2">
          <w:rPr>
            <w:rStyle w:val="Hyperlink"/>
            <w:sz w:val="16"/>
          </w:rPr>
          <w:t>http://www.watershedco.com/blog/interpretive-program-from-start-to-finish/</w:t>
        </w:r>
      </w:hyperlink>
      <w:r w:rsidRPr="009C63D2">
        <w:rPr>
          <w:sz w:val="16"/>
        </w:rPr>
        <w:t>).</w:t>
      </w:r>
    </w:p>
  </w:footnote>
  <w:footnote w:id="22">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Alexandria Walking &amp; Guided Tours (</w:t>
      </w:r>
      <w:hyperlink r:id="rId20" w:history="1">
        <w:r w:rsidRPr="009C63D2">
          <w:rPr>
            <w:rStyle w:val="Hyperlink"/>
            <w:sz w:val="16"/>
          </w:rPr>
          <w:t>http://www.visitalexandriava.com/things-to-do/tours/</w:t>
        </w:r>
      </w:hyperlink>
      <w:r w:rsidRPr="009C63D2">
        <w:rPr>
          <w:sz w:val="16"/>
        </w:rPr>
        <w:t>).</w:t>
      </w:r>
    </w:p>
  </w:footnote>
  <w:footnote w:id="23">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Portland</w:t>
      </w:r>
      <w:r>
        <w:rPr>
          <w:sz w:val="16"/>
        </w:rPr>
        <w:t>,</w:t>
      </w:r>
      <w:r w:rsidRPr="009C63D2">
        <w:rPr>
          <w:sz w:val="16"/>
        </w:rPr>
        <w:t xml:space="preserve"> M</w:t>
      </w:r>
      <w:r>
        <w:rPr>
          <w:sz w:val="16"/>
        </w:rPr>
        <w:t>aine</w:t>
      </w:r>
      <w:r w:rsidRPr="009C63D2">
        <w:rPr>
          <w:sz w:val="16"/>
        </w:rPr>
        <w:t xml:space="preserve"> Façade Improvement Program </w:t>
      </w:r>
      <w:r w:rsidRPr="009A6991">
        <w:rPr>
          <w:sz w:val="16"/>
        </w:rPr>
        <w:t>(</w:t>
      </w:r>
      <w:hyperlink r:id="rId21" w:history="1">
        <w:r>
          <w:rPr>
            <w:rStyle w:val="Hyperlink"/>
            <w:sz w:val="16"/>
          </w:rPr>
          <w:t>http://www.portlandmaine.gov/557/Facade-Improvement-Program</w:t>
        </w:r>
      </w:hyperlink>
      <w:r w:rsidRPr="009A6991">
        <w:rPr>
          <w:sz w:val="16"/>
        </w:rPr>
        <w:t>).</w:t>
      </w:r>
    </w:p>
  </w:footnote>
  <w:footnote w:id="24">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City of Yreka, C</w:t>
      </w:r>
      <w:r>
        <w:rPr>
          <w:sz w:val="16"/>
        </w:rPr>
        <w:t>alifornia</w:t>
      </w:r>
      <w:r w:rsidRPr="009C63D2">
        <w:rPr>
          <w:sz w:val="16"/>
        </w:rPr>
        <w:t>: The Miner Street Grant Program</w:t>
      </w:r>
      <w:r w:rsidRPr="009C63D2" w:rsidDel="00373964">
        <w:rPr>
          <w:sz w:val="16"/>
        </w:rPr>
        <w:t xml:space="preserve"> </w:t>
      </w:r>
      <w:r w:rsidRPr="009C63D2">
        <w:rPr>
          <w:sz w:val="16"/>
        </w:rPr>
        <w:t>(</w:t>
      </w:r>
      <w:hyperlink r:id="rId22" w:history="1">
        <w:r w:rsidRPr="009C63D2">
          <w:rPr>
            <w:rStyle w:val="Hyperlink"/>
            <w:sz w:val="16"/>
          </w:rPr>
          <w:t>http://ci.yreka.ca.us/business/miner-street-grant-program</w:t>
        </w:r>
      </w:hyperlink>
      <w:r w:rsidRPr="009C63D2">
        <w:rPr>
          <w:sz w:val="16"/>
        </w:rPr>
        <w:t>).</w:t>
      </w:r>
    </w:p>
  </w:footnote>
  <w:footnote w:id="25">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Rockville, M</w:t>
      </w:r>
      <w:r>
        <w:rPr>
          <w:sz w:val="16"/>
        </w:rPr>
        <w:t>aryland</w:t>
      </w:r>
      <w:r w:rsidRPr="009C63D2">
        <w:rPr>
          <w:sz w:val="16"/>
        </w:rPr>
        <w:t xml:space="preserve">: Historic Tax Credit </w:t>
      </w:r>
      <w:r>
        <w:rPr>
          <w:sz w:val="16"/>
        </w:rPr>
        <w:t>Program</w:t>
      </w:r>
      <w:r w:rsidRPr="009C63D2">
        <w:rPr>
          <w:sz w:val="16"/>
        </w:rPr>
        <w:t xml:space="preserve"> (</w:t>
      </w:r>
      <w:hyperlink r:id="rId23" w:history="1">
        <w:r>
          <w:rPr>
            <w:rStyle w:val="Hyperlink"/>
            <w:sz w:val="16"/>
          </w:rPr>
          <w:t>http://www.rockvillemd.gov/index.aspx?NID=627</w:t>
        </w:r>
      </w:hyperlink>
      <w:r w:rsidRPr="009C63D2">
        <w:rPr>
          <w:sz w:val="16"/>
        </w:rPr>
        <w:t>).</w:t>
      </w:r>
    </w:p>
  </w:footnote>
  <w:footnote w:id="26">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City of Dubuque Historic Preservation Revolving Loan Fund (</w:t>
      </w:r>
      <w:hyperlink r:id="rId24" w:history="1">
        <w:r w:rsidRPr="009C63D2">
          <w:rPr>
            <w:rStyle w:val="Hyperlink"/>
            <w:sz w:val="16"/>
          </w:rPr>
          <w:t>http://www.cityofdubuque.org/index.aspx?NID=773</w:t>
        </w:r>
      </w:hyperlink>
      <w:r w:rsidRPr="009C63D2">
        <w:rPr>
          <w:sz w:val="16"/>
        </w:rPr>
        <w:t>).</w:t>
      </w:r>
    </w:p>
  </w:footnote>
  <w:footnote w:id="27">
    <w:p w:rsidR="00D921B9" w:rsidRPr="009C63D2" w:rsidRDefault="00D921B9" w:rsidP="00EA54D9">
      <w:pPr>
        <w:pStyle w:val="FootnoteText"/>
        <w:contextualSpacing/>
        <w:rPr>
          <w:sz w:val="16"/>
        </w:rPr>
      </w:pPr>
      <w:r w:rsidRPr="009C63D2">
        <w:rPr>
          <w:rStyle w:val="FootnoteReference"/>
          <w:sz w:val="16"/>
        </w:rPr>
        <w:footnoteRef/>
      </w:r>
      <w:r w:rsidRPr="009C63D2">
        <w:rPr>
          <w:sz w:val="16"/>
        </w:rPr>
        <w:t xml:space="preserve"> </w:t>
      </w:r>
      <w:r>
        <w:rPr>
          <w:sz w:val="16"/>
        </w:rPr>
        <w:t xml:space="preserve">Creating American </w:t>
      </w:r>
      <w:r w:rsidRPr="009C63D2">
        <w:rPr>
          <w:sz w:val="16"/>
        </w:rPr>
        <w:t xml:space="preserve">Prosperity </w:t>
      </w:r>
      <w:r>
        <w:rPr>
          <w:sz w:val="16"/>
        </w:rPr>
        <w:t>t</w:t>
      </w:r>
      <w:r w:rsidRPr="009C63D2">
        <w:rPr>
          <w:sz w:val="16"/>
        </w:rPr>
        <w:t>hrough Preservation</w:t>
      </w:r>
      <w:r>
        <w:rPr>
          <w:sz w:val="16"/>
        </w:rPr>
        <w:t xml:space="preserve"> Act of 2013</w:t>
      </w:r>
      <w:r w:rsidRPr="009C63D2">
        <w:rPr>
          <w:sz w:val="16"/>
        </w:rPr>
        <w:t xml:space="preserve"> (</w:t>
      </w:r>
      <w:hyperlink r:id="rId25" w:history="1">
        <w:r w:rsidRPr="009C63D2">
          <w:rPr>
            <w:rStyle w:val="Hyperlink"/>
            <w:sz w:val="16"/>
          </w:rPr>
          <w:t>https://www.govtrack.us/congress/bills/113/s1141</w:t>
        </w:r>
      </w:hyperlink>
      <w:r w:rsidRPr="009C63D2">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4A3" w:rsidRDefault="00B7373C" w:rsidP="00FB2179">
    <w:pPr>
      <w:pStyle w:val="SGHeader"/>
      <w:numPr>
        <w:ilvl w:val="0"/>
        <w:numId w:val="0"/>
      </w:numPr>
      <w:tabs>
        <w:tab w:val="left" w:pos="360"/>
      </w:tabs>
    </w:pPr>
    <w:r>
      <w:t>V</w:t>
    </w:r>
    <w:r w:rsidR="00C915A8">
      <w:t>I</w:t>
    </w:r>
    <w:r w:rsidR="00EA54D9">
      <w:t>I</w:t>
    </w:r>
    <w:r w:rsidR="001E4271">
      <w:t>I</w:t>
    </w:r>
    <w:r>
      <w:t>.</w:t>
    </w:r>
    <w:r>
      <w:tab/>
    </w:r>
    <w:r w:rsidR="00EA54D9">
      <w:t>Preserve Historic and Cultural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2383D"/>
    <w:multiLevelType w:val="hybridMultilevel"/>
    <w:tmpl w:val="6E54ECBA"/>
    <w:lvl w:ilvl="0" w:tplc="F0E05C46">
      <w:start w:val="2"/>
      <w:numFmt w:val="upperRoman"/>
      <w:pStyle w:val="SGHead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364C9"/>
    <w:multiLevelType w:val="hybridMultilevel"/>
    <w:tmpl w:val="7EC4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A3"/>
    <w:rsid w:val="000364A3"/>
    <w:rsid w:val="00055FE3"/>
    <w:rsid w:val="000B459D"/>
    <w:rsid w:val="001940D0"/>
    <w:rsid w:val="001A3636"/>
    <w:rsid w:val="001C4D41"/>
    <w:rsid w:val="001E4271"/>
    <w:rsid w:val="002B60BB"/>
    <w:rsid w:val="0030528D"/>
    <w:rsid w:val="00337159"/>
    <w:rsid w:val="00410D19"/>
    <w:rsid w:val="00423216"/>
    <w:rsid w:val="004605B4"/>
    <w:rsid w:val="005426E4"/>
    <w:rsid w:val="005B315E"/>
    <w:rsid w:val="00607B35"/>
    <w:rsid w:val="00622312"/>
    <w:rsid w:val="00667756"/>
    <w:rsid w:val="00680B7B"/>
    <w:rsid w:val="007215F2"/>
    <w:rsid w:val="007F535A"/>
    <w:rsid w:val="00894D73"/>
    <w:rsid w:val="008961E9"/>
    <w:rsid w:val="00952192"/>
    <w:rsid w:val="00957745"/>
    <w:rsid w:val="00985A93"/>
    <w:rsid w:val="009C5516"/>
    <w:rsid w:val="00A15440"/>
    <w:rsid w:val="00A53CA3"/>
    <w:rsid w:val="00AB2AE0"/>
    <w:rsid w:val="00AD71BC"/>
    <w:rsid w:val="00B7373C"/>
    <w:rsid w:val="00BE0D48"/>
    <w:rsid w:val="00BE5DFC"/>
    <w:rsid w:val="00C915A8"/>
    <w:rsid w:val="00CA02F2"/>
    <w:rsid w:val="00D34B00"/>
    <w:rsid w:val="00D921B9"/>
    <w:rsid w:val="00DB06E5"/>
    <w:rsid w:val="00DC4273"/>
    <w:rsid w:val="00DD64C7"/>
    <w:rsid w:val="00EA54D9"/>
    <w:rsid w:val="00EB7624"/>
    <w:rsid w:val="00EF2544"/>
    <w:rsid w:val="00F80DD4"/>
    <w:rsid w:val="00F83EFD"/>
    <w:rsid w:val="00FB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544A0"/>
  <w15:docId w15:val="{1DE4C9A7-D44A-443E-9042-D4C548FF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364A3"/>
  </w:style>
  <w:style w:type="paragraph" w:styleId="Heading2">
    <w:name w:val="heading 2"/>
    <w:basedOn w:val="Normal"/>
    <w:next w:val="Normal"/>
    <w:link w:val="Heading2Char"/>
    <w:uiPriority w:val="9"/>
    <w:semiHidden/>
    <w:unhideWhenUsed/>
    <w:qFormat/>
    <w:rsid w:val="000364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64A3"/>
    <w:pPr>
      <w:keepNext/>
      <w:keepLines/>
      <w:spacing w:before="40" w:after="0"/>
      <w:outlineLvl w:val="2"/>
    </w:pPr>
    <w:rPr>
      <w:rFonts w:asciiTheme="majorHAnsi" w:eastAsiaTheme="majorEastAsia" w:hAnsiTheme="majorHAnsi"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64A3"/>
    <w:rPr>
      <w:rFonts w:asciiTheme="majorHAnsi" w:eastAsiaTheme="majorEastAsia" w:hAnsiTheme="majorHAnsi" w:cstheme="majorBidi"/>
      <w:b/>
      <w:color w:val="243F60" w:themeColor="accent1" w:themeShade="7F"/>
      <w:szCs w:val="24"/>
    </w:rPr>
  </w:style>
  <w:style w:type="character" w:styleId="Hyperlink">
    <w:name w:val="Hyperlink"/>
    <w:basedOn w:val="DefaultParagraphFont"/>
    <w:uiPriority w:val="99"/>
    <w:unhideWhenUsed/>
    <w:rsid w:val="000364A3"/>
    <w:rPr>
      <w:color w:val="0000FF" w:themeColor="hyperlink"/>
      <w:u w:val="single"/>
    </w:rPr>
  </w:style>
  <w:style w:type="paragraph" w:styleId="FootnoteText">
    <w:name w:val="footnote text"/>
    <w:basedOn w:val="Normal"/>
    <w:link w:val="FootnoteTextChar"/>
    <w:uiPriority w:val="99"/>
    <w:unhideWhenUsed/>
    <w:rsid w:val="000364A3"/>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364A3"/>
    <w:rPr>
      <w:rFonts w:eastAsiaTheme="minorEastAsia"/>
      <w:sz w:val="20"/>
      <w:szCs w:val="20"/>
    </w:rPr>
  </w:style>
  <w:style w:type="character" w:styleId="FootnoteReference">
    <w:name w:val="footnote reference"/>
    <w:basedOn w:val="DefaultParagraphFont"/>
    <w:uiPriority w:val="99"/>
    <w:semiHidden/>
    <w:unhideWhenUsed/>
    <w:rsid w:val="000364A3"/>
    <w:rPr>
      <w:vertAlign w:val="superscript"/>
    </w:rPr>
  </w:style>
  <w:style w:type="table" w:styleId="TableGrid">
    <w:name w:val="Table Grid"/>
    <w:basedOn w:val="TableNormal"/>
    <w:uiPriority w:val="59"/>
    <w:rsid w:val="0003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64A3"/>
    <w:rPr>
      <w:rFonts w:ascii="Georgia" w:hAnsi="Georgia"/>
      <w:b/>
      <w:i/>
      <w:iCs/>
      <w:color w:val="FFFFFF" w:themeColor="background1"/>
      <w:sz w:val="22"/>
    </w:rPr>
  </w:style>
  <w:style w:type="paragraph" w:customStyle="1" w:styleId="tabletext">
    <w:name w:val="tabletext"/>
    <w:basedOn w:val="NoSpacing"/>
    <w:link w:val="tabletextChar"/>
    <w:qFormat/>
    <w:rsid w:val="000364A3"/>
    <w:pPr>
      <w:spacing w:before="60" w:after="60"/>
    </w:pPr>
    <w:rPr>
      <w:rFonts w:ascii="Georgia" w:hAnsi="Georgia"/>
      <w:color w:val="0D0D0D" w:themeColor="text1" w:themeTint="F2"/>
      <w:sz w:val="20"/>
    </w:rPr>
  </w:style>
  <w:style w:type="character" w:customStyle="1" w:styleId="tabletextChar">
    <w:name w:val="tabletext Char"/>
    <w:basedOn w:val="DefaultParagraphFont"/>
    <w:link w:val="tabletext"/>
    <w:rsid w:val="000364A3"/>
    <w:rPr>
      <w:rFonts w:ascii="Georgia" w:hAnsi="Georgia"/>
      <w:color w:val="0D0D0D" w:themeColor="text1" w:themeTint="F2"/>
      <w:sz w:val="20"/>
    </w:rPr>
  </w:style>
  <w:style w:type="paragraph" w:customStyle="1" w:styleId="tablequestions">
    <w:name w:val="tablequestions"/>
    <w:basedOn w:val="tabletext"/>
    <w:link w:val="tablequestionsChar"/>
    <w:qFormat/>
    <w:rsid w:val="000364A3"/>
    <w:rPr>
      <w:b/>
      <w:szCs w:val="20"/>
    </w:rPr>
  </w:style>
  <w:style w:type="character" w:customStyle="1" w:styleId="tablequestionsChar">
    <w:name w:val="tablequestions Char"/>
    <w:basedOn w:val="tabletextChar"/>
    <w:link w:val="tablequestions"/>
    <w:rsid w:val="000364A3"/>
    <w:rPr>
      <w:rFonts w:ascii="Georgia" w:hAnsi="Georgia"/>
      <w:b/>
      <w:color w:val="0D0D0D" w:themeColor="text1" w:themeTint="F2"/>
      <w:sz w:val="20"/>
      <w:szCs w:val="20"/>
    </w:rPr>
  </w:style>
  <w:style w:type="paragraph" w:styleId="NoSpacing">
    <w:name w:val="No Spacing"/>
    <w:uiPriority w:val="1"/>
    <w:qFormat/>
    <w:rsid w:val="000364A3"/>
    <w:pPr>
      <w:spacing w:after="0" w:line="240" w:lineRule="auto"/>
    </w:pPr>
  </w:style>
  <w:style w:type="paragraph" w:styleId="Header">
    <w:name w:val="header"/>
    <w:basedOn w:val="Normal"/>
    <w:link w:val="HeaderChar"/>
    <w:uiPriority w:val="99"/>
    <w:unhideWhenUsed/>
    <w:rsid w:val="0003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A3"/>
  </w:style>
  <w:style w:type="paragraph" w:styleId="Footer">
    <w:name w:val="footer"/>
    <w:basedOn w:val="Normal"/>
    <w:link w:val="FooterChar"/>
    <w:uiPriority w:val="99"/>
    <w:unhideWhenUsed/>
    <w:rsid w:val="0003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A3"/>
  </w:style>
  <w:style w:type="paragraph" w:customStyle="1" w:styleId="SGHeader">
    <w:name w:val="SG_Header"/>
    <w:basedOn w:val="Heading2"/>
    <w:link w:val="SGHeaderChar"/>
    <w:qFormat/>
    <w:rsid w:val="000364A3"/>
    <w:pPr>
      <w:numPr>
        <w:numId w:val="1"/>
      </w:numPr>
      <w:spacing w:before="0" w:after="200"/>
    </w:pPr>
    <w:rPr>
      <w:i/>
      <w:color w:val="000000" w:themeColor="text1"/>
      <w:sz w:val="20"/>
    </w:rPr>
  </w:style>
  <w:style w:type="character" w:customStyle="1" w:styleId="SGHeaderChar">
    <w:name w:val="SG_Header Char"/>
    <w:basedOn w:val="DefaultParagraphFont"/>
    <w:link w:val="SGHeader"/>
    <w:rsid w:val="000364A3"/>
    <w:rPr>
      <w:rFonts w:asciiTheme="majorHAnsi" w:eastAsiaTheme="majorEastAsia" w:hAnsiTheme="majorHAnsi" w:cstheme="majorBidi"/>
      <w:b/>
      <w:bCs/>
      <w:i/>
      <w:color w:val="000000" w:themeColor="text1"/>
      <w:sz w:val="20"/>
      <w:szCs w:val="26"/>
    </w:rPr>
  </w:style>
  <w:style w:type="character" w:customStyle="1" w:styleId="Heading2Char">
    <w:name w:val="Heading 2 Char"/>
    <w:basedOn w:val="DefaultParagraphFont"/>
    <w:link w:val="Heading2"/>
    <w:uiPriority w:val="9"/>
    <w:semiHidden/>
    <w:rsid w:val="000364A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i.benicia.ca.us/index.asp?Type=B_BASIC&amp;SEC=%7bD87C20DD-AE9B-41D5-84A7-D29CAD93E9F3%7d" TargetMode="External"/><Relationship Id="rId13" Type="http://schemas.openxmlformats.org/officeDocument/2006/relationships/hyperlink" Target="http://www.sewrpc.org/SEWRPCFiles/CommunityAssistance/ModelOrdinances/cluster_ordinance.pdf" TargetMode="External"/><Relationship Id="rId18" Type="http://schemas.openxmlformats.org/officeDocument/2006/relationships/hyperlink" Target="http://www.planning.utah.gov/CRMPHeritageTourism.htm" TargetMode="External"/><Relationship Id="rId3" Type="http://schemas.openxmlformats.org/officeDocument/2006/relationships/hyperlink" Target="http://www.rockvillemd.gov/index.aspx?NID=625" TargetMode="External"/><Relationship Id="rId21" Type="http://schemas.openxmlformats.org/officeDocument/2006/relationships/hyperlink" Target="http://www.portlandmaine.gov/557/Facade-Improvement-Program" TargetMode="External"/><Relationship Id="rId7" Type="http://schemas.openxmlformats.org/officeDocument/2006/relationships/hyperlink" Target="http://dryden.ny.us/departments/planning-department/planning/design-guidelines" TargetMode="External"/><Relationship Id="rId12" Type="http://schemas.openxmlformats.org/officeDocument/2006/relationships/hyperlink" Target="http://www.sewrpc.org/SEWRPC/communityassistance/ModelOrdinancesGuides.htm" TargetMode="External"/><Relationship Id="rId17" Type="http://schemas.openxmlformats.org/officeDocument/2006/relationships/hyperlink" Target="http://www.hcpcme.org/environment/view/" TargetMode="External"/><Relationship Id="rId25" Type="http://schemas.openxmlformats.org/officeDocument/2006/relationships/hyperlink" Target="https://www.govtrack.us/congress/bills/113/s1141" TargetMode="External"/><Relationship Id="rId2" Type="http://schemas.openxmlformats.org/officeDocument/2006/relationships/hyperlink" Target="http://www.montpelier-vt.org/group/68/Historic-Preservation-Commission.html" TargetMode="External"/><Relationship Id="rId16" Type="http://schemas.openxmlformats.org/officeDocument/2006/relationships/hyperlink" Target="http://www.nationalregisterofhistoricplaces.com/" TargetMode="External"/><Relationship Id="rId20" Type="http://schemas.openxmlformats.org/officeDocument/2006/relationships/hyperlink" Target="http://www.visitalexandriava.com/things-to-do/tours/" TargetMode="External"/><Relationship Id="rId1" Type="http://schemas.openxmlformats.org/officeDocument/2006/relationships/hyperlink" Target="http://nysparks.com/shpo/" TargetMode="External"/><Relationship Id="rId6" Type="http://schemas.openxmlformats.org/officeDocument/2006/relationships/hyperlink" Target="http://www.bouldercounty.org/property/build/pages/historicdemo.aspx" TargetMode="External"/><Relationship Id="rId11" Type="http://schemas.openxmlformats.org/officeDocument/2006/relationships/hyperlink" Target="http://www.stcplanning.org/usr/Program_Areas/Water_Resources/KeukaLake/Waterfront%20Revitalization%20and%20Scenic%20Viewshed%20Protection%20Plan_opt.pdf" TargetMode="External"/><Relationship Id="rId24" Type="http://schemas.openxmlformats.org/officeDocument/2006/relationships/hyperlink" Target="http://www.cityofdubuque.org/index.aspx?NID=773" TargetMode="External"/><Relationship Id="rId5" Type="http://schemas.openxmlformats.org/officeDocument/2006/relationships/hyperlink" Target="http://www.lynchburgva.gov/historic-districts-ordinance-guidelines-descriptions-and-maps" TargetMode="External"/><Relationship Id="rId15" Type="http://schemas.openxmlformats.org/officeDocument/2006/relationships/hyperlink" Target="http://www.smgov.net/Departments/PCD/Historic-Resources-Inventory/" TargetMode="External"/><Relationship Id="rId23" Type="http://schemas.openxmlformats.org/officeDocument/2006/relationships/hyperlink" Target="http://www.rockvillemd.gov/index.aspx?NID=627" TargetMode="External"/><Relationship Id="rId10" Type="http://schemas.openxmlformats.org/officeDocument/2006/relationships/hyperlink" Target="http://www.countyofnapa.org/pages/departmentcontent.aspx?id=4294968649" TargetMode="External"/><Relationship Id="rId19" Type="http://schemas.openxmlformats.org/officeDocument/2006/relationships/hyperlink" Target="http://www.watershedco.com/blog/interpretive-program-from-start-to-finish/" TargetMode="External"/><Relationship Id="rId4" Type="http://schemas.openxmlformats.org/officeDocument/2006/relationships/hyperlink" Target="http://conservationtools.org/libraries/1/library_items/944-A-Model-Historic-District-Ordinance-for-Local-Governments-in-Pennsylvania" TargetMode="External"/><Relationship Id="rId9" Type="http://schemas.openxmlformats.org/officeDocument/2006/relationships/hyperlink" Target="http://www.duvallwa.gov/DocumentCenter/Home/View/519" TargetMode="External"/><Relationship Id="rId14" Type="http://schemas.openxmlformats.org/officeDocument/2006/relationships/hyperlink" Target="http://conservationtools.org/libraries/1/library_items/349-Conservation-Subdivision-Design-Handbook" TargetMode="External"/><Relationship Id="rId22" Type="http://schemas.openxmlformats.org/officeDocument/2006/relationships/hyperlink" Target="http://ci.yreka.ca.us/business/miner-street-gra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BDD1-A708-4D8A-BA77-B7557E6C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VIII. Preserve Historic and Cultural Resources</vt:lpstr>
    </vt:vector>
  </TitlesOfParts>
  <Company>U.S. EPA</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VIII. Preserve Historic and Cultural Resources</dc:title>
  <dc:subject>This document contains section VIII of the Smart Growth Self-Assessment for Rural Communities.</dc:subject>
  <dc:creator>U.S. EPA;Smart Growth Program</dc:creator>
  <cp:keywords>U.S. EPA, Smart Growth, Section VIII, preserve, historic, history, culture, cultural</cp:keywords>
  <cp:lastModifiedBy>Susman, Megan</cp:lastModifiedBy>
  <cp:revision>3</cp:revision>
  <dcterms:created xsi:type="dcterms:W3CDTF">2016-12-08T15:56:00Z</dcterms:created>
  <dcterms:modified xsi:type="dcterms:W3CDTF">2016-12-08T15:56:00Z</dcterms:modified>
</cp:coreProperties>
</file>