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EA" w:rsidRDefault="007571EA" w:rsidP="006C6013">
      <w:pPr>
        <w:pStyle w:val="Heading3"/>
        <w:tabs>
          <w:tab w:val="left" w:pos="360"/>
        </w:tabs>
        <w:rPr>
          <w:i/>
        </w:rPr>
      </w:pPr>
      <w:r w:rsidRPr="003F070C">
        <w:rPr>
          <w:sz w:val="28"/>
        </w:rPr>
        <w:t>Smart Growth</w:t>
      </w:r>
      <w:r w:rsidR="00EC679A">
        <w:rPr>
          <w:sz w:val="28"/>
        </w:rPr>
        <w:t xml:space="preserve"> Self</w:t>
      </w:r>
      <w:r w:rsidRPr="003F070C">
        <w:rPr>
          <w:sz w:val="28"/>
        </w:rPr>
        <w:t>-Assessment for Rural Communities</w:t>
      </w:r>
      <w:r w:rsidRPr="007571EA">
        <w:rPr>
          <w:i/>
        </w:rPr>
        <w:t xml:space="preserve"> </w:t>
      </w:r>
    </w:p>
    <w:p w:rsidR="0031398D" w:rsidRPr="007571EA" w:rsidRDefault="007571EA" w:rsidP="006C6013">
      <w:pPr>
        <w:pStyle w:val="Heading3"/>
        <w:tabs>
          <w:tab w:val="left" w:pos="360"/>
        </w:tabs>
        <w:rPr>
          <w:i/>
        </w:rPr>
      </w:pPr>
      <w:r w:rsidRPr="007571EA">
        <w:rPr>
          <w:i/>
        </w:rPr>
        <w:t xml:space="preserve">Section X: </w:t>
      </w:r>
      <w:r w:rsidR="0031398D" w:rsidRPr="007571EA">
        <w:rPr>
          <w:i/>
        </w:rPr>
        <w:t>Invest in Efficient Public Infrastructure Systems and Operations</w:t>
      </w:r>
    </w:p>
    <w:p w:rsidR="007571EA" w:rsidRPr="00147CD9" w:rsidRDefault="007571EA" w:rsidP="007571EA">
      <w:pPr>
        <w:pStyle w:val="Heading3"/>
        <w:tabs>
          <w:tab w:val="left" w:pos="360"/>
        </w:tabs>
      </w:pPr>
      <w:r>
        <w:rPr>
          <w:b w:val="0"/>
          <w:i/>
        </w:rPr>
        <w:t>This tool is part of the Smart Growth Self-Assessment for Rural Communities, developed by the U.S. Environmental Protection Agency. EPA suggest</w:t>
      </w:r>
      <w:r w:rsidR="00EC679A">
        <w:rPr>
          <w:b w:val="0"/>
          <w:i/>
        </w:rPr>
        <w:t>s</w:t>
      </w:r>
      <w:r>
        <w:rPr>
          <w:b w:val="0"/>
          <w:i/>
        </w:rPr>
        <w:t xml:space="preserve"> that communities using this tool </w:t>
      </w:r>
      <w:r w:rsidRPr="00C03BD6">
        <w:rPr>
          <w:b w:val="0"/>
          <w:i/>
        </w:rPr>
        <w:t>complete Section I: “Revitalize Village and Town Center</w:t>
      </w:r>
      <w:r w:rsidR="00EC679A">
        <w:rPr>
          <w:b w:val="0"/>
          <w:i/>
        </w:rPr>
        <w:t>s</w:t>
      </w:r>
      <w:r w:rsidRPr="00C03BD6">
        <w:rPr>
          <w:b w:val="0"/>
          <w:i/>
        </w:rPr>
        <w:t>,”</w:t>
      </w:r>
      <w:r>
        <w:rPr>
          <w:b w:val="0"/>
          <w:i/>
        </w:rPr>
        <w:t xml:space="preserve"> before filling out other sections. For more information and the tool’s other sections, see</w:t>
      </w:r>
      <w:r>
        <w:t xml:space="preserve"> </w:t>
      </w:r>
      <w:bookmarkStart w:id="0" w:name="_GoBack"/>
      <w:bookmarkEnd w:id="0"/>
      <w:r w:rsidR="00D20BCF">
        <w:rPr>
          <w:b w:val="0"/>
          <w:i/>
        </w:rPr>
        <w:fldChar w:fldCharType="begin"/>
      </w:r>
      <w:r w:rsidR="00D20BCF">
        <w:rPr>
          <w:b w:val="0"/>
          <w:i/>
        </w:rPr>
        <w:instrText xml:space="preserve"> HYPERLINK "</w:instrText>
      </w:r>
      <w:r w:rsidR="00D20BCF" w:rsidRPr="00D20BCF">
        <w:rPr>
          <w:b w:val="0"/>
          <w:i/>
        </w:rPr>
        <w:instrText>https://www.epa.gov/smartgrowth/smart-growth-self-assessment-rural-communities</w:instrText>
      </w:r>
      <w:r w:rsidR="00D20BCF">
        <w:rPr>
          <w:b w:val="0"/>
          <w:i/>
        </w:rPr>
        <w:instrText xml:space="preserve">" </w:instrText>
      </w:r>
      <w:r w:rsidR="00D20BCF">
        <w:rPr>
          <w:b w:val="0"/>
          <w:i/>
        </w:rPr>
        <w:fldChar w:fldCharType="separate"/>
      </w:r>
      <w:r w:rsidR="00D20BCF" w:rsidRPr="001041F9">
        <w:rPr>
          <w:rStyle w:val="Hyperlink"/>
          <w:b w:val="0"/>
          <w:i/>
        </w:rPr>
        <w:t>https://www.epa.gov/smartgrowth/smart-growth-self-assessment-rural-communities</w:t>
      </w:r>
      <w:r w:rsidR="00D20BCF">
        <w:rPr>
          <w:b w:val="0"/>
          <w:i/>
        </w:rPr>
        <w:fldChar w:fldCharType="end"/>
      </w:r>
      <w:r w:rsidRPr="003F070C">
        <w:rPr>
          <w:b w:val="0"/>
          <w:i/>
        </w:rPr>
        <w:t>.</w:t>
      </w:r>
    </w:p>
    <w:p w:rsidR="007571EA" w:rsidRPr="007571EA" w:rsidRDefault="007571EA" w:rsidP="007571EA"/>
    <w:p w:rsidR="0031398D" w:rsidRPr="008B27DF" w:rsidRDefault="0031398D" w:rsidP="0031398D">
      <w:pPr>
        <w:rPr>
          <w:spacing w:val="-2"/>
        </w:rPr>
      </w:pPr>
      <w:r w:rsidRPr="008B27DF">
        <w:rPr>
          <w:spacing w:val="-2"/>
        </w:rPr>
        <w:t xml:space="preserve">Compact development allows existing infrastructure to serve more people and uses public funds more efficiently. Encouraging growth in village and town centers can help reduce the need for costly infrastructure extensions into undeveloped areas and can reduce maintenance and repair costs. Many communities also use green infrastructure to reduce stormwater runoff, which brings environmental benefits and can lower costs of treating wastewater. </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31398D" w:rsidRPr="003920AA" w:rsidTr="006C6013">
        <w:trPr>
          <w:cantSplit/>
          <w:trHeight w:val="773"/>
          <w:tblHeader/>
        </w:trPr>
        <w:tc>
          <w:tcPr>
            <w:tcW w:w="9540" w:type="dxa"/>
            <w:tcBorders>
              <w:bottom w:val="single" w:sz="4" w:space="0" w:color="auto"/>
            </w:tcBorders>
            <w:shd w:val="clear" w:color="auto" w:fill="000000" w:themeFill="text1"/>
            <w:vAlign w:val="center"/>
          </w:tcPr>
          <w:p w:rsidR="0031398D" w:rsidRPr="003920AA" w:rsidRDefault="0031398D" w:rsidP="005F7663">
            <w:pPr>
              <w:spacing w:before="80" w:after="80"/>
              <w:rPr>
                <w:rStyle w:val="Emphasis"/>
              </w:rPr>
            </w:pPr>
            <w:r w:rsidRPr="003920AA">
              <w:rPr>
                <w:rStyle w:val="Emphasis"/>
              </w:rPr>
              <w:t>Goal: Invest in Efficient Public Infrastructure Systems and Operations</w:t>
            </w:r>
          </w:p>
        </w:tc>
        <w:tc>
          <w:tcPr>
            <w:tcW w:w="1440" w:type="dxa"/>
            <w:tcBorders>
              <w:bottom w:val="single" w:sz="4" w:space="0" w:color="auto"/>
            </w:tcBorders>
            <w:shd w:val="clear" w:color="auto" w:fill="000000" w:themeFill="text1"/>
            <w:vAlign w:val="center"/>
          </w:tcPr>
          <w:p w:rsidR="0031398D" w:rsidRPr="003920AA" w:rsidRDefault="006C6013" w:rsidP="005F7663">
            <w:pPr>
              <w:spacing w:before="80" w:after="80"/>
              <w:jc w:val="center"/>
              <w:rPr>
                <w:rStyle w:val="Emphasis"/>
                <w:b w:val="0"/>
              </w:rPr>
            </w:pPr>
            <w:r w:rsidRPr="003920AA">
              <w:rPr>
                <w:rStyle w:val="Emphasis"/>
              </w:rPr>
              <w:t>Adopted?</w:t>
            </w:r>
          </w:p>
        </w:tc>
        <w:tc>
          <w:tcPr>
            <w:tcW w:w="1440" w:type="dxa"/>
            <w:tcBorders>
              <w:bottom w:val="single" w:sz="4" w:space="0" w:color="auto"/>
            </w:tcBorders>
            <w:shd w:val="clear" w:color="auto" w:fill="000000" w:themeFill="text1"/>
            <w:vAlign w:val="center"/>
          </w:tcPr>
          <w:p w:rsidR="0031398D" w:rsidRPr="003920AA" w:rsidRDefault="0031398D" w:rsidP="005F7663">
            <w:pPr>
              <w:spacing w:before="80" w:after="80"/>
              <w:jc w:val="center"/>
              <w:rPr>
                <w:rStyle w:val="Emphasis"/>
                <w:b w:val="0"/>
              </w:rPr>
            </w:pPr>
            <w:r w:rsidRPr="003920AA">
              <w:rPr>
                <w:rStyle w:val="Emphasis"/>
              </w:rPr>
              <w:t>Add or Improve?</w:t>
            </w:r>
          </w:p>
        </w:tc>
        <w:tc>
          <w:tcPr>
            <w:tcW w:w="1260" w:type="dxa"/>
            <w:tcBorders>
              <w:bottom w:val="single" w:sz="4" w:space="0" w:color="auto"/>
            </w:tcBorders>
            <w:shd w:val="clear" w:color="auto" w:fill="000000" w:themeFill="text1"/>
            <w:vAlign w:val="center"/>
          </w:tcPr>
          <w:p w:rsidR="0031398D" w:rsidRPr="003920AA" w:rsidRDefault="0031398D" w:rsidP="005F7663">
            <w:pPr>
              <w:spacing w:before="80" w:after="80"/>
              <w:jc w:val="center"/>
              <w:rPr>
                <w:rStyle w:val="Emphasis"/>
                <w:b w:val="0"/>
              </w:rPr>
            </w:pPr>
            <w:r w:rsidRPr="003920AA">
              <w:rPr>
                <w:rStyle w:val="Emphasis"/>
              </w:rPr>
              <w:t xml:space="preserve">Context </w:t>
            </w:r>
            <w:r w:rsidRPr="003920AA">
              <w:rPr>
                <w:rStyle w:val="Emphasis"/>
                <w:vertAlign w:val="superscript"/>
              </w:rPr>
              <w:footnoteReference w:id="1"/>
            </w:r>
          </w:p>
        </w:tc>
      </w:tr>
      <w:tr w:rsidR="0031398D" w:rsidRPr="003920AA" w:rsidTr="006C6013">
        <w:trPr>
          <w:cantSplit/>
        </w:trPr>
        <w:tc>
          <w:tcPr>
            <w:tcW w:w="9540" w:type="dxa"/>
            <w:tcBorders>
              <w:right w:val="nil"/>
            </w:tcBorders>
            <w:shd w:val="clear" w:color="auto" w:fill="95B3D7"/>
          </w:tcPr>
          <w:p w:rsidR="0031398D" w:rsidRPr="003920AA" w:rsidRDefault="0031398D" w:rsidP="005F7663">
            <w:pPr>
              <w:pStyle w:val="tablequestions"/>
              <w:spacing w:before="80" w:after="80"/>
              <w:rPr>
                <w:rFonts w:asciiTheme="minorHAnsi" w:hAnsiTheme="minorHAnsi"/>
                <w:i/>
              </w:rPr>
            </w:pPr>
            <w:r w:rsidRPr="003920AA">
              <w:rPr>
                <w:rFonts w:asciiTheme="minorHAnsi" w:hAnsiTheme="minorHAnsi"/>
                <w:i/>
              </w:rPr>
              <w:t>Encouraging Cluster Development</w:t>
            </w: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260" w:type="dxa"/>
            <w:tcBorders>
              <w:left w:val="nil"/>
            </w:tcBorders>
            <w:shd w:val="clear" w:color="auto" w:fill="95B3D7"/>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r w:rsidRPr="003920AA">
              <w:rPr>
                <w:rFonts w:asciiTheme="minorHAnsi" w:hAnsiTheme="minorHAnsi"/>
              </w:rPr>
              <w:t>Do codes provide incentives to developers that promote cluster development?</w:t>
            </w:r>
            <w:r w:rsidRPr="003920AA">
              <w:rPr>
                <w:rStyle w:val="FootnoteReference"/>
                <w:rFonts w:asciiTheme="minorHAnsi" w:hAnsiTheme="minorHAnsi"/>
              </w:rPr>
              <w:footnoteReference w:id="2"/>
            </w:r>
            <w:r w:rsidRPr="003920AA">
              <w:rPr>
                <w:rFonts w:asciiTheme="minorHAnsi" w:hAnsiTheme="minorHAnsi"/>
              </w:rPr>
              <w:t xml:space="preserve"> </w:t>
            </w: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Pr>
        <w:tc>
          <w:tcPr>
            <w:tcW w:w="9540" w:type="dxa"/>
            <w:tcBorders>
              <w:bottom w:val="single" w:sz="4" w:space="0" w:color="auto"/>
            </w:tcBorders>
          </w:tcPr>
          <w:p w:rsidR="0031398D" w:rsidRPr="003920AA" w:rsidRDefault="0031398D" w:rsidP="00850FA9">
            <w:pPr>
              <w:pStyle w:val="tabletext"/>
              <w:spacing w:before="80" w:after="80"/>
              <w:rPr>
                <w:rFonts w:asciiTheme="minorHAnsi" w:hAnsiTheme="minorHAnsi"/>
              </w:rPr>
            </w:pPr>
            <w:r w:rsidRPr="003920AA">
              <w:rPr>
                <w:rFonts w:asciiTheme="minorHAnsi" w:hAnsiTheme="minorHAnsi"/>
              </w:rPr>
              <w:t>Strategy 1: Developers receive density bonuses in exchange for clustering new development.</w:t>
            </w:r>
            <w:r w:rsidRPr="003920AA">
              <w:rPr>
                <w:rStyle w:val="FootnoteReference"/>
                <w:rFonts w:asciiTheme="minorHAnsi" w:hAnsiTheme="minorHAnsi"/>
              </w:rPr>
              <w:footnoteReference w:id="3"/>
            </w:r>
            <w:r w:rsidRPr="003920AA">
              <w:rPr>
                <w:rFonts w:asciiTheme="minorHAnsi" w:hAnsiTheme="minorHAnsi"/>
                <w:vertAlign w:val="superscript"/>
              </w:rPr>
              <w:t>,</w:t>
            </w:r>
            <w:r w:rsidRPr="003920AA">
              <w:rPr>
                <w:rStyle w:val="FootnoteReference"/>
                <w:rFonts w:asciiTheme="minorHAnsi" w:hAnsiTheme="minorHAnsi"/>
              </w:rPr>
              <w:footnoteReference w:id="4"/>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850FA9" w:rsidRPr="00850FA9">
              <w:rPr>
                <w:rFonts w:asciiTheme="minorHAnsi" w:hAnsiTheme="minorHAnsi"/>
                <w:i/>
                <w:noProof/>
                <w:color w:val="FF0000"/>
              </w:rPr>
              <w:t xml:space="preserve">[Enter </w:t>
            </w:r>
            <w:r w:rsidR="004F2882">
              <w:rPr>
                <w:rFonts w:asciiTheme="minorHAnsi" w:hAnsiTheme="minorHAnsi"/>
                <w:i/>
                <w:noProof/>
                <w:color w:val="FF0000"/>
              </w:rPr>
              <w:t xml:space="preserve">optional </w:t>
            </w:r>
            <w:r w:rsidR="00850FA9" w:rsidRPr="00850FA9">
              <w:rPr>
                <w:rFonts w:asciiTheme="minorHAnsi" w:hAnsiTheme="minorHAnsi"/>
                <w:i/>
                <w:noProof/>
                <w:color w:val="FF0000"/>
              </w:rPr>
              <w:t>notes in gray boxes for all strategies]</w:t>
            </w:r>
            <w:r w:rsidR="005F7B4B" w:rsidRPr="003920AA">
              <w:rPr>
                <w:rFonts w:asciiTheme="minorHAnsi" w:hAnsiTheme="minorHAnsi"/>
                <w:i/>
                <w:color w:val="FF0000"/>
              </w:rPr>
              <w:fldChar w:fldCharType="end"/>
            </w:r>
          </w:p>
        </w:tc>
        <w:sdt>
          <w:sdtPr>
            <w:rPr>
              <w:rFonts w:asciiTheme="minorHAnsi" w:hAnsiTheme="minorHAnsi"/>
            </w:rPr>
            <w:id w:val="-1306849443"/>
            <w14:checkbox>
              <w14:checked w14:val="0"/>
              <w14:checkedState w14:val="2612" w14:font="MS Gothic"/>
              <w14:uncheckedState w14:val="2610" w14:font="MS Gothic"/>
            </w14:checkbox>
          </w:sdtPr>
          <w:sdtEndPr/>
          <w:sdtContent>
            <w:tc>
              <w:tcPr>
                <w:tcW w:w="1440" w:type="dxa"/>
                <w:tcBorders>
                  <w:bottom w:val="single" w:sz="4" w:space="0" w:color="auto"/>
                </w:tcBorders>
              </w:tcPr>
              <w:p w:rsidR="0031398D"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24456535"/>
            <w14:checkbox>
              <w14:checked w14:val="0"/>
              <w14:checkedState w14:val="2612" w14:font="MS Gothic"/>
              <w14:uncheckedState w14:val="2610" w14:font="MS Gothic"/>
            </w14:checkbox>
          </w:sdtPr>
          <w:sdtEndPr/>
          <w:sdtContent>
            <w:tc>
              <w:tcPr>
                <w:tcW w:w="1440" w:type="dxa"/>
                <w:tcBorders>
                  <w:bottom w:val="single" w:sz="4" w:space="0" w:color="auto"/>
                </w:tcBorders>
              </w:tcPr>
              <w:p w:rsidR="0031398D"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tcPr>
          <w:p w:rsidR="0031398D" w:rsidRPr="003920AA" w:rsidRDefault="0031398D" w:rsidP="005F7663">
            <w:pPr>
              <w:pStyle w:val="tabletext"/>
              <w:spacing w:before="80" w:after="80"/>
              <w:jc w:val="center"/>
              <w:rPr>
                <w:rFonts w:asciiTheme="minorHAnsi" w:hAnsiTheme="minorHAnsi"/>
              </w:rPr>
            </w:pPr>
            <w:r w:rsidRPr="003920AA">
              <w:rPr>
                <w:rFonts w:asciiTheme="minorHAnsi" w:hAnsiTheme="minorHAnsi"/>
              </w:rPr>
              <w:t>1,2</w:t>
            </w:r>
          </w:p>
        </w:tc>
      </w:tr>
      <w:tr w:rsidR="006C6013" w:rsidRPr="003920AA" w:rsidTr="006C6013">
        <w:trPr>
          <w:cantSplit/>
        </w:trPr>
        <w:tc>
          <w:tcPr>
            <w:tcW w:w="9540" w:type="dxa"/>
            <w:shd w:val="clear" w:color="auto" w:fill="auto"/>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 Subdivision ordinance promotes cluster subdivisions.</w:t>
            </w:r>
            <w:r w:rsidRPr="003920AA">
              <w:rPr>
                <w:rStyle w:val="FootnoteReference"/>
                <w:rFonts w:asciiTheme="minorHAnsi" w:hAnsiTheme="minorHAnsi"/>
              </w:rPr>
              <w:footnoteReference w:id="5"/>
            </w:r>
            <w:r w:rsidRPr="003920AA">
              <w:rPr>
                <w:rFonts w:asciiTheme="minorHAnsi" w:hAnsiTheme="minorHAnsi"/>
                <w:vertAlign w:val="superscript"/>
              </w:rPr>
              <w:t>,</w:t>
            </w:r>
            <w:r w:rsidRPr="003920AA">
              <w:rPr>
                <w:rStyle w:val="FootnoteReference"/>
                <w:rFonts w:asciiTheme="minorHAnsi" w:hAnsiTheme="minorHAnsi"/>
              </w:rPr>
              <w:footnoteReference w:id="6"/>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343826113"/>
            <w14:checkbox>
              <w14:checked w14:val="0"/>
              <w14:checkedState w14:val="2612" w14:font="MS Gothic"/>
              <w14:uncheckedState w14:val="2610" w14:font="MS Gothic"/>
            </w14:checkbox>
          </w:sdtPr>
          <w:sdtEndPr/>
          <w:sdtContent>
            <w:tc>
              <w:tcPr>
                <w:tcW w:w="1440" w:type="dxa"/>
                <w:shd w:val="clear" w:color="auto" w:fill="auto"/>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78811871"/>
            <w14:checkbox>
              <w14:checked w14:val="0"/>
              <w14:checkedState w14:val="2612" w14:font="MS Gothic"/>
              <w14:uncheckedState w14:val="2610" w14:font="MS Gothic"/>
            </w14:checkbox>
          </w:sdtPr>
          <w:sdtEndPr/>
          <w:sdtContent>
            <w:tc>
              <w:tcPr>
                <w:tcW w:w="1440" w:type="dxa"/>
                <w:shd w:val="clear" w:color="auto" w:fill="auto"/>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auto"/>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text"/>
              <w:spacing w:before="80" w:after="80"/>
              <w:rPr>
                <w:rFonts w:asciiTheme="minorHAnsi" w:hAnsiTheme="minorHAnsi"/>
                <w:b/>
              </w:rPr>
            </w:pPr>
            <w:r w:rsidRPr="003920AA">
              <w:rPr>
                <w:rFonts w:asciiTheme="minorHAnsi" w:hAnsiTheme="minorHAnsi"/>
                <w:b/>
              </w:rPr>
              <w:t>Do codes encourage efficiency in water and sewer infrastructure?</w:t>
            </w: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 Allow shared or clustered septic systems.</w:t>
            </w:r>
            <w:r w:rsidRPr="003920AA">
              <w:rPr>
                <w:rStyle w:val="FootnoteReference"/>
                <w:rFonts w:asciiTheme="minorHAnsi" w:hAnsiTheme="minorHAnsi"/>
              </w:rPr>
              <w:footnoteReference w:id="7"/>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83617841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57246885"/>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3</w:t>
            </w:r>
          </w:p>
        </w:tc>
      </w:tr>
      <w:tr w:rsidR="0031398D" w:rsidRPr="003920AA" w:rsidTr="006C6013">
        <w:trPr>
          <w:cantSplit/>
        </w:trPr>
        <w:tc>
          <w:tcPr>
            <w:tcW w:w="9540" w:type="dxa"/>
            <w:tcBorders>
              <w:bottom w:val="single" w:sz="4" w:space="0" w:color="auto"/>
              <w:right w:val="nil"/>
            </w:tcBorders>
            <w:shd w:val="clear" w:color="auto" w:fill="95B3D7"/>
          </w:tcPr>
          <w:p w:rsidR="0031398D" w:rsidRPr="003920AA" w:rsidRDefault="0031398D" w:rsidP="005F7663">
            <w:pPr>
              <w:pStyle w:val="tabletopic"/>
              <w:spacing w:before="80" w:after="80"/>
              <w:rPr>
                <w:rFonts w:asciiTheme="minorHAnsi" w:hAnsiTheme="minorHAnsi"/>
              </w:rPr>
            </w:pPr>
            <w:r w:rsidRPr="003920AA">
              <w:rPr>
                <w:rFonts w:asciiTheme="minorHAnsi" w:hAnsiTheme="minorHAnsi"/>
              </w:rPr>
              <w:t>Encouraging Growth in and Next to Existing Development</w:t>
            </w:r>
          </w:p>
        </w:tc>
        <w:tc>
          <w:tcPr>
            <w:tcW w:w="1440" w:type="dxa"/>
            <w:tcBorders>
              <w:left w:val="nil"/>
              <w:bottom w:val="single" w:sz="4" w:space="0" w:color="auto"/>
              <w:right w:val="nil"/>
            </w:tcBorders>
            <w:shd w:val="clear" w:color="auto" w:fill="95B3D7"/>
          </w:tcPr>
          <w:p w:rsidR="0031398D" w:rsidRPr="003920AA" w:rsidRDefault="0031398D" w:rsidP="005F7663">
            <w:pPr>
              <w:pStyle w:val="tabletopic"/>
              <w:spacing w:before="80" w:after="80"/>
              <w:rPr>
                <w:rFonts w:asciiTheme="minorHAnsi" w:hAnsiTheme="minorHAnsi"/>
                <w:b w:val="0"/>
                <w:i w:val="0"/>
              </w:rPr>
            </w:pPr>
          </w:p>
        </w:tc>
        <w:tc>
          <w:tcPr>
            <w:tcW w:w="1440" w:type="dxa"/>
            <w:tcBorders>
              <w:left w:val="nil"/>
              <w:bottom w:val="single" w:sz="4" w:space="0" w:color="auto"/>
              <w:right w:val="nil"/>
            </w:tcBorders>
            <w:shd w:val="clear" w:color="auto" w:fill="95B3D7"/>
          </w:tcPr>
          <w:p w:rsidR="0031398D" w:rsidRPr="003920AA" w:rsidRDefault="0031398D" w:rsidP="005F7663">
            <w:pPr>
              <w:pStyle w:val="tabletopic"/>
              <w:spacing w:before="80" w:after="80"/>
              <w:rPr>
                <w:rFonts w:asciiTheme="minorHAnsi" w:hAnsiTheme="minorHAnsi"/>
                <w:b w:val="0"/>
                <w:i w:val="0"/>
              </w:rPr>
            </w:pPr>
          </w:p>
        </w:tc>
        <w:tc>
          <w:tcPr>
            <w:tcW w:w="1260" w:type="dxa"/>
            <w:tcBorders>
              <w:left w:val="nil"/>
              <w:bottom w:val="single" w:sz="4" w:space="0" w:color="auto"/>
            </w:tcBorders>
            <w:shd w:val="clear" w:color="auto" w:fill="95B3D7"/>
          </w:tcPr>
          <w:p w:rsidR="0031398D" w:rsidRPr="003920AA" w:rsidRDefault="0031398D" w:rsidP="005F7663">
            <w:pPr>
              <w:pStyle w:val="tabletopic"/>
              <w:spacing w:before="80" w:after="80"/>
              <w:jc w:val="center"/>
              <w:rPr>
                <w:rFonts w:asciiTheme="minorHAnsi" w:hAnsiTheme="minorHAnsi"/>
                <w:b w:val="0"/>
                <w:i w:val="0"/>
              </w:rPr>
            </w:pPr>
          </w:p>
        </w:tc>
      </w:tr>
      <w:tr w:rsidR="0031398D" w:rsidRPr="003920AA" w:rsidTr="006C6013">
        <w:trPr>
          <w:cantSplit/>
        </w:trPr>
        <w:tc>
          <w:tcPr>
            <w:tcW w:w="9540" w:type="dxa"/>
            <w:tcBorders>
              <w:bottom w:val="single" w:sz="4" w:space="0" w:color="auto"/>
              <w:right w:val="nil"/>
            </w:tcBorders>
            <w:shd w:val="clear" w:color="auto" w:fill="D9D9D9"/>
          </w:tcPr>
          <w:p w:rsidR="0031398D" w:rsidRPr="003920AA" w:rsidRDefault="0031398D" w:rsidP="005F7663">
            <w:pPr>
              <w:pStyle w:val="tabletopic"/>
              <w:spacing w:before="80" w:after="80"/>
              <w:rPr>
                <w:rFonts w:asciiTheme="minorHAnsi" w:hAnsiTheme="minorHAnsi"/>
                <w:b w:val="0"/>
                <w:i w:val="0"/>
              </w:rPr>
            </w:pPr>
            <w:r w:rsidRPr="003920AA">
              <w:rPr>
                <w:rFonts w:asciiTheme="minorHAnsi" w:hAnsiTheme="minorHAnsi"/>
                <w:i w:val="0"/>
              </w:rPr>
              <w:lastRenderedPageBreak/>
              <w:t>Do codes encourage development in or next to village or town centers?</w:t>
            </w:r>
          </w:p>
        </w:tc>
        <w:tc>
          <w:tcPr>
            <w:tcW w:w="1440" w:type="dxa"/>
            <w:tcBorders>
              <w:left w:val="nil"/>
              <w:bottom w:val="single" w:sz="4" w:space="0" w:color="auto"/>
              <w:right w:val="nil"/>
            </w:tcBorders>
            <w:shd w:val="clear" w:color="auto" w:fill="D9D9D9"/>
          </w:tcPr>
          <w:p w:rsidR="0031398D" w:rsidRPr="003920AA" w:rsidRDefault="0031398D" w:rsidP="005F7663">
            <w:pPr>
              <w:pStyle w:val="tabletopic"/>
              <w:spacing w:before="80" w:after="80"/>
              <w:rPr>
                <w:rFonts w:asciiTheme="minorHAnsi" w:hAnsiTheme="minorHAnsi"/>
                <w:b w:val="0"/>
                <w:i w:val="0"/>
              </w:rPr>
            </w:pPr>
          </w:p>
        </w:tc>
        <w:tc>
          <w:tcPr>
            <w:tcW w:w="1440" w:type="dxa"/>
            <w:tcBorders>
              <w:left w:val="nil"/>
              <w:bottom w:val="single" w:sz="4" w:space="0" w:color="auto"/>
              <w:right w:val="nil"/>
            </w:tcBorders>
            <w:shd w:val="clear" w:color="auto" w:fill="D9D9D9"/>
          </w:tcPr>
          <w:p w:rsidR="0031398D" w:rsidRPr="003920AA" w:rsidRDefault="0031398D" w:rsidP="005F7663">
            <w:pPr>
              <w:pStyle w:val="tabletopic"/>
              <w:spacing w:before="80" w:after="80"/>
              <w:rPr>
                <w:rFonts w:asciiTheme="minorHAnsi" w:hAnsiTheme="minorHAnsi"/>
                <w:b w:val="0"/>
                <w:i w:val="0"/>
              </w:rPr>
            </w:pPr>
          </w:p>
        </w:tc>
        <w:tc>
          <w:tcPr>
            <w:tcW w:w="1260" w:type="dxa"/>
            <w:tcBorders>
              <w:left w:val="nil"/>
              <w:bottom w:val="single" w:sz="4" w:space="0" w:color="auto"/>
            </w:tcBorders>
            <w:shd w:val="clear" w:color="auto" w:fill="D9D9D9"/>
          </w:tcPr>
          <w:p w:rsidR="0031398D" w:rsidRPr="003920AA" w:rsidRDefault="0031398D" w:rsidP="005F7663">
            <w:pPr>
              <w:pStyle w:val="tabletopic"/>
              <w:spacing w:before="80" w:after="80"/>
              <w:jc w:val="center"/>
              <w:rPr>
                <w:rFonts w:asciiTheme="minorHAnsi" w:hAnsiTheme="minorHAnsi"/>
                <w:b w:val="0"/>
                <w:i w:val="0"/>
              </w:rPr>
            </w:pPr>
          </w:p>
        </w:tc>
      </w:tr>
      <w:tr w:rsidR="006C6013" w:rsidRPr="003920AA" w:rsidTr="006C6013">
        <w:trPr>
          <w:cantSplit/>
        </w:trPr>
        <w:tc>
          <w:tcPr>
            <w:tcW w:w="9540" w:type="dxa"/>
            <w:tcBorders>
              <w:bottom w:val="single" w:sz="4" w:space="0" w:color="auto"/>
            </w:tcBorders>
            <w:shd w:val="clear" w:color="auto" w:fill="FFFFFF" w:themeFill="background1"/>
          </w:tcPr>
          <w:p w:rsidR="006C6013" w:rsidRPr="003920AA" w:rsidRDefault="006C6013" w:rsidP="005F7663">
            <w:pPr>
              <w:pStyle w:val="tabletopic"/>
              <w:spacing w:before="80" w:after="80"/>
              <w:rPr>
                <w:rFonts w:asciiTheme="minorHAnsi" w:hAnsiTheme="minorHAnsi"/>
                <w:b w:val="0"/>
                <w:i w:val="0"/>
              </w:rPr>
            </w:pPr>
            <w:r w:rsidRPr="003920AA">
              <w:rPr>
                <w:rFonts w:asciiTheme="minorHAnsi" w:hAnsiTheme="minorHAnsi"/>
                <w:b w:val="0"/>
                <w:i w:val="0"/>
              </w:rPr>
              <w:t xml:space="preserve">Strategy 4: </w:t>
            </w:r>
            <w:r w:rsidRPr="003920AA">
              <w:rPr>
                <w:rFonts w:asciiTheme="minorHAnsi" w:hAnsiTheme="minorHAnsi"/>
                <w:b w:val="0"/>
                <w:i w:val="0"/>
                <w:spacing w:val="-4"/>
              </w:rPr>
              <w:t>Codes provide incentives for developers to develop within or next to existing village or town centers</w:t>
            </w:r>
            <w:r w:rsidRPr="003920AA">
              <w:rPr>
                <w:rFonts w:asciiTheme="minorHAnsi" w:hAnsiTheme="minorHAnsi"/>
                <w:b w:val="0"/>
                <w:i w:val="0"/>
              </w:rPr>
              <w:t>.</w:t>
            </w:r>
            <w:r w:rsidRPr="003920AA">
              <w:rPr>
                <w:rStyle w:val="FootnoteReference"/>
                <w:rFonts w:asciiTheme="minorHAnsi" w:hAnsiTheme="minorHAnsi"/>
                <w:b w:val="0"/>
                <w:i w:val="0"/>
              </w:rPr>
              <w:footnoteReference w:id="8"/>
            </w:r>
            <w:r w:rsidRPr="003920AA">
              <w:rPr>
                <w:rFonts w:asciiTheme="minorHAnsi" w:hAnsiTheme="minorHAnsi"/>
                <w:b w:val="0"/>
                <w:i w:val="0"/>
                <w:vertAlign w:val="superscript"/>
              </w:rPr>
              <w:t>,</w:t>
            </w:r>
            <w:r w:rsidRPr="003920AA">
              <w:rPr>
                <w:rStyle w:val="FootnoteReference"/>
                <w:rFonts w:asciiTheme="minorHAnsi" w:hAnsiTheme="minorHAnsi"/>
                <w:b w:val="0"/>
                <w:i w:val="0"/>
              </w:rPr>
              <w:footnoteReference w:id="9"/>
            </w:r>
            <w:r w:rsidR="005F7B4B" w:rsidRPr="003920AA">
              <w:rPr>
                <w:rFonts w:asciiTheme="minorHAnsi" w:hAnsiTheme="minorHAnsi"/>
              </w:rPr>
              <w:t xml:space="preserve">  </w:t>
            </w:r>
            <w:r w:rsidR="005F7B4B" w:rsidRPr="003920AA">
              <w:rPr>
                <w:rFonts w:asciiTheme="minorHAnsi" w:hAnsiTheme="minorHAnsi"/>
                <w:b w:val="0"/>
                <w:color w:val="FF0000"/>
              </w:rPr>
              <w:fldChar w:fldCharType="begin">
                <w:ffData>
                  <w:name w:val="Text1"/>
                  <w:enabled/>
                  <w:calcOnExit w:val="0"/>
                  <w:textInput/>
                </w:ffData>
              </w:fldChar>
            </w:r>
            <w:r w:rsidR="005F7B4B" w:rsidRPr="003920AA">
              <w:rPr>
                <w:rFonts w:asciiTheme="minorHAnsi" w:hAnsiTheme="minorHAnsi"/>
                <w:b w:val="0"/>
                <w:color w:val="FF0000"/>
              </w:rPr>
              <w:instrText xml:space="preserve"> FORMTEXT </w:instrText>
            </w:r>
            <w:r w:rsidR="005F7B4B" w:rsidRPr="003920AA">
              <w:rPr>
                <w:rFonts w:asciiTheme="minorHAnsi" w:hAnsiTheme="minorHAnsi"/>
                <w:b w:val="0"/>
                <w:color w:val="FF0000"/>
              </w:rPr>
            </w:r>
            <w:r w:rsidR="005F7B4B" w:rsidRPr="003920AA">
              <w:rPr>
                <w:rFonts w:asciiTheme="minorHAnsi" w:hAnsiTheme="minorHAnsi"/>
                <w:b w:val="0"/>
                <w:color w:val="FF0000"/>
              </w:rPr>
              <w:fldChar w:fldCharType="separate"/>
            </w:r>
            <w:r w:rsidR="005F7B4B" w:rsidRPr="003920AA">
              <w:rPr>
                <w:rFonts w:asciiTheme="minorHAnsi" w:hAnsiTheme="minorHAnsi"/>
                <w:b w:val="0"/>
                <w:noProof/>
                <w:color w:val="FF0000"/>
              </w:rPr>
              <w:t> </w:t>
            </w:r>
            <w:r w:rsidR="005F7B4B" w:rsidRPr="003920AA">
              <w:rPr>
                <w:rFonts w:asciiTheme="minorHAnsi" w:hAnsiTheme="minorHAnsi"/>
                <w:b w:val="0"/>
                <w:noProof/>
                <w:color w:val="FF0000"/>
              </w:rPr>
              <w:t> </w:t>
            </w:r>
            <w:r w:rsidR="005F7B4B" w:rsidRPr="003920AA">
              <w:rPr>
                <w:rFonts w:asciiTheme="minorHAnsi" w:hAnsiTheme="minorHAnsi"/>
                <w:b w:val="0"/>
                <w:noProof/>
                <w:color w:val="FF0000"/>
              </w:rPr>
              <w:t> </w:t>
            </w:r>
            <w:r w:rsidR="005F7B4B" w:rsidRPr="003920AA">
              <w:rPr>
                <w:rFonts w:asciiTheme="minorHAnsi" w:hAnsiTheme="minorHAnsi"/>
                <w:b w:val="0"/>
                <w:noProof/>
                <w:color w:val="FF0000"/>
              </w:rPr>
              <w:t> </w:t>
            </w:r>
            <w:r w:rsidR="005F7B4B" w:rsidRPr="003920AA">
              <w:rPr>
                <w:rFonts w:asciiTheme="minorHAnsi" w:hAnsiTheme="minorHAnsi"/>
                <w:b w:val="0"/>
                <w:noProof/>
                <w:color w:val="FF0000"/>
              </w:rPr>
              <w:t> </w:t>
            </w:r>
            <w:r w:rsidR="005F7B4B" w:rsidRPr="003920AA">
              <w:rPr>
                <w:rFonts w:asciiTheme="minorHAnsi" w:hAnsiTheme="minorHAnsi"/>
                <w:b w:val="0"/>
                <w:color w:val="FF0000"/>
              </w:rPr>
              <w:fldChar w:fldCharType="end"/>
            </w:r>
          </w:p>
        </w:tc>
        <w:sdt>
          <w:sdtPr>
            <w:rPr>
              <w:rFonts w:asciiTheme="minorHAnsi" w:hAnsiTheme="minorHAnsi"/>
            </w:rPr>
            <w:id w:val="1789547942"/>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313062415"/>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shd w:val="clear" w:color="auto" w:fill="FFFFFF" w:themeFill="background1"/>
          </w:tcPr>
          <w:p w:rsidR="006C6013" w:rsidRPr="003920AA" w:rsidRDefault="006C6013" w:rsidP="005F7663">
            <w:pPr>
              <w:pStyle w:val="tabletopic"/>
              <w:spacing w:before="80" w:after="80"/>
              <w:jc w:val="center"/>
              <w:rPr>
                <w:rFonts w:asciiTheme="minorHAnsi" w:hAnsiTheme="minorHAnsi"/>
                <w:b w:val="0"/>
                <w:i w:val="0"/>
              </w:rPr>
            </w:pPr>
            <w:r w:rsidRPr="003920AA">
              <w:rPr>
                <w:rFonts w:asciiTheme="minorHAnsi" w:hAnsiTheme="minorHAnsi"/>
                <w:b w:val="0"/>
                <w:i w:val="0"/>
              </w:rPr>
              <w:t>1,2</w:t>
            </w:r>
          </w:p>
        </w:tc>
      </w:tr>
      <w:tr w:rsidR="0031398D" w:rsidRPr="003920AA" w:rsidTr="006C6013">
        <w:trPr>
          <w:cantSplit/>
        </w:trPr>
        <w:tc>
          <w:tcPr>
            <w:tcW w:w="9540" w:type="dxa"/>
            <w:tcBorders>
              <w:right w:val="nil"/>
            </w:tcBorders>
            <w:shd w:val="clear" w:color="auto" w:fill="95B3D7"/>
          </w:tcPr>
          <w:p w:rsidR="0031398D" w:rsidRPr="003920AA" w:rsidRDefault="0031398D" w:rsidP="005F7663">
            <w:pPr>
              <w:pStyle w:val="tablequestions"/>
              <w:spacing w:before="80" w:after="80"/>
              <w:rPr>
                <w:rFonts w:asciiTheme="minorHAnsi" w:hAnsiTheme="minorHAnsi"/>
              </w:rPr>
            </w:pPr>
            <w:r w:rsidRPr="003920AA">
              <w:rPr>
                <w:rFonts w:asciiTheme="minorHAnsi" w:hAnsiTheme="minorHAnsi"/>
                <w:i/>
              </w:rPr>
              <w:t>Reducing Stormwater Runoff</w:t>
            </w:r>
            <w:r w:rsidRPr="003920AA">
              <w:rPr>
                <w:rStyle w:val="FootnoteReference"/>
                <w:rFonts w:asciiTheme="minorHAnsi" w:hAnsiTheme="minorHAnsi"/>
              </w:rPr>
              <w:footnoteReference w:id="10"/>
            </w: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260" w:type="dxa"/>
            <w:tcBorders>
              <w:left w:val="nil"/>
            </w:tcBorders>
            <w:shd w:val="clear" w:color="auto" w:fill="95B3D7"/>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r w:rsidRPr="003920AA">
              <w:rPr>
                <w:rFonts w:asciiTheme="minorHAnsi" w:hAnsiTheme="minorHAnsi"/>
              </w:rPr>
              <w:t>Do codes require or allow pervious surfaces in appropriate locations?</w:t>
            </w: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5: The subdivision ordinance requires strategies that reduce impervious surface cover.</w:t>
            </w:r>
            <w:r w:rsidRPr="003920AA">
              <w:rPr>
                <w:rStyle w:val="FootnoteReference"/>
                <w:rFonts w:asciiTheme="minorHAnsi" w:hAnsiTheme="minorHAnsi"/>
              </w:rPr>
              <w:footnoteReference w:id="11"/>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862560678"/>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927887634"/>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6: Street design guidelines require permeable paving for sidewalks and other appropriate surfaces such as bike lanes and parking lanes.</w:t>
            </w:r>
            <w:r w:rsidRPr="003920AA">
              <w:rPr>
                <w:rStyle w:val="FootnoteReference"/>
                <w:rFonts w:asciiTheme="minorHAnsi" w:hAnsiTheme="minorHAnsi"/>
              </w:rPr>
              <w:footnoteReference w:id="12"/>
            </w:r>
            <w:r w:rsidRPr="003920AA">
              <w:rPr>
                <w:rFonts w:asciiTheme="minorHAnsi" w:hAnsiTheme="minorHAnsi"/>
                <w:vertAlign w:val="superscript"/>
              </w:rPr>
              <w:t>,</w:t>
            </w:r>
            <w:r w:rsidRPr="003920AA">
              <w:rPr>
                <w:rStyle w:val="FootnoteReference"/>
                <w:rFonts w:asciiTheme="minorHAnsi" w:hAnsiTheme="minorHAnsi"/>
              </w:rPr>
              <w:footnoteReference w:id="13"/>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704560891"/>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654210811"/>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w:t>
            </w:r>
          </w:p>
        </w:tc>
      </w:tr>
      <w:tr w:rsidR="006C6013" w:rsidRPr="003920AA" w:rsidTr="006C6013">
        <w:trPr>
          <w:cantSplit/>
        </w:trPr>
        <w:tc>
          <w:tcPr>
            <w:tcW w:w="9540" w:type="dxa"/>
            <w:tcBorders>
              <w:bottom w:val="single" w:sz="4" w:space="0" w:color="auto"/>
            </w:tcBorders>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7: A portion of parking lots, alleys, and roads in a new development are constructed with pervious material that is based on a prescribed proportion of the square footage.</w:t>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73899516"/>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090996200"/>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rPr>
                <w:rFonts w:asciiTheme="minorHAnsi" w:hAnsiTheme="minorHAnsi"/>
                <w:b/>
              </w:rPr>
            </w:pPr>
            <w:r w:rsidRPr="003920AA">
              <w:rPr>
                <w:rFonts w:asciiTheme="minorHAnsi" w:hAnsiTheme="minorHAnsi"/>
                <w:b/>
              </w:rPr>
              <w:t>Do codes encourage reducing impervious surfaces?</w:t>
            </w:r>
          </w:p>
        </w:tc>
        <w:tc>
          <w:tcPr>
            <w:tcW w:w="14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4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26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r>
      <w:tr w:rsidR="006C6013" w:rsidRPr="003920AA" w:rsidTr="006C6013">
        <w:trPr>
          <w:cantSplit/>
        </w:trPr>
        <w:tc>
          <w:tcPr>
            <w:tcW w:w="9540" w:type="dxa"/>
            <w:tcBorders>
              <w:bottom w:val="single" w:sz="4" w:space="0" w:color="auto"/>
            </w:tcBorders>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8: Require green infrastructure elements (such as trees, vegetated islands, swales, and rain gardens) to manage stormwater runoff from parking lots.</w:t>
            </w:r>
            <w:r w:rsidRPr="003920AA">
              <w:rPr>
                <w:rStyle w:val="FootnoteReference"/>
                <w:rFonts w:asciiTheme="minorHAnsi" w:hAnsiTheme="minorHAnsi"/>
              </w:rPr>
              <w:footnoteReference w:id="14"/>
            </w:r>
            <w:r w:rsidRPr="003920AA">
              <w:rPr>
                <w:rFonts w:asciiTheme="minorHAnsi" w:hAnsiTheme="minorHAnsi"/>
                <w:vertAlign w:val="superscript"/>
              </w:rPr>
              <w:t>,</w:t>
            </w:r>
            <w:bookmarkStart w:id="1" w:name="_Ref353393904"/>
            <w:r w:rsidRPr="003920AA">
              <w:rPr>
                <w:rStyle w:val="FootnoteReference"/>
                <w:rFonts w:asciiTheme="minorHAnsi" w:hAnsiTheme="minorHAnsi"/>
              </w:rPr>
              <w:footnoteReference w:id="15"/>
            </w:r>
            <w:bookmarkEnd w:id="1"/>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32364287"/>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994318786"/>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9: Allow two-track driveways.</w:t>
            </w:r>
            <w:r w:rsidRPr="003920AA">
              <w:rPr>
                <w:rStyle w:val="FootnoteReference"/>
                <w:rFonts w:asciiTheme="minorHAnsi" w:hAnsiTheme="minorHAnsi"/>
              </w:rPr>
              <w:footnoteReference w:id="16"/>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803917822"/>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366743405"/>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10: Permit shared driveways or require for single-family residential developments.</w:t>
            </w:r>
            <w:r w:rsidRPr="003920AA">
              <w:rPr>
                <w:rStyle w:val="FootnoteReference"/>
                <w:rFonts w:asciiTheme="minorHAnsi" w:hAnsiTheme="minorHAnsi"/>
              </w:rPr>
              <w:footnoteReference w:id="17"/>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22539697"/>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44958032"/>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lastRenderedPageBreak/>
              <w:t>Strategy 11: Permit shared parking lots for a mix of commercial, office, and institutional uses.</w:t>
            </w:r>
            <w:r w:rsidRPr="003920AA">
              <w:rPr>
                <w:rStyle w:val="FootnoteReference"/>
                <w:rFonts w:asciiTheme="minorHAnsi" w:hAnsiTheme="minorHAnsi"/>
              </w:rPr>
              <w:footnoteReference w:id="18"/>
            </w:r>
            <w:r w:rsidRPr="003920AA">
              <w:rPr>
                <w:rFonts w:asciiTheme="minorHAnsi" w:hAnsiTheme="minorHAnsi"/>
                <w:vertAlign w:val="superscript"/>
              </w:rPr>
              <w:t>,</w:t>
            </w:r>
            <w:r w:rsidRPr="003920AA">
              <w:rPr>
                <w:rStyle w:val="FootnoteReference"/>
                <w:rFonts w:asciiTheme="minorHAnsi" w:hAnsiTheme="minorHAnsi"/>
              </w:rPr>
              <w:footnoteReference w:id="19"/>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522089792"/>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0238408"/>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12: Codes encourage driveway width requirements (for example, minimum driveway width is no more than 9 feet).</w:t>
            </w:r>
            <w:r w:rsidRPr="003920AA">
              <w:rPr>
                <w:rStyle w:val="FootnoteReference"/>
                <w:rFonts w:asciiTheme="minorHAnsi" w:hAnsiTheme="minorHAnsi"/>
              </w:rPr>
              <w:footnoteReference w:id="20"/>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067878583"/>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740242309"/>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text"/>
              <w:tabs>
                <w:tab w:val="left" w:pos="7950"/>
              </w:tabs>
              <w:spacing w:before="80" w:after="80"/>
              <w:rPr>
                <w:rFonts w:asciiTheme="minorHAnsi" w:hAnsiTheme="minorHAnsi"/>
                <w:b/>
              </w:rPr>
            </w:pPr>
            <w:r w:rsidRPr="003920AA">
              <w:rPr>
                <w:rFonts w:asciiTheme="minorHAnsi" w:hAnsiTheme="minorHAnsi"/>
                <w:b/>
              </w:rPr>
              <w:t>Do codes encourage green infrastructure to reduce stormwater runoff?</w:t>
            </w:r>
            <w:r w:rsidRPr="003920AA">
              <w:rPr>
                <w:rFonts w:asciiTheme="minorHAnsi" w:hAnsiTheme="minorHAnsi"/>
                <w:b/>
              </w:rPr>
              <w:tab/>
            </w: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szCs w:val="20"/>
              </w:rPr>
            </w:pPr>
            <w:r w:rsidRPr="003920AA">
              <w:rPr>
                <w:rFonts w:asciiTheme="minorHAnsi" w:hAnsiTheme="minorHAnsi"/>
                <w:szCs w:val="20"/>
              </w:rPr>
              <w:t>Strategy 13: Specify the types of trees and shrubs to use in landscaped areas based on which will best reduce stormwater runoff.</w:t>
            </w:r>
            <w:r w:rsidRPr="003920AA">
              <w:rPr>
                <w:rStyle w:val="FootnoteReference"/>
                <w:rFonts w:asciiTheme="minorHAnsi" w:hAnsiTheme="minorHAnsi"/>
                <w:szCs w:val="20"/>
              </w:rPr>
              <w:footnoteReference w:id="21"/>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62977786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02185307"/>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szCs w:val="20"/>
              </w:rPr>
            </w:pPr>
            <w:r w:rsidRPr="003920AA">
              <w:rPr>
                <w:rFonts w:asciiTheme="minorHAnsi" w:hAnsiTheme="minorHAnsi"/>
                <w:szCs w:val="20"/>
              </w:rPr>
              <w:t xml:space="preserve">Strategy 14: </w:t>
            </w:r>
            <w:r w:rsidRPr="003920AA">
              <w:rPr>
                <w:rFonts w:asciiTheme="minorHAnsi" w:hAnsiTheme="minorHAnsi"/>
                <w:spacing w:val="-4"/>
                <w:szCs w:val="20"/>
              </w:rPr>
              <w:t>The code requires a minimum percentage of parking lots to be landscaped (for example 10 percent)</w:t>
            </w:r>
            <w:r w:rsidRPr="003920AA">
              <w:rPr>
                <w:rFonts w:asciiTheme="minorHAnsi" w:hAnsiTheme="minorHAnsi"/>
                <w:szCs w:val="20"/>
              </w:rPr>
              <w:t>.</w:t>
            </w:r>
            <w:r w:rsidRPr="003920AA">
              <w:rPr>
                <w:rStyle w:val="FootnoteReference"/>
                <w:rFonts w:asciiTheme="minorHAnsi" w:hAnsiTheme="minorHAnsi"/>
                <w:szCs w:val="20"/>
              </w:rPr>
              <w:footnoteReference w:id="22"/>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884780869"/>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77327111"/>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szCs w:val="20"/>
              </w:rPr>
            </w:pPr>
            <w:r w:rsidRPr="003920AA">
              <w:rPr>
                <w:rFonts w:asciiTheme="minorHAnsi" w:hAnsiTheme="minorHAnsi"/>
                <w:szCs w:val="20"/>
              </w:rPr>
              <w:t>Strategy 15: Permit infiltration approaches that use soil and plants, such as rain gardens, planter gardens, and permeable and porous pavements.</w:t>
            </w:r>
            <w:r w:rsidRPr="003920AA">
              <w:rPr>
                <w:rStyle w:val="FootnoteReference"/>
                <w:rFonts w:asciiTheme="minorHAnsi" w:hAnsiTheme="minorHAnsi"/>
                <w:szCs w:val="20"/>
              </w:rPr>
              <w:footnoteReference w:id="23"/>
            </w:r>
            <w:r w:rsidRPr="003920AA">
              <w:rPr>
                <w:rFonts w:asciiTheme="minorHAnsi" w:hAnsiTheme="minorHAnsi"/>
                <w:szCs w:val="20"/>
                <w:vertAlign w:val="superscript"/>
              </w:rPr>
              <w:t>,</w:t>
            </w:r>
            <w:r w:rsidRPr="003920AA">
              <w:rPr>
                <w:rFonts w:asciiTheme="minorHAnsi" w:hAnsiTheme="minorHAnsi"/>
                <w:szCs w:val="20"/>
                <w:vertAlign w:val="superscript"/>
              </w:rPr>
              <w:fldChar w:fldCharType="begin"/>
            </w:r>
            <w:r w:rsidRPr="003920AA">
              <w:rPr>
                <w:rFonts w:asciiTheme="minorHAnsi" w:hAnsiTheme="minorHAnsi"/>
                <w:szCs w:val="20"/>
                <w:vertAlign w:val="superscript"/>
              </w:rPr>
              <w:instrText xml:space="preserve"> NOTEREF _Ref353393904 \h  \* MERGEFORMAT </w:instrText>
            </w:r>
            <w:r w:rsidRPr="003920AA">
              <w:rPr>
                <w:rFonts w:asciiTheme="minorHAnsi" w:hAnsiTheme="minorHAnsi"/>
                <w:szCs w:val="20"/>
                <w:vertAlign w:val="superscript"/>
              </w:rPr>
            </w:r>
            <w:r w:rsidRPr="003920AA">
              <w:rPr>
                <w:rFonts w:asciiTheme="minorHAnsi" w:hAnsiTheme="minorHAnsi"/>
                <w:szCs w:val="20"/>
                <w:vertAlign w:val="superscript"/>
              </w:rPr>
              <w:fldChar w:fldCharType="separate"/>
            </w:r>
            <w:r w:rsidRPr="003920AA">
              <w:rPr>
                <w:rFonts w:asciiTheme="minorHAnsi" w:hAnsiTheme="minorHAnsi"/>
                <w:szCs w:val="20"/>
                <w:vertAlign w:val="superscript"/>
              </w:rPr>
              <w:t>500</w:t>
            </w:r>
            <w:r w:rsidRPr="003920AA">
              <w:rPr>
                <w:rFonts w:asciiTheme="minorHAnsi" w:hAnsiTheme="minorHAnsi"/>
                <w:szCs w:val="20"/>
                <w:vertAlign w:val="superscript"/>
              </w:rPr>
              <w:fldChar w:fldCharType="end"/>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961289875"/>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85752454"/>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text"/>
              <w:spacing w:before="80" w:after="80"/>
              <w:rPr>
                <w:rFonts w:asciiTheme="minorHAnsi" w:hAnsiTheme="minorHAnsi"/>
                <w:b/>
                <w:szCs w:val="20"/>
              </w:rPr>
            </w:pPr>
            <w:r w:rsidRPr="003920AA">
              <w:rPr>
                <w:rFonts w:asciiTheme="minorHAnsi" w:hAnsiTheme="minorHAnsi"/>
                <w:b/>
                <w:szCs w:val="20"/>
              </w:rPr>
              <w:t>Do codes encourage stormwater management infrastructure as part of buildings?</w:t>
            </w: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szCs w:val="20"/>
              </w:rPr>
            </w:pPr>
            <w:r w:rsidRPr="003920AA">
              <w:rPr>
                <w:rFonts w:asciiTheme="minorHAnsi" w:hAnsiTheme="minorHAnsi"/>
                <w:szCs w:val="20"/>
              </w:rPr>
              <w:t>Strategy 16: Permit green roofs.</w:t>
            </w:r>
            <w:r w:rsidRPr="003920AA">
              <w:rPr>
                <w:rStyle w:val="FootnoteReference"/>
                <w:rFonts w:asciiTheme="minorHAnsi" w:hAnsiTheme="minorHAnsi"/>
                <w:szCs w:val="20"/>
              </w:rPr>
              <w:footnoteReference w:id="24"/>
            </w:r>
            <w:r w:rsidRPr="003920AA">
              <w:rPr>
                <w:rFonts w:asciiTheme="minorHAnsi" w:hAnsiTheme="minorHAnsi"/>
                <w:szCs w:val="20"/>
                <w:vertAlign w:val="superscript"/>
              </w:rPr>
              <w:t>,</w:t>
            </w:r>
            <w:r w:rsidRPr="003920AA">
              <w:rPr>
                <w:rStyle w:val="FootnoteReference"/>
                <w:rFonts w:asciiTheme="minorHAnsi" w:hAnsiTheme="minorHAnsi"/>
                <w:szCs w:val="20"/>
              </w:rPr>
              <w:footnoteReference w:id="25"/>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477334367"/>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95952520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szCs w:val="20"/>
              </w:rPr>
            </w:pPr>
            <w:r w:rsidRPr="003920AA">
              <w:rPr>
                <w:rFonts w:asciiTheme="minorHAnsi" w:hAnsiTheme="minorHAnsi"/>
                <w:szCs w:val="20"/>
              </w:rPr>
              <w:t>Strategy 17: Water-harvesting devices, such as rain barrels and cisterns, are permitted.</w:t>
            </w:r>
            <w:r w:rsidRPr="003920AA">
              <w:rPr>
                <w:rStyle w:val="FootnoteReference"/>
                <w:rFonts w:asciiTheme="minorHAnsi" w:hAnsiTheme="minorHAnsi"/>
                <w:szCs w:val="20"/>
              </w:rPr>
              <w:footnoteReference w:id="26"/>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95869236"/>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61004443"/>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tcBorders>
              <w:right w:val="nil"/>
            </w:tcBorders>
            <w:shd w:val="clear" w:color="auto" w:fill="95B3D7"/>
          </w:tcPr>
          <w:p w:rsidR="0031398D" w:rsidRPr="003920AA" w:rsidRDefault="0031398D" w:rsidP="005F7663">
            <w:pPr>
              <w:pStyle w:val="tablequestions"/>
              <w:spacing w:before="80" w:after="80"/>
              <w:rPr>
                <w:rFonts w:asciiTheme="minorHAnsi" w:hAnsiTheme="minorHAnsi"/>
                <w:i/>
              </w:rPr>
            </w:pPr>
            <w:r w:rsidRPr="003920AA">
              <w:rPr>
                <w:rFonts w:asciiTheme="minorHAnsi" w:hAnsiTheme="minorHAnsi"/>
                <w:i/>
              </w:rPr>
              <w:t>Expanding the Tree Canopy</w:t>
            </w: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440" w:type="dxa"/>
            <w:tcBorders>
              <w:left w:val="nil"/>
              <w:right w:val="nil"/>
            </w:tcBorders>
            <w:shd w:val="clear" w:color="auto" w:fill="95B3D7"/>
          </w:tcPr>
          <w:p w:rsidR="0031398D" w:rsidRPr="003920AA" w:rsidRDefault="0031398D" w:rsidP="005F7663">
            <w:pPr>
              <w:pStyle w:val="tablequestions"/>
              <w:spacing w:before="80" w:after="80"/>
              <w:rPr>
                <w:rFonts w:asciiTheme="minorHAnsi" w:hAnsiTheme="minorHAnsi"/>
              </w:rPr>
            </w:pPr>
          </w:p>
        </w:tc>
        <w:tc>
          <w:tcPr>
            <w:tcW w:w="1260" w:type="dxa"/>
            <w:tcBorders>
              <w:left w:val="nil"/>
            </w:tcBorders>
            <w:shd w:val="clear" w:color="auto" w:fill="95B3D7"/>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r w:rsidRPr="003920AA">
              <w:rPr>
                <w:rFonts w:asciiTheme="minorHAnsi" w:hAnsiTheme="minorHAnsi"/>
              </w:rPr>
              <w:t>Do codes require tree plantings as part of new developments and street retrofits?</w:t>
            </w: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18: Private and public developments are required to include street trees.</w:t>
            </w:r>
            <w:r w:rsidRPr="003920AA">
              <w:rPr>
                <w:rStyle w:val="FootnoteReference"/>
                <w:rFonts w:asciiTheme="minorHAnsi" w:hAnsiTheme="minorHAnsi"/>
              </w:rPr>
              <w:footnoteReference w:id="27"/>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0038700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58668313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lastRenderedPageBreak/>
              <w:t xml:space="preserve">Strategy 19: </w:t>
            </w:r>
            <w:r w:rsidRPr="003920AA">
              <w:rPr>
                <w:rFonts w:asciiTheme="minorHAnsi" w:hAnsiTheme="minorHAnsi"/>
                <w:spacing w:val="-4"/>
                <w:szCs w:val="20"/>
              </w:rPr>
              <w:t>Street designs require the necessary surface area and volume of soil for the tree species selected</w:t>
            </w:r>
            <w:r w:rsidRPr="003920AA">
              <w:rPr>
                <w:rFonts w:asciiTheme="minorHAnsi" w:hAnsiTheme="minorHAnsi"/>
              </w:rPr>
              <w:t>.</w:t>
            </w:r>
            <w:r w:rsidRPr="003920AA">
              <w:rPr>
                <w:rStyle w:val="FootnoteReference"/>
                <w:rFonts w:asciiTheme="minorHAnsi" w:hAnsiTheme="minorHAnsi"/>
              </w:rPr>
              <w:footnoteReference w:id="28"/>
            </w:r>
            <w:r w:rsidRPr="003920AA">
              <w:rPr>
                <w:rFonts w:asciiTheme="minorHAnsi" w:hAnsiTheme="minorHAnsi"/>
                <w:vertAlign w:val="superscript"/>
              </w:rPr>
              <w:t>,</w:t>
            </w:r>
            <w:r w:rsidRPr="003920AA">
              <w:rPr>
                <w:rStyle w:val="FootnoteReference"/>
                <w:rFonts w:asciiTheme="minorHAnsi" w:hAnsiTheme="minorHAnsi"/>
              </w:rPr>
              <w:footnoteReference w:id="29"/>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7835832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552207333"/>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w:t>
            </w:r>
          </w:p>
        </w:tc>
      </w:tr>
      <w:tr w:rsidR="0031398D" w:rsidRPr="003920AA" w:rsidTr="006C6013">
        <w:trPr>
          <w:cantSplit/>
        </w:trPr>
        <w:tc>
          <w:tcPr>
            <w:tcW w:w="9540" w:type="dxa"/>
            <w:shd w:val="clear" w:color="auto" w:fill="95B3D7" w:themeFill="accent1" w:themeFillTint="99"/>
          </w:tcPr>
          <w:p w:rsidR="0031398D" w:rsidRPr="003920AA" w:rsidRDefault="0031398D" w:rsidP="005F7663">
            <w:pPr>
              <w:pStyle w:val="tabletext"/>
              <w:spacing w:before="80" w:after="80"/>
              <w:rPr>
                <w:rFonts w:asciiTheme="minorHAnsi" w:hAnsiTheme="minorHAnsi"/>
                <w:b/>
                <w:i/>
              </w:rPr>
            </w:pPr>
            <w:r w:rsidRPr="003920AA">
              <w:rPr>
                <w:rFonts w:asciiTheme="minorHAnsi" w:hAnsiTheme="minorHAnsi"/>
                <w:b/>
                <w:i/>
              </w:rPr>
              <w:t>Encouraging Green Infrastructure</w:t>
            </w:r>
          </w:p>
        </w:tc>
        <w:tc>
          <w:tcPr>
            <w:tcW w:w="1440" w:type="dxa"/>
            <w:shd w:val="clear" w:color="auto" w:fill="95B3D7" w:themeFill="accent1" w:themeFillTint="99"/>
          </w:tcPr>
          <w:p w:rsidR="0031398D" w:rsidRPr="003920AA" w:rsidRDefault="0031398D" w:rsidP="005F7663">
            <w:pPr>
              <w:pStyle w:val="tabletext"/>
              <w:spacing w:before="80" w:after="80"/>
              <w:rPr>
                <w:rFonts w:asciiTheme="minorHAnsi" w:hAnsiTheme="minorHAnsi"/>
              </w:rPr>
            </w:pPr>
          </w:p>
        </w:tc>
        <w:tc>
          <w:tcPr>
            <w:tcW w:w="1440" w:type="dxa"/>
            <w:shd w:val="clear" w:color="auto" w:fill="95B3D7" w:themeFill="accent1" w:themeFillTint="99"/>
          </w:tcPr>
          <w:p w:rsidR="0031398D" w:rsidRPr="003920AA" w:rsidRDefault="0031398D" w:rsidP="005F7663">
            <w:pPr>
              <w:pStyle w:val="tabletext"/>
              <w:spacing w:before="80" w:after="80"/>
              <w:rPr>
                <w:rFonts w:asciiTheme="minorHAnsi" w:hAnsiTheme="minorHAnsi"/>
              </w:rPr>
            </w:pPr>
          </w:p>
        </w:tc>
        <w:tc>
          <w:tcPr>
            <w:tcW w:w="1260" w:type="dxa"/>
            <w:shd w:val="clear" w:color="auto" w:fill="95B3D7" w:themeFill="accent1" w:themeFillTint="99"/>
          </w:tcPr>
          <w:p w:rsidR="0031398D" w:rsidRPr="003920AA" w:rsidRDefault="0031398D" w:rsidP="005F7663">
            <w:pPr>
              <w:pStyle w:val="tabletext"/>
              <w:spacing w:before="80" w:after="80"/>
              <w:rPr>
                <w:rFonts w:asciiTheme="minorHAnsi" w:hAnsiTheme="minorHAnsi"/>
              </w:rPr>
            </w:pP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text"/>
              <w:spacing w:before="80" w:after="80"/>
              <w:rPr>
                <w:rFonts w:asciiTheme="minorHAnsi" w:hAnsiTheme="minorHAnsi"/>
                <w:b/>
              </w:rPr>
            </w:pPr>
            <w:r w:rsidRPr="003920AA">
              <w:rPr>
                <w:rFonts w:asciiTheme="minorHAnsi" w:hAnsiTheme="minorHAnsi"/>
                <w:b/>
              </w:rPr>
              <w:t>Do codes require the construction and expansion of green infrastructure?</w:t>
            </w: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26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20: A minimum amount of a local road project cost goes towards green infrastructure elements.</w:t>
            </w:r>
            <w:r w:rsidRPr="003920AA">
              <w:rPr>
                <w:rStyle w:val="FootnoteReference"/>
                <w:rFonts w:asciiTheme="minorHAnsi" w:hAnsiTheme="minorHAnsi"/>
              </w:rPr>
              <w:footnoteReference w:id="30"/>
            </w:r>
            <w:r w:rsidRPr="003920AA">
              <w:rPr>
                <w:rFonts w:asciiTheme="minorHAnsi" w:hAnsiTheme="minorHAnsi"/>
                <w:vertAlign w:val="superscript"/>
              </w:rPr>
              <w:t>,</w:t>
            </w:r>
            <w:r w:rsidRPr="003920AA">
              <w:rPr>
                <w:rStyle w:val="FootnoteReference"/>
                <w:rFonts w:asciiTheme="minorHAnsi" w:hAnsiTheme="minorHAnsi"/>
              </w:rPr>
              <w:footnoteReference w:id="31"/>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515424307"/>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908467793"/>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21: Codes set green infrastructure retrofit standards for street rehabilitation, streetscaping, and road widening projects.</w:t>
            </w:r>
            <w:r w:rsidRPr="003920AA">
              <w:rPr>
                <w:rStyle w:val="FootnoteReference"/>
                <w:rFonts w:asciiTheme="minorHAnsi" w:hAnsiTheme="minorHAnsi"/>
              </w:rPr>
              <w:footnoteReference w:id="32"/>
            </w:r>
            <w:r w:rsidRPr="003920AA">
              <w:rPr>
                <w:rFonts w:asciiTheme="minorHAnsi" w:hAnsiTheme="minorHAnsi"/>
                <w:vertAlign w:val="superscript"/>
              </w:rPr>
              <w:t>,</w:t>
            </w:r>
            <w:r w:rsidRPr="003920AA">
              <w:rPr>
                <w:rStyle w:val="FootnoteReference"/>
                <w:rFonts w:asciiTheme="minorHAnsi" w:hAnsiTheme="minorHAnsi"/>
              </w:rPr>
              <w:footnoteReference w:id="33"/>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305471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258550749"/>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Pr>
        <w:tc>
          <w:tcPr>
            <w:tcW w:w="9540" w:type="dxa"/>
            <w:shd w:val="clear" w:color="auto" w:fill="95B3D7" w:themeFill="accent1" w:themeFillTint="99"/>
          </w:tcPr>
          <w:p w:rsidR="0031398D" w:rsidRPr="003920AA" w:rsidRDefault="0031398D" w:rsidP="005F7663">
            <w:pPr>
              <w:pStyle w:val="tablequestions"/>
              <w:spacing w:before="80" w:after="80"/>
              <w:rPr>
                <w:rFonts w:asciiTheme="minorHAnsi" w:hAnsiTheme="minorHAnsi"/>
                <w:i/>
              </w:rPr>
            </w:pPr>
            <w:r w:rsidRPr="003920AA">
              <w:rPr>
                <w:rFonts w:asciiTheme="minorHAnsi" w:hAnsiTheme="minorHAnsi"/>
                <w:i/>
              </w:rPr>
              <w:t>Studying Fiscal Impacts of Development and Expediting Projects With Less Impact</w:t>
            </w:r>
          </w:p>
        </w:tc>
        <w:tc>
          <w:tcPr>
            <w:tcW w:w="1440" w:type="dxa"/>
            <w:shd w:val="clear" w:color="auto" w:fill="95B3D7" w:themeFill="accent1" w:themeFillTint="99"/>
          </w:tcPr>
          <w:p w:rsidR="0031398D" w:rsidRPr="003920AA" w:rsidRDefault="0031398D" w:rsidP="005F7663">
            <w:pPr>
              <w:pStyle w:val="tablequestions"/>
              <w:spacing w:before="80" w:after="80"/>
              <w:rPr>
                <w:rFonts w:asciiTheme="minorHAnsi" w:hAnsiTheme="minorHAnsi"/>
              </w:rPr>
            </w:pPr>
          </w:p>
        </w:tc>
        <w:tc>
          <w:tcPr>
            <w:tcW w:w="1440" w:type="dxa"/>
            <w:shd w:val="clear" w:color="auto" w:fill="95B3D7" w:themeFill="accent1" w:themeFillTint="99"/>
          </w:tcPr>
          <w:p w:rsidR="0031398D" w:rsidRPr="003920AA" w:rsidRDefault="0031398D" w:rsidP="005F7663">
            <w:pPr>
              <w:pStyle w:val="tablequestions"/>
              <w:spacing w:before="80" w:after="80"/>
              <w:rPr>
                <w:rFonts w:asciiTheme="minorHAnsi" w:hAnsiTheme="minorHAnsi"/>
              </w:rPr>
            </w:pPr>
          </w:p>
        </w:tc>
        <w:tc>
          <w:tcPr>
            <w:tcW w:w="1260" w:type="dxa"/>
            <w:shd w:val="clear" w:color="auto" w:fill="95B3D7" w:themeFill="accent1" w:themeFillTint="99"/>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Pr>
        <w:tc>
          <w:tcPr>
            <w:tcW w:w="9540" w:type="dxa"/>
            <w:shd w:val="clear" w:color="auto" w:fill="D9D9D9" w:themeFill="background1" w:themeFillShade="D9"/>
          </w:tcPr>
          <w:p w:rsidR="0031398D" w:rsidRPr="003920AA" w:rsidRDefault="0031398D" w:rsidP="005F7663">
            <w:pPr>
              <w:pStyle w:val="tabletext"/>
              <w:spacing w:before="80" w:after="80"/>
              <w:rPr>
                <w:rFonts w:asciiTheme="minorHAnsi" w:hAnsiTheme="minorHAnsi"/>
                <w:b/>
              </w:rPr>
            </w:pPr>
            <w:r w:rsidRPr="003920AA">
              <w:rPr>
                <w:rFonts w:asciiTheme="minorHAnsi" w:hAnsiTheme="minorHAnsi"/>
                <w:b/>
              </w:rPr>
              <w:t>Do codes provide incentives for lower impact development?</w:t>
            </w: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44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260" w:type="dxa"/>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22: Require a fiscal impact analysis for major development projects.</w:t>
            </w:r>
            <w:r w:rsidRPr="003920AA">
              <w:rPr>
                <w:rStyle w:val="FootnoteReference"/>
                <w:rFonts w:asciiTheme="minorHAnsi" w:hAnsiTheme="minorHAnsi"/>
              </w:rPr>
              <w:footnoteReference w:id="34"/>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2105952454"/>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017833385"/>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23: Up-to-date information about the cost of government services, such as roads, water, and sewer, is available for fiscal impact analyses.</w:t>
            </w:r>
            <w:r w:rsidRPr="003920AA">
              <w:rPr>
                <w:rStyle w:val="FootnoteReference"/>
                <w:rFonts w:asciiTheme="minorHAnsi" w:hAnsiTheme="minorHAnsi"/>
              </w:rPr>
              <w:footnoteReference w:id="35"/>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25863544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42104545"/>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24: Require new developments in undeveloped areas to pay the full cost of required new offsite water, sewer, and stormwater infrastructure.</w:t>
            </w:r>
            <w:r w:rsidRPr="003920AA">
              <w:rPr>
                <w:rStyle w:val="FootnoteReference"/>
                <w:rFonts w:asciiTheme="minorHAnsi" w:hAnsiTheme="minorHAnsi"/>
              </w:rPr>
              <w:footnoteReference w:id="36"/>
            </w:r>
            <w:r w:rsidRPr="003920AA">
              <w:rPr>
                <w:rFonts w:asciiTheme="minorHAnsi" w:hAnsiTheme="minorHAnsi"/>
                <w:vertAlign w:val="superscript"/>
              </w:rPr>
              <w:t>,</w:t>
            </w:r>
            <w:r w:rsidRPr="003920AA">
              <w:rPr>
                <w:rStyle w:val="FootnoteReference"/>
                <w:rFonts w:asciiTheme="minorHAnsi" w:hAnsiTheme="minorHAnsi"/>
              </w:rPr>
              <w:footnoteReference w:id="37"/>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98574207"/>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64994818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lastRenderedPageBreak/>
              <w:t>Strategy 25: Projects that include green infrastructure elements can go through an expedited review process (“green tape”).</w:t>
            </w:r>
            <w:r w:rsidRPr="003920AA">
              <w:rPr>
                <w:rStyle w:val="FootnoteReference"/>
                <w:rFonts w:asciiTheme="minorHAnsi" w:hAnsiTheme="minorHAnsi"/>
              </w:rPr>
              <w:footnoteReference w:id="38"/>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87646643"/>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587742872"/>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31398D" w:rsidRPr="003920AA" w:rsidTr="006C6013">
        <w:trPr>
          <w:cantSplit/>
          <w:trHeight w:val="422"/>
        </w:trPr>
        <w:tc>
          <w:tcPr>
            <w:tcW w:w="9540" w:type="dxa"/>
            <w:tcBorders>
              <w:right w:val="nil"/>
            </w:tcBorders>
            <w:shd w:val="clear" w:color="auto" w:fill="C2D69B"/>
          </w:tcPr>
          <w:p w:rsidR="0031398D" w:rsidRPr="003920AA" w:rsidRDefault="0031398D" w:rsidP="005F7663">
            <w:pPr>
              <w:pStyle w:val="tablequestions"/>
              <w:tabs>
                <w:tab w:val="left" w:pos="5265"/>
              </w:tabs>
              <w:spacing w:before="80" w:after="80"/>
              <w:rPr>
                <w:rFonts w:asciiTheme="minorHAnsi" w:hAnsiTheme="minorHAnsi"/>
                <w:i/>
                <w:spacing w:val="-4"/>
              </w:rPr>
            </w:pPr>
            <w:r w:rsidRPr="003920AA">
              <w:rPr>
                <w:rFonts w:asciiTheme="minorHAnsi" w:hAnsiTheme="minorHAnsi"/>
                <w:i/>
              </w:rPr>
              <w:t>Investing in Efficient Public Infrastructure Through Comprehensive Plans and Local Government Policies</w:t>
            </w:r>
          </w:p>
        </w:tc>
        <w:tc>
          <w:tcPr>
            <w:tcW w:w="1440" w:type="dxa"/>
            <w:tcBorders>
              <w:left w:val="nil"/>
              <w:right w:val="nil"/>
            </w:tcBorders>
            <w:shd w:val="clear" w:color="auto" w:fill="C2D69B"/>
          </w:tcPr>
          <w:p w:rsidR="0031398D" w:rsidRPr="003920AA" w:rsidRDefault="0031398D" w:rsidP="005F7663">
            <w:pPr>
              <w:pStyle w:val="tablequestions"/>
              <w:spacing w:before="80" w:after="80"/>
              <w:rPr>
                <w:rFonts w:asciiTheme="minorHAnsi" w:hAnsiTheme="minorHAnsi"/>
              </w:rPr>
            </w:pPr>
          </w:p>
        </w:tc>
        <w:tc>
          <w:tcPr>
            <w:tcW w:w="1440" w:type="dxa"/>
            <w:tcBorders>
              <w:left w:val="nil"/>
              <w:right w:val="nil"/>
            </w:tcBorders>
            <w:shd w:val="clear" w:color="auto" w:fill="C2D69B"/>
          </w:tcPr>
          <w:p w:rsidR="0031398D" w:rsidRPr="003920AA" w:rsidRDefault="0031398D" w:rsidP="005F7663">
            <w:pPr>
              <w:pStyle w:val="tablequestions"/>
              <w:spacing w:before="80" w:after="80"/>
              <w:rPr>
                <w:rFonts w:asciiTheme="minorHAnsi" w:hAnsiTheme="minorHAnsi"/>
              </w:rPr>
            </w:pPr>
          </w:p>
        </w:tc>
        <w:tc>
          <w:tcPr>
            <w:tcW w:w="1260" w:type="dxa"/>
            <w:tcBorders>
              <w:left w:val="nil"/>
            </w:tcBorders>
            <w:shd w:val="clear" w:color="auto" w:fill="C2D69B"/>
          </w:tcPr>
          <w:p w:rsidR="0031398D" w:rsidRPr="003920AA" w:rsidRDefault="0031398D" w:rsidP="005F7663">
            <w:pPr>
              <w:pStyle w:val="tablequestions"/>
              <w:spacing w:before="80" w:after="80"/>
              <w:rPr>
                <w:rFonts w:asciiTheme="minorHAnsi" w:hAnsiTheme="minorHAnsi"/>
              </w:rPr>
            </w:pPr>
          </w:p>
        </w:tc>
      </w:tr>
      <w:tr w:rsidR="0031398D" w:rsidRPr="003920AA" w:rsidTr="006C6013">
        <w:trPr>
          <w:cantSplit/>
          <w:trHeight w:val="422"/>
        </w:trPr>
        <w:tc>
          <w:tcPr>
            <w:tcW w:w="9540" w:type="dxa"/>
            <w:shd w:val="clear" w:color="auto" w:fill="D9D9D9" w:themeFill="background1" w:themeFillShade="D9"/>
          </w:tcPr>
          <w:p w:rsidR="0031398D" w:rsidRPr="003920AA" w:rsidRDefault="0031398D" w:rsidP="005F7663">
            <w:pPr>
              <w:pStyle w:val="tablequestions"/>
              <w:tabs>
                <w:tab w:val="left" w:pos="5265"/>
              </w:tabs>
              <w:spacing w:before="80" w:after="80"/>
              <w:rPr>
                <w:rFonts w:asciiTheme="minorHAnsi" w:hAnsiTheme="minorHAnsi"/>
                <w:spacing w:val="-4"/>
              </w:rPr>
            </w:pPr>
            <w:r w:rsidRPr="003920AA">
              <w:rPr>
                <w:rFonts w:asciiTheme="minorHAnsi" w:hAnsiTheme="minorHAnsi"/>
                <w:spacing w:val="-4"/>
              </w:rPr>
              <w:t>Do policies direct development to areas with existing infrastructure and away from environmentally sensitive areas?</w:t>
            </w: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44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c>
          <w:tcPr>
            <w:tcW w:w="1260" w:type="dxa"/>
            <w:shd w:val="clear" w:color="auto" w:fill="D9D9D9" w:themeFill="background1" w:themeFillShade="D9"/>
          </w:tcPr>
          <w:p w:rsidR="0031398D" w:rsidRPr="003920AA" w:rsidRDefault="0031398D" w:rsidP="005F7663">
            <w:pPr>
              <w:pStyle w:val="tablequestions"/>
              <w:spacing w:before="80" w:after="80"/>
              <w:rPr>
                <w:rFonts w:asciiTheme="minorHAnsi" w:hAnsiTheme="minorHAnsi"/>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26: Identify and prioritize areas with existing development for infrastructure investment.</w:t>
            </w:r>
            <w:r w:rsidRPr="003920AA">
              <w:rPr>
                <w:rStyle w:val="FootnoteReference"/>
                <w:rFonts w:asciiTheme="minorHAnsi" w:hAnsiTheme="minorHAnsi"/>
              </w:rPr>
              <w:footnoteReference w:id="39"/>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47053695"/>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761901756"/>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27: Identify highly efficient locations.</w:t>
            </w:r>
            <w:r w:rsidRPr="003920AA">
              <w:rPr>
                <w:rStyle w:val="FootnoteReference"/>
                <w:rFonts w:asciiTheme="minorHAnsi" w:hAnsiTheme="minorHAnsi"/>
              </w:rPr>
              <w:footnoteReference w:id="40"/>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435664912"/>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880006653"/>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w:t>
            </w:r>
          </w:p>
        </w:tc>
      </w:tr>
      <w:tr w:rsidR="006C6013" w:rsidRPr="003920AA" w:rsidTr="006C6013">
        <w:trPr>
          <w:cantSplit/>
        </w:trPr>
        <w:tc>
          <w:tcPr>
            <w:tcW w:w="9540" w:type="dxa"/>
            <w:tcBorders>
              <w:bottom w:val="single" w:sz="4" w:space="0" w:color="auto"/>
            </w:tcBorders>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28: Identify priority areas for conservation or land preservation.</w:t>
            </w:r>
            <w:r w:rsidRPr="003920AA">
              <w:rPr>
                <w:rStyle w:val="FootnoteReference"/>
                <w:rFonts w:asciiTheme="minorHAnsi" w:hAnsiTheme="minorHAnsi"/>
              </w:rPr>
              <w:footnoteReference w:id="41"/>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842933564"/>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398129647"/>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29: Establish a service fee to pay for inspection and maintenance of decentralized wastewater treatment systems.</w:t>
            </w:r>
            <w:r w:rsidRPr="003920AA">
              <w:rPr>
                <w:rStyle w:val="FootnoteReference"/>
                <w:rFonts w:asciiTheme="minorHAnsi" w:hAnsiTheme="minorHAnsi"/>
              </w:rPr>
              <w:footnoteReference w:id="42"/>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2046012882"/>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203547907"/>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3</w:t>
            </w:r>
          </w:p>
        </w:tc>
      </w:tr>
      <w:tr w:rsidR="0031398D" w:rsidRPr="003920AA" w:rsidTr="006C6013">
        <w:trPr>
          <w:cantSplit/>
        </w:trPr>
        <w:tc>
          <w:tcPr>
            <w:tcW w:w="9540" w:type="dxa"/>
            <w:tcBorders>
              <w:bottom w:val="single" w:sz="4" w:space="0" w:color="auto"/>
              <w:right w:val="nil"/>
            </w:tcBorders>
            <w:shd w:val="clear" w:color="auto" w:fill="FABF8F"/>
          </w:tcPr>
          <w:p w:rsidR="0031398D" w:rsidRPr="003920AA" w:rsidRDefault="0031398D" w:rsidP="005F7663">
            <w:pPr>
              <w:pStyle w:val="tabletext"/>
              <w:spacing w:before="80" w:after="80"/>
              <w:rPr>
                <w:rFonts w:asciiTheme="minorHAnsi" w:hAnsiTheme="minorHAnsi"/>
                <w:b/>
                <w:i/>
              </w:rPr>
            </w:pPr>
            <w:r w:rsidRPr="003920AA">
              <w:rPr>
                <w:rFonts w:asciiTheme="minorHAnsi" w:hAnsiTheme="minorHAnsi"/>
                <w:b/>
                <w:i/>
              </w:rPr>
              <w:t>Investing in Efficient Public Infrastructure Through Programs and Services</w:t>
            </w:r>
          </w:p>
        </w:tc>
        <w:tc>
          <w:tcPr>
            <w:tcW w:w="1440" w:type="dxa"/>
            <w:tcBorders>
              <w:left w:val="nil"/>
              <w:bottom w:val="single" w:sz="4" w:space="0" w:color="auto"/>
              <w:right w:val="nil"/>
            </w:tcBorders>
            <w:shd w:val="clear" w:color="auto" w:fill="FABF8F"/>
          </w:tcPr>
          <w:p w:rsidR="0031398D" w:rsidRPr="003920AA" w:rsidRDefault="0031398D" w:rsidP="005F7663">
            <w:pPr>
              <w:pStyle w:val="tabletext"/>
              <w:spacing w:before="80" w:after="80"/>
              <w:jc w:val="center"/>
              <w:rPr>
                <w:rFonts w:asciiTheme="minorHAnsi" w:hAnsiTheme="minorHAnsi"/>
                <w:b/>
              </w:rPr>
            </w:pPr>
          </w:p>
        </w:tc>
        <w:tc>
          <w:tcPr>
            <w:tcW w:w="1440" w:type="dxa"/>
            <w:tcBorders>
              <w:left w:val="nil"/>
              <w:bottom w:val="single" w:sz="4" w:space="0" w:color="auto"/>
              <w:right w:val="nil"/>
            </w:tcBorders>
            <w:shd w:val="clear" w:color="auto" w:fill="FABF8F"/>
          </w:tcPr>
          <w:p w:rsidR="0031398D" w:rsidRPr="003920AA" w:rsidRDefault="0031398D" w:rsidP="005F7663">
            <w:pPr>
              <w:pStyle w:val="tabletext"/>
              <w:spacing w:before="80" w:after="80"/>
              <w:jc w:val="center"/>
              <w:rPr>
                <w:rFonts w:asciiTheme="minorHAnsi" w:hAnsiTheme="minorHAnsi"/>
                <w:b/>
              </w:rPr>
            </w:pPr>
          </w:p>
        </w:tc>
        <w:tc>
          <w:tcPr>
            <w:tcW w:w="1260" w:type="dxa"/>
            <w:tcBorders>
              <w:left w:val="nil"/>
              <w:bottom w:val="single" w:sz="4" w:space="0" w:color="auto"/>
            </w:tcBorders>
            <w:shd w:val="clear" w:color="auto" w:fill="FABF8F"/>
          </w:tcPr>
          <w:p w:rsidR="0031398D" w:rsidRPr="003920AA" w:rsidRDefault="0031398D" w:rsidP="005F7663">
            <w:pPr>
              <w:pStyle w:val="tabletext"/>
              <w:spacing w:before="80" w:after="80"/>
              <w:jc w:val="center"/>
              <w:rPr>
                <w:rFonts w:asciiTheme="minorHAnsi" w:hAnsiTheme="minorHAnsi"/>
                <w:b/>
              </w:rPr>
            </w:pPr>
          </w:p>
        </w:tc>
      </w:tr>
      <w:tr w:rsidR="0031398D" w:rsidRPr="003920AA" w:rsidTr="006C6013">
        <w:trPr>
          <w:cantSplit/>
        </w:trPr>
        <w:tc>
          <w:tcPr>
            <w:tcW w:w="95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rPr>
                <w:rFonts w:asciiTheme="minorHAnsi" w:hAnsiTheme="minorHAnsi"/>
                <w:b/>
              </w:rPr>
            </w:pPr>
            <w:r w:rsidRPr="003920AA">
              <w:rPr>
                <w:rFonts w:asciiTheme="minorHAnsi" w:hAnsiTheme="minorHAnsi"/>
                <w:b/>
              </w:rPr>
              <w:t>Are waste and wastewater management services or programs in place?</w:t>
            </w:r>
          </w:p>
        </w:tc>
        <w:tc>
          <w:tcPr>
            <w:tcW w:w="14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44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c>
          <w:tcPr>
            <w:tcW w:w="1260" w:type="dxa"/>
            <w:tcBorders>
              <w:bottom w:val="single" w:sz="4" w:space="0" w:color="auto"/>
            </w:tcBorders>
            <w:shd w:val="clear" w:color="auto" w:fill="D9D9D9" w:themeFill="background1" w:themeFillShade="D9"/>
          </w:tcPr>
          <w:p w:rsidR="0031398D" w:rsidRPr="003920AA" w:rsidRDefault="0031398D" w:rsidP="005F7663">
            <w:pPr>
              <w:pStyle w:val="tabletext"/>
              <w:spacing w:before="80" w:after="80"/>
              <w:jc w:val="center"/>
              <w:rPr>
                <w:rFonts w:asciiTheme="minorHAnsi" w:hAnsiTheme="minorHAnsi"/>
                <w:b/>
              </w:rPr>
            </w:pP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30: Establish a program to manage decentralized wastewater treatment systems.</w:t>
            </w:r>
            <w:r w:rsidRPr="003920AA">
              <w:rPr>
                <w:rStyle w:val="FootnoteReference"/>
                <w:rFonts w:asciiTheme="minorHAnsi" w:hAnsiTheme="minorHAnsi"/>
              </w:rPr>
              <w:footnoteReference w:id="43"/>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2066808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493333296"/>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3</w:t>
            </w:r>
          </w:p>
        </w:tc>
      </w:tr>
      <w:tr w:rsidR="006C6013" w:rsidRPr="003920AA" w:rsidTr="006C6013">
        <w:trPr>
          <w:cantSplit/>
        </w:trPr>
        <w:tc>
          <w:tcPr>
            <w:tcW w:w="9540" w:type="dxa"/>
            <w:tcBorders>
              <w:bottom w:val="single" w:sz="4" w:space="0" w:color="auto"/>
            </w:tcBorders>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31: The local government supports and promotes composting.</w:t>
            </w:r>
            <w:r w:rsidRPr="003920AA">
              <w:rPr>
                <w:rStyle w:val="FootnoteReference"/>
                <w:rFonts w:asciiTheme="minorHAnsi" w:hAnsiTheme="minorHAnsi"/>
              </w:rPr>
              <w:footnoteReference w:id="44"/>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897980347"/>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72859729"/>
            <w14:checkbox>
              <w14:checked w14:val="0"/>
              <w14:checkedState w14:val="2612" w14:font="MS Gothic"/>
              <w14:uncheckedState w14:val="2610" w14:font="MS Gothic"/>
            </w14:checkbox>
          </w:sdtPr>
          <w:sdtEndPr/>
          <w:sdtContent>
            <w:tc>
              <w:tcPr>
                <w:tcW w:w="144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Borders>
              <w:bottom w:val="single" w:sz="4" w:space="0" w:color="auto"/>
            </w:tcBorders>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shd w:val="clear" w:color="auto" w:fill="FFFFFF" w:themeFill="background1"/>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32: The local government establishes a recycling program.</w:t>
            </w:r>
            <w:r w:rsidRPr="003920AA">
              <w:rPr>
                <w:rStyle w:val="FootnoteReference"/>
                <w:rFonts w:asciiTheme="minorHAnsi" w:hAnsiTheme="minorHAnsi"/>
              </w:rPr>
              <w:footnoteReference w:id="45"/>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403830111"/>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437952935"/>
            <w14:checkbox>
              <w14:checked w14:val="0"/>
              <w14:checkedState w14:val="2612" w14:font="MS Gothic"/>
              <w14:uncheckedState w14:val="2610" w14:font="MS Gothic"/>
            </w14:checkbox>
          </w:sdtPr>
          <w:sdtEndPr/>
          <w:sdtContent>
            <w:tc>
              <w:tcPr>
                <w:tcW w:w="144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shd w:val="clear" w:color="auto" w:fill="FFFFFF" w:themeFill="background1"/>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33: The local government offers household hazardous waste collection for items such as electronics, batteries, and light bulbs.</w:t>
            </w:r>
            <w:r w:rsidRPr="003920AA">
              <w:rPr>
                <w:rStyle w:val="FootnoteReference"/>
                <w:rFonts w:asciiTheme="minorHAnsi" w:hAnsiTheme="minorHAnsi"/>
              </w:rPr>
              <w:footnoteReference w:id="46"/>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944104451"/>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229587182"/>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lastRenderedPageBreak/>
              <w:t>Strategy 34: A “pay-as-you-throw” waste management program encourages recycling and composting.</w:t>
            </w:r>
            <w:r w:rsidRPr="003920AA">
              <w:rPr>
                <w:rStyle w:val="FootnoteReference"/>
                <w:rFonts w:asciiTheme="minorHAnsi" w:hAnsiTheme="minorHAnsi"/>
              </w:rPr>
              <w:footnoteReference w:id="47"/>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674313707"/>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91755360"/>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r w:rsidR="006C6013" w:rsidRPr="003920AA" w:rsidTr="006C6013">
        <w:trPr>
          <w:cantSplit/>
        </w:trPr>
        <w:tc>
          <w:tcPr>
            <w:tcW w:w="9540" w:type="dxa"/>
          </w:tcPr>
          <w:p w:rsidR="006C6013" w:rsidRPr="003920AA" w:rsidRDefault="006C6013" w:rsidP="005F7663">
            <w:pPr>
              <w:pStyle w:val="tabletext"/>
              <w:spacing w:before="80" w:after="80"/>
              <w:rPr>
                <w:rFonts w:asciiTheme="minorHAnsi" w:hAnsiTheme="minorHAnsi"/>
              </w:rPr>
            </w:pPr>
            <w:r w:rsidRPr="003920AA">
              <w:rPr>
                <w:rFonts w:asciiTheme="minorHAnsi" w:hAnsiTheme="minorHAnsi"/>
              </w:rPr>
              <w:t>Strategy 35: Materials generated during construction, renovation, and demolition activities are salvaged, reused, and recycled.</w:t>
            </w:r>
            <w:r w:rsidRPr="003920AA">
              <w:rPr>
                <w:rStyle w:val="FootnoteReference"/>
                <w:rFonts w:asciiTheme="minorHAnsi" w:hAnsiTheme="minorHAnsi"/>
              </w:rPr>
              <w:footnoteReference w:id="48"/>
            </w:r>
            <w:r w:rsidR="005F7B4B" w:rsidRPr="003920AA">
              <w:rPr>
                <w:rFonts w:asciiTheme="minorHAnsi" w:hAnsiTheme="minorHAnsi"/>
              </w:rPr>
              <w:t xml:space="preserve">  </w:t>
            </w:r>
            <w:r w:rsidR="005F7B4B" w:rsidRPr="003920AA">
              <w:rPr>
                <w:rFonts w:asciiTheme="minorHAnsi" w:hAnsiTheme="minorHAnsi"/>
                <w:i/>
                <w:color w:val="FF0000"/>
              </w:rPr>
              <w:fldChar w:fldCharType="begin">
                <w:ffData>
                  <w:name w:val="Text1"/>
                  <w:enabled/>
                  <w:calcOnExit w:val="0"/>
                  <w:textInput/>
                </w:ffData>
              </w:fldChar>
            </w:r>
            <w:r w:rsidR="005F7B4B" w:rsidRPr="003920AA">
              <w:rPr>
                <w:rFonts w:asciiTheme="minorHAnsi" w:hAnsiTheme="minorHAnsi"/>
                <w:i/>
                <w:color w:val="FF0000"/>
              </w:rPr>
              <w:instrText xml:space="preserve"> FORMTEXT </w:instrText>
            </w:r>
            <w:r w:rsidR="005F7B4B" w:rsidRPr="003920AA">
              <w:rPr>
                <w:rFonts w:asciiTheme="minorHAnsi" w:hAnsiTheme="minorHAnsi"/>
                <w:i/>
                <w:color w:val="FF0000"/>
              </w:rPr>
            </w:r>
            <w:r w:rsidR="005F7B4B" w:rsidRPr="003920AA">
              <w:rPr>
                <w:rFonts w:asciiTheme="minorHAnsi" w:hAnsiTheme="minorHAnsi"/>
                <w:i/>
                <w:color w:val="FF0000"/>
              </w:rPr>
              <w:fldChar w:fldCharType="separate"/>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noProof/>
                <w:color w:val="FF0000"/>
              </w:rPr>
              <w:t> </w:t>
            </w:r>
            <w:r w:rsidR="005F7B4B" w:rsidRPr="003920AA">
              <w:rPr>
                <w:rFonts w:asciiTheme="minorHAnsi" w:hAnsiTheme="minorHAnsi"/>
                <w:i/>
                <w:color w:val="FF0000"/>
              </w:rPr>
              <w:fldChar w:fldCharType="end"/>
            </w:r>
          </w:p>
        </w:tc>
        <w:sdt>
          <w:sdtPr>
            <w:rPr>
              <w:rFonts w:asciiTheme="minorHAnsi" w:hAnsiTheme="minorHAnsi"/>
            </w:rPr>
            <w:id w:val="-1331441852"/>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sdt>
          <w:sdtPr>
            <w:rPr>
              <w:rFonts w:asciiTheme="minorHAnsi" w:hAnsiTheme="minorHAnsi"/>
            </w:rPr>
            <w:id w:val="-1140806708"/>
            <w14:checkbox>
              <w14:checked w14:val="0"/>
              <w14:checkedState w14:val="2612" w14:font="MS Gothic"/>
              <w14:uncheckedState w14:val="2610" w14:font="MS Gothic"/>
            </w14:checkbox>
          </w:sdtPr>
          <w:sdtEndPr/>
          <w:sdtContent>
            <w:tc>
              <w:tcPr>
                <w:tcW w:w="1440" w:type="dxa"/>
              </w:tcPr>
              <w:p w:rsidR="006C6013" w:rsidRPr="003920AA" w:rsidRDefault="006C6013" w:rsidP="005F7663">
                <w:pPr>
                  <w:pStyle w:val="tabletext"/>
                  <w:spacing w:before="80" w:after="80"/>
                  <w:jc w:val="center"/>
                  <w:rPr>
                    <w:rFonts w:asciiTheme="minorHAnsi" w:hAnsiTheme="minorHAnsi"/>
                  </w:rPr>
                </w:pPr>
                <w:r w:rsidRPr="003920AA">
                  <w:rPr>
                    <w:rFonts w:ascii="MS Gothic" w:eastAsia="MS Gothic" w:hAnsi="MS Gothic" w:cs="MS Gothic" w:hint="eastAsia"/>
                  </w:rPr>
                  <w:t>☐</w:t>
                </w:r>
              </w:p>
            </w:tc>
          </w:sdtContent>
        </w:sdt>
        <w:tc>
          <w:tcPr>
            <w:tcW w:w="1260" w:type="dxa"/>
          </w:tcPr>
          <w:p w:rsidR="006C6013" w:rsidRPr="003920AA" w:rsidRDefault="006C6013" w:rsidP="005F7663">
            <w:pPr>
              <w:pStyle w:val="tabletext"/>
              <w:spacing w:before="80" w:after="80"/>
              <w:jc w:val="center"/>
              <w:rPr>
                <w:rFonts w:asciiTheme="minorHAnsi" w:hAnsiTheme="minorHAnsi"/>
              </w:rPr>
            </w:pPr>
            <w:r w:rsidRPr="003920AA">
              <w:rPr>
                <w:rFonts w:asciiTheme="minorHAnsi" w:hAnsiTheme="minorHAnsi"/>
              </w:rPr>
              <w:t>1,2,3</w:t>
            </w:r>
          </w:p>
        </w:tc>
      </w:tr>
    </w:tbl>
    <w:p w:rsidR="00DC4273" w:rsidRPr="0031398D" w:rsidRDefault="00DC4273" w:rsidP="0031398D"/>
    <w:sectPr w:rsidR="00DC4273" w:rsidRPr="0031398D" w:rsidSect="005F7B4B">
      <w:headerReference w:type="default" r:id="rId8"/>
      <w:footerReference w:type="default" r:id="rId9"/>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02" w:rsidRDefault="00B40F02" w:rsidP="000364A3">
      <w:pPr>
        <w:spacing w:after="0" w:line="240" w:lineRule="auto"/>
      </w:pPr>
      <w:r>
        <w:separator/>
      </w:r>
    </w:p>
  </w:endnote>
  <w:endnote w:type="continuationSeparator" w:id="0">
    <w:p w:rsidR="00B40F02" w:rsidRDefault="00B40F02"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0364A3" w:rsidTr="00D6406A">
      <w:tc>
        <w:tcPr>
          <w:tcW w:w="4500" w:type="pct"/>
          <w:tcBorders>
            <w:top w:val="single" w:sz="4" w:space="0" w:color="000000" w:themeColor="text1"/>
          </w:tcBorders>
        </w:tcPr>
        <w:p w:rsidR="000364A3" w:rsidRPr="00724694" w:rsidRDefault="000364A3"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0364A3" w:rsidRPr="00724694" w:rsidRDefault="000364A3" w:rsidP="00D6406A">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EC679A">
            <w:rPr>
              <w:noProof/>
              <w:color w:val="FFFFFF" w:themeColor="background1"/>
              <w:sz w:val="18"/>
              <w:szCs w:val="18"/>
            </w:rPr>
            <w:t>6</w:t>
          </w:r>
          <w:r w:rsidRPr="00846C31">
            <w:rPr>
              <w:noProof/>
              <w:color w:val="FFFFFF" w:themeColor="background1"/>
              <w:sz w:val="18"/>
              <w:szCs w:val="18"/>
            </w:rPr>
            <w:fldChar w:fldCharType="end"/>
          </w:r>
        </w:p>
      </w:tc>
    </w:tr>
  </w:tbl>
  <w:p w:rsidR="000364A3" w:rsidRPr="00666A88" w:rsidRDefault="000364A3"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02" w:rsidRDefault="00B40F02" w:rsidP="000364A3">
      <w:pPr>
        <w:spacing w:after="0" w:line="240" w:lineRule="auto"/>
      </w:pPr>
      <w:r>
        <w:separator/>
      </w:r>
    </w:p>
  </w:footnote>
  <w:footnote w:type="continuationSeparator" w:id="0">
    <w:p w:rsidR="00B40F02" w:rsidRDefault="00B40F02" w:rsidP="000364A3">
      <w:pPr>
        <w:spacing w:after="0" w:line="240" w:lineRule="auto"/>
      </w:pPr>
      <w:r>
        <w:continuationSeparator/>
      </w:r>
    </w:p>
  </w:footnote>
  <w:footnote w:id="1">
    <w:p w:rsidR="0031398D" w:rsidRPr="009C63D2" w:rsidRDefault="0031398D" w:rsidP="0031398D">
      <w:pPr>
        <w:pStyle w:val="FootnoteText"/>
        <w:contextualSpacing/>
        <w:rPr>
          <w:sz w:val="16"/>
        </w:rPr>
      </w:pPr>
      <w:r w:rsidRPr="009C63D2">
        <w:rPr>
          <w:rStyle w:val="FootnoteReference"/>
          <w:sz w:val="16"/>
        </w:rPr>
        <w:footnoteRef/>
      </w:r>
      <w:r w:rsidRPr="009C63D2">
        <w:rPr>
          <w:sz w:val="16"/>
        </w:rPr>
        <w:t xml:space="preserve"> 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31398D" w:rsidRPr="009C63D2" w:rsidRDefault="0031398D" w:rsidP="0031398D">
      <w:pPr>
        <w:pStyle w:val="FootnoteText"/>
        <w:contextualSpacing/>
        <w:rPr>
          <w:sz w:val="16"/>
        </w:rPr>
      </w:pPr>
      <w:r w:rsidRPr="009C63D2">
        <w:rPr>
          <w:rStyle w:val="FootnoteReference"/>
          <w:sz w:val="16"/>
        </w:rPr>
        <w:footnoteRef/>
      </w:r>
      <w:r w:rsidRPr="009C63D2">
        <w:rPr>
          <w:sz w:val="16"/>
        </w:rPr>
        <w:t xml:space="preserve"> Cluster development creates efficiencies in the initial capital cost of infrastructure and the long-term maintenance costs as well.</w:t>
      </w:r>
    </w:p>
  </w:footnote>
  <w:footnote w:id="3">
    <w:p w:rsidR="0031398D" w:rsidRPr="009C63D2" w:rsidRDefault="0031398D" w:rsidP="0031398D">
      <w:pPr>
        <w:pStyle w:val="FootnoteText"/>
        <w:contextualSpacing/>
        <w:rPr>
          <w:sz w:val="16"/>
        </w:rPr>
      </w:pPr>
      <w:r w:rsidRPr="009C63D2">
        <w:rPr>
          <w:rStyle w:val="FootnoteReference"/>
          <w:sz w:val="16"/>
        </w:rPr>
        <w:footnoteRef/>
      </w:r>
      <w:r w:rsidRPr="009C63D2">
        <w:rPr>
          <w:sz w:val="16"/>
        </w:rPr>
        <w:t xml:space="preserve"> Elmore County, I</w:t>
      </w:r>
      <w:r>
        <w:rPr>
          <w:sz w:val="16"/>
        </w:rPr>
        <w:t>daho</w:t>
      </w:r>
      <w:r w:rsidRPr="009C63D2">
        <w:rPr>
          <w:sz w:val="16"/>
        </w:rPr>
        <w:t>: Zoning and Development Ordinance: Cluster Subdivision Requirements and Regulations (</w:t>
      </w:r>
      <w:hyperlink r:id="rId1" w:history="1">
        <w:r w:rsidRPr="009C63D2">
          <w:rPr>
            <w:rStyle w:val="Hyperlink"/>
            <w:sz w:val="16"/>
          </w:rPr>
          <w:t>http://www.elmorecounty.org/Land%20Use/Z&amp;DOrdinance.html</w:t>
        </w:r>
      </w:hyperlink>
      <w:r w:rsidRPr="009C63D2">
        <w:rPr>
          <w:sz w:val="16"/>
        </w:rPr>
        <w:t>).</w:t>
      </w:r>
    </w:p>
  </w:footnote>
  <w:footnote w:id="4">
    <w:p w:rsidR="0031398D" w:rsidRPr="009C63D2" w:rsidRDefault="0031398D" w:rsidP="0031398D">
      <w:pPr>
        <w:pStyle w:val="FootnoteText"/>
        <w:contextualSpacing/>
        <w:rPr>
          <w:sz w:val="16"/>
        </w:rPr>
      </w:pPr>
      <w:r w:rsidRPr="009C63D2">
        <w:rPr>
          <w:rStyle w:val="FootnoteReference"/>
          <w:sz w:val="16"/>
        </w:rPr>
        <w:footnoteRef/>
      </w:r>
      <w:r w:rsidRPr="009C63D2">
        <w:rPr>
          <w:sz w:val="16"/>
        </w:rPr>
        <w:t xml:space="preserve"> Newton, N</w:t>
      </w:r>
      <w:r>
        <w:rPr>
          <w:sz w:val="16"/>
        </w:rPr>
        <w:t>ew Hampshire</w:t>
      </w:r>
      <w:r w:rsidRPr="009C63D2">
        <w:rPr>
          <w:sz w:val="16"/>
        </w:rPr>
        <w:t>: Zoning Ordinance: Residential Open Space – Cluster Development (</w:t>
      </w:r>
      <w:hyperlink r:id="rId2" w:history="1">
        <w:r w:rsidRPr="009C63D2">
          <w:rPr>
            <w:rStyle w:val="Hyperlink"/>
            <w:sz w:val="16"/>
          </w:rPr>
          <w:t>http://www.newton-nh.gov/Pages/NewtonNH_Planning/zoning/Archives/2011ZoningOrdinance/index</w:t>
        </w:r>
      </w:hyperlink>
      <w:r w:rsidRPr="009C63D2">
        <w:rPr>
          <w:sz w:val="16"/>
        </w:rPr>
        <w:t>).</w:t>
      </w:r>
    </w:p>
  </w:footnote>
  <w:footnote w:id="5">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Southeastern Wisconsin Regional Planning Commission. </w:t>
      </w:r>
      <w:r w:rsidRPr="009C63D2">
        <w:rPr>
          <w:sz w:val="16"/>
        </w:rPr>
        <w:t>Model Zoning Ordinance for Rural Cluster Development (</w:t>
      </w:r>
      <w:hyperlink r:id="rId3" w:history="1">
        <w:r w:rsidRPr="009C63D2">
          <w:rPr>
            <w:rStyle w:val="Hyperlink"/>
            <w:sz w:val="16"/>
          </w:rPr>
          <w:t>http://www.sewrpc.org/SEWRPC/communityassistance/ModelOrdinancesGuides.htm</w:t>
        </w:r>
      </w:hyperlink>
      <w:r w:rsidRPr="009C63D2">
        <w:rPr>
          <w:sz w:val="16"/>
        </w:rPr>
        <w:t>).</w:t>
      </w:r>
    </w:p>
  </w:footnote>
  <w:footnote w:id="6">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Conservation Subdivision </w:t>
      </w:r>
      <w:r>
        <w:rPr>
          <w:sz w:val="16"/>
        </w:rPr>
        <w:t xml:space="preserve">Design </w:t>
      </w:r>
      <w:r w:rsidRPr="009C63D2">
        <w:rPr>
          <w:sz w:val="16"/>
        </w:rPr>
        <w:t>Handbook (</w:t>
      </w:r>
      <w:hyperlink r:id="rId4" w:history="1">
        <w:r w:rsidRPr="009C63D2">
          <w:rPr>
            <w:rStyle w:val="Hyperlink"/>
            <w:sz w:val="16"/>
          </w:rPr>
          <w:t>http://conservationtools.org/libraries/1/library_items/349-Conservation-Subdivision-Design-Handbook</w:t>
        </w:r>
      </w:hyperlink>
      <w:r w:rsidRPr="009C63D2">
        <w:rPr>
          <w:sz w:val="16"/>
        </w:rPr>
        <w:t xml:space="preserve">). </w:t>
      </w:r>
    </w:p>
  </w:footnote>
  <w:footnote w:id="7">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EPA has case studies about how some communities in the United States are managing wastewater, including clustered wastewater treatment units </w:t>
      </w:r>
      <w:r>
        <w:rPr>
          <w:sz w:val="16"/>
        </w:rPr>
        <w:t>(</w:t>
      </w:r>
      <w:hyperlink r:id="rId5" w:history="1">
        <w:r w:rsidRPr="009C63D2">
          <w:rPr>
            <w:rStyle w:val="Hyperlink"/>
            <w:sz w:val="16"/>
          </w:rPr>
          <w:t>http://water.epa.gov/infrastructure/septic/demos.cfm</w:t>
        </w:r>
      </w:hyperlink>
      <w:r w:rsidRPr="004F661D">
        <w:rPr>
          <w:rStyle w:val="Hyperlink"/>
          <w:sz w:val="16"/>
        </w:rPr>
        <w:t>)</w:t>
      </w:r>
      <w:r w:rsidRPr="009C63D2">
        <w:rPr>
          <w:sz w:val="16"/>
        </w:rPr>
        <w:t xml:space="preserve">. </w:t>
      </w:r>
    </w:p>
  </w:footnote>
  <w:footnote w:id="8">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California Resources for Sustainability. Truckee Meadows Regional Planning Agency: </w:t>
      </w:r>
      <w:r w:rsidRPr="009C63D2">
        <w:rPr>
          <w:sz w:val="16"/>
        </w:rPr>
        <w:t>Infill Development</w:t>
      </w:r>
      <w:r>
        <w:rPr>
          <w:sz w:val="16"/>
        </w:rPr>
        <w:t xml:space="preserve"> -</w:t>
      </w:r>
      <w:r w:rsidRPr="009C63D2">
        <w:rPr>
          <w:sz w:val="16"/>
        </w:rPr>
        <w:t xml:space="preserve"> Barriers and Incentives (</w:t>
      </w:r>
      <w:hyperlink r:id="rId6" w:history="1">
        <w:r w:rsidRPr="009C63D2">
          <w:rPr>
            <w:rStyle w:val="Hyperlink"/>
            <w:sz w:val="16"/>
          </w:rPr>
          <w:t>http://cares.ucdavis.edu/resource/truckee-meadows-regional-planning-agency-infill-development-barriers-and-incentives</w:t>
        </w:r>
      </w:hyperlink>
      <w:r w:rsidRPr="009C63D2">
        <w:rPr>
          <w:sz w:val="16"/>
        </w:rPr>
        <w:t>).</w:t>
      </w:r>
    </w:p>
  </w:footnote>
  <w:footnote w:id="9">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Tulsa Development Authority. </w:t>
      </w:r>
      <w:r w:rsidRPr="009C63D2">
        <w:rPr>
          <w:sz w:val="16"/>
        </w:rPr>
        <w:t>Examples of Infill Development Incentives and Projects (</w:t>
      </w:r>
      <w:hyperlink r:id="rId7" w:history="1">
        <w:r w:rsidRPr="009C63D2">
          <w:rPr>
            <w:rStyle w:val="Hyperlink"/>
            <w:sz w:val="16"/>
          </w:rPr>
          <w:t>http://www.tulsadevelopmentauthority.org/plans_brady_infill.html</w:t>
        </w:r>
      </w:hyperlink>
      <w:r w:rsidRPr="009C63D2">
        <w:rPr>
          <w:sz w:val="16"/>
        </w:rPr>
        <w:t>).</w:t>
      </w:r>
    </w:p>
  </w:footnote>
  <w:footnote w:id="10">
    <w:p w:rsidR="0031398D" w:rsidRPr="009C63D2" w:rsidRDefault="0031398D" w:rsidP="0031398D">
      <w:pPr>
        <w:pStyle w:val="FootnoteText"/>
        <w:contextualSpacing/>
        <w:rPr>
          <w:sz w:val="16"/>
        </w:rPr>
      </w:pPr>
      <w:r w:rsidRPr="009C63D2">
        <w:rPr>
          <w:rStyle w:val="FootnoteReference"/>
          <w:sz w:val="16"/>
        </w:rPr>
        <w:footnoteRef/>
      </w:r>
      <w:r w:rsidRPr="009C63D2">
        <w:rPr>
          <w:sz w:val="16"/>
        </w:rPr>
        <w:t xml:space="preserve"> EPA’s “Water Quality Scorecard” is a good resource for policy options for protecting and improving water quality. </w:t>
      </w:r>
    </w:p>
  </w:footnote>
  <w:footnote w:id="11">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Nashua, M</w:t>
      </w:r>
      <w:r>
        <w:rPr>
          <w:sz w:val="16"/>
        </w:rPr>
        <w:t>assachusetts</w:t>
      </w:r>
      <w:r w:rsidRPr="009C63D2">
        <w:rPr>
          <w:sz w:val="16"/>
        </w:rPr>
        <w:t xml:space="preserve">: Maximum Impervious Surface Zoning </w:t>
      </w:r>
      <w:r>
        <w:rPr>
          <w:sz w:val="16"/>
        </w:rPr>
        <w:t>(</w:t>
      </w:r>
      <w:hyperlink r:id="rId8" w:history="1">
        <w:r w:rsidRPr="009C63D2">
          <w:rPr>
            <w:rStyle w:val="Hyperlink"/>
            <w:sz w:val="16"/>
          </w:rPr>
          <w:t>http://www.nashuariverwatershed.org/what-we-do/protect-communities/lid-and-stormwater.html</w:t>
        </w:r>
      </w:hyperlink>
      <w:r w:rsidRPr="009C63D2">
        <w:rPr>
          <w:sz w:val="16"/>
        </w:rPr>
        <w:t xml:space="preserve">). </w:t>
      </w:r>
    </w:p>
  </w:footnote>
  <w:footnote w:id="12">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Olympia, W</w:t>
      </w:r>
      <w:r>
        <w:rPr>
          <w:sz w:val="16"/>
        </w:rPr>
        <w:t>ashington</w:t>
      </w:r>
      <w:r w:rsidRPr="009C63D2">
        <w:rPr>
          <w:sz w:val="16"/>
        </w:rPr>
        <w:t xml:space="preserve"> has used pervious pavement in several municipal projects. Cost/benefits associated with using pervious pavement can be found at: (</w:t>
      </w:r>
      <w:hyperlink r:id="rId9" w:history="1">
        <w:r w:rsidRPr="009C63D2">
          <w:rPr>
            <w:rStyle w:val="Hyperlink"/>
            <w:sz w:val="16"/>
          </w:rPr>
          <w:t>http://olympiawa.gov/city-utilities/storm-and-surface-water/science-and-innovations/science-and-innovations-porous-pavement</w:t>
        </w:r>
      </w:hyperlink>
      <w:r w:rsidRPr="009C63D2">
        <w:rPr>
          <w:sz w:val="16"/>
        </w:rPr>
        <w:t xml:space="preserve">). </w:t>
      </w:r>
    </w:p>
  </w:footnote>
  <w:footnote w:id="13">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Burlington, V</w:t>
      </w:r>
      <w:r>
        <w:rPr>
          <w:sz w:val="16"/>
        </w:rPr>
        <w:t>ermont</w:t>
      </w:r>
      <w:r w:rsidRPr="009C63D2">
        <w:rPr>
          <w:sz w:val="16"/>
        </w:rPr>
        <w:t>: Low Impact Development (LID) Amendment to CDO provides incentives for pervious paving (</w:t>
      </w:r>
      <w:hyperlink r:id="rId10" w:history="1">
        <w:r w:rsidRPr="009C63D2">
          <w:rPr>
            <w:rStyle w:val="Hyperlink"/>
            <w:sz w:val="16"/>
          </w:rPr>
          <w:t>http://www.burlingtonvt.gov/PZ/CDO</w:t>
        </w:r>
      </w:hyperlink>
      <w:r w:rsidRPr="009C63D2">
        <w:rPr>
          <w:sz w:val="16"/>
        </w:rPr>
        <w:t>).</w:t>
      </w:r>
    </w:p>
  </w:footnote>
  <w:footnote w:id="14">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EPA case studies on green infrastructure has been planning, design, and construction (</w:t>
      </w:r>
      <w:hyperlink r:id="rId11" w:history="1">
        <w:r>
          <w:rPr>
            <w:rStyle w:val="Hyperlink"/>
            <w:sz w:val="16"/>
          </w:rPr>
          <w:t>http://water.epa.gov/infrastructure/greeninfrastructure/</w:t>
        </w:r>
      </w:hyperlink>
      <w:r w:rsidRPr="009C63D2">
        <w:rPr>
          <w:sz w:val="16"/>
        </w:rPr>
        <w:t xml:space="preserve">). </w:t>
      </w:r>
    </w:p>
  </w:footnote>
  <w:footnote w:id="15">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EPA. </w:t>
      </w:r>
      <w:r w:rsidRPr="009C63D2">
        <w:rPr>
          <w:sz w:val="16"/>
        </w:rPr>
        <w:t xml:space="preserve">Managing Wet Weather with Green Infrastructure: </w:t>
      </w:r>
      <w:r>
        <w:rPr>
          <w:sz w:val="16"/>
        </w:rPr>
        <w:t xml:space="preserve">Municipal </w:t>
      </w:r>
      <w:r w:rsidRPr="009C63D2">
        <w:rPr>
          <w:sz w:val="16"/>
        </w:rPr>
        <w:t>Handbook</w:t>
      </w:r>
      <w:r>
        <w:rPr>
          <w:sz w:val="16"/>
        </w:rPr>
        <w:t xml:space="preserve"> and</w:t>
      </w:r>
      <w:r w:rsidRPr="009C63D2">
        <w:rPr>
          <w:sz w:val="16"/>
        </w:rPr>
        <w:t xml:space="preserve"> Incentive</w:t>
      </w:r>
      <w:r>
        <w:rPr>
          <w:sz w:val="16"/>
        </w:rPr>
        <w:t xml:space="preserve"> Mechanisms</w:t>
      </w:r>
      <w:r w:rsidRPr="009C63D2">
        <w:rPr>
          <w:sz w:val="16"/>
        </w:rPr>
        <w:t xml:space="preserve"> (</w:t>
      </w:r>
      <w:hyperlink r:id="rId12" w:anchor="tabs-3" w:history="1">
        <w:r w:rsidRPr="009C63D2">
          <w:rPr>
            <w:rStyle w:val="Hyperlink"/>
            <w:sz w:val="16"/>
          </w:rPr>
          <w:t>http://water.epa.gov/infrastructure/greeninfrastructure/index.cfm#tabs-3</w:t>
        </w:r>
      </w:hyperlink>
      <w:r w:rsidRPr="009C63D2">
        <w:rPr>
          <w:sz w:val="16"/>
        </w:rPr>
        <w:t>).</w:t>
      </w:r>
    </w:p>
  </w:footnote>
  <w:footnote w:id="16">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Minneapolis, M</w:t>
      </w:r>
      <w:r>
        <w:rPr>
          <w:sz w:val="16"/>
        </w:rPr>
        <w:t>innesota</w:t>
      </w:r>
      <w:r w:rsidRPr="009C63D2">
        <w:rPr>
          <w:sz w:val="16"/>
        </w:rPr>
        <w:t>: Code of Ordinances: Off-Street Parking and Loading (</w:t>
      </w:r>
      <w:hyperlink r:id="rId13" w:history="1">
        <w:r w:rsidRPr="009C63D2">
          <w:rPr>
            <w:rStyle w:val="Hyperlink"/>
            <w:sz w:val="16"/>
          </w:rPr>
          <w:t>http://www.ci.minneapolis.mn.us/cped/projects/cped_parking</w:t>
        </w:r>
      </w:hyperlink>
      <w:r w:rsidRPr="009C63D2">
        <w:rPr>
          <w:sz w:val="16"/>
        </w:rPr>
        <w:t xml:space="preserve">). </w:t>
      </w:r>
    </w:p>
  </w:footnote>
  <w:footnote w:id="17">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Bolton, M</w:t>
      </w:r>
      <w:r>
        <w:rPr>
          <w:sz w:val="16"/>
        </w:rPr>
        <w:t>assachusetts</w:t>
      </w:r>
      <w:r w:rsidRPr="009C63D2">
        <w:rPr>
          <w:sz w:val="16"/>
        </w:rPr>
        <w:t>: Rules and Regulations for Single and Shared Driveways (</w:t>
      </w:r>
      <w:hyperlink r:id="rId14" w:history="1">
        <w:r w:rsidRPr="009C63D2">
          <w:rPr>
            <w:rStyle w:val="Hyperlink"/>
            <w:sz w:val="16"/>
          </w:rPr>
          <w:t>http://www.townofbolton.com/pages/BoltonMA_Planning/Rules%20and%20Regulations?textPage=1</w:t>
        </w:r>
      </w:hyperlink>
      <w:r w:rsidRPr="009C63D2">
        <w:rPr>
          <w:sz w:val="16"/>
        </w:rPr>
        <w:t>).</w:t>
      </w:r>
    </w:p>
  </w:footnote>
  <w:footnote w:id="18">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City of Madison, M</w:t>
      </w:r>
      <w:r>
        <w:rPr>
          <w:sz w:val="16"/>
        </w:rPr>
        <w:t>ississippi</w:t>
      </w:r>
      <w:r w:rsidRPr="009C63D2">
        <w:rPr>
          <w:sz w:val="16"/>
        </w:rPr>
        <w:t xml:space="preserve">: </w:t>
      </w:r>
      <w:r>
        <w:rPr>
          <w:sz w:val="16"/>
        </w:rPr>
        <w:t>Shared Parking Ordinance</w:t>
      </w:r>
      <w:r w:rsidRPr="009C63D2">
        <w:rPr>
          <w:sz w:val="16"/>
        </w:rPr>
        <w:t xml:space="preserve"> </w:t>
      </w:r>
      <w:r w:rsidRPr="009C63D2">
        <w:rPr>
          <w:sz w:val="16"/>
          <w:szCs w:val="16"/>
        </w:rPr>
        <w:t>(</w:t>
      </w:r>
      <w:hyperlink r:id="rId15" w:history="1">
        <w:r w:rsidRPr="009C63D2">
          <w:rPr>
            <w:rStyle w:val="Hyperlink"/>
            <w:sz w:val="16"/>
          </w:rPr>
          <w:t>http://www.madisonthecity.com/communitydevelopment/planninganddevelopment.html</w:t>
        </w:r>
      </w:hyperlink>
      <w:hyperlink r:id="rId16" w:history="1"/>
      <w:r w:rsidRPr="009C63D2">
        <w:rPr>
          <w:sz w:val="16"/>
        </w:rPr>
        <w:t>).</w:t>
      </w:r>
    </w:p>
  </w:footnote>
  <w:footnote w:id="19">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Metropolitan Area Planning Council. </w:t>
      </w:r>
      <w:r w:rsidRPr="009C63D2">
        <w:rPr>
          <w:sz w:val="16"/>
        </w:rPr>
        <w:t>Shared Parking (</w:t>
      </w:r>
      <w:hyperlink r:id="rId17" w:history="1">
        <w:r w:rsidRPr="009C63D2">
          <w:rPr>
            <w:rStyle w:val="Hyperlink"/>
            <w:sz w:val="16"/>
          </w:rPr>
          <w:t>http://www.mapc.org/resources/parking-toolkit/strategies-topic/shared-parking</w:t>
        </w:r>
      </w:hyperlink>
      <w:r w:rsidRPr="009C63D2">
        <w:rPr>
          <w:sz w:val="16"/>
        </w:rPr>
        <w:t>).</w:t>
      </w:r>
    </w:p>
  </w:footnote>
  <w:footnote w:id="20">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Evanston, I</w:t>
      </w:r>
      <w:r>
        <w:rPr>
          <w:sz w:val="16"/>
        </w:rPr>
        <w:t>llinois</w:t>
      </w:r>
      <w:r w:rsidRPr="009C63D2">
        <w:rPr>
          <w:sz w:val="16"/>
        </w:rPr>
        <w:t xml:space="preserve">: Driveway </w:t>
      </w:r>
      <w:r>
        <w:rPr>
          <w:sz w:val="16"/>
        </w:rPr>
        <w:t>Policies</w:t>
      </w:r>
      <w:r w:rsidRPr="009C63D2">
        <w:rPr>
          <w:sz w:val="16"/>
        </w:rPr>
        <w:t xml:space="preserve"> (</w:t>
      </w:r>
      <w:hyperlink r:id="rId18" w:history="1">
        <w:r w:rsidRPr="009C63D2">
          <w:rPr>
            <w:rStyle w:val="Hyperlink"/>
            <w:sz w:val="16"/>
          </w:rPr>
          <w:t>http://cityofevanston.org/public-works/transportation-engineering/policies/</w:t>
        </w:r>
      </w:hyperlink>
      <w:r w:rsidRPr="009C63D2">
        <w:rPr>
          <w:sz w:val="16"/>
        </w:rPr>
        <w:t>).</w:t>
      </w:r>
    </w:p>
  </w:footnote>
  <w:footnote w:id="21">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Virginia Tech’s Tree Ordinance Database includes sample code language from cities and towns around Virginia, including language on desirable species: </w:t>
      </w:r>
      <w:r w:rsidRPr="009C63D2">
        <w:t xml:space="preserve"> </w:t>
      </w:r>
      <w:r w:rsidRPr="009C63D2">
        <w:rPr>
          <w:sz w:val="16"/>
        </w:rPr>
        <w:t>(</w:t>
      </w:r>
      <w:hyperlink r:id="rId19" w:history="1">
        <w:r w:rsidRPr="009C63D2">
          <w:rPr>
            <w:rStyle w:val="Hyperlink"/>
            <w:sz w:val="16"/>
          </w:rPr>
          <w:t>http://www.web2.cnre.vt.edu/vtod/</w:t>
        </w:r>
      </w:hyperlink>
      <w:r w:rsidRPr="009C63D2">
        <w:rPr>
          <w:sz w:val="16"/>
        </w:rPr>
        <w:t xml:space="preserve">). </w:t>
      </w:r>
    </w:p>
  </w:footnote>
  <w:footnote w:id="22">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Glenview, I</w:t>
      </w:r>
      <w:r>
        <w:rPr>
          <w:sz w:val="16"/>
        </w:rPr>
        <w:t>llionis</w:t>
      </w:r>
      <w:r w:rsidRPr="009C63D2">
        <w:rPr>
          <w:sz w:val="16"/>
        </w:rPr>
        <w:t>: Parking Lot Landscaping Ordinance &amp; Design Guidelines (</w:t>
      </w:r>
      <w:hyperlink r:id="rId20" w:history="1">
        <w:r w:rsidRPr="009C63D2">
          <w:rPr>
            <w:rStyle w:val="Hyperlink"/>
            <w:sz w:val="16"/>
          </w:rPr>
          <w:t>http://glenview.il.us/government/Pages/OrdinancesCodes.aspx</w:t>
        </w:r>
      </w:hyperlink>
      <w:hyperlink r:id="rId21" w:history="1"/>
      <w:r w:rsidRPr="009C63D2">
        <w:rPr>
          <w:sz w:val="16"/>
        </w:rPr>
        <w:t>).</w:t>
      </w:r>
    </w:p>
  </w:footnote>
  <w:footnote w:id="23">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Virginia Department of Forestry</w:t>
      </w:r>
      <w:r>
        <w:rPr>
          <w:sz w:val="16"/>
        </w:rPr>
        <w:t>: Rain Gardens overview</w:t>
      </w:r>
      <w:r w:rsidRPr="009C63D2">
        <w:rPr>
          <w:sz w:val="16"/>
        </w:rPr>
        <w:t xml:space="preserve"> (</w:t>
      </w:r>
      <w:hyperlink r:id="rId22" w:history="1">
        <w:r>
          <w:rPr>
            <w:rStyle w:val="Hyperlink"/>
            <w:sz w:val="16"/>
          </w:rPr>
          <w:t>http://www.dof.virginia.gov/manage/riparian/rain-gardens.htm</w:t>
        </w:r>
      </w:hyperlink>
      <w:r w:rsidRPr="009A6991">
        <w:rPr>
          <w:sz w:val="16"/>
        </w:rPr>
        <w:t>).</w:t>
      </w:r>
      <w:r w:rsidRPr="009C63D2">
        <w:rPr>
          <w:sz w:val="16"/>
        </w:rPr>
        <w:t xml:space="preserve"> </w:t>
      </w:r>
    </w:p>
  </w:footnote>
  <w:footnote w:id="24">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Plant Connection, Inc. </w:t>
      </w:r>
      <w:r w:rsidRPr="009C63D2">
        <w:rPr>
          <w:sz w:val="16"/>
        </w:rPr>
        <w:t>Green Roof Legislation, Policies, and Tax Incentives (</w:t>
      </w:r>
      <w:hyperlink r:id="rId23" w:history="1">
        <w:r w:rsidRPr="009C63D2">
          <w:rPr>
            <w:rStyle w:val="Hyperlink"/>
            <w:sz w:val="16"/>
          </w:rPr>
          <w:t>http://www.myplantconnection.com/green-roofs-legislation.php</w:t>
        </w:r>
      </w:hyperlink>
      <w:r w:rsidRPr="009C63D2">
        <w:rPr>
          <w:sz w:val="16"/>
        </w:rPr>
        <w:t>).</w:t>
      </w:r>
    </w:p>
  </w:footnote>
  <w:footnote w:id="25">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Portland, O</w:t>
      </w:r>
      <w:r>
        <w:rPr>
          <w:sz w:val="16"/>
        </w:rPr>
        <w:t>regon</w:t>
      </w:r>
      <w:r w:rsidRPr="009C63D2">
        <w:rPr>
          <w:sz w:val="16"/>
        </w:rPr>
        <w:t>: Eco</w:t>
      </w:r>
      <w:r>
        <w:rPr>
          <w:sz w:val="16"/>
        </w:rPr>
        <w:t>r</w:t>
      </w:r>
      <w:r w:rsidRPr="009C63D2">
        <w:rPr>
          <w:sz w:val="16"/>
        </w:rPr>
        <w:t>oof Incentive Program (</w:t>
      </w:r>
      <w:hyperlink r:id="rId24" w:history="1">
        <w:r w:rsidRPr="009C63D2">
          <w:rPr>
            <w:rStyle w:val="Hyperlink"/>
            <w:sz w:val="16"/>
          </w:rPr>
          <w:t>http://www.portlandoregon.gov/bes/48724</w:t>
        </w:r>
      </w:hyperlink>
      <w:r w:rsidRPr="009C63D2">
        <w:rPr>
          <w:sz w:val="16"/>
        </w:rPr>
        <w:t>).</w:t>
      </w:r>
    </w:p>
  </w:footnote>
  <w:footnote w:id="26">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Crystal Lake, I</w:t>
      </w:r>
      <w:r>
        <w:rPr>
          <w:sz w:val="16"/>
        </w:rPr>
        <w:t>llinois</w:t>
      </w:r>
      <w:r w:rsidRPr="009C63D2">
        <w:rPr>
          <w:sz w:val="16"/>
        </w:rPr>
        <w:t>: ordinances include rain barrels. The small city also has a rain barrel incentive program that provides a water/sewer utility credit for residents who purchase rain barrels (</w:t>
      </w:r>
      <w:hyperlink r:id="rId25" w:history="1">
        <w:r>
          <w:rPr>
            <w:rStyle w:val="Hyperlink"/>
            <w:sz w:val="16"/>
          </w:rPr>
          <w:t>http://www.crystallake.org/departments/engineering/green-initiatives</w:t>
        </w:r>
      </w:hyperlink>
      <w:r w:rsidRPr="009C63D2">
        <w:rPr>
          <w:sz w:val="16"/>
        </w:rPr>
        <w:t xml:space="preserve">). </w:t>
      </w:r>
    </w:p>
  </w:footnote>
  <w:footnote w:id="27">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City of Orange, C</w:t>
      </w:r>
      <w:r>
        <w:rPr>
          <w:sz w:val="16"/>
        </w:rPr>
        <w:t>alifornia</w:t>
      </w:r>
      <w:r w:rsidRPr="009C63D2">
        <w:rPr>
          <w:sz w:val="16"/>
        </w:rPr>
        <w:t>: Master Street Tree Plan (</w:t>
      </w:r>
      <w:hyperlink r:id="rId26" w:history="1">
        <w:r w:rsidRPr="009C63D2">
          <w:rPr>
            <w:rStyle w:val="Hyperlink"/>
            <w:sz w:val="16"/>
          </w:rPr>
          <w:t>http://www.cityoforange.org/civicax/filebank/blobdload.aspx?blobid=3500</w:t>
        </w:r>
      </w:hyperlink>
      <w:r w:rsidRPr="009C63D2">
        <w:rPr>
          <w:sz w:val="16"/>
        </w:rPr>
        <w:t>).</w:t>
      </w:r>
    </w:p>
  </w:footnote>
  <w:footnote w:id="28">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Seattle, W</w:t>
      </w:r>
      <w:r>
        <w:rPr>
          <w:sz w:val="16"/>
        </w:rPr>
        <w:t>ashington</w:t>
      </w:r>
      <w:r w:rsidRPr="009C63D2">
        <w:rPr>
          <w:sz w:val="16"/>
        </w:rPr>
        <w:t>: Street Trees and Landscape Architectural Standards (</w:t>
      </w:r>
      <w:hyperlink r:id="rId27" w:history="1">
        <w:r w:rsidRPr="009C63D2">
          <w:rPr>
            <w:rStyle w:val="Hyperlink"/>
            <w:sz w:val="16"/>
          </w:rPr>
          <w:t>http://www.seattle.gov/transportation/rowmanual/manual/4_14.asp</w:t>
        </w:r>
      </w:hyperlink>
      <w:r w:rsidRPr="009C63D2">
        <w:rPr>
          <w:sz w:val="16"/>
        </w:rPr>
        <w:t>).</w:t>
      </w:r>
    </w:p>
  </w:footnote>
  <w:footnote w:id="29">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Burlington, V</w:t>
      </w:r>
      <w:r>
        <w:rPr>
          <w:sz w:val="16"/>
        </w:rPr>
        <w:t>ermont</w:t>
      </w:r>
      <w:r w:rsidRPr="009C63D2">
        <w:rPr>
          <w:sz w:val="16"/>
        </w:rPr>
        <w:t>: Street Design Guidelines (</w:t>
      </w:r>
      <w:hyperlink r:id="rId28" w:history="1">
        <w:r w:rsidRPr="009C63D2">
          <w:rPr>
            <w:rStyle w:val="Hyperlink"/>
            <w:sz w:val="16"/>
          </w:rPr>
          <w:t>http://www.burlingtonvt.gov/DPW/Transportation-Plan</w:t>
        </w:r>
      </w:hyperlink>
      <w:r w:rsidRPr="009C63D2">
        <w:rPr>
          <w:sz w:val="16"/>
        </w:rPr>
        <w:t>).</w:t>
      </w:r>
    </w:p>
  </w:footnote>
  <w:footnote w:id="30">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EPA. </w:t>
      </w:r>
      <w:r w:rsidRPr="009C63D2">
        <w:rPr>
          <w:sz w:val="16"/>
        </w:rPr>
        <w:t>Green Infrastructure Case Studies: Municipal Policies for Managing Stormwater with Green Infrastructure (</w:t>
      </w:r>
      <w:hyperlink r:id="rId29" w:history="1">
        <w:r w:rsidRPr="009C63D2">
          <w:rPr>
            <w:rStyle w:val="Hyperlink"/>
            <w:sz w:val="16"/>
          </w:rPr>
          <w:t>http://water.epa.gov/infrastructure/greeninfrastructure/index.cfm</w:t>
        </w:r>
      </w:hyperlink>
      <w:r w:rsidRPr="009C63D2">
        <w:rPr>
          <w:sz w:val="16"/>
          <w:szCs w:val="16"/>
        </w:rPr>
        <w:t>).</w:t>
      </w:r>
    </w:p>
  </w:footnote>
  <w:footnote w:id="31">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Portland, O</w:t>
      </w:r>
      <w:r>
        <w:rPr>
          <w:sz w:val="16"/>
        </w:rPr>
        <w:t>regon</w:t>
      </w:r>
      <w:r w:rsidRPr="009C63D2">
        <w:rPr>
          <w:sz w:val="16"/>
        </w:rPr>
        <w:t>: Green Streets (</w:t>
      </w:r>
      <w:hyperlink r:id="rId30" w:history="1">
        <w:r w:rsidRPr="009C63D2">
          <w:rPr>
            <w:rStyle w:val="Hyperlink"/>
            <w:sz w:val="16"/>
          </w:rPr>
          <w:t>http://www.portlandoregon.gov/BES/44407</w:t>
        </w:r>
      </w:hyperlink>
      <w:r w:rsidRPr="009C63D2">
        <w:rPr>
          <w:sz w:val="16"/>
        </w:rPr>
        <w:t>).</w:t>
      </w:r>
    </w:p>
  </w:footnote>
  <w:footnote w:id="32">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Seattle</w:t>
      </w:r>
      <w:r>
        <w:rPr>
          <w:sz w:val="16"/>
        </w:rPr>
        <w:t xml:space="preserve"> Department of Transportation.</w:t>
      </w:r>
      <w:r w:rsidRPr="009C63D2">
        <w:rPr>
          <w:sz w:val="16"/>
        </w:rPr>
        <w:t xml:space="preserve"> Green Stormwater Infrastructure (</w:t>
      </w:r>
      <w:hyperlink r:id="rId31" w:history="1">
        <w:r w:rsidRPr="009C63D2">
          <w:rPr>
            <w:rStyle w:val="Hyperlink"/>
            <w:sz w:val="16"/>
          </w:rPr>
          <w:t>http://www.seattle.gov/transportation/rowmanual/manual/6_4.asp</w:t>
        </w:r>
      </w:hyperlink>
      <w:r w:rsidRPr="009C63D2">
        <w:rPr>
          <w:sz w:val="16"/>
        </w:rPr>
        <w:t>).</w:t>
      </w:r>
    </w:p>
  </w:footnote>
  <w:footnote w:id="33">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Center for Neighborhood Techonology. </w:t>
      </w:r>
      <w:r w:rsidRPr="009C63D2">
        <w:rPr>
          <w:sz w:val="16"/>
        </w:rPr>
        <w:t>Upgrade Your Infrastructure</w:t>
      </w:r>
      <w:r>
        <w:rPr>
          <w:sz w:val="16"/>
        </w:rPr>
        <w:t>: A Guide to the Green Infrastructure Portfolio Standard and Building Stormwater Retrofits</w:t>
      </w:r>
      <w:r w:rsidRPr="009C63D2">
        <w:rPr>
          <w:sz w:val="16"/>
        </w:rPr>
        <w:t xml:space="preserve"> (</w:t>
      </w:r>
      <w:hyperlink r:id="rId32" w:history="1">
        <w:r>
          <w:rPr>
            <w:rStyle w:val="Hyperlink"/>
            <w:sz w:val="16"/>
          </w:rPr>
          <w:t>http://www.cnt.org/publications/upgrade-your-infrastructure-a-guide-to-the-green-infrastructure-portfolio-standard-and</w:t>
        </w:r>
      </w:hyperlink>
      <w:hyperlink r:id="rId33" w:history="1"/>
      <w:r w:rsidRPr="009A6991">
        <w:rPr>
          <w:sz w:val="16"/>
          <w:szCs w:val="16"/>
        </w:rPr>
        <w:t>).</w:t>
      </w:r>
      <w:hyperlink r:id="rId34" w:history="1"/>
    </w:p>
  </w:footnote>
  <w:footnote w:id="34">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The International City/County Management Association has a primer on fiscal impact analysis (</w:t>
      </w:r>
      <w:hyperlink r:id="rId35" w:history="1">
        <w:r w:rsidRPr="009C63D2">
          <w:rPr>
            <w:rStyle w:val="Hyperlink"/>
            <w:sz w:val="16"/>
          </w:rPr>
          <w:t>http://icma.org/en/icma/knowledge_network/documents/kn/Document/301983/Fiscal_Impact_Analysis_How_Todays_Decisions_Affect_Tomorrows_Budget</w:t>
        </w:r>
      </w:hyperlink>
      <w:r w:rsidRPr="009C63D2">
        <w:rPr>
          <w:sz w:val="16"/>
        </w:rPr>
        <w:t xml:space="preserve">). </w:t>
      </w:r>
    </w:p>
  </w:footnote>
  <w:footnote w:id="35">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Hooksett, N</w:t>
      </w:r>
      <w:r>
        <w:rPr>
          <w:sz w:val="16"/>
        </w:rPr>
        <w:t>ew Hampshire</w:t>
      </w:r>
      <w:r w:rsidRPr="009C63D2">
        <w:rPr>
          <w:sz w:val="16"/>
        </w:rPr>
        <w:t>: Cost of Community Services Study (</w:t>
      </w:r>
      <w:hyperlink r:id="rId36" w:history="1">
        <w:r w:rsidRPr="009C63D2">
          <w:rPr>
            <w:rStyle w:val="Hyperlink"/>
            <w:sz w:val="16"/>
          </w:rPr>
          <w:t>http://www.snhpc.org/index.php?page=eco_dev</w:t>
        </w:r>
      </w:hyperlink>
      <w:hyperlink r:id="rId37" w:history="1"/>
      <w:r w:rsidRPr="009C63D2">
        <w:rPr>
          <w:sz w:val="16"/>
        </w:rPr>
        <w:t>).</w:t>
      </w:r>
    </w:p>
  </w:footnote>
  <w:footnote w:id="36">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Montana </w:t>
      </w:r>
      <w:r>
        <w:rPr>
          <w:sz w:val="16"/>
        </w:rPr>
        <w:t xml:space="preserve">Department of Transportation. </w:t>
      </w:r>
      <w:r w:rsidRPr="009C63D2">
        <w:rPr>
          <w:sz w:val="16"/>
        </w:rPr>
        <w:t>Development Exactions and Incentives (</w:t>
      </w:r>
      <w:hyperlink r:id="rId38" w:history="1">
        <w:r w:rsidRPr="009C63D2">
          <w:rPr>
            <w:rStyle w:val="Hyperlink"/>
            <w:sz w:val="16"/>
          </w:rPr>
          <w:t>http://www.mdt.mt.gov/research/toolkit/m1/ftools/dei.shtml</w:t>
        </w:r>
      </w:hyperlink>
      <w:r w:rsidRPr="009C63D2">
        <w:rPr>
          <w:sz w:val="16"/>
        </w:rPr>
        <w:t>).</w:t>
      </w:r>
    </w:p>
  </w:footnote>
  <w:footnote w:id="37">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PolicyLink. </w:t>
      </w:r>
      <w:r w:rsidRPr="009C63D2">
        <w:rPr>
          <w:sz w:val="16"/>
        </w:rPr>
        <w:t>Developer Exactions (</w:t>
      </w:r>
      <w:hyperlink r:id="rId39" w:history="1">
        <w:r w:rsidRPr="009C63D2">
          <w:rPr>
            <w:rStyle w:val="Hyperlink"/>
            <w:sz w:val="16"/>
          </w:rPr>
          <w:t>http://policylink.info/EDTK/Exactions/</w:t>
        </w:r>
      </w:hyperlink>
      <w:hyperlink r:id="rId40" w:history="1"/>
      <w:r w:rsidRPr="009C63D2">
        <w:rPr>
          <w:sz w:val="16"/>
        </w:rPr>
        <w:t>).</w:t>
      </w:r>
    </w:p>
  </w:footnote>
  <w:footnote w:id="38">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Chicago, I</w:t>
      </w:r>
      <w:r>
        <w:rPr>
          <w:sz w:val="16"/>
        </w:rPr>
        <w:t>llinois</w:t>
      </w:r>
      <w:r w:rsidRPr="009C63D2">
        <w:rPr>
          <w:sz w:val="16"/>
        </w:rPr>
        <w:t>: Overview of the Green Permit Program (</w:t>
      </w:r>
      <w:hyperlink r:id="rId41" w:history="1">
        <w:r>
          <w:rPr>
            <w:rStyle w:val="Hyperlink"/>
            <w:sz w:val="16"/>
          </w:rPr>
          <w:t>http://www.cityofchicago.org/city/en/depts/bldgs/provdrs/green_permit.html</w:t>
        </w:r>
      </w:hyperlink>
      <w:r w:rsidRPr="009C63D2">
        <w:rPr>
          <w:sz w:val="16"/>
        </w:rPr>
        <w:t>).</w:t>
      </w:r>
    </w:p>
  </w:footnote>
  <w:footnote w:id="39">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Mississippi Department of Marine Resources. </w:t>
      </w:r>
      <w:r w:rsidRPr="009C63D2">
        <w:rPr>
          <w:sz w:val="16"/>
        </w:rPr>
        <w:t>Community Character: Fix</w:t>
      </w:r>
      <w:r>
        <w:rPr>
          <w:sz w:val="16"/>
        </w:rPr>
        <w:t>ing</w:t>
      </w:r>
      <w:r w:rsidRPr="009C63D2">
        <w:rPr>
          <w:sz w:val="16"/>
        </w:rPr>
        <w:t xml:space="preserve"> it First (</w:t>
      </w:r>
      <w:hyperlink r:id="rId42" w:history="1">
        <w:r w:rsidRPr="009C63D2">
          <w:rPr>
            <w:rStyle w:val="Hyperlink"/>
            <w:sz w:val="16"/>
          </w:rPr>
          <w:t>http://smartgrowth.dmr.ms.gov/community-character</w:t>
        </w:r>
      </w:hyperlink>
      <w:hyperlink r:id="rId43" w:history="1"/>
      <w:r w:rsidRPr="009C63D2">
        <w:rPr>
          <w:sz w:val="16"/>
        </w:rPr>
        <w:t>).</w:t>
      </w:r>
    </w:p>
  </w:footnote>
  <w:footnote w:id="40">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An efficient location would be well-connected to existing development and within walking distance of activities, shopping, and services.</w:t>
      </w:r>
    </w:p>
  </w:footnote>
  <w:footnote w:id="41">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Carroll County, M</w:t>
      </w:r>
      <w:r>
        <w:rPr>
          <w:sz w:val="16"/>
        </w:rPr>
        <w:t>aryland</w:t>
      </w:r>
      <w:r w:rsidRPr="009C63D2">
        <w:rPr>
          <w:sz w:val="16"/>
        </w:rPr>
        <w:t>: priority preservation areas that identify agricultural and forestry resource land for preservation (</w:t>
      </w:r>
      <w:hyperlink r:id="rId44" w:history="1">
        <w:r w:rsidRPr="009C63D2">
          <w:rPr>
            <w:rStyle w:val="Hyperlink"/>
            <w:sz w:val="16"/>
          </w:rPr>
          <w:t>http://ccgovernment.carr.org/ccg/compplan/PPA/</w:t>
        </w:r>
      </w:hyperlink>
      <w:r w:rsidRPr="009C63D2">
        <w:rPr>
          <w:sz w:val="16"/>
        </w:rPr>
        <w:t xml:space="preserve">). </w:t>
      </w:r>
    </w:p>
  </w:footnote>
  <w:footnote w:id="42">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University of Tennessee Institute of Agriculture. Center for </w:t>
      </w:r>
      <w:r w:rsidRPr="009C63D2">
        <w:rPr>
          <w:sz w:val="16"/>
        </w:rPr>
        <w:t xml:space="preserve">Decentralized Wastewater </w:t>
      </w:r>
      <w:r>
        <w:rPr>
          <w:sz w:val="16"/>
        </w:rPr>
        <w:t>Management</w:t>
      </w:r>
      <w:r w:rsidRPr="009C63D2">
        <w:rPr>
          <w:sz w:val="16"/>
        </w:rPr>
        <w:t xml:space="preserve"> </w:t>
      </w:r>
      <w:r w:rsidRPr="009C63D2">
        <w:rPr>
          <w:sz w:val="16"/>
          <w:szCs w:val="16"/>
        </w:rPr>
        <w:t>(</w:t>
      </w:r>
      <w:hyperlink r:id="rId45" w:history="1">
        <w:r w:rsidRPr="009C63D2">
          <w:rPr>
            <w:rStyle w:val="Hyperlink"/>
            <w:sz w:val="16"/>
          </w:rPr>
          <w:t>http://onsite.tennessee.edu/</w:t>
        </w:r>
      </w:hyperlink>
      <w:r w:rsidRPr="009C63D2">
        <w:rPr>
          <w:sz w:val="16"/>
          <w:szCs w:val="16"/>
        </w:rPr>
        <w:t>).</w:t>
      </w:r>
    </w:p>
  </w:footnote>
  <w:footnote w:id="43">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w:t>
      </w:r>
      <w:r>
        <w:rPr>
          <w:sz w:val="16"/>
        </w:rPr>
        <w:t xml:space="preserve">EPA. </w:t>
      </w:r>
      <w:r w:rsidRPr="009C63D2">
        <w:rPr>
          <w:sz w:val="16"/>
        </w:rPr>
        <w:t>Handbook for Managing Onsite and Clustered (Decentralized) Wastewater Treatment Systems (</w:t>
      </w:r>
      <w:hyperlink r:id="rId46" w:history="1">
        <w:r w:rsidRPr="009C63D2">
          <w:rPr>
            <w:rStyle w:val="Hyperlink"/>
            <w:sz w:val="16"/>
          </w:rPr>
          <w:t>http://water.epa.gov/infrastructure/septic/manuals.cfm</w:t>
        </w:r>
      </w:hyperlink>
      <w:r w:rsidRPr="009C63D2">
        <w:rPr>
          <w:sz w:val="16"/>
        </w:rPr>
        <w:t>).</w:t>
      </w:r>
    </w:p>
  </w:footnote>
  <w:footnote w:id="44">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Sonoma County </w:t>
      </w:r>
      <w:r>
        <w:rPr>
          <w:sz w:val="16"/>
        </w:rPr>
        <w:t>Waste Management Agency. Municipal c</w:t>
      </w:r>
      <w:r w:rsidRPr="009C63D2">
        <w:rPr>
          <w:sz w:val="16"/>
        </w:rPr>
        <w:t xml:space="preserve">omposting </w:t>
      </w:r>
      <w:r>
        <w:rPr>
          <w:sz w:val="16"/>
        </w:rPr>
        <w:t xml:space="preserve">program operations </w:t>
      </w:r>
      <w:r w:rsidRPr="009C63D2">
        <w:rPr>
          <w:sz w:val="16"/>
        </w:rPr>
        <w:t>(</w:t>
      </w:r>
      <w:hyperlink r:id="rId47" w:history="1">
        <w:r w:rsidRPr="009C63D2">
          <w:rPr>
            <w:rStyle w:val="Hyperlink"/>
            <w:sz w:val="16"/>
          </w:rPr>
          <w:t>http://www.recyclenow.org/disposal/municipal_composting.asp</w:t>
        </w:r>
      </w:hyperlink>
      <w:r w:rsidRPr="009C63D2">
        <w:rPr>
          <w:sz w:val="16"/>
        </w:rPr>
        <w:t>).</w:t>
      </w:r>
    </w:p>
  </w:footnote>
  <w:footnote w:id="45">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United States Department of Agriculture, Rural Information Center, provides information on the alternatives to waste disposal in rural areas (</w:t>
      </w:r>
      <w:hyperlink r:id="rId48" w:history="1">
        <w:r w:rsidRPr="009C63D2">
          <w:rPr>
            <w:rStyle w:val="Hyperlink"/>
            <w:sz w:val="16"/>
          </w:rPr>
          <w:t>http://www.nal.usda.gov/ric/ricpubs/waste.html</w:t>
        </w:r>
      </w:hyperlink>
      <w:r w:rsidRPr="009C63D2">
        <w:rPr>
          <w:sz w:val="16"/>
        </w:rPr>
        <w:t xml:space="preserve">). </w:t>
      </w:r>
    </w:p>
  </w:footnote>
  <w:footnote w:id="46">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Hanover</w:t>
      </w:r>
      <w:r>
        <w:rPr>
          <w:sz w:val="16"/>
        </w:rPr>
        <w:t>, New Hampshire</w:t>
      </w:r>
      <w:r w:rsidRPr="009C63D2">
        <w:rPr>
          <w:sz w:val="16"/>
        </w:rPr>
        <w:t xml:space="preserve"> Household Hazardous Waste &amp; Unwanted Medicine Collection (</w:t>
      </w:r>
      <w:hyperlink r:id="rId49" w:history="1">
        <w:r w:rsidRPr="009C63D2">
          <w:rPr>
            <w:rStyle w:val="Hyperlink"/>
            <w:sz w:val="16"/>
          </w:rPr>
          <w:t>http://www.hanovernh.org/Pages/HanoverNH_PublicWorks/Recycle/2014haz</w:t>
        </w:r>
      </w:hyperlink>
      <w:hyperlink r:id="rId50" w:history="1"/>
      <w:r w:rsidRPr="009C63D2">
        <w:rPr>
          <w:sz w:val="16"/>
        </w:rPr>
        <w:t>).</w:t>
      </w:r>
    </w:p>
  </w:footnote>
  <w:footnote w:id="47">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EPA provides information on “pay as you throw” programs across the United States (</w:t>
      </w:r>
      <w:hyperlink r:id="rId51" w:history="1">
        <w:r w:rsidRPr="009C63D2">
          <w:rPr>
            <w:rStyle w:val="Hyperlink"/>
            <w:sz w:val="16"/>
          </w:rPr>
          <w:t>http://www.epa.gov/epawaste/conserve/tools/payt/index.htm</w:t>
        </w:r>
      </w:hyperlink>
      <w:r w:rsidRPr="009C63D2">
        <w:rPr>
          <w:sz w:val="16"/>
        </w:rPr>
        <w:t xml:space="preserve">). </w:t>
      </w:r>
    </w:p>
  </w:footnote>
  <w:footnote w:id="48">
    <w:p w:rsidR="006C6013" w:rsidRPr="009C63D2" w:rsidRDefault="006C6013" w:rsidP="0031398D">
      <w:pPr>
        <w:pStyle w:val="FootnoteText"/>
        <w:contextualSpacing/>
        <w:rPr>
          <w:sz w:val="16"/>
        </w:rPr>
      </w:pPr>
      <w:r w:rsidRPr="009C63D2">
        <w:rPr>
          <w:rStyle w:val="FootnoteReference"/>
          <w:sz w:val="16"/>
        </w:rPr>
        <w:footnoteRef/>
      </w:r>
      <w:r w:rsidRPr="009C63D2">
        <w:rPr>
          <w:sz w:val="16"/>
        </w:rPr>
        <w:t xml:space="preserve"> San Mateo County Salvage &amp; Reuse of Construction Materials (</w:t>
      </w:r>
      <w:hyperlink r:id="rId52" w:history="1">
        <w:r w:rsidRPr="009C63D2">
          <w:rPr>
            <w:rStyle w:val="Hyperlink"/>
            <w:sz w:val="16"/>
          </w:rPr>
          <w:t>http://www.recycleworks.org/con_dem/salvage.html</w:t>
        </w:r>
      </w:hyperlink>
      <w:r w:rsidRPr="009C63D2">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A3" w:rsidRDefault="00DA34F6" w:rsidP="00FB2179">
    <w:pPr>
      <w:pStyle w:val="SGHeader"/>
      <w:numPr>
        <w:ilvl w:val="0"/>
        <w:numId w:val="0"/>
      </w:numPr>
      <w:tabs>
        <w:tab w:val="left" w:pos="360"/>
      </w:tabs>
    </w:pPr>
    <w:r>
      <w:t>X.</w:t>
    </w:r>
    <w:r>
      <w:tab/>
    </w:r>
    <w:r w:rsidR="006C6013">
      <w:t>Invest in Efficient Public Infrastructure Systems and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64A3"/>
    <w:rsid w:val="00055FE3"/>
    <w:rsid w:val="00061801"/>
    <w:rsid w:val="001009A3"/>
    <w:rsid w:val="001C4D41"/>
    <w:rsid w:val="001E4271"/>
    <w:rsid w:val="00250449"/>
    <w:rsid w:val="002B60BB"/>
    <w:rsid w:val="0030063E"/>
    <w:rsid w:val="0030528D"/>
    <w:rsid w:val="0031398D"/>
    <w:rsid w:val="00337159"/>
    <w:rsid w:val="003920AA"/>
    <w:rsid w:val="00410D19"/>
    <w:rsid w:val="00423216"/>
    <w:rsid w:val="004F2882"/>
    <w:rsid w:val="005426E4"/>
    <w:rsid w:val="005B315E"/>
    <w:rsid w:val="005F7663"/>
    <w:rsid w:val="005F7B4B"/>
    <w:rsid w:val="00622312"/>
    <w:rsid w:val="00680B7B"/>
    <w:rsid w:val="006C6013"/>
    <w:rsid w:val="007571EA"/>
    <w:rsid w:val="007F535A"/>
    <w:rsid w:val="00847F2C"/>
    <w:rsid w:val="00850FA9"/>
    <w:rsid w:val="00936C3D"/>
    <w:rsid w:val="00952192"/>
    <w:rsid w:val="0099604C"/>
    <w:rsid w:val="009C5516"/>
    <w:rsid w:val="00A15440"/>
    <w:rsid w:val="00B40F02"/>
    <w:rsid w:val="00B7373C"/>
    <w:rsid w:val="00BE5DFC"/>
    <w:rsid w:val="00BF1F76"/>
    <w:rsid w:val="00C915A8"/>
    <w:rsid w:val="00CA02F2"/>
    <w:rsid w:val="00D20BCF"/>
    <w:rsid w:val="00D34B00"/>
    <w:rsid w:val="00D921B9"/>
    <w:rsid w:val="00DA34F6"/>
    <w:rsid w:val="00DB06E5"/>
    <w:rsid w:val="00DC4273"/>
    <w:rsid w:val="00DD64C7"/>
    <w:rsid w:val="00EA54D9"/>
    <w:rsid w:val="00EC679A"/>
    <w:rsid w:val="00EF2544"/>
    <w:rsid w:val="00F1178C"/>
    <w:rsid w:val="00F80DD4"/>
    <w:rsid w:val="00F83EFD"/>
    <w:rsid w:val="00FB2179"/>
    <w:rsid w:val="00FB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5563"/>
  <w15:docId w15:val="{E176615F-F581-45B5-AAE8-7C78896A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 w:type="paragraph" w:customStyle="1" w:styleId="tabletopic">
    <w:name w:val="tabletopic"/>
    <w:basedOn w:val="tabletext"/>
    <w:link w:val="tabletopicChar"/>
    <w:qFormat/>
    <w:rsid w:val="0031398D"/>
    <w:rPr>
      <w:b/>
      <w:i/>
    </w:rPr>
  </w:style>
  <w:style w:type="character" w:customStyle="1" w:styleId="tabletopicChar">
    <w:name w:val="tabletopic Char"/>
    <w:basedOn w:val="tabletextChar"/>
    <w:link w:val="tabletopic"/>
    <w:rsid w:val="0031398D"/>
    <w:rPr>
      <w:rFonts w:ascii="Georgia" w:hAnsi="Georgia"/>
      <w:b/>
      <w:i/>
      <w:color w:val="0D0D0D" w:themeColor="text1" w:themeTint="F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ci.minneapolis.mn.us/cped/projects/cped_parking" TargetMode="External"/><Relationship Id="rId18" Type="http://schemas.openxmlformats.org/officeDocument/2006/relationships/hyperlink" Target="http://cityofevanston.org/public-works/transportation-engineering/policies/" TargetMode="External"/><Relationship Id="rId26" Type="http://schemas.openxmlformats.org/officeDocument/2006/relationships/hyperlink" Target="http://www.cityoforange.org/civicax/filebank/blobdload.aspx?blobid=3500" TargetMode="External"/><Relationship Id="rId39" Type="http://schemas.openxmlformats.org/officeDocument/2006/relationships/hyperlink" Target="http://policylink.info/EDTK/Exactions/" TargetMode="External"/><Relationship Id="rId3" Type="http://schemas.openxmlformats.org/officeDocument/2006/relationships/hyperlink" Target="http://www.sewrpc.org/SEWRPC/communityassistance/ModelOrdinancesGuides.htm" TargetMode="External"/><Relationship Id="rId21" Type="http://schemas.openxmlformats.org/officeDocument/2006/relationships/hyperlink" Target="http://www.glenview.il.us/planning/Reports/parkinglotdg.pdf" TargetMode="External"/><Relationship Id="rId34" Type="http://schemas.openxmlformats.org/officeDocument/2006/relationships/hyperlink" Target="http://www.cnt.org/repository/InfrastructureReport.FINAL.pdf" TargetMode="External"/><Relationship Id="rId42" Type="http://schemas.openxmlformats.org/officeDocument/2006/relationships/hyperlink" Target="http://smartgrowth.dmr.ms.gov/community-character" TargetMode="External"/><Relationship Id="rId47" Type="http://schemas.openxmlformats.org/officeDocument/2006/relationships/hyperlink" Target="http://www.recyclenow.org/disposal/municipal_composting.asp" TargetMode="External"/><Relationship Id="rId50" Type="http://schemas.openxmlformats.org/officeDocument/2006/relationships/hyperlink" Target="http://www.hanovernh.org/Pages/HanoverNH_PublicWorks/recycle/items/haz.pdf" TargetMode="External"/><Relationship Id="rId7" Type="http://schemas.openxmlformats.org/officeDocument/2006/relationships/hyperlink" Target="http://www.tulsadevelopmentauthority.org/plans_brady_infill.html" TargetMode="External"/><Relationship Id="rId12" Type="http://schemas.openxmlformats.org/officeDocument/2006/relationships/hyperlink" Target="http://water.epa.gov/infrastructure/greeninfrastructure/index.cfm" TargetMode="External"/><Relationship Id="rId17" Type="http://schemas.openxmlformats.org/officeDocument/2006/relationships/hyperlink" Target="http://www.mapc.org/resources/parking-toolkit/strategies-topic/shared-parking" TargetMode="External"/><Relationship Id="rId25" Type="http://schemas.openxmlformats.org/officeDocument/2006/relationships/hyperlink" Target="http://www.crystallake.org/departments/engineering/green-initiatives" TargetMode="External"/><Relationship Id="rId33" Type="http://schemas.openxmlformats.org/officeDocument/2006/relationships/hyperlink" Target="http://www.cnt.org/repository/InfrastructureReport.FINAL.pdf" TargetMode="External"/><Relationship Id="rId38" Type="http://schemas.openxmlformats.org/officeDocument/2006/relationships/hyperlink" Target="http://www.mdt.mt.gov/research/toolkit/m1/ftools/dei.shtml" TargetMode="External"/><Relationship Id="rId46" Type="http://schemas.openxmlformats.org/officeDocument/2006/relationships/hyperlink" Target="http://water.epa.gov/infrastructure/septic/manuals.cfm" TargetMode="External"/><Relationship Id="rId2" Type="http://schemas.openxmlformats.org/officeDocument/2006/relationships/hyperlink" Target="http://www.newton-nh.gov/Pages/NewtonNH_Planning/zoning/Archives/2011ZoningOrdinance/index" TargetMode="External"/><Relationship Id="rId16" Type="http://schemas.openxmlformats.org/officeDocument/2006/relationships/hyperlink" Target="http://www.madisonthecity.com/communitydevelopment/documents/SharedParkingOrdinance060706.pdf" TargetMode="External"/><Relationship Id="rId20" Type="http://schemas.openxmlformats.org/officeDocument/2006/relationships/hyperlink" Target="http://glenview.il.us/government/Pages/OrdinancesCodes.aspx" TargetMode="External"/><Relationship Id="rId29" Type="http://schemas.openxmlformats.org/officeDocument/2006/relationships/hyperlink" Target="http://water.epa.gov/infrastructure/greeninfrastructure/index.cfm" TargetMode="External"/><Relationship Id="rId41" Type="http://schemas.openxmlformats.org/officeDocument/2006/relationships/hyperlink" Target="http://www.cityofchicago.org/city/en/depts/bldgs/provdrs/green_permit.html" TargetMode="External"/><Relationship Id="rId1" Type="http://schemas.openxmlformats.org/officeDocument/2006/relationships/hyperlink" Target="http://www.elmorecounty.org/Land%20Use/Z&amp;DOrdinance.html" TargetMode="External"/><Relationship Id="rId6" Type="http://schemas.openxmlformats.org/officeDocument/2006/relationships/hyperlink" Target="http://cares.ucdavis.edu/resource/truckee-meadows-regional-planning-agency-infill-development-barriers-and-incentives" TargetMode="External"/><Relationship Id="rId11" Type="http://schemas.openxmlformats.org/officeDocument/2006/relationships/hyperlink" Target="http://water.epa.gov/infrastructure/greeninfrastructure/" TargetMode="External"/><Relationship Id="rId24" Type="http://schemas.openxmlformats.org/officeDocument/2006/relationships/hyperlink" Target="http://www.portlandoregon.gov/bes/48724" TargetMode="External"/><Relationship Id="rId32" Type="http://schemas.openxmlformats.org/officeDocument/2006/relationships/hyperlink" Target="http://www.cnt.org/publications/upgrade-your-infrastructure-a-guide-to-the-green-infrastructure-portfolio-standard-and" TargetMode="External"/><Relationship Id="rId37" Type="http://schemas.openxmlformats.org/officeDocument/2006/relationships/hyperlink" Target="http://www.hooksett.org/Pages/HooksettNH_CommDev/study.pdf" TargetMode="External"/><Relationship Id="rId40" Type="http://schemas.openxmlformats.org/officeDocument/2006/relationships/hyperlink" Target="http://www.policylink.org/atf/cf/%7B97c6d565-bb43-406d-a6d5-eca3bbf35af0%7D/DEVELOPERSEXACTIONS.PDF" TargetMode="External"/><Relationship Id="rId45" Type="http://schemas.openxmlformats.org/officeDocument/2006/relationships/hyperlink" Target="http://onsite.tennessee.edu/" TargetMode="External"/><Relationship Id="rId5" Type="http://schemas.openxmlformats.org/officeDocument/2006/relationships/hyperlink" Target="http://water.epa.gov/infrastructure/septic/demos.cfm" TargetMode="External"/><Relationship Id="rId15" Type="http://schemas.openxmlformats.org/officeDocument/2006/relationships/hyperlink" Target="http://www.madisonthecity.com/communitydevelopment/planninganddevelopment.html" TargetMode="External"/><Relationship Id="rId23" Type="http://schemas.openxmlformats.org/officeDocument/2006/relationships/hyperlink" Target="http://www.myplantconnection.com/green-roofs-legislation.php" TargetMode="External"/><Relationship Id="rId28" Type="http://schemas.openxmlformats.org/officeDocument/2006/relationships/hyperlink" Target="http://www.burlingtonvt.gov/DPW/Transportation-Plan" TargetMode="External"/><Relationship Id="rId36" Type="http://schemas.openxmlformats.org/officeDocument/2006/relationships/hyperlink" Target="http://www.snhpc.org/index.php?page=eco_dev" TargetMode="External"/><Relationship Id="rId49" Type="http://schemas.openxmlformats.org/officeDocument/2006/relationships/hyperlink" Target="http://www.hanovernh.org/Pages/HanoverNH_PublicWorks/Recycle/2014haz" TargetMode="External"/><Relationship Id="rId10" Type="http://schemas.openxmlformats.org/officeDocument/2006/relationships/hyperlink" Target="http://www.burlingtonvt.gov/PZ/CDO" TargetMode="External"/><Relationship Id="rId19" Type="http://schemas.openxmlformats.org/officeDocument/2006/relationships/hyperlink" Target="http://www.web2.cnre.vt.edu/vtod/" TargetMode="External"/><Relationship Id="rId31" Type="http://schemas.openxmlformats.org/officeDocument/2006/relationships/hyperlink" Target="http://www.seattle.gov/transportation/rowmanual/manual/6_4.asp" TargetMode="External"/><Relationship Id="rId44" Type="http://schemas.openxmlformats.org/officeDocument/2006/relationships/hyperlink" Target="http://ccgovernment.carr.org/ccg/compplan/PPA/" TargetMode="External"/><Relationship Id="rId52" Type="http://schemas.openxmlformats.org/officeDocument/2006/relationships/hyperlink" Target="http://www.recycleworks.org/con_dem/salvage.html" TargetMode="External"/><Relationship Id="rId4" Type="http://schemas.openxmlformats.org/officeDocument/2006/relationships/hyperlink" Target="http://conservationtools.org/libraries/1/library_items/349-Conservation-Subdivision-Design-Handbook" TargetMode="External"/><Relationship Id="rId9" Type="http://schemas.openxmlformats.org/officeDocument/2006/relationships/hyperlink" Target="http://olympiawa.gov/city-utilities/storm-and-surface-water/science-and-innovations/science-and-innovations-porous-pavement" TargetMode="External"/><Relationship Id="rId14" Type="http://schemas.openxmlformats.org/officeDocument/2006/relationships/hyperlink" Target="http://www.townofbolton.com/pages/BoltonMA_Planning/Rules%20and%20Regulations?textPage=1" TargetMode="External"/><Relationship Id="rId22" Type="http://schemas.openxmlformats.org/officeDocument/2006/relationships/hyperlink" Target="http://www.dof.virginia.gov/manage/riparian/rain-gardens.htm" TargetMode="External"/><Relationship Id="rId27" Type="http://schemas.openxmlformats.org/officeDocument/2006/relationships/hyperlink" Target="http://www.seattle.gov/transportation/rowmanual/manual/4_14.asp" TargetMode="External"/><Relationship Id="rId30" Type="http://schemas.openxmlformats.org/officeDocument/2006/relationships/hyperlink" Target="http://www.portlandoregon.gov/BES/44407" TargetMode="External"/><Relationship Id="rId35" Type="http://schemas.openxmlformats.org/officeDocument/2006/relationships/hyperlink" Target="http://icma.org/en/icma/knowledge_network/documents/kn/Document/301983/Fiscal_Impact_Analysis_How_Todays_Decisions_Affect_Tomorrows_Budget" TargetMode="External"/><Relationship Id="rId43" Type="http://schemas.openxmlformats.org/officeDocument/2006/relationships/hyperlink" Target="http://smartgrowth.dmr.ms.gov/pdf/Fix%20it%20First.pdf" TargetMode="External"/><Relationship Id="rId48" Type="http://schemas.openxmlformats.org/officeDocument/2006/relationships/hyperlink" Target="http://www.nal.usda.gov/ric/ricpubs/waste.html" TargetMode="External"/><Relationship Id="rId8" Type="http://schemas.openxmlformats.org/officeDocument/2006/relationships/hyperlink" Target="http://www.nashuariverwatershed.org/what-we-do/protect-communities/lid-and-stormwater.html" TargetMode="External"/><Relationship Id="rId51" Type="http://schemas.openxmlformats.org/officeDocument/2006/relationships/hyperlink" Target="http://www.epa.gov/epawaste/conserve/tools/pay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5851-4098-47B9-8E85-660A3689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X. Invest in Efficient Public Infrastructure Systems and Operations</vt:lpstr>
    </vt:vector>
  </TitlesOfParts>
  <Company>U.S. EPA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Invest in Efficient Public Infrastructure Systems and Operations</dc:title>
  <dc:subject>This document contains section X of the Smart Growth Self-Assessment for Rural Communities.</dc:subject>
  <dc:creator>U.S. EPA;Smart Growth Program</dc:creator>
  <cp:keywords>U.S. EPA, Smart Growth, Section X, efficient, public, infrastructure, systems, operations</cp:keywords>
  <cp:lastModifiedBy>Susman, Megan</cp:lastModifiedBy>
  <cp:revision>3</cp:revision>
  <dcterms:created xsi:type="dcterms:W3CDTF">2016-12-08T15:58:00Z</dcterms:created>
  <dcterms:modified xsi:type="dcterms:W3CDTF">2016-12-08T15:58:00Z</dcterms:modified>
</cp:coreProperties>
</file>