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AB2" w:rsidRDefault="00974AB2" w:rsidP="003963D1">
      <w:pPr>
        <w:pStyle w:val="Heading3"/>
        <w:tabs>
          <w:tab w:val="left" w:pos="360"/>
        </w:tabs>
        <w:rPr>
          <w:i/>
        </w:rPr>
      </w:pPr>
      <w:r w:rsidRPr="003F070C">
        <w:rPr>
          <w:sz w:val="28"/>
        </w:rPr>
        <w:t>Smart Growth</w:t>
      </w:r>
      <w:r w:rsidR="000C3E8A">
        <w:rPr>
          <w:sz w:val="28"/>
        </w:rPr>
        <w:t xml:space="preserve"> Self</w:t>
      </w:r>
      <w:r w:rsidRPr="003F070C">
        <w:rPr>
          <w:sz w:val="28"/>
        </w:rPr>
        <w:t>-Assessment for Rural Communities</w:t>
      </w:r>
      <w:r w:rsidRPr="00974AB2">
        <w:rPr>
          <w:i/>
        </w:rPr>
        <w:t xml:space="preserve"> </w:t>
      </w:r>
    </w:p>
    <w:p w:rsidR="003963D1" w:rsidRPr="00974AB2" w:rsidRDefault="00974AB2" w:rsidP="003963D1">
      <w:pPr>
        <w:pStyle w:val="Heading3"/>
        <w:tabs>
          <w:tab w:val="left" w:pos="360"/>
        </w:tabs>
        <w:rPr>
          <w:i/>
        </w:rPr>
      </w:pPr>
      <w:r w:rsidRPr="00974AB2">
        <w:rPr>
          <w:i/>
        </w:rPr>
        <w:t xml:space="preserve">Section XI: </w:t>
      </w:r>
      <w:r w:rsidR="003963D1" w:rsidRPr="00974AB2">
        <w:rPr>
          <w:i/>
        </w:rPr>
        <w:t>Use Energy Efficiently and Provide Renewable Energy</w:t>
      </w:r>
      <w:bookmarkStart w:id="0" w:name="_GoBack"/>
      <w:bookmarkEnd w:id="0"/>
    </w:p>
    <w:p w:rsidR="00974AB2" w:rsidRPr="00147CD9" w:rsidRDefault="00974AB2" w:rsidP="00974AB2">
      <w:pPr>
        <w:pStyle w:val="Heading3"/>
        <w:tabs>
          <w:tab w:val="left" w:pos="360"/>
        </w:tabs>
      </w:pPr>
      <w:r>
        <w:rPr>
          <w:b w:val="0"/>
          <w:i/>
        </w:rPr>
        <w:t>This tool is part of the Smart Growth Self-Assessment for Rural Communities, developed by the U.S. Environmental Protection Agency. EPA suggest</w:t>
      </w:r>
      <w:r w:rsidR="000C3E8A">
        <w:rPr>
          <w:b w:val="0"/>
          <w:i/>
        </w:rPr>
        <w:t>s</w:t>
      </w:r>
      <w:r>
        <w:rPr>
          <w:b w:val="0"/>
          <w:i/>
        </w:rPr>
        <w:t xml:space="preserve"> that communities using this tool </w:t>
      </w:r>
      <w:r w:rsidRPr="00C03BD6">
        <w:rPr>
          <w:b w:val="0"/>
          <w:i/>
        </w:rPr>
        <w:t>complete Section I: “Revitalize Village and Town Center</w:t>
      </w:r>
      <w:r w:rsidR="000C3E8A">
        <w:rPr>
          <w:b w:val="0"/>
          <w:i/>
        </w:rPr>
        <w:t>s</w:t>
      </w:r>
      <w:r w:rsidRPr="00C03BD6">
        <w:rPr>
          <w:b w:val="0"/>
          <w:i/>
        </w:rPr>
        <w:t>,”</w:t>
      </w:r>
      <w:r>
        <w:rPr>
          <w:b w:val="0"/>
          <w:i/>
        </w:rPr>
        <w:t xml:space="preserve"> before filling out other sections. For more information and the tool’s other sections, see</w:t>
      </w:r>
      <w:r>
        <w:t xml:space="preserve"> </w:t>
      </w:r>
      <w:hyperlink r:id="rId8" w:history="1">
        <w:r w:rsidR="000C3E8A" w:rsidRPr="001041F9">
          <w:rPr>
            <w:rStyle w:val="Hyperlink"/>
            <w:b w:val="0"/>
            <w:i/>
          </w:rPr>
          <w:t>https://www.epa.gov/smartgrowth/smart-growth-self-assessment-rural-communities</w:t>
        </w:r>
      </w:hyperlink>
      <w:r w:rsidRPr="003F070C">
        <w:rPr>
          <w:b w:val="0"/>
          <w:i/>
        </w:rPr>
        <w:t>.</w:t>
      </w:r>
    </w:p>
    <w:p w:rsidR="00974AB2" w:rsidRPr="00974AB2" w:rsidRDefault="00974AB2" w:rsidP="00974AB2"/>
    <w:p w:rsidR="003963D1" w:rsidRPr="007B3406" w:rsidRDefault="003963D1" w:rsidP="003963D1">
      <w:r>
        <w:t>More efficient homes and offices save money for people, businesses, and local government and can improve the environment by reducing energy demand. Locally produced renewable energy can create jobs and provide a reliable energy source. O</w:t>
      </w:r>
      <w:r w:rsidRPr="007B3406">
        <w:t xml:space="preserve">pen space and agricultural land can </w:t>
      </w:r>
      <w:r>
        <w:t>house</w:t>
      </w:r>
      <w:r w:rsidRPr="007B3406">
        <w:t xml:space="preserve"> wind or solar energy installations</w:t>
      </w:r>
      <w:r>
        <w:t xml:space="preserve">, providing </w:t>
      </w:r>
      <w:r w:rsidRPr="007B3406">
        <w:t>additional income for farmers</w:t>
      </w:r>
      <w:r>
        <w:t xml:space="preserve"> and</w:t>
      </w:r>
      <w:r w:rsidRPr="007B3406">
        <w:t xml:space="preserve"> ranchers</w:t>
      </w:r>
      <w:r>
        <w:t xml:space="preserve">. </w:t>
      </w:r>
    </w:p>
    <w:tbl>
      <w:tblPr>
        <w:tblStyle w:val="TableGrid"/>
        <w:tblW w:w="13680" w:type="dxa"/>
        <w:tblInd w:w="108" w:type="dxa"/>
        <w:tblLayout w:type="fixed"/>
        <w:tblLook w:val="04A0" w:firstRow="1" w:lastRow="0" w:firstColumn="1" w:lastColumn="0" w:noHBand="0" w:noVBand="1"/>
      </w:tblPr>
      <w:tblGrid>
        <w:gridCol w:w="9540"/>
        <w:gridCol w:w="1440"/>
        <w:gridCol w:w="1440"/>
        <w:gridCol w:w="1260"/>
      </w:tblGrid>
      <w:tr w:rsidR="003963D1" w:rsidRPr="00A65D7E" w:rsidTr="003E7CF1">
        <w:trPr>
          <w:cantSplit/>
          <w:trHeight w:val="773"/>
          <w:tblHeader/>
        </w:trPr>
        <w:tc>
          <w:tcPr>
            <w:tcW w:w="9540" w:type="dxa"/>
            <w:tcBorders>
              <w:bottom w:val="single" w:sz="4" w:space="0" w:color="auto"/>
            </w:tcBorders>
            <w:shd w:val="clear" w:color="auto" w:fill="000000" w:themeFill="text1"/>
            <w:vAlign w:val="center"/>
          </w:tcPr>
          <w:p w:rsidR="003963D1" w:rsidRPr="00A65D7E" w:rsidRDefault="003963D1" w:rsidP="00E1329A">
            <w:pPr>
              <w:spacing w:before="60" w:after="60"/>
              <w:rPr>
                <w:rStyle w:val="Emphasis"/>
              </w:rPr>
            </w:pPr>
            <w:r w:rsidRPr="00A65D7E">
              <w:rPr>
                <w:rStyle w:val="Emphasis"/>
              </w:rPr>
              <w:t>Goal: Use Energy Efficiently and Provide Renewable Energy</w:t>
            </w:r>
          </w:p>
        </w:tc>
        <w:tc>
          <w:tcPr>
            <w:tcW w:w="1440" w:type="dxa"/>
            <w:tcBorders>
              <w:bottom w:val="single" w:sz="4" w:space="0" w:color="auto"/>
            </w:tcBorders>
            <w:shd w:val="clear" w:color="auto" w:fill="000000" w:themeFill="text1"/>
            <w:vAlign w:val="center"/>
          </w:tcPr>
          <w:p w:rsidR="003963D1" w:rsidRPr="00A65D7E" w:rsidRDefault="003E7CF1" w:rsidP="00E1329A">
            <w:pPr>
              <w:spacing w:before="60" w:after="60"/>
              <w:jc w:val="center"/>
              <w:rPr>
                <w:rStyle w:val="Emphasis"/>
                <w:b w:val="0"/>
              </w:rPr>
            </w:pPr>
            <w:r w:rsidRPr="00A65D7E">
              <w:rPr>
                <w:rStyle w:val="Emphasis"/>
              </w:rPr>
              <w:t>Adopted?</w:t>
            </w:r>
          </w:p>
        </w:tc>
        <w:tc>
          <w:tcPr>
            <w:tcW w:w="1440" w:type="dxa"/>
            <w:tcBorders>
              <w:bottom w:val="single" w:sz="4" w:space="0" w:color="auto"/>
            </w:tcBorders>
            <w:shd w:val="clear" w:color="auto" w:fill="000000" w:themeFill="text1"/>
            <w:vAlign w:val="center"/>
          </w:tcPr>
          <w:p w:rsidR="003963D1" w:rsidRPr="00A65D7E" w:rsidRDefault="003963D1" w:rsidP="00E1329A">
            <w:pPr>
              <w:spacing w:before="60" w:after="60"/>
              <w:jc w:val="center"/>
              <w:rPr>
                <w:rStyle w:val="Emphasis"/>
                <w:b w:val="0"/>
              </w:rPr>
            </w:pPr>
            <w:r w:rsidRPr="00A65D7E">
              <w:rPr>
                <w:rStyle w:val="Emphasis"/>
              </w:rPr>
              <w:t>Add or Improve?</w:t>
            </w:r>
          </w:p>
        </w:tc>
        <w:tc>
          <w:tcPr>
            <w:tcW w:w="1260" w:type="dxa"/>
            <w:tcBorders>
              <w:bottom w:val="single" w:sz="4" w:space="0" w:color="auto"/>
            </w:tcBorders>
            <w:shd w:val="clear" w:color="auto" w:fill="000000" w:themeFill="text1"/>
            <w:vAlign w:val="center"/>
          </w:tcPr>
          <w:p w:rsidR="003963D1" w:rsidRPr="00A65D7E" w:rsidRDefault="003963D1" w:rsidP="00E1329A">
            <w:pPr>
              <w:spacing w:before="60" w:after="60"/>
              <w:jc w:val="center"/>
              <w:rPr>
                <w:rStyle w:val="Emphasis"/>
                <w:b w:val="0"/>
              </w:rPr>
            </w:pPr>
            <w:r w:rsidRPr="00A65D7E">
              <w:rPr>
                <w:rStyle w:val="Emphasis"/>
              </w:rPr>
              <w:t xml:space="preserve">Context </w:t>
            </w:r>
            <w:r w:rsidRPr="00A65D7E">
              <w:rPr>
                <w:rStyle w:val="Emphasis"/>
                <w:vertAlign w:val="superscript"/>
              </w:rPr>
              <w:footnoteReference w:id="1"/>
            </w:r>
          </w:p>
        </w:tc>
      </w:tr>
      <w:tr w:rsidR="003963D1" w:rsidRPr="00A65D7E" w:rsidTr="003E7CF1">
        <w:trPr>
          <w:cantSplit/>
        </w:trPr>
        <w:tc>
          <w:tcPr>
            <w:tcW w:w="9540" w:type="dxa"/>
            <w:tcBorders>
              <w:right w:val="nil"/>
            </w:tcBorders>
            <w:shd w:val="clear" w:color="auto" w:fill="95B3D7"/>
          </w:tcPr>
          <w:p w:rsidR="003963D1" w:rsidRPr="00A65D7E" w:rsidRDefault="003963D1" w:rsidP="00E1329A">
            <w:pPr>
              <w:pStyle w:val="tablequestions"/>
              <w:rPr>
                <w:rFonts w:asciiTheme="minorHAnsi" w:hAnsiTheme="minorHAnsi"/>
                <w:i/>
              </w:rPr>
            </w:pPr>
            <w:r w:rsidRPr="00A65D7E">
              <w:rPr>
                <w:rFonts w:asciiTheme="minorHAnsi" w:hAnsiTheme="minorHAnsi"/>
                <w:i/>
              </w:rPr>
              <w:t>Improving Energy Efficiency in New Construction and Renovations</w:t>
            </w:r>
          </w:p>
        </w:tc>
        <w:tc>
          <w:tcPr>
            <w:tcW w:w="1440" w:type="dxa"/>
            <w:tcBorders>
              <w:left w:val="nil"/>
              <w:right w:val="nil"/>
            </w:tcBorders>
            <w:shd w:val="clear" w:color="auto" w:fill="95B3D7"/>
          </w:tcPr>
          <w:p w:rsidR="003963D1" w:rsidRPr="00A65D7E" w:rsidRDefault="003963D1" w:rsidP="00E1329A">
            <w:pPr>
              <w:pStyle w:val="tablequestions"/>
              <w:rPr>
                <w:rFonts w:asciiTheme="minorHAnsi" w:hAnsiTheme="minorHAnsi"/>
              </w:rPr>
            </w:pPr>
          </w:p>
        </w:tc>
        <w:tc>
          <w:tcPr>
            <w:tcW w:w="1440" w:type="dxa"/>
            <w:tcBorders>
              <w:left w:val="nil"/>
              <w:right w:val="nil"/>
            </w:tcBorders>
            <w:shd w:val="clear" w:color="auto" w:fill="95B3D7"/>
          </w:tcPr>
          <w:p w:rsidR="003963D1" w:rsidRPr="00A65D7E" w:rsidRDefault="003963D1" w:rsidP="00E1329A">
            <w:pPr>
              <w:pStyle w:val="tablequestions"/>
              <w:rPr>
                <w:rFonts w:asciiTheme="minorHAnsi" w:hAnsiTheme="minorHAnsi"/>
              </w:rPr>
            </w:pPr>
          </w:p>
        </w:tc>
        <w:tc>
          <w:tcPr>
            <w:tcW w:w="1260" w:type="dxa"/>
            <w:tcBorders>
              <w:left w:val="nil"/>
            </w:tcBorders>
            <w:shd w:val="clear" w:color="auto" w:fill="95B3D7"/>
          </w:tcPr>
          <w:p w:rsidR="003963D1" w:rsidRPr="00A65D7E" w:rsidRDefault="003963D1" w:rsidP="00E1329A">
            <w:pPr>
              <w:pStyle w:val="tablequestions"/>
              <w:rPr>
                <w:rFonts w:asciiTheme="minorHAnsi" w:hAnsiTheme="minorHAnsi"/>
              </w:rPr>
            </w:pP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questions"/>
              <w:rPr>
                <w:rFonts w:asciiTheme="minorHAnsi" w:hAnsiTheme="minorHAnsi"/>
              </w:rPr>
            </w:pPr>
            <w:r w:rsidRPr="00A65D7E">
              <w:rPr>
                <w:rFonts w:asciiTheme="minorHAnsi" w:hAnsiTheme="minorHAnsi"/>
              </w:rPr>
              <w:t>Are energy efficiency standards required for new construction and renovations?</w:t>
            </w: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questions"/>
              <w:rPr>
                <w:rFonts w:asciiTheme="minorHAnsi" w:hAnsiTheme="minorHAnsi"/>
              </w:rPr>
            </w:pPr>
          </w:p>
        </w:tc>
      </w:tr>
      <w:tr w:rsidR="003963D1" w:rsidRPr="00A65D7E" w:rsidTr="003E7CF1">
        <w:trPr>
          <w:cantSplit/>
        </w:trPr>
        <w:tc>
          <w:tcPr>
            <w:tcW w:w="9540" w:type="dxa"/>
          </w:tcPr>
          <w:p w:rsidR="003963D1" w:rsidRPr="00A65D7E" w:rsidRDefault="003963D1" w:rsidP="00974AB2">
            <w:pPr>
              <w:pStyle w:val="tabletext"/>
              <w:rPr>
                <w:rFonts w:asciiTheme="minorHAnsi" w:hAnsiTheme="minorHAnsi"/>
              </w:rPr>
            </w:pPr>
            <w:r w:rsidRPr="00A65D7E">
              <w:rPr>
                <w:rFonts w:asciiTheme="minorHAnsi" w:hAnsiTheme="minorHAnsi"/>
              </w:rPr>
              <w:t>Strategy 1: The building code has minimum requirements for building insulation.</w:t>
            </w:r>
            <w:r w:rsidRPr="00A65D7E">
              <w:rPr>
                <w:rStyle w:val="FootnoteReference"/>
                <w:rFonts w:asciiTheme="minorHAnsi" w:hAnsiTheme="minorHAnsi"/>
              </w:rPr>
              <w:footnoteReference w:id="2"/>
            </w:r>
            <w:r w:rsidRPr="00A65D7E">
              <w:rPr>
                <w:rFonts w:asciiTheme="minorHAnsi" w:hAnsiTheme="minorHAnsi"/>
                <w:vertAlign w:val="superscript"/>
              </w:rPr>
              <w:t>,</w:t>
            </w:r>
            <w:bookmarkStart w:id="1" w:name="_Ref353274583"/>
            <w:r w:rsidRPr="00A65D7E">
              <w:rPr>
                <w:rStyle w:val="FootnoteReference"/>
                <w:rFonts w:asciiTheme="minorHAnsi" w:hAnsiTheme="minorHAnsi"/>
              </w:rPr>
              <w:footnoteReference w:id="3"/>
            </w:r>
            <w:bookmarkEnd w:id="1"/>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604195" w:rsidRPr="00604195">
              <w:rPr>
                <w:rFonts w:asciiTheme="minorHAnsi" w:hAnsiTheme="minorHAnsi"/>
                <w:i/>
                <w:noProof/>
                <w:color w:val="FF0000"/>
              </w:rPr>
              <w:t xml:space="preserve">[Enter </w:t>
            </w:r>
            <w:r w:rsidR="00CF19F9">
              <w:rPr>
                <w:rFonts w:asciiTheme="minorHAnsi" w:hAnsiTheme="minorHAnsi"/>
                <w:i/>
                <w:noProof/>
                <w:color w:val="FF0000"/>
              </w:rPr>
              <w:t xml:space="preserve">optional </w:t>
            </w:r>
            <w:r w:rsidR="00604195" w:rsidRPr="00604195">
              <w:rPr>
                <w:rFonts w:asciiTheme="minorHAnsi" w:hAnsiTheme="minorHAnsi"/>
                <w:i/>
                <w:noProof/>
                <w:color w:val="FF0000"/>
              </w:rPr>
              <w:t>notes in gray boxes for all strategies]</w:t>
            </w:r>
            <w:r w:rsidR="00E1329A" w:rsidRPr="00A65D7E">
              <w:rPr>
                <w:rFonts w:asciiTheme="minorHAnsi" w:hAnsiTheme="minorHAnsi"/>
                <w:i/>
                <w:color w:val="FF0000"/>
              </w:rPr>
              <w:fldChar w:fldCharType="end"/>
            </w:r>
          </w:p>
        </w:tc>
        <w:sdt>
          <w:sdtPr>
            <w:rPr>
              <w:rFonts w:asciiTheme="minorHAnsi" w:hAnsiTheme="minorHAnsi"/>
            </w:rPr>
            <w:id w:val="-1966112964"/>
            <w14:checkbox>
              <w14:checked w14:val="0"/>
              <w14:checkedState w14:val="2612" w14:font="MS Gothic"/>
              <w14:uncheckedState w14:val="2610" w14:font="MS Gothic"/>
            </w14:checkbox>
          </w:sdtPr>
          <w:sdtEndPr/>
          <w:sdtContent>
            <w:tc>
              <w:tcPr>
                <w:tcW w:w="1440" w:type="dxa"/>
              </w:tcPr>
              <w:p w:rsidR="003963D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888401771"/>
            <w14:checkbox>
              <w14:checked w14:val="0"/>
              <w14:checkedState w14:val="2612" w14:font="MS Gothic"/>
              <w14:uncheckedState w14:val="2610" w14:font="MS Gothic"/>
            </w14:checkbox>
          </w:sdtPr>
          <w:sdtEndPr/>
          <w:sdtContent>
            <w:tc>
              <w:tcPr>
                <w:tcW w:w="1440" w:type="dxa"/>
              </w:tcPr>
              <w:p w:rsidR="003963D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963D1" w:rsidRPr="00A65D7E" w:rsidRDefault="003963D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2: The building code requires measures in new construction to limit air exchange around and through doors, windows, and where exterior walls meet to reduce indoor to outdoor air exchange.</w:t>
            </w:r>
            <w:r w:rsidRPr="00A65D7E">
              <w:rPr>
                <w:rFonts w:asciiTheme="minorHAnsi" w:hAnsiTheme="minorHAnsi"/>
                <w:vertAlign w:val="superscript"/>
              </w:rPr>
              <w:fldChar w:fldCharType="begin"/>
            </w:r>
            <w:r w:rsidRPr="00A65D7E">
              <w:rPr>
                <w:rFonts w:asciiTheme="minorHAnsi" w:hAnsiTheme="minorHAnsi"/>
                <w:vertAlign w:val="superscript"/>
              </w:rPr>
              <w:instrText xml:space="preserve"> NOTEREF _Ref353274583 \h  \* MERGEFORMAT </w:instrText>
            </w:r>
            <w:r w:rsidRPr="00A65D7E">
              <w:rPr>
                <w:rFonts w:asciiTheme="minorHAnsi" w:hAnsiTheme="minorHAnsi"/>
                <w:vertAlign w:val="superscript"/>
              </w:rPr>
            </w:r>
            <w:r w:rsidRPr="00A65D7E">
              <w:rPr>
                <w:rFonts w:asciiTheme="minorHAnsi" w:hAnsiTheme="minorHAnsi"/>
                <w:vertAlign w:val="superscript"/>
              </w:rPr>
              <w:fldChar w:fldCharType="separate"/>
            </w:r>
            <w:r w:rsidRPr="00A65D7E">
              <w:rPr>
                <w:rFonts w:asciiTheme="minorHAnsi" w:hAnsiTheme="minorHAnsi"/>
                <w:vertAlign w:val="superscript"/>
              </w:rPr>
              <w:t>536</w:t>
            </w:r>
            <w:r w:rsidRPr="00A65D7E">
              <w:rPr>
                <w:rFonts w:asciiTheme="minorHAnsi" w:hAnsiTheme="minorHAnsi"/>
                <w:vertAlign w:val="superscript"/>
              </w:rPr>
              <w:fldChar w:fldCharType="end"/>
            </w:r>
            <w:r w:rsidRPr="00A65D7E">
              <w:rPr>
                <w:rFonts w:asciiTheme="minorHAnsi" w:hAnsiTheme="minorHAnsi"/>
                <w:vertAlign w:val="superscript"/>
              </w:rPr>
              <w:t>,</w:t>
            </w:r>
            <w:r w:rsidRPr="00A65D7E">
              <w:rPr>
                <w:rStyle w:val="FootnoteReference"/>
                <w:rFonts w:asciiTheme="minorHAnsi" w:hAnsiTheme="minorHAnsi"/>
              </w:rPr>
              <w:footnoteReference w:id="4"/>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69860821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984277246"/>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3: The building code encourages high solar reflectivity in roof materials.</w:t>
            </w:r>
            <w:r w:rsidRPr="00A65D7E">
              <w:rPr>
                <w:rStyle w:val="FootnoteReference"/>
                <w:rFonts w:asciiTheme="minorHAnsi" w:hAnsiTheme="minorHAnsi"/>
              </w:rPr>
              <w:footnoteReference w:id="5"/>
            </w:r>
            <w:r w:rsidRPr="00A65D7E">
              <w:rPr>
                <w:rFonts w:asciiTheme="minorHAnsi" w:hAnsiTheme="minorHAnsi"/>
                <w:vertAlign w:val="superscript"/>
              </w:rPr>
              <w:t>,</w:t>
            </w:r>
            <w:r w:rsidRPr="00A65D7E">
              <w:rPr>
                <w:rStyle w:val="FootnoteReference"/>
                <w:rFonts w:asciiTheme="minorHAnsi" w:hAnsiTheme="minorHAnsi"/>
              </w:rPr>
              <w:footnoteReference w:id="6"/>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756583435"/>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88254502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4: The building code sets standards for the energy efficiency of heating and cooling equipment.</w:t>
            </w:r>
            <w:r w:rsidRPr="00A65D7E">
              <w:rPr>
                <w:rStyle w:val="FootnoteReference"/>
                <w:rFonts w:asciiTheme="minorHAnsi" w:hAnsiTheme="minorHAnsi"/>
              </w:rPr>
              <w:footnoteReference w:id="7"/>
            </w:r>
            <w:r w:rsidRPr="00A65D7E">
              <w:rPr>
                <w:rFonts w:asciiTheme="minorHAnsi" w:hAnsiTheme="minorHAnsi"/>
                <w:vertAlign w:val="superscript"/>
              </w:rPr>
              <w:t>,</w:t>
            </w:r>
            <w:r w:rsidRPr="00A65D7E">
              <w:rPr>
                <w:rStyle w:val="FootnoteReference"/>
                <w:rFonts w:asciiTheme="minorHAnsi" w:hAnsiTheme="minorHAnsi"/>
              </w:rPr>
              <w:footnoteReference w:id="8"/>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407301286"/>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170246477"/>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5: Provide incentives for builders who install ENERGY STAR or similarly efficient appliances.</w:t>
            </w:r>
            <w:r w:rsidRPr="00A65D7E">
              <w:rPr>
                <w:rStyle w:val="FootnoteReference"/>
                <w:rFonts w:asciiTheme="minorHAnsi" w:hAnsiTheme="minorHAnsi"/>
              </w:rPr>
              <w:footnoteReference w:id="9"/>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52444423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043123429"/>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lastRenderedPageBreak/>
              <w:t>Strategy 6: The building code requires ducts and pipes to be insulated.</w:t>
            </w:r>
            <w:r w:rsidRPr="00A65D7E">
              <w:rPr>
                <w:rStyle w:val="FootnoteReference"/>
                <w:rFonts w:asciiTheme="minorHAnsi" w:hAnsiTheme="minorHAnsi"/>
              </w:rPr>
              <w:footnoteReference w:id="10"/>
            </w:r>
            <w:r w:rsidRPr="00A65D7E">
              <w:rPr>
                <w:rFonts w:asciiTheme="minorHAnsi" w:hAnsiTheme="minorHAnsi"/>
                <w:vertAlign w:val="superscript"/>
              </w:rPr>
              <w:t>,</w:t>
            </w:r>
            <w:r w:rsidRPr="00A65D7E">
              <w:rPr>
                <w:rStyle w:val="FootnoteReference"/>
                <w:rFonts w:asciiTheme="minorHAnsi" w:hAnsiTheme="minorHAnsi"/>
              </w:rPr>
              <w:footnoteReference w:id="11"/>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91043362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3628765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questions"/>
              <w:rPr>
                <w:rFonts w:asciiTheme="minorHAnsi" w:hAnsiTheme="minorHAnsi"/>
              </w:rPr>
            </w:pPr>
            <w:r w:rsidRPr="00A65D7E">
              <w:rPr>
                <w:rFonts w:asciiTheme="minorHAnsi" w:hAnsiTheme="minorHAnsi"/>
              </w:rPr>
              <w:t>Do site development requirements promote energy efficiency?</w:t>
            </w: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questions"/>
              <w:rPr>
                <w:rFonts w:asciiTheme="minorHAnsi" w:hAnsiTheme="minorHAnsi"/>
              </w:rPr>
            </w:pP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7: Guidelines are available for climate-appropriate building orientation to maximize natural solar heat and minimize cooling loads in buildings.</w:t>
            </w:r>
            <w:r w:rsidRPr="00A65D7E">
              <w:rPr>
                <w:rStyle w:val="FootnoteReference"/>
                <w:rFonts w:asciiTheme="minorHAnsi" w:hAnsiTheme="minorHAnsi"/>
              </w:rPr>
              <w:footnoteReference w:id="12"/>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974144100"/>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131702132"/>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8: Site lighting and lighted signs are required to be energy efficient.</w:t>
            </w:r>
            <w:r w:rsidRPr="00A65D7E">
              <w:rPr>
                <w:rStyle w:val="FootnoteReference"/>
                <w:rFonts w:asciiTheme="minorHAnsi" w:hAnsiTheme="minorHAnsi"/>
              </w:rPr>
              <w:footnoteReference w:id="13"/>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96203386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06139637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963D1" w:rsidRPr="00A65D7E" w:rsidTr="003E7CF1">
        <w:trPr>
          <w:cantSplit/>
        </w:trPr>
        <w:tc>
          <w:tcPr>
            <w:tcW w:w="9540" w:type="dxa"/>
            <w:tcBorders>
              <w:right w:val="nil"/>
            </w:tcBorders>
            <w:shd w:val="clear" w:color="auto" w:fill="95B3D7"/>
          </w:tcPr>
          <w:p w:rsidR="003963D1" w:rsidRPr="00A65D7E" w:rsidRDefault="003963D1" w:rsidP="00E1329A">
            <w:pPr>
              <w:pStyle w:val="tablequestions"/>
              <w:rPr>
                <w:rFonts w:asciiTheme="minorHAnsi" w:hAnsiTheme="minorHAnsi"/>
                <w:i/>
              </w:rPr>
            </w:pPr>
            <w:r w:rsidRPr="00A65D7E">
              <w:rPr>
                <w:rFonts w:asciiTheme="minorHAnsi" w:hAnsiTheme="minorHAnsi"/>
                <w:i/>
              </w:rPr>
              <w:t>Producing Renewable Energy Locally</w:t>
            </w:r>
          </w:p>
        </w:tc>
        <w:tc>
          <w:tcPr>
            <w:tcW w:w="1440" w:type="dxa"/>
            <w:tcBorders>
              <w:left w:val="nil"/>
              <w:right w:val="nil"/>
            </w:tcBorders>
            <w:shd w:val="clear" w:color="auto" w:fill="95B3D7"/>
          </w:tcPr>
          <w:p w:rsidR="003963D1" w:rsidRPr="00A65D7E" w:rsidRDefault="003963D1" w:rsidP="00E1329A">
            <w:pPr>
              <w:pStyle w:val="tablequestions"/>
              <w:rPr>
                <w:rFonts w:asciiTheme="minorHAnsi" w:hAnsiTheme="minorHAnsi"/>
              </w:rPr>
            </w:pPr>
          </w:p>
        </w:tc>
        <w:tc>
          <w:tcPr>
            <w:tcW w:w="1440" w:type="dxa"/>
            <w:tcBorders>
              <w:left w:val="nil"/>
              <w:right w:val="nil"/>
            </w:tcBorders>
            <w:shd w:val="clear" w:color="auto" w:fill="95B3D7"/>
          </w:tcPr>
          <w:p w:rsidR="003963D1" w:rsidRPr="00A65D7E" w:rsidRDefault="003963D1" w:rsidP="00E1329A">
            <w:pPr>
              <w:pStyle w:val="tablequestions"/>
              <w:rPr>
                <w:rFonts w:asciiTheme="minorHAnsi" w:hAnsiTheme="minorHAnsi"/>
              </w:rPr>
            </w:pPr>
          </w:p>
        </w:tc>
        <w:tc>
          <w:tcPr>
            <w:tcW w:w="1260" w:type="dxa"/>
            <w:tcBorders>
              <w:left w:val="nil"/>
            </w:tcBorders>
            <w:shd w:val="clear" w:color="auto" w:fill="95B3D7"/>
          </w:tcPr>
          <w:p w:rsidR="003963D1" w:rsidRPr="00A65D7E" w:rsidRDefault="003963D1" w:rsidP="00E1329A">
            <w:pPr>
              <w:pStyle w:val="tablequestions"/>
              <w:rPr>
                <w:rFonts w:asciiTheme="minorHAnsi" w:hAnsiTheme="minorHAnsi"/>
              </w:rPr>
            </w:pP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questions"/>
              <w:rPr>
                <w:rFonts w:asciiTheme="minorHAnsi" w:hAnsiTheme="minorHAnsi"/>
              </w:rPr>
            </w:pPr>
            <w:r w:rsidRPr="00A65D7E">
              <w:rPr>
                <w:rFonts w:asciiTheme="minorHAnsi" w:hAnsiTheme="minorHAnsi"/>
              </w:rPr>
              <w:t xml:space="preserve">Do codes allow small-scale renewable energy production? </w:t>
            </w: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questions"/>
              <w:rPr>
                <w:rFonts w:asciiTheme="minorHAnsi" w:hAnsiTheme="minorHAnsi"/>
              </w:rPr>
            </w:pP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9: Allow solar photovoltaics on commercial and residential structures and sites.</w:t>
            </w:r>
            <w:r w:rsidRPr="00A65D7E">
              <w:rPr>
                <w:rStyle w:val="FootnoteReference"/>
                <w:rFonts w:asciiTheme="minorHAnsi" w:hAnsiTheme="minorHAnsi"/>
              </w:rPr>
              <w:footnoteReference w:id="14"/>
            </w:r>
            <w:r w:rsidRPr="00A65D7E">
              <w:rPr>
                <w:rFonts w:asciiTheme="minorHAnsi" w:hAnsiTheme="minorHAnsi"/>
                <w:vertAlign w:val="superscript"/>
              </w:rPr>
              <w:t>,</w:t>
            </w:r>
            <w:r w:rsidRPr="00A65D7E">
              <w:rPr>
                <w:rStyle w:val="FootnoteReference"/>
                <w:rFonts w:asciiTheme="minorHAnsi" w:hAnsiTheme="minorHAnsi"/>
              </w:rPr>
              <w:footnoteReference w:id="15"/>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95425358"/>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89550786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10: Allow solar water heaters on commercial and residential structures and sites.</w:t>
            </w:r>
            <w:r w:rsidRPr="00A65D7E">
              <w:rPr>
                <w:rStyle w:val="FootnoteReference"/>
                <w:rFonts w:asciiTheme="minorHAnsi" w:hAnsiTheme="minorHAnsi"/>
              </w:rPr>
              <w:footnoteReference w:id="16"/>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31543407"/>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3024286"/>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11: Allow wind turbines on or near commercial and residential structures and sites.</w:t>
            </w:r>
            <w:r w:rsidRPr="00A65D7E">
              <w:rPr>
                <w:rStyle w:val="FootnoteReference"/>
                <w:rFonts w:asciiTheme="minorHAnsi" w:hAnsiTheme="minorHAnsi"/>
              </w:rPr>
              <w:footnoteReference w:id="17"/>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80359782"/>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48592778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text"/>
              <w:rPr>
                <w:rFonts w:asciiTheme="minorHAnsi" w:hAnsiTheme="minorHAnsi"/>
                <w:b/>
              </w:rPr>
            </w:pPr>
            <w:r w:rsidRPr="00A65D7E">
              <w:rPr>
                <w:rFonts w:asciiTheme="minorHAnsi" w:hAnsiTheme="minorHAnsi"/>
                <w:b/>
              </w:rPr>
              <w:t>Do codes allow large-scale renewable energy production?</w:t>
            </w:r>
          </w:p>
        </w:tc>
        <w:tc>
          <w:tcPr>
            <w:tcW w:w="1440" w:type="dxa"/>
            <w:shd w:val="clear" w:color="auto" w:fill="D9D9D9" w:themeFill="background1" w:themeFillShade="D9"/>
          </w:tcPr>
          <w:p w:rsidR="003963D1" w:rsidRPr="00A65D7E" w:rsidRDefault="003963D1" w:rsidP="00E1329A">
            <w:pPr>
              <w:pStyle w:val="tabletext"/>
              <w:jc w:val="center"/>
              <w:rPr>
                <w:rFonts w:asciiTheme="minorHAnsi" w:hAnsiTheme="minorHAnsi"/>
                <w:b/>
              </w:rPr>
            </w:pPr>
          </w:p>
        </w:tc>
        <w:tc>
          <w:tcPr>
            <w:tcW w:w="1440" w:type="dxa"/>
            <w:shd w:val="clear" w:color="auto" w:fill="D9D9D9" w:themeFill="background1" w:themeFillShade="D9"/>
          </w:tcPr>
          <w:p w:rsidR="003963D1" w:rsidRPr="00A65D7E" w:rsidRDefault="003963D1" w:rsidP="00E1329A">
            <w:pPr>
              <w:pStyle w:val="tabletext"/>
              <w:jc w:val="center"/>
              <w:rPr>
                <w:rFonts w:asciiTheme="minorHAnsi" w:hAnsiTheme="minorHAnsi"/>
                <w:b/>
              </w:rPr>
            </w:pPr>
          </w:p>
        </w:tc>
        <w:tc>
          <w:tcPr>
            <w:tcW w:w="1260" w:type="dxa"/>
            <w:shd w:val="clear" w:color="auto" w:fill="D9D9D9" w:themeFill="background1" w:themeFillShade="D9"/>
          </w:tcPr>
          <w:p w:rsidR="003963D1" w:rsidRPr="00A65D7E" w:rsidRDefault="003963D1" w:rsidP="00E1329A">
            <w:pPr>
              <w:pStyle w:val="tabletext"/>
              <w:jc w:val="center"/>
              <w:rPr>
                <w:rFonts w:asciiTheme="minorHAnsi" w:hAnsiTheme="minorHAnsi"/>
                <w:b/>
              </w:rPr>
            </w:pP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12: Allow renewable energy production at different scales in rural, residential, commercial, and industrial districts.</w:t>
            </w:r>
            <w:r w:rsidRPr="00A65D7E">
              <w:rPr>
                <w:rStyle w:val="FootnoteReference"/>
                <w:rFonts w:asciiTheme="minorHAnsi" w:hAnsiTheme="minorHAnsi"/>
              </w:rPr>
              <w:footnoteReference w:id="18"/>
            </w:r>
            <w:r w:rsidRPr="00A65D7E">
              <w:rPr>
                <w:rFonts w:asciiTheme="minorHAnsi" w:hAnsiTheme="minorHAnsi"/>
                <w:vertAlign w:val="superscript"/>
              </w:rPr>
              <w:t>,</w:t>
            </w:r>
            <w:r w:rsidRPr="00A65D7E">
              <w:rPr>
                <w:rStyle w:val="FootnoteReference"/>
                <w:rFonts w:asciiTheme="minorHAnsi" w:hAnsiTheme="minorHAnsi"/>
              </w:rPr>
              <w:footnoteReference w:id="19"/>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292982098"/>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45996097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13: Allow renewable energy production operations on agricultural land.</w:t>
            </w:r>
            <w:r w:rsidRPr="00A65D7E">
              <w:rPr>
                <w:rStyle w:val="FootnoteReference"/>
                <w:rFonts w:asciiTheme="minorHAnsi" w:hAnsiTheme="minorHAnsi"/>
              </w:rPr>
              <w:footnoteReference w:id="20"/>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87976544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82446981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1,2,3</w:t>
            </w:r>
          </w:p>
        </w:tc>
      </w:tr>
      <w:tr w:rsidR="003963D1" w:rsidRPr="00A65D7E" w:rsidTr="003E7CF1">
        <w:trPr>
          <w:cantSplit/>
        </w:trPr>
        <w:tc>
          <w:tcPr>
            <w:tcW w:w="9540" w:type="dxa"/>
            <w:tcBorders>
              <w:right w:val="nil"/>
            </w:tcBorders>
            <w:shd w:val="clear" w:color="auto" w:fill="C2D69B"/>
          </w:tcPr>
          <w:p w:rsidR="003963D1" w:rsidRPr="00A65D7E" w:rsidRDefault="003963D1" w:rsidP="00E1329A">
            <w:pPr>
              <w:pStyle w:val="tablequestions"/>
              <w:rPr>
                <w:rFonts w:asciiTheme="minorHAnsi" w:hAnsiTheme="minorHAnsi"/>
                <w:i/>
              </w:rPr>
            </w:pPr>
            <w:r w:rsidRPr="00A65D7E">
              <w:rPr>
                <w:rFonts w:asciiTheme="minorHAnsi" w:hAnsiTheme="minorHAnsi"/>
                <w:i/>
              </w:rPr>
              <w:t>Using Energy Efficiently Through Comprehensive Plans and Local Government Policies</w:t>
            </w:r>
          </w:p>
        </w:tc>
        <w:tc>
          <w:tcPr>
            <w:tcW w:w="1440" w:type="dxa"/>
            <w:tcBorders>
              <w:left w:val="nil"/>
              <w:right w:val="nil"/>
            </w:tcBorders>
            <w:shd w:val="clear" w:color="auto" w:fill="C2D69B"/>
          </w:tcPr>
          <w:p w:rsidR="003963D1" w:rsidRPr="00A65D7E" w:rsidRDefault="003963D1" w:rsidP="00E1329A">
            <w:pPr>
              <w:pStyle w:val="tablequestions"/>
              <w:rPr>
                <w:rFonts w:asciiTheme="minorHAnsi" w:hAnsiTheme="minorHAnsi"/>
              </w:rPr>
            </w:pPr>
          </w:p>
        </w:tc>
        <w:tc>
          <w:tcPr>
            <w:tcW w:w="1440" w:type="dxa"/>
            <w:tcBorders>
              <w:left w:val="nil"/>
              <w:right w:val="nil"/>
            </w:tcBorders>
            <w:shd w:val="clear" w:color="auto" w:fill="C2D69B"/>
          </w:tcPr>
          <w:p w:rsidR="003963D1" w:rsidRPr="00A65D7E" w:rsidRDefault="003963D1" w:rsidP="00E1329A">
            <w:pPr>
              <w:pStyle w:val="tablequestions"/>
              <w:rPr>
                <w:rFonts w:asciiTheme="minorHAnsi" w:hAnsiTheme="minorHAnsi"/>
              </w:rPr>
            </w:pPr>
          </w:p>
        </w:tc>
        <w:tc>
          <w:tcPr>
            <w:tcW w:w="1260" w:type="dxa"/>
            <w:tcBorders>
              <w:left w:val="nil"/>
            </w:tcBorders>
            <w:shd w:val="clear" w:color="auto" w:fill="C2D69B"/>
          </w:tcPr>
          <w:p w:rsidR="003963D1" w:rsidRPr="00A65D7E" w:rsidRDefault="003963D1" w:rsidP="00E1329A">
            <w:pPr>
              <w:pStyle w:val="tablequestions"/>
              <w:rPr>
                <w:rFonts w:asciiTheme="minorHAnsi" w:hAnsiTheme="minorHAnsi"/>
              </w:rPr>
            </w:pP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questions"/>
              <w:rPr>
                <w:rFonts w:asciiTheme="minorHAnsi" w:hAnsiTheme="minorHAnsi"/>
              </w:rPr>
            </w:pPr>
            <w:r w:rsidRPr="00A65D7E">
              <w:rPr>
                <w:rFonts w:asciiTheme="minorHAnsi" w:hAnsiTheme="minorHAnsi"/>
              </w:rPr>
              <w:t>Do land use plans and policies support compact development and redevelopment of existing town centers?</w:t>
            </w:r>
            <w:r w:rsidRPr="00A65D7E">
              <w:rPr>
                <w:rStyle w:val="FootnoteReference"/>
                <w:rFonts w:asciiTheme="minorHAnsi" w:hAnsiTheme="minorHAnsi"/>
              </w:rPr>
              <w:footnoteReference w:id="21"/>
            </w: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questions"/>
              <w:rPr>
                <w:rFonts w:asciiTheme="minorHAnsi" w:hAnsiTheme="minorHAnsi"/>
              </w:rPr>
            </w:pP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lastRenderedPageBreak/>
              <w:t>Strategy 14: Major government offices are located in village or town centers.</w:t>
            </w:r>
            <w:r w:rsidRPr="00A65D7E">
              <w:rPr>
                <w:rStyle w:val="FootnoteReference"/>
                <w:rFonts w:asciiTheme="minorHAnsi" w:hAnsiTheme="minorHAnsi"/>
                <w:szCs w:val="20"/>
              </w:rPr>
              <w:footnoteReference w:id="22"/>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258941259"/>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6927558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15: Require an analysis on the impact of new development on energy use prior to annexing new land into the city or town.</w:t>
            </w:r>
            <w:bookmarkStart w:id="2" w:name="_Ref353286367"/>
            <w:r w:rsidRPr="00A65D7E">
              <w:rPr>
                <w:rStyle w:val="FootnoteReference"/>
                <w:rFonts w:asciiTheme="minorHAnsi" w:hAnsiTheme="minorHAnsi"/>
                <w:szCs w:val="20"/>
              </w:rPr>
              <w:footnoteReference w:id="23"/>
            </w:r>
            <w:bookmarkEnd w:id="2"/>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78967194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0701544"/>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16: Identify future potential areas for annexation.</w:t>
            </w:r>
            <w:r w:rsidRPr="00A65D7E">
              <w:rPr>
                <w:rFonts w:asciiTheme="minorHAnsi" w:hAnsiTheme="minorHAnsi"/>
                <w:szCs w:val="20"/>
                <w:vertAlign w:val="superscript"/>
              </w:rPr>
              <w:fldChar w:fldCharType="begin"/>
            </w:r>
            <w:r w:rsidRPr="00A65D7E">
              <w:rPr>
                <w:rFonts w:asciiTheme="minorHAnsi" w:hAnsiTheme="minorHAnsi"/>
                <w:szCs w:val="20"/>
                <w:vertAlign w:val="superscript"/>
              </w:rPr>
              <w:instrText xml:space="preserve"> NOTEREF _Ref353286367 \h  \* MERGEFORMAT </w:instrText>
            </w:r>
            <w:r w:rsidRPr="00A65D7E">
              <w:rPr>
                <w:rFonts w:asciiTheme="minorHAnsi" w:hAnsiTheme="minorHAnsi"/>
                <w:szCs w:val="20"/>
                <w:vertAlign w:val="superscript"/>
              </w:rPr>
            </w:r>
            <w:r w:rsidRPr="00A65D7E">
              <w:rPr>
                <w:rFonts w:asciiTheme="minorHAnsi" w:hAnsiTheme="minorHAnsi"/>
                <w:szCs w:val="20"/>
                <w:vertAlign w:val="superscript"/>
              </w:rPr>
              <w:fldChar w:fldCharType="separate"/>
            </w:r>
            <w:r w:rsidRPr="00A65D7E">
              <w:rPr>
                <w:rFonts w:asciiTheme="minorHAnsi" w:hAnsiTheme="minorHAnsi"/>
                <w:szCs w:val="20"/>
                <w:vertAlign w:val="superscript"/>
              </w:rPr>
              <w:t>557</w:t>
            </w:r>
            <w:r w:rsidRPr="00A65D7E">
              <w:rPr>
                <w:rFonts w:asciiTheme="minorHAnsi" w:hAnsiTheme="minorHAnsi"/>
                <w:szCs w:val="20"/>
                <w:vertAlign w:val="superscript"/>
              </w:rPr>
              <w:fldChar w:fldCharType="end"/>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76522956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92116829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text"/>
              <w:rPr>
                <w:rFonts w:asciiTheme="minorHAnsi" w:hAnsiTheme="minorHAnsi"/>
                <w:b/>
                <w:szCs w:val="20"/>
              </w:rPr>
            </w:pPr>
            <w:r w:rsidRPr="00A65D7E">
              <w:rPr>
                <w:rFonts w:asciiTheme="minorHAnsi" w:hAnsiTheme="minorHAnsi"/>
                <w:b/>
                <w:szCs w:val="20"/>
              </w:rPr>
              <w:t>Does the local government promote and monitor energy efficiency?</w:t>
            </w:r>
          </w:p>
        </w:tc>
        <w:tc>
          <w:tcPr>
            <w:tcW w:w="1440" w:type="dxa"/>
            <w:shd w:val="clear" w:color="auto" w:fill="D9D9D9" w:themeFill="background1" w:themeFillShade="D9"/>
          </w:tcPr>
          <w:p w:rsidR="003963D1" w:rsidRPr="00A65D7E" w:rsidRDefault="003963D1" w:rsidP="00E1329A">
            <w:pPr>
              <w:pStyle w:val="tabletext"/>
              <w:jc w:val="center"/>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text"/>
              <w:jc w:val="center"/>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text"/>
              <w:jc w:val="center"/>
              <w:rPr>
                <w:rFonts w:asciiTheme="minorHAnsi" w:hAnsiTheme="minorHAnsi"/>
              </w:rPr>
            </w:pP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17: Implement a green roofs program to reduce the amount of energy needed to cool buildings.</w:t>
            </w:r>
            <w:r w:rsidRPr="00A65D7E">
              <w:rPr>
                <w:rStyle w:val="FootnoteReference"/>
                <w:rFonts w:asciiTheme="minorHAnsi" w:hAnsiTheme="minorHAnsi"/>
                <w:szCs w:val="20"/>
              </w:rPr>
              <w:footnoteReference w:id="24"/>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81876765"/>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39908442"/>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18: Create and institute a recommissioning plan for public facilities.</w:t>
            </w:r>
            <w:r w:rsidRPr="00A65D7E">
              <w:rPr>
                <w:rStyle w:val="FootnoteReference"/>
                <w:rFonts w:asciiTheme="minorHAnsi" w:hAnsiTheme="minorHAnsi"/>
                <w:szCs w:val="20"/>
              </w:rPr>
              <w:footnoteReference w:id="25"/>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678100586"/>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909079157"/>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19: Conduct a municipal energy use inventory and identify investments to improve efficiency.</w:t>
            </w:r>
            <w:r w:rsidRPr="00A65D7E">
              <w:rPr>
                <w:rStyle w:val="FootnoteReference"/>
                <w:rFonts w:asciiTheme="minorHAnsi" w:hAnsiTheme="minorHAnsi"/>
                <w:szCs w:val="20"/>
              </w:rPr>
              <w:footnoteReference w:id="26"/>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020049811"/>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507588549"/>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20: The local government has adopted a goal for increasing energy efficiency in public facilities.</w:t>
            </w:r>
            <w:r w:rsidRPr="00A65D7E">
              <w:rPr>
                <w:rStyle w:val="FootnoteReference"/>
                <w:rFonts w:asciiTheme="minorHAnsi" w:hAnsiTheme="minorHAnsi"/>
                <w:szCs w:val="20"/>
              </w:rPr>
              <w:footnoteReference w:id="27"/>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65599378"/>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011372353"/>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rPr>
                <w:rFonts w:asciiTheme="minorHAnsi" w:hAnsiTheme="minorHAnsi"/>
                <w:szCs w:val="20"/>
              </w:rPr>
            </w:pPr>
            <w:r w:rsidRPr="00A65D7E">
              <w:rPr>
                <w:rFonts w:asciiTheme="minorHAnsi" w:hAnsiTheme="minorHAnsi"/>
                <w:szCs w:val="20"/>
              </w:rPr>
              <w:t>Strategy 21: Conduct a community-wide energy use inventory and identify public or private investments to improve efficiency.</w:t>
            </w:r>
            <w:r w:rsidRPr="00A65D7E">
              <w:rPr>
                <w:rStyle w:val="FootnoteReference"/>
                <w:rFonts w:asciiTheme="minorHAnsi" w:hAnsiTheme="minorHAnsi"/>
                <w:szCs w:val="20"/>
              </w:rPr>
              <w:footnoteReference w:id="28"/>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662152541"/>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788475725"/>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rPr>
                <w:rFonts w:asciiTheme="minorHAnsi" w:hAnsiTheme="minorHAnsi"/>
              </w:rPr>
            </w:pPr>
            <w:r w:rsidRPr="00A65D7E">
              <w:rPr>
                <w:rFonts w:asciiTheme="minorHAnsi" w:hAnsiTheme="minorHAnsi"/>
              </w:rPr>
              <w:t>Strategy 22: Adopt a community-wide goal for improving energy efficiency and track progress toward the goal over the long term.</w:t>
            </w:r>
            <w:r w:rsidRPr="00A65D7E">
              <w:rPr>
                <w:rStyle w:val="FootnoteReference"/>
                <w:rFonts w:asciiTheme="minorHAnsi" w:hAnsiTheme="minorHAnsi"/>
              </w:rPr>
              <w:footnoteReference w:id="29"/>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943223189"/>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338386787"/>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963D1" w:rsidRPr="00A65D7E" w:rsidTr="003E7CF1">
        <w:trPr>
          <w:cantSplit/>
        </w:trPr>
        <w:tc>
          <w:tcPr>
            <w:tcW w:w="9540" w:type="dxa"/>
            <w:tcBorders>
              <w:right w:val="nil"/>
            </w:tcBorders>
            <w:shd w:val="clear" w:color="auto" w:fill="FABF8F"/>
          </w:tcPr>
          <w:p w:rsidR="003963D1" w:rsidRPr="00A65D7E" w:rsidRDefault="003963D1" w:rsidP="00E1329A">
            <w:pPr>
              <w:pStyle w:val="tablequestions"/>
              <w:rPr>
                <w:rFonts w:asciiTheme="minorHAnsi" w:hAnsiTheme="minorHAnsi"/>
                <w:i/>
              </w:rPr>
            </w:pPr>
            <w:r w:rsidRPr="00A65D7E">
              <w:rPr>
                <w:rFonts w:asciiTheme="minorHAnsi" w:hAnsiTheme="minorHAnsi"/>
                <w:i/>
              </w:rPr>
              <w:t>Using Energy Efficiently Through Programs and Services</w:t>
            </w:r>
          </w:p>
        </w:tc>
        <w:tc>
          <w:tcPr>
            <w:tcW w:w="1440" w:type="dxa"/>
            <w:tcBorders>
              <w:left w:val="nil"/>
              <w:right w:val="nil"/>
            </w:tcBorders>
            <w:shd w:val="clear" w:color="auto" w:fill="FABF8F"/>
          </w:tcPr>
          <w:p w:rsidR="003963D1" w:rsidRPr="00A65D7E" w:rsidRDefault="003963D1" w:rsidP="00E1329A">
            <w:pPr>
              <w:pStyle w:val="tablequestions"/>
              <w:rPr>
                <w:rFonts w:asciiTheme="minorHAnsi" w:hAnsiTheme="minorHAnsi"/>
              </w:rPr>
            </w:pPr>
          </w:p>
        </w:tc>
        <w:tc>
          <w:tcPr>
            <w:tcW w:w="1440" w:type="dxa"/>
            <w:tcBorders>
              <w:left w:val="nil"/>
              <w:right w:val="nil"/>
            </w:tcBorders>
            <w:shd w:val="clear" w:color="auto" w:fill="FABF8F"/>
          </w:tcPr>
          <w:p w:rsidR="003963D1" w:rsidRPr="00A65D7E" w:rsidRDefault="003963D1" w:rsidP="00E1329A">
            <w:pPr>
              <w:pStyle w:val="tablequestions"/>
              <w:rPr>
                <w:rFonts w:asciiTheme="minorHAnsi" w:hAnsiTheme="minorHAnsi"/>
              </w:rPr>
            </w:pPr>
          </w:p>
        </w:tc>
        <w:tc>
          <w:tcPr>
            <w:tcW w:w="1260" w:type="dxa"/>
            <w:tcBorders>
              <w:left w:val="nil"/>
            </w:tcBorders>
            <w:shd w:val="clear" w:color="auto" w:fill="FABF8F"/>
          </w:tcPr>
          <w:p w:rsidR="003963D1" w:rsidRPr="00A65D7E" w:rsidRDefault="003963D1" w:rsidP="00E1329A">
            <w:pPr>
              <w:pStyle w:val="tablequestions"/>
              <w:rPr>
                <w:rFonts w:asciiTheme="minorHAnsi" w:hAnsiTheme="minorHAnsi"/>
              </w:rPr>
            </w:pP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questions"/>
              <w:rPr>
                <w:rFonts w:asciiTheme="minorHAnsi" w:hAnsiTheme="minorHAnsi"/>
              </w:rPr>
            </w:pPr>
            <w:r w:rsidRPr="00A65D7E">
              <w:rPr>
                <w:rFonts w:asciiTheme="minorHAnsi" w:hAnsiTheme="minorHAnsi"/>
              </w:rPr>
              <w:t>Is electricity from renewable sources available locally?</w:t>
            </w: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questions"/>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questions"/>
              <w:rPr>
                <w:rFonts w:asciiTheme="minorHAnsi" w:hAnsiTheme="minorHAnsi"/>
              </w:rPr>
            </w:pP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23: Local public utilities have committed to producing a certain percentage of energy with renewable resources.</w:t>
            </w:r>
            <w:r w:rsidRPr="00A65D7E">
              <w:rPr>
                <w:rStyle w:val="FootnoteReference"/>
                <w:rFonts w:asciiTheme="minorHAnsi" w:hAnsiTheme="minorHAnsi"/>
              </w:rPr>
              <w:footnoteReference w:id="30"/>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16319819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04420398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lastRenderedPageBreak/>
              <w:t>Strategy 24: Local public utilities provide a renewable energy purchase program.</w:t>
            </w:r>
            <w:r w:rsidRPr="00A65D7E">
              <w:rPr>
                <w:rStyle w:val="FootnoteReference"/>
                <w:rFonts w:asciiTheme="minorHAnsi" w:hAnsiTheme="minorHAnsi"/>
              </w:rPr>
              <w:footnoteReference w:id="31"/>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456857708"/>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245188156"/>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Pr>
          <w:p w:rsidR="003E7CF1" w:rsidRPr="00A65D7E" w:rsidRDefault="003E7CF1" w:rsidP="00E1329A">
            <w:pPr>
              <w:pStyle w:val="tabletext"/>
              <w:rPr>
                <w:rFonts w:asciiTheme="minorHAnsi" w:hAnsiTheme="minorHAnsi"/>
              </w:rPr>
            </w:pPr>
            <w:r w:rsidRPr="00A65D7E">
              <w:rPr>
                <w:rFonts w:asciiTheme="minorHAnsi" w:hAnsiTheme="minorHAnsi"/>
              </w:rPr>
              <w:t>Strategy 25: The local government produces energy from renewable sources or as a part of standard operations.</w:t>
            </w:r>
            <w:r w:rsidRPr="00A65D7E">
              <w:rPr>
                <w:rStyle w:val="FootnoteReference"/>
                <w:rFonts w:asciiTheme="minorHAnsi" w:hAnsiTheme="minorHAnsi"/>
              </w:rPr>
              <w:footnoteReference w:id="32"/>
            </w:r>
            <w:r w:rsidRPr="00A65D7E">
              <w:rPr>
                <w:rFonts w:asciiTheme="minorHAnsi" w:hAnsiTheme="minorHAnsi"/>
                <w:vertAlign w:val="superscript"/>
              </w:rPr>
              <w:t>,</w:t>
            </w:r>
            <w:r w:rsidRPr="00A65D7E">
              <w:rPr>
                <w:rStyle w:val="FootnoteReference"/>
                <w:rFonts w:asciiTheme="minorHAnsi" w:hAnsiTheme="minorHAnsi"/>
              </w:rPr>
              <w:footnoteReference w:id="33"/>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410355442"/>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601637942"/>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jc w:val="center"/>
              <w:rPr>
                <w:rFonts w:asciiTheme="minorHAnsi" w:hAnsiTheme="minorHAnsi"/>
              </w:rPr>
            </w:pPr>
            <w:r w:rsidRPr="00A65D7E">
              <w:rPr>
                <w:rFonts w:asciiTheme="minorHAnsi" w:hAnsiTheme="minorHAnsi"/>
              </w:rPr>
              <w:t>1,2</w:t>
            </w: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text"/>
              <w:spacing w:before="50" w:after="50"/>
              <w:rPr>
                <w:rFonts w:asciiTheme="minorHAnsi" w:hAnsiTheme="minorHAnsi"/>
                <w:b/>
              </w:rPr>
            </w:pPr>
            <w:r w:rsidRPr="00A65D7E">
              <w:rPr>
                <w:rFonts w:asciiTheme="minorHAnsi" w:hAnsiTheme="minorHAnsi"/>
                <w:b/>
              </w:rPr>
              <w:t>Does the community support transportation using less-polluting energy sources?</w:t>
            </w:r>
          </w:p>
        </w:tc>
        <w:tc>
          <w:tcPr>
            <w:tcW w:w="1440" w:type="dxa"/>
            <w:shd w:val="clear" w:color="auto" w:fill="D9D9D9" w:themeFill="background1" w:themeFillShade="D9"/>
          </w:tcPr>
          <w:p w:rsidR="003963D1" w:rsidRPr="00A65D7E" w:rsidRDefault="003963D1" w:rsidP="00E1329A">
            <w:pPr>
              <w:pStyle w:val="tabletext"/>
              <w:spacing w:before="50" w:after="50"/>
              <w:jc w:val="center"/>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text"/>
              <w:spacing w:before="50" w:after="50"/>
              <w:jc w:val="center"/>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text"/>
              <w:spacing w:before="50" w:after="50"/>
              <w:jc w:val="center"/>
              <w:rPr>
                <w:rFonts w:asciiTheme="minorHAnsi" w:hAnsiTheme="minorHAnsi"/>
              </w:rPr>
            </w:pP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26: Electric vehicle charging stations are available in public parking areas.</w:t>
            </w:r>
            <w:r w:rsidRPr="00A65D7E">
              <w:rPr>
                <w:rStyle w:val="FootnoteReference"/>
                <w:rFonts w:asciiTheme="minorHAnsi" w:hAnsiTheme="minorHAnsi"/>
              </w:rPr>
              <w:footnoteReference w:id="34"/>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98723873"/>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690445494"/>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27: The local government fleet uses alternative fuel vehicles such as natural gas or electric vehicles.</w:t>
            </w:r>
            <w:r w:rsidRPr="00A65D7E">
              <w:rPr>
                <w:rStyle w:val="FootnoteReference"/>
                <w:rFonts w:asciiTheme="minorHAnsi" w:hAnsiTheme="minorHAnsi"/>
              </w:rPr>
              <w:footnoteReference w:id="35"/>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495391266"/>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509301739"/>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28: Natural gas fueling stations are available and open to the public.</w:t>
            </w:r>
            <w:r w:rsidRPr="00A65D7E">
              <w:rPr>
                <w:rStyle w:val="FootnoteReference"/>
                <w:rFonts w:asciiTheme="minorHAnsi" w:hAnsiTheme="minorHAnsi"/>
              </w:rPr>
              <w:footnoteReference w:id="36"/>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590311484"/>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140392477"/>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questions"/>
              <w:spacing w:before="50" w:after="50"/>
              <w:rPr>
                <w:rFonts w:asciiTheme="minorHAnsi" w:hAnsiTheme="minorHAnsi"/>
              </w:rPr>
            </w:pPr>
            <w:r w:rsidRPr="00A65D7E">
              <w:rPr>
                <w:rFonts w:asciiTheme="minorHAnsi" w:hAnsiTheme="minorHAnsi"/>
              </w:rPr>
              <w:t>Are energy conservation strategies considered in government programs and purchases?</w:t>
            </w:r>
          </w:p>
        </w:tc>
        <w:tc>
          <w:tcPr>
            <w:tcW w:w="1440" w:type="dxa"/>
            <w:shd w:val="clear" w:color="auto" w:fill="D9D9D9" w:themeFill="background1" w:themeFillShade="D9"/>
          </w:tcPr>
          <w:p w:rsidR="003963D1" w:rsidRPr="00A65D7E" w:rsidRDefault="003963D1" w:rsidP="00E1329A">
            <w:pPr>
              <w:pStyle w:val="tablequestions"/>
              <w:spacing w:before="50" w:after="50"/>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questions"/>
              <w:spacing w:before="50" w:after="50"/>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questions"/>
              <w:spacing w:before="50" w:after="50"/>
              <w:rPr>
                <w:rFonts w:asciiTheme="minorHAnsi" w:hAnsiTheme="minorHAnsi"/>
              </w:rPr>
            </w:pPr>
          </w:p>
        </w:tc>
      </w:tr>
      <w:tr w:rsidR="003E7CF1" w:rsidRPr="00A65D7E" w:rsidTr="003E7CF1">
        <w:trPr>
          <w:cantSplit/>
        </w:trPr>
        <w:tc>
          <w:tcPr>
            <w:tcW w:w="9540" w:type="dxa"/>
            <w:shd w:val="clear" w:color="auto" w:fill="FFFFFF" w:themeFill="background1"/>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29: Implement and establish a lighting retrofit program for public facilities and a plan for replacing fixtures with energy efficient options.</w:t>
            </w:r>
            <w:r w:rsidRPr="00A65D7E">
              <w:rPr>
                <w:rStyle w:val="FootnoteReference"/>
                <w:rFonts w:asciiTheme="minorHAnsi" w:hAnsiTheme="minorHAnsi"/>
              </w:rPr>
              <w:footnoteReference w:id="37"/>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924537695"/>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245103127"/>
            <w14:checkbox>
              <w14:checked w14:val="0"/>
              <w14:checkedState w14:val="2612" w14:font="MS Gothic"/>
              <w14:uncheckedState w14:val="2610" w14:font="MS Gothic"/>
            </w14:checkbox>
          </w:sdtPr>
          <w:sdtEndPr/>
          <w:sdtContent>
            <w:tc>
              <w:tcPr>
                <w:tcW w:w="144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shd w:val="clear" w:color="auto" w:fill="FFFFFF" w:themeFill="background1"/>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30: Vehicle purchasing decisions consider the fuel efficiency of the municipal fleet.</w:t>
            </w:r>
            <w:r w:rsidRPr="00A65D7E">
              <w:rPr>
                <w:rStyle w:val="FootnoteReference"/>
                <w:rFonts w:asciiTheme="minorHAnsi" w:hAnsiTheme="minorHAnsi"/>
              </w:rPr>
              <w:footnoteReference w:id="38"/>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663974888"/>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21313051"/>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31: Perform energy audits on public buildings and identify actions to improve their efficiency.</w:t>
            </w:r>
            <w:r w:rsidRPr="00A65D7E">
              <w:rPr>
                <w:rStyle w:val="FootnoteReference"/>
                <w:rFonts w:asciiTheme="minorHAnsi" w:hAnsiTheme="minorHAnsi"/>
              </w:rPr>
              <w:footnoteReference w:id="39"/>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06261085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617652463"/>
            <w14:checkbox>
              <w14:checked w14:val="0"/>
              <w14:checkedState w14:val="2612" w14:font="MS Gothic"/>
              <w14:uncheckedState w14:val="2610" w14:font="MS Gothic"/>
            </w14:checkbox>
          </w:sdtPr>
          <w:sdtEndPr/>
          <w:sdtContent>
            <w:tc>
              <w:tcPr>
                <w:tcW w:w="1440" w:type="dxa"/>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963D1" w:rsidRPr="00A65D7E" w:rsidTr="003E7CF1">
        <w:trPr>
          <w:cantSplit/>
        </w:trPr>
        <w:tc>
          <w:tcPr>
            <w:tcW w:w="9540" w:type="dxa"/>
            <w:shd w:val="clear" w:color="auto" w:fill="D9D9D9" w:themeFill="background1" w:themeFillShade="D9"/>
          </w:tcPr>
          <w:p w:rsidR="003963D1" w:rsidRPr="00A65D7E" w:rsidRDefault="003963D1" w:rsidP="00E1329A">
            <w:pPr>
              <w:pStyle w:val="tabletext"/>
              <w:spacing w:before="50" w:after="50"/>
              <w:rPr>
                <w:rFonts w:asciiTheme="minorHAnsi" w:hAnsiTheme="minorHAnsi"/>
                <w:b/>
              </w:rPr>
            </w:pPr>
            <w:r w:rsidRPr="00A65D7E">
              <w:rPr>
                <w:rFonts w:asciiTheme="minorHAnsi" w:hAnsiTheme="minorHAnsi"/>
                <w:b/>
              </w:rPr>
              <w:t>Are energy efficiency programs available to the general public?</w:t>
            </w:r>
          </w:p>
        </w:tc>
        <w:tc>
          <w:tcPr>
            <w:tcW w:w="1440" w:type="dxa"/>
            <w:shd w:val="clear" w:color="auto" w:fill="D9D9D9" w:themeFill="background1" w:themeFillShade="D9"/>
          </w:tcPr>
          <w:p w:rsidR="003963D1" w:rsidRPr="00A65D7E" w:rsidRDefault="003963D1" w:rsidP="00E1329A">
            <w:pPr>
              <w:pStyle w:val="tabletext"/>
              <w:spacing w:before="50" w:after="50"/>
              <w:jc w:val="center"/>
              <w:rPr>
                <w:rFonts w:asciiTheme="minorHAnsi" w:hAnsiTheme="minorHAnsi"/>
              </w:rPr>
            </w:pPr>
          </w:p>
        </w:tc>
        <w:tc>
          <w:tcPr>
            <w:tcW w:w="1440" w:type="dxa"/>
            <w:shd w:val="clear" w:color="auto" w:fill="D9D9D9" w:themeFill="background1" w:themeFillShade="D9"/>
          </w:tcPr>
          <w:p w:rsidR="003963D1" w:rsidRPr="00A65D7E" w:rsidRDefault="003963D1" w:rsidP="00E1329A">
            <w:pPr>
              <w:pStyle w:val="tabletext"/>
              <w:spacing w:before="50" w:after="50"/>
              <w:jc w:val="center"/>
              <w:rPr>
                <w:rFonts w:asciiTheme="minorHAnsi" w:hAnsiTheme="minorHAnsi"/>
              </w:rPr>
            </w:pPr>
          </w:p>
        </w:tc>
        <w:tc>
          <w:tcPr>
            <w:tcW w:w="1260" w:type="dxa"/>
            <w:shd w:val="clear" w:color="auto" w:fill="D9D9D9" w:themeFill="background1" w:themeFillShade="D9"/>
          </w:tcPr>
          <w:p w:rsidR="003963D1" w:rsidRPr="00A65D7E" w:rsidRDefault="003963D1" w:rsidP="00E1329A">
            <w:pPr>
              <w:pStyle w:val="tabletext"/>
              <w:spacing w:before="50" w:after="50"/>
              <w:jc w:val="center"/>
              <w:rPr>
                <w:rFonts w:asciiTheme="minorHAnsi" w:hAnsiTheme="minorHAnsi"/>
              </w:rPr>
            </w:pPr>
          </w:p>
        </w:tc>
      </w:tr>
      <w:tr w:rsidR="003E7CF1" w:rsidRPr="00A65D7E" w:rsidTr="003E7CF1">
        <w:trPr>
          <w:cantSplit/>
        </w:trPr>
        <w:tc>
          <w:tcPr>
            <w:tcW w:w="9540" w:type="dxa"/>
            <w:tcBorders>
              <w:bottom w:val="single" w:sz="4" w:space="0" w:color="auto"/>
            </w:tcBorders>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32: The city or county provides energy audits through the local public utility.</w:t>
            </w:r>
            <w:r w:rsidRPr="00A65D7E">
              <w:rPr>
                <w:rStyle w:val="FootnoteReference"/>
                <w:rFonts w:asciiTheme="minorHAnsi" w:hAnsiTheme="minorHAnsi"/>
              </w:rPr>
              <w:footnoteReference w:id="40"/>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137195032"/>
            <w14:checkbox>
              <w14:checked w14:val="0"/>
              <w14:checkedState w14:val="2612" w14:font="MS Gothic"/>
              <w14:uncheckedState w14:val="2610" w14:font="MS Gothic"/>
            </w14:checkbox>
          </w:sdtPr>
          <w:sdtEndPr/>
          <w:sdtContent>
            <w:tc>
              <w:tcPr>
                <w:tcW w:w="144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622771757"/>
            <w14:checkbox>
              <w14:checked w14:val="0"/>
              <w14:checkedState w14:val="2612" w14:font="MS Gothic"/>
              <w14:uncheckedState w14:val="2610" w14:font="MS Gothic"/>
            </w14:checkbox>
          </w:sdtPr>
          <w:sdtEndPr/>
          <w:sdtContent>
            <w:tc>
              <w:tcPr>
                <w:tcW w:w="144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Borders>
              <w:bottom w:val="single" w:sz="4" w:space="0" w:color="auto"/>
            </w:tcBorders>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t>Strategy 33: The local public utility provides programmable thermostats.</w:t>
            </w:r>
            <w:r w:rsidRPr="00A65D7E">
              <w:rPr>
                <w:rStyle w:val="FootnoteReference"/>
                <w:rFonts w:asciiTheme="minorHAnsi" w:hAnsiTheme="minorHAnsi"/>
              </w:rPr>
              <w:footnoteReference w:id="41"/>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43341343"/>
            <w14:checkbox>
              <w14:checked w14:val="0"/>
              <w14:checkedState w14:val="2612" w14:font="MS Gothic"/>
              <w14:uncheckedState w14:val="2610" w14:font="MS Gothic"/>
            </w14:checkbox>
          </w:sdtPr>
          <w:sdtEndPr/>
          <w:sdtContent>
            <w:tc>
              <w:tcPr>
                <w:tcW w:w="144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867572350"/>
            <w14:checkbox>
              <w14:checked w14:val="0"/>
              <w14:checkedState w14:val="2612" w14:font="MS Gothic"/>
              <w14:uncheckedState w14:val="2610" w14:font="MS Gothic"/>
            </w14:checkbox>
          </w:sdtPr>
          <w:sdtEndPr/>
          <w:sdtContent>
            <w:tc>
              <w:tcPr>
                <w:tcW w:w="144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r w:rsidR="003E7CF1" w:rsidRPr="00A65D7E" w:rsidTr="003E7CF1">
        <w:trPr>
          <w:cantSplit/>
        </w:trPr>
        <w:tc>
          <w:tcPr>
            <w:tcW w:w="9540" w:type="dxa"/>
            <w:tcBorders>
              <w:bottom w:val="single" w:sz="4" w:space="0" w:color="auto"/>
            </w:tcBorders>
          </w:tcPr>
          <w:p w:rsidR="003E7CF1" w:rsidRPr="00A65D7E" w:rsidRDefault="003E7CF1" w:rsidP="00E1329A">
            <w:pPr>
              <w:pStyle w:val="tabletext"/>
              <w:spacing w:before="50" w:after="50"/>
              <w:rPr>
                <w:rFonts w:asciiTheme="minorHAnsi" w:hAnsiTheme="minorHAnsi"/>
              </w:rPr>
            </w:pPr>
            <w:r w:rsidRPr="00A65D7E">
              <w:rPr>
                <w:rFonts w:asciiTheme="minorHAnsi" w:hAnsiTheme="minorHAnsi"/>
              </w:rPr>
              <w:lastRenderedPageBreak/>
              <w:t>Strategy 34: Grant or revolving loan programs are available for energy-efficiency upgrades.</w:t>
            </w:r>
            <w:r w:rsidRPr="00A65D7E">
              <w:rPr>
                <w:rStyle w:val="FootnoteReference"/>
                <w:rFonts w:asciiTheme="minorHAnsi" w:hAnsiTheme="minorHAnsi"/>
              </w:rPr>
              <w:footnoteReference w:id="42"/>
            </w:r>
            <w:r w:rsidRPr="00A65D7E">
              <w:rPr>
                <w:rFonts w:asciiTheme="minorHAnsi" w:hAnsiTheme="minorHAnsi"/>
                <w:vertAlign w:val="superscript"/>
              </w:rPr>
              <w:t>,</w:t>
            </w:r>
            <w:r w:rsidRPr="00A65D7E">
              <w:rPr>
                <w:rStyle w:val="FootnoteReference"/>
                <w:rFonts w:asciiTheme="minorHAnsi" w:hAnsiTheme="minorHAnsi"/>
              </w:rPr>
              <w:footnoteReference w:id="43"/>
            </w:r>
            <w:r w:rsidRPr="00A65D7E">
              <w:rPr>
                <w:rFonts w:asciiTheme="minorHAnsi" w:hAnsiTheme="minorHAnsi"/>
                <w:vertAlign w:val="superscript"/>
              </w:rPr>
              <w:t>,</w:t>
            </w:r>
            <w:r w:rsidRPr="00A65D7E">
              <w:rPr>
                <w:rStyle w:val="FootnoteReference"/>
                <w:rFonts w:asciiTheme="minorHAnsi" w:hAnsiTheme="minorHAnsi"/>
              </w:rPr>
              <w:footnoteReference w:id="44"/>
            </w:r>
            <w:r w:rsidR="00E1329A" w:rsidRPr="00A65D7E">
              <w:rPr>
                <w:rFonts w:asciiTheme="minorHAnsi" w:hAnsiTheme="minorHAnsi"/>
              </w:rPr>
              <w:t xml:space="preserve">  </w:t>
            </w:r>
            <w:r w:rsidR="00E1329A" w:rsidRPr="00A65D7E">
              <w:rPr>
                <w:rFonts w:asciiTheme="minorHAnsi" w:hAnsiTheme="minorHAnsi"/>
                <w:i/>
                <w:color w:val="FF0000"/>
              </w:rPr>
              <w:fldChar w:fldCharType="begin">
                <w:ffData>
                  <w:name w:val="Text1"/>
                  <w:enabled/>
                  <w:calcOnExit w:val="0"/>
                  <w:textInput/>
                </w:ffData>
              </w:fldChar>
            </w:r>
            <w:r w:rsidR="00E1329A" w:rsidRPr="00A65D7E">
              <w:rPr>
                <w:rFonts w:asciiTheme="minorHAnsi" w:hAnsiTheme="minorHAnsi"/>
                <w:i/>
                <w:color w:val="FF0000"/>
              </w:rPr>
              <w:instrText xml:space="preserve"> FORMTEXT </w:instrText>
            </w:r>
            <w:r w:rsidR="00E1329A" w:rsidRPr="00A65D7E">
              <w:rPr>
                <w:rFonts w:asciiTheme="minorHAnsi" w:hAnsiTheme="minorHAnsi"/>
                <w:i/>
                <w:color w:val="FF0000"/>
              </w:rPr>
            </w:r>
            <w:r w:rsidR="00E1329A" w:rsidRPr="00A65D7E">
              <w:rPr>
                <w:rFonts w:asciiTheme="minorHAnsi" w:hAnsiTheme="minorHAnsi"/>
                <w:i/>
                <w:color w:val="FF0000"/>
              </w:rPr>
              <w:fldChar w:fldCharType="separate"/>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noProof/>
                <w:color w:val="FF0000"/>
              </w:rPr>
              <w:t> </w:t>
            </w:r>
            <w:r w:rsidR="00E1329A" w:rsidRPr="00A65D7E">
              <w:rPr>
                <w:rFonts w:asciiTheme="minorHAnsi" w:hAnsiTheme="minorHAnsi"/>
                <w:i/>
                <w:color w:val="FF0000"/>
              </w:rPr>
              <w:fldChar w:fldCharType="end"/>
            </w:r>
          </w:p>
        </w:tc>
        <w:sdt>
          <w:sdtPr>
            <w:rPr>
              <w:rFonts w:asciiTheme="minorHAnsi" w:hAnsiTheme="minorHAnsi"/>
            </w:rPr>
            <w:id w:val="-852719496"/>
            <w14:checkbox>
              <w14:checked w14:val="0"/>
              <w14:checkedState w14:val="2612" w14:font="MS Gothic"/>
              <w14:uncheckedState w14:val="2610" w14:font="MS Gothic"/>
            </w14:checkbox>
          </w:sdtPr>
          <w:sdtEndPr/>
          <w:sdtContent>
            <w:tc>
              <w:tcPr>
                <w:tcW w:w="144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sdt>
          <w:sdtPr>
            <w:rPr>
              <w:rFonts w:asciiTheme="minorHAnsi" w:hAnsiTheme="minorHAnsi"/>
            </w:rPr>
            <w:id w:val="-1234392914"/>
            <w14:checkbox>
              <w14:checked w14:val="0"/>
              <w14:checkedState w14:val="2612" w14:font="MS Gothic"/>
              <w14:uncheckedState w14:val="2610" w14:font="MS Gothic"/>
            </w14:checkbox>
          </w:sdtPr>
          <w:sdtEndPr/>
          <w:sdtContent>
            <w:tc>
              <w:tcPr>
                <w:tcW w:w="144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MS Gothic" w:eastAsia="MS Gothic" w:hAnsi="MS Gothic" w:cs="MS Gothic" w:hint="eastAsia"/>
                  </w:rPr>
                  <w:t>☐</w:t>
                </w:r>
              </w:p>
            </w:tc>
          </w:sdtContent>
        </w:sdt>
        <w:tc>
          <w:tcPr>
            <w:tcW w:w="1260" w:type="dxa"/>
            <w:tcBorders>
              <w:bottom w:val="single" w:sz="4" w:space="0" w:color="auto"/>
            </w:tcBorders>
          </w:tcPr>
          <w:p w:rsidR="003E7CF1" w:rsidRPr="00A65D7E" w:rsidRDefault="003E7CF1" w:rsidP="00E1329A">
            <w:pPr>
              <w:pStyle w:val="tabletext"/>
              <w:spacing w:before="50" w:after="50"/>
              <w:jc w:val="center"/>
              <w:rPr>
                <w:rFonts w:asciiTheme="minorHAnsi" w:hAnsiTheme="minorHAnsi"/>
              </w:rPr>
            </w:pPr>
            <w:r w:rsidRPr="00A65D7E">
              <w:rPr>
                <w:rFonts w:asciiTheme="minorHAnsi" w:hAnsiTheme="minorHAnsi"/>
              </w:rPr>
              <w:t>1,2</w:t>
            </w:r>
          </w:p>
        </w:tc>
      </w:tr>
    </w:tbl>
    <w:p w:rsidR="00DC4273" w:rsidRPr="003963D1" w:rsidRDefault="00DC4273" w:rsidP="003963D1"/>
    <w:sectPr w:rsidR="00DC4273" w:rsidRPr="003963D1" w:rsidSect="002363CF">
      <w:headerReference w:type="default" r:id="rId9"/>
      <w:footerReference w:type="default" r:id="rId10"/>
      <w:pgSz w:w="15840" w:h="12240" w:orient="landscape"/>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B3F" w:rsidRDefault="00FF5B3F" w:rsidP="000364A3">
      <w:pPr>
        <w:spacing w:after="0" w:line="240" w:lineRule="auto"/>
      </w:pPr>
      <w:r>
        <w:separator/>
      </w:r>
    </w:p>
  </w:endnote>
  <w:endnote w:type="continuationSeparator" w:id="0">
    <w:p w:rsidR="00FF5B3F" w:rsidRDefault="00FF5B3F" w:rsidP="000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2312"/>
      <w:gridCol w:w="1368"/>
    </w:tblGrid>
    <w:tr w:rsidR="000364A3" w:rsidTr="00D6406A">
      <w:tc>
        <w:tcPr>
          <w:tcW w:w="4500" w:type="pct"/>
          <w:tcBorders>
            <w:top w:val="single" w:sz="4" w:space="0" w:color="000000" w:themeColor="text1"/>
          </w:tcBorders>
        </w:tcPr>
        <w:p w:rsidR="000364A3" w:rsidRPr="00724694" w:rsidRDefault="000364A3" w:rsidP="00680B7B">
          <w:pPr>
            <w:pStyle w:val="Footer"/>
            <w:rPr>
              <w:sz w:val="18"/>
            </w:rPr>
          </w:pPr>
          <w:r w:rsidRPr="00724694">
            <w:rPr>
              <w:sz w:val="18"/>
            </w:rPr>
            <w:t>Smart Growth Self-Assessment for Rural Communi</w:t>
          </w:r>
          <w:r>
            <w:rPr>
              <w:sz w:val="18"/>
            </w:rPr>
            <w:t>ties</w:t>
          </w:r>
        </w:p>
      </w:tc>
      <w:tc>
        <w:tcPr>
          <w:tcW w:w="500" w:type="pct"/>
          <w:tcBorders>
            <w:top w:val="single" w:sz="4" w:space="0" w:color="C0504D" w:themeColor="accent2"/>
          </w:tcBorders>
          <w:shd w:val="clear" w:color="auto" w:fill="76923C" w:themeFill="accent3" w:themeFillShade="BF"/>
        </w:tcPr>
        <w:p w:rsidR="000364A3" w:rsidRPr="00724694" w:rsidRDefault="000364A3" w:rsidP="00D6406A">
          <w:pPr>
            <w:pStyle w:val="Header"/>
            <w:jc w:val="right"/>
            <w:rPr>
              <w:color w:val="FFFFFF" w:themeColor="background1"/>
              <w:sz w:val="18"/>
            </w:rPr>
          </w:pPr>
          <w:r w:rsidRPr="00846C31">
            <w:rPr>
              <w:color w:val="FFFFFF" w:themeColor="background1"/>
              <w:sz w:val="18"/>
              <w:szCs w:val="18"/>
            </w:rPr>
            <w:fldChar w:fldCharType="begin"/>
          </w:r>
          <w:r w:rsidRPr="00846C31">
            <w:rPr>
              <w:color w:val="FFFFFF" w:themeColor="background1"/>
              <w:sz w:val="18"/>
              <w:szCs w:val="18"/>
            </w:rPr>
            <w:instrText xml:space="preserve"> PAGE   \* MERGEFORMAT </w:instrText>
          </w:r>
          <w:r w:rsidRPr="00846C31">
            <w:rPr>
              <w:color w:val="FFFFFF" w:themeColor="background1"/>
              <w:sz w:val="18"/>
              <w:szCs w:val="18"/>
            </w:rPr>
            <w:fldChar w:fldCharType="separate"/>
          </w:r>
          <w:r w:rsidR="000C3E8A">
            <w:rPr>
              <w:noProof/>
              <w:color w:val="FFFFFF" w:themeColor="background1"/>
              <w:sz w:val="18"/>
              <w:szCs w:val="18"/>
            </w:rPr>
            <w:t>2</w:t>
          </w:r>
          <w:r w:rsidRPr="00846C31">
            <w:rPr>
              <w:noProof/>
              <w:color w:val="FFFFFF" w:themeColor="background1"/>
              <w:sz w:val="18"/>
              <w:szCs w:val="18"/>
            </w:rPr>
            <w:fldChar w:fldCharType="end"/>
          </w:r>
        </w:p>
      </w:tc>
    </w:tr>
  </w:tbl>
  <w:p w:rsidR="000364A3" w:rsidRPr="00666A88" w:rsidRDefault="000364A3" w:rsidP="0003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B3F" w:rsidRDefault="00FF5B3F" w:rsidP="000364A3">
      <w:pPr>
        <w:spacing w:after="0" w:line="240" w:lineRule="auto"/>
      </w:pPr>
      <w:r>
        <w:separator/>
      </w:r>
    </w:p>
  </w:footnote>
  <w:footnote w:type="continuationSeparator" w:id="0">
    <w:p w:rsidR="00FF5B3F" w:rsidRDefault="00FF5B3F" w:rsidP="000364A3">
      <w:pPr>
        <w:spacing w:after="0" w:line="240" w:lineRule="auto"/>
      </w:pPr>
      <w:r>
        <w:continuationSeparator/>
      </w:r>
    </w:p>
  </w:footnote>
  <w:footnote w:id="1">
    <w:p w:rsidR="003963D1" w:rsidRPr="009C63D2" w:rsidRDefault="003963D1" w:rsidP="003963D1">
      <w:pPr>
        <w:pStyle w:val="FootnoteText"/>
        <w:contextualSpacing/>
        <w:rPr>
          <w:sz w:val="16"/>
        </w:rPr>
      </w:pPr>
      <w:r w:rsidRPr="009C63D2">
        <w:rPr>
          <w:rStyle w:val="FootnoteReference"/>
          <w:sz w:val="16"/>
        </w:rPr>
        <w:footnoteRef/>
      </w:r>
      <w:r w:rsidRPr="009C63D2">
        <w:rPr>
          <w:sz w:val="16"/>
        </w:rPr>
        <w:t xml:space="preserve"> Self-assessment topics and recommendations apply to one or more of the following scales: 1 – large town/small city (population of approximately 10,000 or greater); 2 - village/small town (population typically under 10,000) 3 – rural (very low density places, working lands, and natural areas outside of towns, villages, and cities).</w:t>
      </w:r>
    </w:p>
  </w:footnote>
  <w:footnote w:id="2">
    <w:p w:rsidR="003963D1" w:rsidRPr="009C63D2" w:rsidRDefault="003963D1" w:rsidP="003963D1">
      <w:pPr>
        <w:pStyle w:val="FootnoteText"/>
        <w:contextualSpacing/>
        <w:rPr>
          <w:sz w:val="16"/>
        </w:rPr>
      </w:pPr>
      <w:r w:rsidRPr="009C63D2">
        <w:rPr>
          <w:rStyle w:val="FootnoteReference"/>
          <w:sz w:val="16"/>
        </w:rPr>
        <w:footnoteRef/>
      </w:r>
      <w:r w:rsidRPr="009C63D2">
        <w:rPr>
          <w:sz w:val="16"/>
        </w:rPr>
        <w:t xml:space="preserve"> Minnesota State Residential Energy Code Requirements (</w:t>
      </w:r>
      <w:hyperlink r:id="rId1" w:history="1">
        <w:r w:rsidRPr="009C63D2">
          <w:rPr>
            <w:rStyle w:val="Hyperlink"/>
            <w:sz w:val="16"/>
          </w:rPr>
          <w:t>https://www.energycodes.gov/adoption/states/minnesota</w:t>
        </w:r>
      </w:hyperlink>
      <w:r w:rsidRPr="009C63D2">
        <w:rPr>
          <w:sz w:val="16"/>
        </w:rPr>
        <w:t>).</w:t>
      </w:r>
    </w:p>
  </w:footnote>
  <w:footnote w:id="3">
    <w:p w:rsidR="003963D1" w:rsidRPr="009C63D2" w:rsidRDefault="003963D1" w:rsidP="003963D1">
      <w:pPr>
        <w:pStyle w:val="FootnoteText"/>
        <w:contextualSpacing/>
        <w:rPr>
          <w:sz w:val="16"/>
        </w:rPr>
      </w:pPr>
      <w:r w:rsidRPr="009C63D2">
        <w:rPr>
          <w:rStyle w:val="FootnoteReference"/>
          <w:sz w:val="16"/>
        </w:rPr>
        <w:footnoteRef/>
      </w:r>
      <w:r w:rsidRPr="009C63D2">
        <w:rPr>
          <w:sz w:val="16"/>
        </w:rPr>
        <w:t xml:space="preserve"> Daly City Municipal Requirements (</w:t>
      </w:r>
      <w:hyperlink r:id="rId2" w:history="1">
        <w:r w:rsidRPr="009C63D2">
          <w:rPr>
            <w:rStyle w:val="Hyperlink"/>
            <w:sz w:val="16"/>
          </w:rPr>
          <w:t>http://www.dalycity.org/City_Hall/Departments/ECD/building.htm</w:t>
        </w:r>
      </w:hyperlink>
      <w:r w:rsidRPr="009C63D2">
        <w:rPr>
          <w:sz w:val="16"/>
        </w:rPr>
        <w:t>).</w:t>
      </w:r>
    </w:p>
  </w:footnote>
  <w:footnote w:id="4">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U.S. Department of Energy. </w:t>
      </w:r>
      <w:r w:rsidRPr="009C63D2">
        <w:rPr>
          <w:sz w:val="16"/>
        </w:rPr>
        <w:t>Guide to Air Sealing (</w:t>
      </w:r>
      <w:hyperlink r:id="rId3" w:history="1">
        <w:r>
          <w:rPr>
            <w:rStyle w:val="Hyperlink"/>
            <w:sz w:val="16"/>
          </w:rPr>
          <w:t>http://energy.gov/sites/prod/files/guide_to_air_sealing.pdf</w:t>
        </w:r>
      </w:hyperlink>
      <w:hyperlink r:id="rId4" w:history="1"/>
      <w:r w:rsidRPr="009C63D2">
        <w:rPr>
          <w:sz w:val="16"/>
        </w:rPr>
        <w:t>).</w:t>
      </w:r>
    </w:p>
  </w:footnote>
  <w:footnote w:id="5">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EPA</w:t>
      </w:r>
      <w:r>
        <w:rPr>
          <w:sz w:val="16"/>
        </w:rPr>
        <w:t>.</w:t>
      </w:r>
      <w:r w:rsidRPr="009C63D2">
        <w:rPr>
          <w:sz w:val="16"/>
        </w:rPr>
        <w:t xml:space="preserve"> Cool Roofs: Urban Heat Island Mitigation (</w:t>
      </w:r>
      <w:hyperlink r:id="rId5" w:history="1">
        <w:r w:rsidRPr="009C63D2">
          <w:rPr>
            <w:rStyle w:val="Hyperlink"/>
            <w:sz w:val="16"/>
          </w:rPr>
          <w:t>http://www.epa.gov/heatisland/mitigation/index.htm</w:t>
        </w:r>
      </w:hyperlink>
      <w:hyperlink r:id="rId6" w:history="1"/>
      <w:r w:rsidRPr="009C63D2">
        <w:rPr>
          <w:sz w:val="16"/>
        </w:rPr>
        <w:t>).</w:t>
      </w:r>
    </w:p>
  </w:footnote>
  <w:footnote w:id="6">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California Title 24 and Cool Roofs</w:t>
      </w:r>
      <w:r w:rsidRPr="009C63D2" w:rsidDel="003237C1">
        <w:rPr>
          <w:sz w:val="16"/>
        </w:rPr>
        <w:t xml:space="preserve"> </w:t>
      </w:r>
      <w:r w:rsidRPr="009C63D2">
        <w:rPr>
          <w:sz w:val="16"/>
        </w:rPr>
        <w:t>(</w:t>
      </w:r>
      <w:hyperlink r:id="rId7" w:history="1">
        <w:r w:rsidRPr="009C63D2">
          <w:rPr>
            <w:rStyle w:val="Hyperlink"/>
            <w:sz w:val="16"/>
          </w:rPr>
          <w:t>http://www.title24express.com/what-is-title-24/title-24-cool-roof/</w:t>
        </w:r>
      </w:hyperlink>
      <w:r w:rsidRPr="009C63D2">
        <w:rPr>
          <w:sz w:val="16"/>
        </w:rPr>
        <w:t>).</w:t>
      </w:r>
    </w:p>
  </w:footnote>
  <w:footnote w:id="7">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New York State Heating, Ventilation, and Air-Conditioning standards (</w:t>
      </w:r>
      <w:hyperlink r:id="rId8" w:history="1">
        <w:r w:rsidRPr="009C63D2">
          <w:rPr>
            <w:rStyle w:val="Hyperlink"/>
            <w:sz w:val="16"/>
          </w:rPr>
          <w:t>http://www.dos.ny.gov/DCEA/</w:t>
        </w:r>
      </w:hyperlink>
      <w:r w:rsidRPr="009C63D2">
        <w:rPr>
          <w:sz w:val="16"/>
        </w:rPr>
        <w:t>).</w:t>
      </w:r>
    </w:p>
  </w:footnote>
  <w:footnote w:id="8">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California Building HVAC Requirements (CEC-400-2013-001) (</w:t>
      </w:r>
      <w:hyperlink r:id="rId9" w:history="1">
        <w:r w:rsidRPr="009C63D2">
          <w:rPr>
            <w:rStyle w:val="Hyperlink"/>
            <w:sz w:val="16"/>
          </w:rPr>
          <w:t>http://www.energy.ca.gov/2008publications/CEC-400-2008-016/rev1_chapters/RCM_Chapter_4_HVAC.pdf</w:t>
        </w:r>
      </w:hyperlink>
      <w:r w:rsidRPr="009C63D2">
        <w:rPr>
          <w:sz w:val="16"/>
        </w:rPr>
        <w:t>).</w:t>
      </w:r>
    </w:p>
  </w:footnote>
  <w:footnote w:id="9">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State Appliance Efficiency Standards (</w:t>
      </w:r>
      <w:hyperlink r:id="rId10" w:history="1">
        <w:r>
          <w:rPr>
            <w:rStyle w:val="Hyperlink"/>
            <w:sz w:val="16"/>
          </w:rPr>
          <w:t>http://www.epa.gov/statelocalclimate/documents/pdf/guide_action_chap4_s4.pdf</w:t>
        </w:r>
      </w:hyperlink>
      <w:hyperlink r:id="rId11" w:history="1"/>
      <w:r w:rsidRPr="009C63D2">
        <w:rPr>
          <w:sz w:val="16"/>
        </w:rPr>
        <w:t>).</w:t>
      </w:r>
    </w:p>
  </w:footnote>
  <w:footnote w:id="10">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Virginia Mechanical Code: Duct Systems (</w:t>
      </w:r>
      <w:hyperlink r:id="rId12" w:history="1">
        <w:r w:rsidRPr="009C63D2">
          <w:rPr>
            <w:rStyle w:val="Hyperlink"/>
            <w:sz w:val="16"/>
          </w:rPr>
          <w:t>http://www2.iccsafe.org/states/virginia/Mechanical/Mech_Frameset.html</w:t>
        </w:r>
      </w:hyperlink>
      <w:r w:rsidRPr="009C63D2">
        <w:rPr>
          <w:sz w:val="16"/>
        </w:rPr>
        <w:t>).</w:t>
      </w:r>
    </w:p>
  </w:footnote>
  <w:footnote w:id="11">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2012 N</w:t>
      </w:r>
      <w:r>
        <w:rPr>
          <w:sz w:val="16"/>
        </w:rPr>
        <w:t>orth Carolina</w:t>
      </w:r>
      <w:r w:rsidRPr="009C63D2">
        <w:rPr>
          <w:sz w:val="16"/>
        </w:rPr>
        <w:t xml:space="preserve"> Residential Energy Code (</w:t>
      </w:r>
      <w:hyperlink r:id="rId13" w:history="1">
        <w:r w:rsidRPr="009C63D2">
          <w:rPr>
            <w:rStyle w:val="Hyperlink"/>
            <w:sz w:val="16"/>
          </w:rPr>
          <w:t>http://ncenergystar.org/energy-code</w:t>
        </w:r>
      </w:hyperlink>
      <w:r w:rsidRPr="009C63D2">
        <w:rPr>
          <w:sz w:val="16"/>
        </w:rPr>
        <w:t>).</w:t>
      </w:r>
    </w:p>
  </w:footnote>
  <w:footnote w:id="12">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U.S. Green Building Council. Solar Orientation Guidelines (</w:t>
      </w:r>
      <w:hyperlink w:history="1"/>
      <w:hyperlink r:id="rId14" w:history="1">
        <w:r w:rsidRPr="009C63D2">
          <w:rPr>
            <w:rStyle w:val="Hyperlink"/>
            <w:sz w:val="16"/>
          </w:rPr>
          <w:t>http://www.usgbc.org/credits/ea51</w:t>
        </w:r>
      </w:hyperlink>
      <w:r w:rsidRPr="009C63D2">
        <w:rPr>
          <w:sz w:val="16"/>
        </w:rPr>
        <w:t>).</w:t>
      </w:r>
    </w:p>
  </w:footnote>
  <w:footnote w:id="13">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U.S. Department of Energy. Outdoor Lighting Resources (</w:t>
      </w:r>
      <w:hyperlink r:id="rId15" w:history="1">
        <w:r w:rsidRPr="009C63D2">
          <w:rPr>
            <w:rStyle w:val="Hyperlink"/>
            <w:sz w:val="16"/>
          </w:rPr>
          <w:t>http://energy.gov/eere/ssl/outdoor-lighting-resources</w:t>
        </w:r>
      </w:hyperlink>
      <w:r w:rsidRPr="009C63D2">
        <w:rPr>
          <w:sz w:val="16"/>
        </w:rPr>
        <w:t>).</w:t>
      </w:r>
    </w:p>
  </w:footnote>
  <w:footnote w:id="14">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Cape Coral Photovoltaic Solar Permit Guidelines (</w:t>
      </w:r>
      <w:hyperlink r:id="rId16" w:anchor=".VPTe2fnF9gg" w:history="1">
        <w:r w:rsidRPr="009C63D2">
          <w:rPr>
            <w:rStyle w:val="Hyperlink"/>
            <w:sz w:val="16"/>
          </w:rPr>
          <w:t>http://www.capecoral.net/department/community_development/permitting/documents_required_for_permits.php#.VPTe2fnF9gg</w:t>
        </w:r>
      </w:hyperlink>
      <w:r w:rsidRPr="009C63D2">
        <w:rPr>
          <w:sz w:val="16"/>
        </w:rPr>
        <w:t>).</w:t>
      </w:r>
    </w:p>
  </w:footnote>
  <w:footnote w:id="15">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American Planning Association. </w:t>
      </w:r>
      <w:r w:rsidRPr="009C63D2">
        <w:rPr>
          <w:sz w:val="16"/>
        </w:rPr>
        <w:t>Model Solar Ordinances and Commentary (</w:t>
      </w:r>
      <w:hyperlink r:id="rId17" w:history="1">
        <w:r w:rsidRPr="009C63D2">
          <w:rPr>
            <w:rStyle w:val="Hyperlink"/>
            <w:sz w:val="16"/>
          </w:rPr>
          <w:t>https://www.planning.org/pas/infopackets/open/eip30.htm</w:t>
        </w:r>
      </w:hyperlink>
      <w:r w:rsidRPr="009C63D2">
        <w:rPr>
          <w:sz w:val="16"/>
        </w:rPr>
        <w:t>).</w:t>
      </w:r>
    </w:p>
  </w:footnote>
  <w:footnote w:id="16">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hyperlink w:history="1"/>
      <w:r w:rsidRPr="009C63D2">
        <w:rPr>
          <w:sz w:val="16"/>
        </w:rPr>
        <w:t>U.S. Department of Energy. Solar Water Heaters. (</w:t>
      </w:r>
      <w:hyperlink r:id="rId18" w:history="1">
        <w:r w:rsidRPr="009C63D2">
          <w:rPr>
            <w:rStyle w:val="Hyperlink"/>
            <w:sz w:val="16"/>
          </w:rPr>
          <w:t>http://energy.gov/energysaver/articles/solar-water-heaters</w:t>
        </w:r>
      </w:hyperlink>
      <w:r w:rsidRPr="009C63D2">
        <w:rPr>
          <w:sz w:val="16"/>
        </w:rPr>
        <w:t xml:space="preserve">). </w:t>
      </w:r>
    </w:p>
  </w:footnote>
  <w:footnote w:id="17">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Oregon Department of Energy. </w:t>
      </w:r>
      <w:r w:rsidRPr="009C63D2">
        <w:rPr>
          <w:sz w:val="16"/>
        </w:rPr>
        <w:t>Residential Wind Systems (</w:t>
      </w:r>
      <w:hyperlink r:id="rId19" w:history="1">
        <w:r w:rsidRPr="009C63D2">
          <w:rPr>
            <w:rStyle w:val="Hyperlink"/>
            <w:sz w:val="16"/>
          </w:rPr>
          <w:t>http://www.oregon.gov/energy/renew/pages/wind/small.aspx</w:t>
        </w:r>
      </w:hyperlink>
      <w:r w:rsidRPr="009C63D2">
        <w:rPr>
          <w:sz w:val="16"/>
        </w:rPr>
        <w:t>).</w:t>
      </w:r>
    </w:p>
  </w:footnote>
  <w:footnote w:id="18">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Natural Resources Defense Council. </w:t>
      </w:r>
      <w:r w:rsidRPr="009C63D2">
        <w:rPr>
          <w:sz w:val="16"/>
        </w:rPr>
        <w:t xml:space="preserve">Renewable </w:t>
      </w:r>
      <w:r>
        <w:rPr>
          <w:sz w:val="16"/>
        </w:rPr>
        <w:t xml:space="preserve">Energy for America </w:t>
      </w:r>
      <w:r w:rsidRPr="009C63D2">
        <w:rPr>
          <w:sz w:val="16"/>
        </w:rPr>
        <w:t>(</w:t>
      </w:r>
      <w:hyperlink r:id="rId20" w:history="1">
        <w:r w:rsidRPr="009C63D2">
          <w:rPr>
            <w:rStyle w:val="Hyperlink"/>
            <w:sz w:val="16"/>
          </w:rPr>
          <w:t>http://www.nrdc.org/energy/renewables/</w:t>
        </w:r>
      </w:hyperlink>
      <w:r w:rsidRPr="009C63D2">
        <w:rPr>
          <w:sz w:val="16"/>
        </w:rPr>
        <w:t>).</w:t>
      </w:r>
    </w:p>
  </w:footnote>
  <w:footnote w:id="19">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Accomack County Draft Industrial Zoning District permits alternative energy and biofuels production (</w:t>
      </w:r>
      <w:hyperlink r:id="rId21" w:history="1">
        <w:r w:rsidRPr="009C63D2">
          <w:rPr>
            <w:rStyle w:val="Hyperlink"/>
            <w:sz w:val="16"/>
          </w:rPr>
          <w:t>http://accomackcounty.eregulations.us/code/coor_apxid1370_ch106_artvi</w:t>
        </w:r>
      </w:hyperlink>
      <w:hyperlink r:id="rId22" w:history="1"/>
      <w:r w:rsidRPr="009C63D2">
        <w:rPr>
          <w:sz w:val="16"/>
        </w:rPr>
        <w:t xml:space="preserve">). </w:t>
      </w:r>
    </w:p>
  </w:footnote>
  <w:footnote w:id="20">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Sonoma County</w:t>
      </w:r>
      <w:r>
        <w:rPr>
          <w:sz w:val="16"/>
        </w:rPr>
        <w:t>. Renewable Energy:</w:t>
      </w:r>
      <w:r w:rsidRPr="009C63D2">
        <w:rPr>
          <w:sz w:val="16"/>
        </w:rPr>
        <w:t xml:space="preserve"> Zoning For Renewable Energy (</w:t>
      </w:r>
      <w:hyperlink r:id="rId23" w:history="1">
        <w:r w:rsidRPr="009C63D2">
          <w:rPr>
            <w:rStyle w:val="Hyperlink"/>
            <w:sz w:val="16"/>
          </w:rPr>
          <w:t>http://www.sonoma-county.org/prmd/docs/renewable_energy/</w:t>
        </w:r>
      </w:hyperlink>
      <w:r w:rsidRPr="009C63D2">
        <w:rPr>
          <w:sz w:val="16"/>
        </w:rPr>
        <w:t>).</w:t>
      </w:r>
    </w:p>
  </w:footnote>
  <w:footnote w:id="21">
    <w:p w:rsidR="003963D1" w:rsidRPr="009C63D2" w:rsidRDefault="003963D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EPA. Study on </w:t>
      </w:r>
      <w:r w:rsidRPr="009C63D2">
        <w:rPr>
          <w:sz w:val="16"/>
        </w:rPr>
        <w:t>Location Efficiency and Housing Type – Boiling it Down to BTUs (</w:t>
      </w:r>
      <w:hyperlink r:id="rId24" w:history="1">
        <w:r w:rsidRPr="009C63D2">
          <w:rPr>
            <w:rStyle w:val="Hyperlink"/>
            <w:sz w:val="16"/>
          </w:rPr>
          <w:t>http://www.epa.gov/dced/location_efficiency_BTU.htm</w:t>
        </w:r>
      </w:hyperlink>
      <w:r w:rsidRPr="009C63D2">
        <w:rPr>
          <w:sz w:val="16"/>
        </w:rPr>
        <w:t xml:space="preserve">). </w:t>
      </w:r>
    </w:p>
  </w:footnote>
  <w:footnote w:id="22">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City of Aspen Civic Master Plan (</w:t>
      </w:r>
      <w:hyperlink r:id="rId25" w:history="1">
        <w:r w:rsidRPr="009C63D2">
          <w:rPr>
            <w:rStyle w:val="Hyperlink"/>
            <w:sz w:val="16"/>
          </w:rPr>
          <w:t>http://www.aspenpitkin.com/Results/?search=civic+master</w:t>
        </w:r>
      </w:hyperlink>
      <w:r w:rsidRPr="009C63D2">
        <w:rPr>
          <w:sz w:val="16"/>
          <w:szCs w:val="16"/>
        </w:rPr>
        <w:t>).</w:t>
      </w:r>
    </w:p>
  </w:footnote>
  <w:footnote w:id="23">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Fort Worth Annexation Policy, Program, and Plan (</w:t>
      </w:r>
      <w:hyperlink r:id="rId26" w:history="1">
        <w:r w:rsidRPr="009C63D2">
          <w:rPr>
            <w:rStyle w:val="Hyperlink"/>
            <w:sz w:val="16"/>
          </w:rPr>
          <w:t>http://fortworthtexas.gov/planninganddevelopment/misc.aspx?id=8662</w:t>
        </w:r>
      </w:hyperlink>
      <w:r w:rsidRPr="009C63D2">
        <w:rPr>
          <w:sz w:val="16"/>
        </w:rPr>
        <w:t>).</w:t>
      </w:r>
    </w:p>
  </w:footnote>
  <w:footnote w:id="24">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Portland </w:t>
      </w:r>
      <w:proofErr w:type="spellStart"/>
      <w:r w:rsidRPr="009C63D2">
        <w:rPr>
          <w:sz w:val="16"/>
        </w:rPr>
        <w:t>Ecoroof</w:t>
      </w:r>
      <w:proofErr w:type="spellEnd"/>
      <w:r w:rsidRPr="009C63D2">
        <w:rPr>
          <w:sz w:val="16"/>
        </w:rPr>
        <w:t xml:space="preserve"> Program (</w:t>
      </w:r>
      <w:hyperlink r:id="rId27" w:history="1">
        <w:r w:rsidRPr="009C63D2">
          <w:rPr>
            <w:rStyle w:val="Hyperlink"/>
            <w:sz w:val="16"/>
          </w:rPr>
          <w:t>https://www.portlandoregon.gov/bes/44422</w:t>
        </w:r>
      </w:hyperlink>
      <w:r w:rsidRPr="009C63D2">
        <w:rPr>
          <w:sz w:val="16"/>
        </w:rPr>
        <w:t>).</w:t>
      </w:r>
    </w:p>
  </w:footnote>
  <w:footnote w:id="25">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Minnesota State Public Building</w:t>
      </w:r>
      <w:r>
        <w:rPr>
          <w:sz w:val="16"/>
        </w:rPr>
        <w:t>s</w:t>
      </w:r>
      <w:r w:rsidRPr="009C63D2">
        <w:rPr>
          <w:sz w:val="16"/>
        </w:rPr>
        <w:t xml:space="preserve"> Enhanced Energy Efficiency Program Reports (</w:t>
      </w:r>
      <w:hyperlink r:id="rId28" w:history="1">
        <w:r>
          <w:rPr>
            <w:rStyle w:val="Hyperlink"/>
            <w:sz w:val="16"/>
          </w:rPr>
          <w:t>https://mn.gov/commerce/energy/businesses/financial/Energy-Savings-Programs/Government/Public-Buildings-Enhanced-Energy-Efficiency-Program/PBEEEP-State-Reports.jsp</w:t>
        </w:r>
      </w:hyperlink>
      <w:r w:rsidRPr="009C63D2">
        <w:rPr>
          <w:sz w:val="16"/>
        </w:rPr>
        <w:t>).</w:t>
      </w:r>
    </w:p>
  </w:footnote>
  <w:footnote w:id="26">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City of Bloomington</w:t>
      </w:r>
      <w:r>
        <w:rPr>
          <w:sz w:val="16"/>
        </w:rPr>
        <w:t>, Indiana</w:t>
      </w:r>
      <w:r w:rsidRPr="009C63D2">
        <w:rPr>
          <w:sz w:val="16"/>
        </w:rPr>
        <w:t xml:space="preserve"> 2010 Local Government Operations: Energy Use and Emissions Inventory (</w:t>
      </w:r>
      <w:hyperlink r:id="rId29" w:history="1">
        <w:r w:rsidRPr="009C63D2">
          <w:rPr>
            <w:rStyle w:val="Hyperlink"/>
            <w:sz w:val="16"/>
          </w:rPr>
          <w:t>http://bloomington.in.gov/energyresources</w:t>
        </w:r>
      </w:hyperlink>
      <w:r w:rsidRPr="009C63D2">
        <w:rPr>
          <w:sz w:val="16"/>
        </w:rPr>
        <w:t>).</w:t>
      </w:r>
    </w:p>
  </w:footnote>
  <w:footnote w:id="27">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Charles County Energy Action Plan for County Facilities (</w:t>
      </w:r>
      <w:hyperlink r:id="rId30" w:history="1">
        <w:r w:rsidRPr="009C63D2">
          <w:rPr>
            <w:rStyle w:val="Hyperlink"/>
            <w:sz w:val="16"/>
          </w:rPr>
          <w:t>http://www.charlescounty.org/green/</w:t>
        </w:r>
      </w:hyperlink>
      <w:r w:rsidRPr="009C63D2">
        <w:rPr>
          <w:sz w:val="16"/>
        </w:rPr>
        <w:t>).</w:t>
      </w:r>
    </w:p>
  </w:footnote>
  <w:footnote w:id="28">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City of </w:t>
      </w:r>
      <w:r w:rsidRPr="009C63D2">
        <w:rPr>
          <w:sz w:val="16"/>
        </w:rPr>
        <w:t>Knoxville</w:t>
      </w:r>
      <w:r>
        <w:rPr>
          <w:sz w:val="16"/>
        </w:rPr>
        <w:t>, Tennessee.</w:t>
      </w:r>
      <w:r w:rsidRPr="009C63D2">
        <w:rPr>
          <w:sz w:val="16"/>
        </w:rPr>
        <w:t xml:space="preserve"> </w:t>
      </w:r>
      <w:r>
        <w:rPr>
          <w:sz w:val="16"/>
        </w:rPr>
        <w:t xml:space="preserve">Energy and Sustainability Initiative: </w:t>
      </w:r>
      <w:r w:rsidRPr="009C63D2">
        <w:rPr>
          <w:sz w:val="16"/>
        </w:rPr>
        <w:t>2014 Work Plan &amp; Emissions Inventory Update (</w:t>
      </w:r>
      <w:hyperlink r:id="rId31" w:history="1">
        <w:r w:rsidRPr="009C63D2">
          <w:rPr>
            <w:rStyle w:val="Hyperlink"/>
            <w:sz w:val="16"/>
          </w:rPr>
          <w:t>http://www.cityofknoxville.org/sustainability/</w:t>
        </w:r>
      </w:hyperlink>
      <w:r w:rsidRPr="009C63D2">
        <w:rPr>
          <w:sz w:val="16"/>
        </w:rPr>
        <w:t>).</w:t>
      </w:r>
    </w:p>
  </w:footnote>
  <w:footnote w:id="29">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City of Asheville, North Carolina. </w:t>
      </w:r>
      <w:r w:rsidRPr="009C63D2">
        <w:rPr>
          <w:sz w:val="16"/>
        </w:rPr>
        <w:t xml:space="preserve">Reducing Energy Use in the East of the </w:t>
      </w:r>
      <w:proofErr w:type="spellStart"/>
      <w:r w:rsidRPr="009C63D2">
        <w:rPr>
          <w:sz w:val="16"/>
        </w:rPr>
        <w:t>Riverway</w:t>
      </w:r>
      <w:proofErr w:type="spellEnd"/>
      <w:r w:rsidRPr="009C63D2">
        <w:rPr>
          <w:sz w:val="16"/>
        </w:rPr>
        <w:t xml:space="preserve"> (</w:t>
      </w:r>
      <w:hyperlink r:id="rId32" w:history="1">
        <w:r>
          <w:rPr>
            <w:rStyle w:val="Hyperlink"/>
            <w:sz w:val="16"/>
          </w:rPr>
          <w:t>http://www.ashevillenc.gov/portals/0/city-documents/communitydevelopment/community%20energy%20reduction%20policy%20analysis%2012%2006%2012.pdf</w:t>
        </w:r>
      </w:hyperlink>
      <w:r w:rsidRPr="009C63D2">
        <w:rPr>
          <w:sz w:val="16"/>
        </w:rPr>
        <w:t>).</w:t>
      </w:r>
    </w:p>
  </w:footnote>
  <w:footnote w:id="30">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Massachusetts Renewable Energy Portfolio Standard (RPS) &amp; Alternative Energy Portfolio Standard Programs (APS) (</w:t>
      </w:r>
      <w:hyperlink r:id="rId33" w:history="1">
        <w:r w:rsidRPr="009C63D2">
          <w:rPr>
            <w:rStyle w:val="Hyperlink"/>
            <w:sz w:val="16"/>
          </w:rPr>
          <w:t>http://www.mass.gov/eea/energy-utilities-clean-tech/renewable-energy/rps-aps/</w:t>
        </w:r>
      </w:hyperlink>
      <w:r w:rsidRPr="009C63D2">
        <w:rPr>
          <w:sz w:val="16"/>
        </w:rPr>
        <w:t>).</w:t>
      </w:r>
    </w:p>
  </w:footnote>
  <w:footnote w:id="31">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Estes Park</w:t>
      </w:r>
      <w:r>
        <w:rPr>
          <w:sz w:val="16"/>
        </w:rPr>
        <w:t>, Colorado</w:t>
      </w:r>
      <w:r w:rsidRPr="009C63D2">
        <w:rPr>
          <w:sz w:val="16"/>
        </w:rPr>
        <w:t xml:space="preserve"> Renewable Energy Purchase Program (</w:t>
      </w:r>
      <w:hyperlink r:id="rId34" w:history="1">
        <w:r>
          <w:rPr>
            <w:rStyle w:val="Hyperlink"/>
            <w:sz w:val="16"/>
          </w:rPr>
          <w:t>https://www.colorado.gov/pacific/townofestespark/renewable-energy-purchase-program</w:t>
        </w:r>
      </w:hyperlink>
      <w:r w:rsidRPr="009C63D2">
        <w:rPr>
          <w:sz w:val="16"/>
        </w:rPr>
        <w:t>).</w:t>
      </w:r>
    </w:p>
  </w:footnote>
  <w:footnote w:id="32">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Examples of this include solar power, wind power, yard waste to energy, solid waste to energy, and methane capture from landfills.</w:t>
      </w:r>
    </w:p>
  </w:footnote>
  <w:footnote w:id="33">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EPA Top 30 </w:t>
      </w:r>
      <w:r w:rsidRPr="009C63D2">
        <w:rPr>
          <w:sz w:val="16"/>
        </w:rPr>
        <w:t>On-site Generation</w:t>
      </w:r>
      <w:r>
        <w:rPr>
          <w:sz w:val="16"/>
        </w:rPr>
        <w:t xml:space="preserve"> list – represents partners generating and consuming the most green power on-site within the Green Power Partnership</w:t>
      </w:r>
      <w:r w:rsidRPr="009C63D2">
        <w:rPr>
          <w:sz w:val="16"/>
        </w:rPr>
        <w:t xml:space="preserve"> (</w:t>
      </w:r>
      <w:hyperlink r:id="rId35" w:history="1">
        <w:r w:rsidRPr="009C63D2">
          <w:rPr>
            <w:rStyle w:val="Hyperlink"/>
            <w:sz w:val="16"/>
          </w:rPr>
          <w:t>http://www.epa.gov/greenpower/toplists/top30onsite.htm</w:t>
        </w:r>
      </w:hyperlink>
      <w:r w:rsidRPr="009C63D2">
        <w:rPr>
          <w:sz w:val="16"/>
        </w:rPr>
        <w:t>).</w:t>
      </w:r>
    </w:p>
  </w:footnote>
  <w:footnote w:id="34">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City of Tacoma Public Electric Vehicle Charging Stations (</w:t>
      </w:r>
      <w:hyperlink r:id="rId36" w:history="1">
        <w:r>
          <w:rPr>
            <w:rStyle w:val="Hyperlink"/>
            <w:sz w:val="16"/>
          </w:rPr>
          <w:t>https://www.cityoftacoma.org/government/city_departments/environmentalservices/office_of_environmental_policy_and_sustainability/green_living_resources_and_map/transportation/electric_vehicles</w:t>
        </w:r>
      </w:hyperlink>
      <w:r w:rsidRPr="009C63D2">
        <w:rPr>
          <w:sz w:val="16"/>
        </w:rPr>
        <w:t>).</w:t>
      </w:r>
    </w:p>
  </w:footnote>
  <w:footnote w:id="35">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MARTA </w:t>
      </w:r>
      <w:r>
        <w:rPr>
          <w:sz w:val="16"/>
        </w:rPr>
        <w:t xml:space="preserve">Sustainability Program: </w:t>
      </w:r>
      <w:r w:rsidRPr="009C63D2">
        <w:rPr>
          <w:sz w:val="16"/>
        </w:rPr>
        <w:t>Compressed Natural Gas bus fleet (</w:t>
      </w:r>
      <w:hyperlink r:id="rId37" w:history="1">
        <w:r w:rsidRPr="009C63D2">
          <w:rPr>
            <w:rStyle w:val="Hyperlink"/>
            <w:sz w:val="16"/>
          </w:rPr>
          <w:t>http://www.itsmarta.com/textver/update.aspx?id=9981</w:t>
        </w:r>
      </w:hyperlink>
      <w:r w:rsidRPr="009C63D2">
        <w:rPr>
          <w:sz w:val="16"/>
        </w:rPr>
        <w:t>).</w:t>
      </w:r>
    </w:p>
  </w:footnote>
  <w:footnote w:id="36">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California Natural Gas Vehicle </w:t>
      </w:r>
      <w:r>
        <w:rPr>
          <w:sz w:val="16"/>
        </w:rPr>
        <w:t>Coalition. Fueling Station Directory and Locators</w:t>
      </w:r>
      <w:r w:rsidRPr="009C63D2">
        <w:rPr>
          <w:sz w:val="16"/>
        </w:rPr>
        <w:t xml:space="preserve"> (</w:t>
      </w:r>
      <w:hyperlink r:id="rId38" w:history="1">
        <w:r w:rsidRPr="009C63D2">
          <w:rPr>
            <w:rStyle w:val="Hyperlink"/>
            <w:sz w:val="16"/>
          </w:rPr>
          <w:t>http://www.cngvc.org/news-and-resources/fueling-stations.php</w:t>
        </w:r>
      </w:hyperlink>
      <w:r w:rsidRPr="009C63D2">
        <w:rPr>
          <w:sz w:val="16"/>
        </w:rPr>
        <w:t>).</w:t>
      </w:r>
    </w:p>
  </w:footnote>
  <w:footnote w:id="37">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King County</w:t>
      </w:r>
      <w:r>
        <w:rPr>
          <w:sz w:val="16"/>
        </w:rPr>
        <w:t>, Washington</w:t>
      </w:r>
      <w:r w:rsidRPr="009C63D2">
        <w:rPr>
          <w:sz w:val="16"/>
        </w:rPr>
        <w:t xml:space="preserve"> </w:t>
      </w:r>
      <w:r>
        <w:rPr>
          <w:sz w:val="16"/>
        </w:rPr>
        <w:t xml:space="preserve">Energy Efficient </w:t>
      </w:r>
      <w:r w:rsidRPr="009C63D2">
        <w:rPr>
          <w:sz w:val="16"/>
        </w:rPr>
        <w:t>Lighting Implementation Plan (</w:t>
      </w:r>
      <w:hyperlink r:id="rId39" w:history="1">
        <w:r w:rsidRPr="009C63D2">
          <w:rPr>
            <w:rStyle w:val="Hyperlink"/>
            <w:sz w:val="16"/>
          </w:rPr>
          <w:t>http://www.kingcounty.gov/operations/procurement/Services/~/media/operations/procurement/documents/EP_Products_Lighting.ashx</w:t>
        </w:r>
      </w:hyperlink>
      <w:r w:rsidRPr="009C63D2">
        <w:rPr>
          <w:sz w:val="16"/>
        </w:rPr>
        <w:t>).</w:t>
      </w:r>
    </w:p>
  </w:footnote>
  <w:footnote w:id="38">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Mid-Ohio Regional Planning Commission. </w:t>
      </w:r>
      <w:r w:rsidRPr="009C63D2">
        <w:rPr>
          <w:sz w:val="16"/>
        </w:rPr>
        <w:t>Green your Fleet</w:t>
      </w:r>
      <w:r>
        <w:rPr>
          <w:sz w:val="16"/>
        </w:rPr>
        <w:t xml:space="preserve"> Strategies </w:t>
      </w:r>
      <w:r w:rsidRPr="009C63D2">
        <w:rPr>
          <w:sz w:val="16"/>
        </w:rPr>
        <w:t>(</w:t>
      </w:r>
      <w:hyperlink r:id="rId40" w:history="1">
        <w:r w:rsidRPr="009C63D2">
          <w:rPr>
            <w:rStyle w:val="Hyperlink"/>
            <w:sz w:val="16"/>
          </w:rPr>
          <w:t>http://www.morpc.org/Search/index?s=green%20your%20fleet</w:t>
        </w:r>
      </w:hyperlink>
      <w:r w:rsidRPr="009C63D2">
        <w:rPr>
          <w:sz w:val="16"/>
        </w:rPr>
        <w:t>).</w:t>
      </w:r>
    </w:p>
  </w:footnote>
  <w:footnote w:id="39">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New Jersey Local Government Energy Audits</w:t>
      </w:r>
      <w:r>
        <w:rPr>
          <w:sz w:val="16"/>
        </w:rPr>
        <w:t>: Guidelines and Application Forms</w:t>
      </w:r>
      <w:r w:rsidRPr="009C63D2">
        <w:rPr>
          <w:sz w:val="16"/>
        </w:rPr>
        <w:t xml:space="preserve"> (</w:t>
      </w:r>
      <w:hyperlink r:id="rId41" w:history="1">
        <w:r w:rsidRPr="009C63D2">
          <w:rPr>
            <w:rStyle w:val="Hyperlink"/>
            <w:sz w:val="16"/>
          </w:rPr>
          <w:t>http://www.njcleanenergy.com/LGEA</w:t>
        </w:r>
      </w:hyperlink>
      <w:r w:rsidRPr="009C63D2">
        <w:rPr>
          <w:sz w:val="16"/>
        </w:rPr>
        <w:t>).</w:t>
      </w:r>
    </w:p>
  </w:footnote>
  <w:footnote w:id="40">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Fort Collins Home Efficiency Audit Services </w:t>
      </w:r>
      <w:r>
        <w:rPr>
          <w:sz w:val="16"/>
        </w:rPr>
        <w:t xml:space="preserve">and Rebates </w:t>
      </w:r>
      <w:r w:rsidRPr="009C63D2">
        <w:rPr>
          <w:sz w:val="16"/>
        </w:rPr>
        <w:t>(</w:t>
      </w:r>
      <w:hyperlink r:id="rId42" w:history="1">
        <w:r>
          <w:rPr>
            <w:rStyle w:val="Hyperlink"/>
            <w:sz w:val="16"/>
          </w:rPr>
          <w:t>http://www.fcgov.com/utilities/residential/conserve/home-efficiency-program/</w:t>
        </w:r>
      </w:hyperlink>
      <w:r w:rsidRPr="009C63D2">
        <w:rPr>
          <w:sz w:val="16"/>
        </w:rPr>
        <w:t>).</w:t>
      </w:r>
    </w:p>
  </w:footnote>
  <w:footnote w:id="41">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 xml:space="preserve">The </w:t>
      </w:r>
      <w:r w:rsidRPr="009C63D2">
        <w:rPr>
          <w:sz w:val="16"/>
        </w:rPr>
        <w:t>Austin Energy Power Saver Program (</w:t>
      </w:r>
      <w:hyperlink r:id="rId43" w:history="1">
        <w:r>
          <w:rPr>
            <w:rStyle w:val="Hyperlink"/>
            <w:sz w:val="16"/>
          </w:rPr>
          <w:t>http://powersaver.austinenergy.com/wps/portal/psp/about/!ut/p/a1/jZBfb4IwFMU_yx7o26QUZbqkWRB1og7HjH_gxRTsEIcU20Ljtx_qy0w0s8lNe3N_p-fm6KG-0sOcVGlCZMpykp360FpD1EZDByK3bfcRdD3YNyd9H05dqwaCv8B0-tmC7ssXmvgz02jPjQf1d44N_9Mv9fAaubHBBbhvMXpgSTuPzHaih5x-U055o-R1OFspi1cNalAp1UgYSzLaiNleg_X0TRAsAY8l3oEDBlTwGAsgWMljihWNQLzBCFR0g6HjuP5gZ3dBLcOnPzXDtDUDDU5VMEW5IFXtSUoh05zmlCfHs089VoW4UFyS7PwSxekiESsloCluentnESyDKT3OhD8bqwNSPQVKkWB74O8c7525w0B46aaTSyMW6Ygsmutk2LJ-LB-INEF4aQ2P1jIbt7pOT5U-NT7480CBqNrjqGp0LNg0bkW0ZULqq-to9GI_X8FdK6sm9tMvtuGwUQ!!/dl5/d5/L2dBISEvZ0FBIS9nQSEh/</w:t>
        </w:r>
      </w:hyperlink>
      <w:r w:rsidRPr="009C63D2">
        <w:rPr>
          <w:sz w:val="16"/>
        </w:rPr>
        <w:t>).</w:t>
      </w:r>
    </w:p>
  </w:footnote>
  <w:footnote w:id="42">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Eligible improvements typically include insulation, weatherization, and upgrades to outdated equipment and fixtures.</w:t>
      </w:r>
    </w:p>
  </w:footnote>
  <w:footnote w:id="43">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w:t>
      </w:r>
      <w:r>
        <w:rPr>
          <w:sz w:val="16"/>
        </w:rPr>
        <w:t>Massachusetts Executive Office of Energy and Environmental Affairs.</w:t>
      </w:r>
      <w:r w:rsidRPr="009C63D2">
        <w:rPr>
          <w:sz w:val="16"/>
        </w:rPr>
        <w:t xml:space="preserve"> </w:t>
      </w:r>
      <w:r>
        <w:rPr>
          <w:sz w:val="16"/>
        </w:rPr>
        <w:t>Financing and Tax Incentives</w:t>
      </w:r>
      <w:r w:rsidRPr="009C63D2">
        <w:rPr>
          <w:sz w:val="16"/>
        </w:rPr>
        <w:t xml:space="preserve"> for Homeowners (</w:t>
      </w:r>
      <w:hyperlink r:id="rId44" w:history="1">
        <w:r>
          <w:rPr>
            <w:rStyle w:val="Hyperlink"/>
            <w:sz w:val="16"/>
          </w:rPr>
          <w:t>http://www.mass.gov/eea/energy-utilities-clean-tech/energy-efficiency/ee-for-your-home/financing-and-tax-incentives-for-homeowners.html</w:t>
        </w:r>
      </w:hyperlink>
      <w:r w:rsidRPr="009C63D2">
        <w:rPr>
          <w:sz w:val="16"/>
        </w:rPr>
        <w:t>).</w:t>
      </w:r>
    </w:p>
  </w:footnote>
  <w:footnote w:id="44">
    <w:p w:rsidR="003E7CF1" w:rsidRPr="009C63D2" w:rsidRDefault="003E7CF1" w:rsidP="003963D1">
      <w:pPr>
        <w:pStyle w:val="FootnoteText"/>
        <w:contextualSpacing/>
        <w:rPr>
          <w:sz w:val="16"/>
        </w:rPr>
      </w:pPr>
      <w:r w:rsidRPr="009C63D2">
        <w:rPr>
          <w:rStyle w:val="FootnoteReference"/>
          <w:sz w:val="16"/>
        </w:rPr>
        <w:footnoteRef/>
      </w:r>
      <w:r w:rsidRPr="009C63D2">
        <w:rPr>
          <w:sz w:val="16"/>
        </w:rPr>
        <w:t xml:space="preserve"> Lansing</w:t>
      </w:r>
      <w:r>
        <w:rPr>
          <w:sz w:val="16"/>
        </w:rPr>
        <w:t>, Michigan</w:t>
      </w:r>
      <w:r w:rsidRPr="009C63D2">
        <w:rPr>
          <w:sz w:val="16"/>
        </w:rPr>
        <w:t xml:space="preserve"> Energy Efficiency Revolving Loan Fund Information, Guidelines, and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4A3" w:rsidRDefault="003963D1" w:rsidP="00FB2179">
    <w:pPr>
      <w:pStyle w:val="SGHeader"/>
      <w:numPr>
        <w:ilvl w:val="0"/>
        <w:numId w:val="0"/>
      </w:numPr>
      <w:tabs>
        <w:tab w:val="left" w:pos="360"/>
      </w:tabs>
    </w:pPr>
    <w:r>
      <w:t xml:space="preserve">XI. </w:t>
    </w:r>
    <w:r>
      <w:tab/>
      <w:t>Use Energy Efficiently and Provide Renewable 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2383D"/>
    <w:multiLevelType w:val="hybridMultilevel"/>
    <w:tmpl w:val="6E54ECBA"/>
    <w:lvl w:ilvl="0" w:tplc="F0E05C46">
      <w:start w:val="2"/>
      <w:numFmt w:val="upperRoman"/>
      <w:pStyle w:val="SGHead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0364C9"/>
    <w:multiLevelType w:val="hybridMultilevel"/>
    <w:tmpl w:val="7E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A3"/>
    <w:rsid w:val="000364A3"/>
    <w:rsid w:val="00055FE3"/>
    <w:rsid w:val="00061801"/>
    <w:rsid w:val="00072C19"/>
    <w:rsid w:val="000C3E8A"/>
    <w:rsid w:val="001009A3"/>
    <w:rsid w:val="001C4D41"/>
    <w:rsid w:val="001E4271"/>
    <w:rsid w:val="002363CF"/>
    <w:rsid w:val="00252A4C"/>
    <w:rsid w:val="002B60BB"/>
    <w:rsid w:val="0030528D"/>
    <w:rsid w:val="0031398D"/>
    <w:rsid w:val="00337159"/>
    <w:rsid w:val="00340885"/>
    <w:rsid w:val="003963D1"/>
    <w:rsid w:val="003E7CF1"/>
    <w:rsid w:val="00410D19"/>
    <w:rsid w:val="00423216"/>
    <w:rsid w:val="005426E4"/>
    <w:rsid w:val="005B315E"/>
    <w:rsid w:val="00604195"/>
    <w:rsid w:val="00622312"/>
    <w:rsid w:val="00680B7B"/>
    <w:rsid w:val="006C6013"/>
    <w:rsid w:val="007F535A"/>
    <w:rsid w:val="00952192"/>
    <w:rsid w:val="00974AB2"/>
    <w:rsid w:val="009C5516"/>
    <w:rsid w:val="00A15440"/>
    <w:rsid w:val="00A51021"/>
    <w:rsid w:val="00A65D7E"/>
    <w:rsid w:val="00B7373C"/>
    <w:rsid w:val="00BE5DFC"/>
    <w:rsid w:val="00C30C98"/>
    <w:rsid w:val="00C915A8"/>
    <w:rsid w:val="00CA02F2"/>
    <w:rsid w:val="00CF19F9"/>
    <w:rsid w:val="00D34B00"/>
    <w:rsid w:val="00D921B9"/>
    <w:rsid w:val="00DA34F6"/>
    <w:rsid w:val="00DB06E5"/>
    <w:rsid w:val="00DC4273"/>
    <w:rsid w:val="00DD64C7"/>
    <w:rsid w:val="00E1329A"/>
    <w:rsid w:val="00EA54D9"/>
    <w:rsid w:val="00EF2544"/>
    <w:rsid w:val="00F80DD4"/>
    <w:rsid w:val="00F83EFD"/>
    <w:rsid w:val="00F96981"/>
    <w:rsid w:val="00FB2179"/>
    <w:rsid w:val="00FE1811"/>
    <w:rsid w:val="00FF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9818C"/>
  <w15:docId w15:val="{D5E7918A-AA71-44DE-ADA7-FEDCD661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64A3"/>
  </w:style>
  <w:style w:type="paragraph" w:styleId="Heading2">
    <w:name w:val="heading 2"/>
    <w:basedOn w:val="Normal"/>
    <w:next w:val="Normal"/>
    <w:link w:val="Heading2Char"/>
    <w:uiPriority w:val="9"/>
    <w:semiHidden/>
    <w:unhideWhenUsed/>
    <w:qFormat/>
    <w:rsid w:val="0003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64A3"/>
    <w:pPr>
      <w:keepNext/>
      <w:keepLines/>
      <w:spacing w:before="40" w:after="0"/>
      <w:outlineLvl w:val="2"/>
    </w:pPr>
    <w:rPr>
      <w:rFonts w:asciiTheme="majorHAnsi" w:eastAsiaTheme="majorEastAsia" w:hAnsiTheme="majorHAnsi"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4A3"/>
    <w:rPr>
      <w:rFonts w:asciiTheme="majorHAnsi" w:eastAsiaTheme="majorEastAsia" w:hAnsiTheme="majorHAnsi" w:cstheme="majorBidi"/>
      <w:b/>
      <w:color w:val="243F60" w:themeColor="accent1" w:themeShade="7F"/>
      <w:szCs w:val="24"/>
    </w:rPr>
  </w:style>
  <w:style w:type="character" w:styleId="Hyperlink">
    <w:name w:val="Hyperlink"/>
    <w:basedOn w:val="DefaultParagraphFont"/>
    <w:uiPriority w:val="99"/>
    <w:unhideWhenUsed/>
    <w:rsid w:val="000364A3"/>
    <w:rPr>
      <w:color w:val="0000FF" w:themeColor="hyperlink"/>
      <w:u w:val="single"/>
    </w:rPr>
  </w:style>
  <w:style w:type="paragraph" w:styleId="FootnoteText">
    <w:name w:val="footnote text"/>
    <w:basedOn w:val="Normal"/>
    <w:link w:val="FootnoteTextChar"/>
    <w:uiPriority w:val="99"/>
    <w:unhideWhenUsed/>
    <w:rsid w:val="000364A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364A3"/>
    <w:rPr>
      <w:rFonts w:eastAsiaTheme="minorEastAsia"/>
      <w:sz w:val="20"/>
      <w:szCs w:val="20"/>
    </w:rPr>
  </w:style>
  <w:style w:type="character" w:styleId="FootnoteReference">
    <w:name w:val="footnote reference"/>
    <w:basedOn w:val="DefaultParagraphFont"/>
    <w:uiPriority w:val="99"/>
    <w:semiHidden/>
    <w:unhideWhenUsed/>
    <w:rsid w:val="000364A3"/>
    <w:rPr>
      <w:vertAlign w:val="superscript"/>
    </w:rPr>
  </w:style>
  <w:style w:type="table" w:styleId="TableGrid">
    <w:name w:val="Table Grid"/>
    <w:basedOn w:val="TableNormal"/>
    <w:uiPriority w:val="59"/>
    <w:rsid w:val="0003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64A3"/>
    <w:rPr>
      <w:rFonts w:ascii="Georgia" w:hAnsi="Georgia"/>
      <w:b/>
      <w:i/>
      <w:iCs/>
      <w:color w:val="FFFFFF" w:themeColor="background1"/>
      <w:sz w:val="22"/>
    </w:rPr>
  </w:style>
  <w:style w:type="paragraph" w:customStyle="1" w:styleId="tabletext">
    <w:name w:val="tabletext"/>
    <w:basedOn w:val="NoSpacing"/>
    <w:link w:val="tabletextChar"/>
    <w:qFormat/>
    <w:rsid w:val="000364A3"/>
    <w:pPr>
      <w:spacing w:before="60" w:after="60"/>
    </w:pPr>
    <w:rPr>
      <w:rFonts w:ascii="Georgia" w:hAnsi="Georgia"/>
      <w:color w:val="0D0D0D" w:themeColor="text1" w:themeTint="F2"/>
      <w:sz w:val="20"/>
    </w:rPr>
  </w:style>
  <w:style w:type="character" w:customStyle="1" w:styleId="tabletextChar">
    <w:name w:val="tabletext Char"/>
    <w:basedOn w:val="DefaultParagraphFont"/>
    <w:link w:val="tabletext"/>
    <w:rsid w:val="000364A3"/>
    <w:rPr>
      <w:rFonts w:ascii="Georgia" w:hAnsi="Georgia"/>
      <w:color w:val="0D0D0D" w:themeColor="text1" w:themeTint="F2"/>
      <w:sz w:val="20"/>
    </w:rPr>
  </w:style>
  <w:style w:type="paragraph" w:customStyle="1" w:styleId="tablequestions">
    <w:name w:val="tablequestions"/>
    <w:basedOn w:val="tabletext"/>
    <w:link w:val="tablequestionsChar"/>
    <w:qFormat/>
    <w:rsid w:val="000364A3"/>
    <w:rPr>
      <w:b/>
      <w:szCs w:val="20"/>
    </w:rPr>
  </w:style>
  <w:style w:type="character" w:customStyle="1" w:styleId="tablequestionsChar">
    <w:name w:val="tablequestions Char"/>
    <w:basedOn w:val="tabletextChar"/>
    <w:link w:val="tablequestions"/>
    <w:rsid w:val="000364A3"/>
    <w:rPr>
      <w:rFonts w:ascii="Georgia" w:hAnsi="Georgia"/>
      <w:b/>
      <w:color w:val="0D0D0D" w:themeColor="text1" w:themeTint="F2"/>
      <w:sz w:val="20"/>
      <w:szCs w:val="20"/>
    </w:rPr>
  </w:style>
  <w:style w:type="paragraph" w:styleId="NoSpacing">
    <w:name w:val="No Spacing"/>
    <w:uiPriority w:val="1"/>
    <w:qFormat/>
    <w:rsid w:val="000364A3"/>
    <w:pPr>
      <w:spacing w:after="0" w:line="240" w:lineRule="auto"/>
    </w:pPr>
  </w:style>
  <w:style w:type="paragraph" w:styleId="Header">
    <w:name w:val="header"/>
    <w:basedOn w:val="Normal"/>
    <w:link w:val="HeaderChar"/>
    <w:uiPriority w:val="99"/>
    <w:unhideWhenUsed/>
    <w:rsid w:val="0003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A3"/>
  </w:style>
  <w:style w:type="paragraph" w:styleId="Footer">
    <w:name w:val="footer"/>
    <w:basedOn w:val="Normal"/>
    <w:link w:val="FooterChar"/>
    <w:uiPriority w:val="99"/>
    <w:unhideWhenUsed/>
    <w:rsid w:val="0003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4A3"/>
  </w:style>
  <w:style w:type="paragraph" w:customStyle="1" w:styleId="SGHeader">
    <w:name w:val="SG_Header"/>
    <w:basedOn w:val="Heading2"/>
    <w:link w:val="SGHeaderChar"/>
    <w:qFormat/>
    <w:rsid w:val="000364A3"/>
    <w:pPr>
      <w:numPr>
        <w:numId w:val="1"/>
      </w:numPr>
      <w:spacing w:before="0" w:after="200"/>
    </w:pPr>
    <w:rPr>
      <w:i/>
      <w:color w:val="000000" w:themeColor="text1"/>
      <w:sz w:val="20"/>
    </w:rPr>
  </w:style>
  <w:style w:type="character" w:customStyle="1" w:styleId="SGHeaderChar">
    <w:name w:val="SG_Header Char"/>
    <w:basedOn w:val="DefaultParagraphFont"/>
    <w:link w:val="SGHeader"/>
    <w:rsid w:val="000364A3"/>
    <w:rPr>
      <w:rFonts w:asciiTheme="majorHAnsi" w:eastAsiaTheme="majorEastAsia" w:hAnsiTheme="majorHAnsi" w:cstheme="majorBidi"/>
      <w:b/>
      <w:bCs/>
      <w:i/>
      <w:color w:val="000000" w:themeColor="text1"/>
      <w:sz w:val="20"/>
      <w:szCs w:val="26"/>
    </w:rPr>
  </w:style>
  <w:style w:type="character" w:customStyle="1" w:styleId="Heading2Char">
    <w:name w:val="Heading 2 Char"/>
    <w:basedOn w:val="DefaultParagraphFont"/>
    <w:link w:val="Heading2"/>
    <w:uiPriority w:val="9"/>
    <w:semiHidden/>
    <w:rsid w:val="000364A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D19"/>
    <w:rPr>
      <w:rFonts w:ascii="Tahoma" w:hAnsi="Tahoma" w:cs="Tahoma"/>
      <w:sz w:val="16"/>
      <w:szCs w:val="16"/>
    </w:rPr>
  </w:style>
  <w:style w:type="paragraph" w:customStyle="1" w:styleId="tabletopic">
    <w:name w:val="tabletopic"/>
    <w:basedOn w:val="tabletext"/>
    <w:link w:val="tabletopicChar"/>
    <w:qFormat/>
    <w:rsid w:val="0031398D"/>
    <w:rPr>
      <w:b/>
      <w:i/>
    </w:rPr>
  </w:style>
  <w:style w:type="character" w:customStyle="1" w:styleId="tabletopicChar">
    <w:name w:val="tabletopic Char"/>
    <w:basedOn w:val="tabletextChar"/>
    <w:link w:val="tabletopic"/>
    <w:rsid w:val="0031398D"/>
    <w:rPr>
      <w:rFonts w:ascii="Georgia" w:hAnsi="Georgia"/>
      <w:b/>
      <w:i/>
      <w:color w:val="0D0D0D" w:themeColor="text1" w:themeTint="F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artgrowth/smart-growth-self-assessment-rural-commun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dos.ny.gov/DCEA/" TargetMode="External"/><Relationship Id="rId13" Type="http://schemas.openxmlformats.org/officeDocument/2006/relationships/hyperlink" Target="http://ncenergystar.org/energy-code" TargetMode="External"/><Relationship Id="rId18" Type="http://schemas.openxmlformats.org/officeDocument/2006/relationships/hyperlink" Target="http://energy.gov/energysaver/articles/solar-water-heaters" TargetMode="External"/><Relationship Id="rId26" Type="http://schemas.openxmlformats.org/officeDocument/2006/relationships/hyperlink" Target="http://fortworthtexas.gov/planninganddevelopment/misc.aspx?id=8662" TargetMode="External"/><Relationship Id="rId39" Type="http://schemas.openxmlformats.org/officeDocument/2006/relationships/hyperlink" Target="http://www.kingcounty.gov/operations/procurement/Services/~/media/operations/procurement/documents/EP_Products_Lighting.ashx" TargetMode="External"/><Relationship Id="rId3" Type="http://schemas.openxmlformats.org/officeDocument/2006/relationships/hyperlink" Target="http://energy.gov/sites/prod/files/guide_to_air_sealing.pdf" TargetMode="External"/><Relationship Id="rId21" Type="http://schemas.openxmlformats.org/officeDocument/2006/relationships/hyperlink" Target="http://accomackcounty.eregulations.us/code/coor_apxid1370_ch106_artvi" TargetMode="External"/><Relationship Id="rId34" Type="http://schemas.openxmlformats.org/officeDocument/2006/relationships/hyperlink" Target="https://www.colorado.gov/pacific/townofestespark/renewable-energy-purchase-program" TargetMode="External"/><Relationship Id="rId42" Type="http://schemas.openxmlformats.org/officeDocument/2006/relationships/hyperlink" Target="http://www.fcgov.com/utilities/residential/conserve/home-efficiency-program/" TargetMode="External"/><Relationship Id="rId7" Type="http://schemas.openxmlformats.org/officeDocument/2006/relationships/hyperlink" Target="http://www.title24express.com/what-is-title-24/title-24-cool-roof/" TargetMode="External"/><Relationship Id="rId12" Type="http://schemas.openxmlformats.org/officeDocument/2006/relationships/hyperlink" Target="http://www2.iccsafe.org/states/virginia/Mechanical/Mech_Frameset.html" TargetMode="External"/><Relationship Id="rId17" Type="http://schemas.openxmlformats.org/officeDocument/2006/relationships/hyperlink" Target="https://www.planning.org/pas/infopackets/open/eip30.htm" TargetMode="External"/><Relationship Id="rId25" Type="http://schemas.openxmlformats.org/officeDocument/2006/relationships/hyperlink" Target="http://www.aspenpitkin.com/Results/?search=civic+master" TargetMode="External"/><Relationship Id="rId33" Type="http://schemas.openxmlformats.org/officeDocument/2006/relationships/hyperlink" Target="http://www.mass.gov/eea/energy-utilities-clean-tech/renewable-energy/rps-aps/" TargetMode="External"/><Relationship Id="rId38" Type="http://schemas.openxmlformats.org/officeDocument/2006/relationships/hyperlink" Target="http://www.cngvc.org/news-and-resources/fueling-stations.php" TargetMode="External"/><Relationship Id="rId2" Type="http://schemas.openxmlformats.org/officeDocument/2006/relationships/hyperlink" Target="http://www.dalycity.org/City_Hall/Departments/ECD/building.htm" TargetMode="External"/><Relationship Id="rId16" Type="http://schemas.openxmlformats.org/officeDocument/2006/relationships/hyperlink" Target="http://www.capecoral.net/department/community_development/permitting/documents_required_for_permits.php" TargetMode="External"/><Relationship Id="rId20" Type="http://schemas.openxmlformats.org/officeDocument/2006/relationships/hyperlink" Target="http://www.nrdc.org/energy/renewables/" TargetMode="External"/><Relationship Id="rId29" Type="http://schemas.openxmlformats.org/officeDocument/2006/relationships/hyperlink" Target="http://bloomington.in.gov/media/media/application/pdf/11987.pdf" TargetMode="External"/><Relationship Id="rId41" Type="http://schemas.openxmlformats.org/officeDocument/2006/relationships/hyperlink" Target="http://www.njcleanenergy.com/LGEA" TargetMode="External"/><Relationship Id="rId1" Type="http://schemas.openxmlformats.org/officeDocument/2006/relationships/hyperlink" Target="https://www.energycodes.gov/adoption/states/minnesota" TargetMode="External"/><Relationship Id="rId6" Type="http://schemas.openxmlformats.org/officeDocument/2006/relationships/hyperlink" Target="http://www.epa.gov/heatisld/resources/pdf/CoolRoofsCompendium.pdf" TargetMode="External"/><Relationship Id="rId11" Type="http://schemas.openxmlformats.org/officeDocument/2006/relationships/hyperlink" Target="http://www.epa.gov/statelocalclimate/documents/pdf/guide_action_chap4_s4.pdf" TargetMode="External"/><Relationship Id="rId24" Type="http://schemas.openxmlformats.org/officeDocument/2006/relationships/hyperlink" Target="http://www.epa.gov/dced/location_efficiency_BTU.htm" TargetMode="External"/><Relationship Id="rId32" Type="http://schemas.openxmlformats.org/officeDocument/2006/relationships/hyperlink" Target="http://www.ashevillenc.gov/portals/0/city-documents/communitydevelopment/community%20energy%20reduction%20policy%20analysis%2012%2006%2012.pdf" TargetMode="External"/><Relationship Id="rId37" Type="http://schemas.openxmlformats.org/officeDocument/2006/relationships/hyperlink" Target="http://www.itsmarta.com/textver/update.aspx?id=9981" TargetMode="External"/><Relationship Id="rId40" Type="http://schemas.openxmlformats.org/officeDocument/2006/relationships/hyperlink" Target="http://www.morpc.org/Search/index?s=green%20your%20fleet" TargetMode="External"/><Relationship Id="rId5" Type="http://schemas.openxmlformats.org/officeDocument/2006/relationships/hyperlink" Target="http://www.epa.gov/heatisland/mitigation/index.htm" TargetMode="External"/><Relationship Id="rId15" Type="http://schemas.openxmlformats.org/officeDocument/2006/relationships/hyperlink" Target="http://energy.gov/eere/ssl/outdoor-lighting-resources" TargetMode="External"/><Relationship Id="rId23" Type="http://schemas.openxmlformats.org/officeDocument/2006/relationships/hyperlink" Target="http://www.sonoma-county.org/prmd/docs/renewable_energy/" TargetMode="External"/><Relationship Id="rId28" Type="http://schemas.openxmlformats.org/officeDocument/2006/relationships/hyperlink" Target="https://mn.gov/commerce/energy/businesses/financial/Energy-Savings-Programs/Government/Public-Buildings-Enhanced-Energy-Efficiency-Program/PBEEEP-State-Reports.jsp" TargetMode="External"/><Relationship Id="rId36" Type="http://schemas.openxmlformats.org/officeDocument/2006/relationships/hyperlink" Target="https://www.cityoftacoma.org/government/city_departments/environmentalservices/office_of_environmental_policy_and_sustainability/green_living_resources_and_map/transportation/electric_vehicles" TargetMode="External"/><Relationship Id="rId10" Type="http://schemas.openxmlformats.org/officeDocument/2006/relationships/hyperlink" Target="http://www.epa.gov/statelocalclimate/documents/pdf/guide_action_chap4_s4.pdf" TargetMode="External"/><Relationship Id="rId19" Type="http://schemas.openxmlformats.org/officeDocument/2006/relationships/hyperlink" Target="http://www.oregon.gov/energy/renew/pages/wind/small.aspx" TargetMode="External"/><Relationship Id="rId31" Type="http://schemas.openxmlformats.org/officeDocument/2006/relationships/hyperlink" Target="http://www.cityofknoxville.org/sustainability/" TargetMode="External"/><Relationship Id="rId44" Type="http://schemas.openxmlformats.org/officeDocument/2006/relationships/hyperlink" Target="http://www.mass.gov/eea/energy-utilities-clean-tech/energy-efficiency/ee-for-your-home/financing-and-tax-incentives-for-homeowners.html" TargetMode="External"/><Relationship Id="rId4" Type="http://schemas.openxmlformats.org/officeDocument/2006/relationships/hyperlink" Target="http://www1.eere.energy.gov/buildings/openhouse/pdfs/airsealing_factsheet18.pdf" TargetMode="External"/><Relationship Id="rId9" Type="http://schemas.openxmlformats.org/officeDocument/2006/relationships/hyperlink" Target="http://www.energy.ca.gov/2008publications/CEC-400-2008-016/rev1_chapters/RCM_Chapter_4_HVAC.pdf" TargetMode="External"/><Relationship Id="rId14" Type="http://schemas.openxmlformats.org/officeDocument/2006/relationships/hyperlink" Target="http://www.usgbc.org/credits/ea51" TargetMode="External"/><Relationship Id="rId22" Type="http://schemas.openxmlformats.org/officeDocument/2006/relationships/hyperlink" Target="http://www.co.accomack.va.us/Planning/Planning_Commission/2010%20Meetings/20100310%20PC%20Meeting%20Packet/20100310AgendaItem6E.pdf" TargetMode="External"/><Relationship Id="rId27" Type="http://schemas.openxmlformats.org/officeDocument/2006/relationships/hyperlink" Target="https://www.portlandoregon.gov/bes/44422" TargetMode="External"/><Relationship Id="rId30" Type="http://schemas.openxmlformats.org/officeDocument/2006/relationships/hyperlink" Target="http://www.charlescounty.org/green/" TargetMode="External"/><Relationship Id="rId35" Type="http://schemas.openxmlformats.org/officeDocument/2006/relationships/hyperlink" Target="http://www.epa.gov/greenpower/toplists/top30onsite.htm" TargetMode="External"/><Relationship Id="rId43" Type="http://schemas.openxmlformats.org/officeDocument/2006/relationships/hyperlink" Target="http://powersaver.austinenergy.com/wps/portal/psp/about/!ut/p/a1/jZBfb4IwFMU_yx7o26QUZbqkWRB1og7HjH_gxRTsEIcU20Ljtx_qy0w0s8lNe3N_p-fm6KG-0sOcVGlCZMpykp360FpD1EZDByK3bfcRdD3YNyd9H05dqwaCv8B0-tmC7ssXmvgz02jPjQf1d44N_9Mv9fAaubHBBbhvMXpgSTuPzHaih5x-U055o-R1OFspi1cNalAp1UgYSzLaiNleg_X0TRAsAY8l3oEDBlTwGAsgWMljihWNQLzBCFR0g6HjuP5gZ3dBLcOnPzXDtDUDDU5VMEW5IFXtSUoh05zmlCfHs089VoW4UFyS7PwSxekiESsloCluentnESyDKT3OhD8bqwNSPQVKkWB74O8c7525w0B46aaTSyMW6Ygsmutk2LJ-LB-INEF4aQ2P1jIbt7pOT5U-NT7480CBqNrjqGp0LNg0bkW0ZULqq-to9GI_X8FdK6sm9tMvtuGwUQ!!/dl5/d5/L2dBISEvZ0FBIS9nQS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86030-DE89-461E-BFEF-08E130E7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XI. XI.	Use Energy Efficiently and Provide Renewable Energy</vt:lpstr>
    </vt:vector>
  </TitlesOfParts>
  <Company>U.S. EPA</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 XI.	Use Energy Efficiently and Provide Renewable Energy</dc:title>
  <dc:subject>This document contains section XI of the Smart Growth Self-Assessment for Rural Communities.</dc:subject>
  <dc:creator>U.S. EPA;Smart Growth Program</dc:creator>
  <cp:keywords>U.S. EPA, Smart Growth, Section XI, energy, efficiency, renewable</cp:keywords>
  <cp:lastModifiedBy>Susman, Megan</cp:lastModifiedBy>
  <cp:revision>2</cp:revision>
  <dcterms:created xsi:type="dcterms:W3CDTF">2016-12-08T15:59:00Z</dcterms:created>
  <dcterms:modified xsi:type="dcterms:W3CDTF">2016-12-08T15:59:00Z</dcterms:modified>
</cp:coreProperties>
</file>