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3F4" w:rsidRDefault="004E0220" w:rsidP="004E0220">
      <w:pPr>
        <w:pStyle w:val="NormalWeb"/>
        <w:shd w:val="clear" w:color="auto" w:fill="FFFFFF"/>
        <w:spacing w:before="0" w:beforeAutospacing="0" w:after="360" w:afterAutospacing="0" w:line="216" w:lineRule="atLeast"/>
        <w:jc w:val="center"/>
        <w:rPr>
          <w:rFonts w:ascii="Arial" w:eastAsiaTheme="minorHAnsi" w:hAnsi="Arial" w:cs="Arial"/>
          <w:b/>
          <w:color w:val="151515"/>
          <w:sz w:val="20"/>
          <w:szCs w:val="20"/>
        </w:rPr>
      </w:pPr>
      <w:r>
        <w:rPr>
          <w:rFonts w:ascii="Arial" w:eastAsiaTheme="minorHAnsi" w:hAnsi="Arial" w:cs="Arial"/>
          <w:b/>
          <w:color w:val="151515"/>
          <w:sz w:val="20"/>
          <w:szCs w:val="20"/>
        </w:rPr>
        <w:t>Table 3-2</w:t>
      </w:r>
      <w:r w:rsidR="00CF20C5">
        <w:rPr>
          <w:rFonts w:ascii="Arial" w:eastAsiaTheme="minorHAnsi" w:hAnsi="Arial" w:cs="Arial"/>
          <w:b/>
          <w:color w:val="151515"/>
          <w:sz w:val="20"/>
          <w:szCs w:val="20"/>
        </w:rPr>
        <w:t>4</w:t>
      </w:r>
      <w:r w:rsidR="005C53F4">
        <w:rPr>
          <w:rFonts w:ascii="Arial" w:eastAsiaTheme="minorHAnsi" w:hAnsi="Arial" w:cs="Arial"/>
          <w:b/>
          <w:color w:val="151515"/>
          <w:sz w:val="20"/>
          <w:szCs w:val="20"/>
        </w:rPr>
        <w:t xml:space="preserve"> State Settlements in EPA </w:t>
      </w:r>
      <w:r>
        <w:rPr>
          <w:rFonts w:ascii="Arial" w:eastAsiaTheme="minorHAnsi" w:hAnsi="Arial" w:cs="Arial"/>
          <w:b/>
          <w:color w:val="151515"/>
          <w:sz w:val="20"/>
          <w:szCs w:val="20"/>
        </w:rPr>
        <w:t>Platform v6</w:t>
      </w:r>
      <w:bookmarkStart w:id="0" w:name="_GoBack"/>
      <w:bookmarkEnd w:id="0"/>
    </w:p>
    <w:tbl>
      <w:tblPr>
        <w:tblW w:w="5000" w:type="pct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623"/>
        <w:gridCol w:w="636"/>
        <w:gridCol w:w="611"/>
        <w:gridCol w:w="533"/>
        <w:gridCol w:w="528"/>
        <w:gridCol w:w="807"/>
        <w:gridCol w:w="637"/>
        <w:gridCol w:w="761"/>
        <w:gridCol w:w="877"/>
        <w:gridCol w:w="761"/>
        <w:gridCol w:w="606"/>
        <w:gridCol w:w="738"/>
        <w:gridCol w:w="533"/>
        <w:gridCol w:w="673"/>
        <w:gridCol w:w="624"/>
        <w:gridCol w:w="406"/>
        <w:gridCol w:w="712"/>
        <w:gridCol w:w="1874"/>
      </w:tblGrid>
      <w:tr w:rsidR="005C53F4" w:rsidRPr="00D7398A" w:rsidTr="002B4B73">
        <w:trPr>
          <w:trHeight w:val="178"/>
          <w:tblHeader/>
        </w:trPr>
        <w:tc>
          <w:tcPr>
            <w:tcW w:w="24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Company and Plant </w:t>
            </w:r>
          </w:p>
        </w:tc>
        <w:tc>
          <w:tcPr>
            <w:tcW w:w="246" w:type="pct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State 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Unit </w:t>
            </w:r>
          </w:p>
        </w:tc>
        <w:tc>
          <w:tcPr>
            <w:tcW w:w="3553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State Enforcement Actions</w:t>
            </w:r>
          </w:p>
        </w:tc>
        <w:tc>
          <w:tcPr>
            <w:tcW w:w="724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Notes </w:t>
            </w:r>
          </w:p>
        </w:tc>
      </w:tr>
      <w:tr w:rsidR="005C53F4" w:rsidRPr="00D7398A" w:rsidTr="002B4B73">
        <w:trPr>
          <w:trHeight w:val="165"/>
          <w:tblHeader/>
        </w:trPr>
        <w:tc>
          <w:tcPr>
            <w:tcW w:w="24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23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41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Retire/Repower</w:t>
            </w:r>
          </w:p>
        </w:tc>
        <w:tc>
          <w:tcPr>
            <w:tcW w:w="85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>
              <w:rPr>
                <w:rFonts w:cs="Arial"/>
                <w:b/>
                <w:bCs/>
                <w:sz w:val="10"/>
                <w:szCs w:val="10"/>
              </w:rPr>
              <w:t>SO</w:t>
            </w:r>
            <w:r w:rsidRPr="00B44ACF">
              <w:rPr>
                <w:rFonts w:cs="Arial"/>
                <w:b/>
                <w:bCs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b/>
                <w:bCs/>
                <w:sz w:val="10"/>
                <w:szCs w:val="10"/>
              </w:rPr>
              <w:t xml:space="preserve"> Control</w:t>
            </w:r>
          </w:p>
        </w:tc>
        <w:tc>
          <w:tcPr>
            <w:tcW w:w="86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NO</w:t>
            </w:r>
            <w:r w:rsidRPr="00D7398A">
              <w:rPr>
                <w:rFonts w:cs="Arial"/>
                <w:b/>
                <w:bCs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b/>
                <w:bCs/>
                <w:sz w:val="10"/>
                <w:szCs w:val="10"/>
              </w:rPr>
              <w:t xml:space="preserve"> Control</w:t>
            </w:r>
          </w:p>
        </w:tc>
        <w:tc>
          <w:tcPr>
            <w:tcW w:w="75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PM  Control</w:t>
            </w:r>
          </w:p>
        </w:tc>
        <w:tc>
          <w:tcPr>
            <w:tcW w:w="6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Mercury Control</w:t>
            </w: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323"/>
          <w:tblHeader/>
        </w:trPr>
        <w:tc>
          <w:tcPr>
            <w:tcW w:w="2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23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Action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Effective Date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Equipment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Percent Removal or Rate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Effective Date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Equipment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Rate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Effective Date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Equipment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 xml:space="preserve">Rate 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Effective Date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Equipment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 xml:space="preserve">Rate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Effective Date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b/>
                <w:bCs/>
                <w:sz w:val="10"/>
                <w:szCs w:val="10"/>
              </w:rPr>
            </w:pPr>
          </w:p>
        </w:tc>
      </w:tr>
      <w:tr w:rsidR="005C53F4" w:rsidRPr="00D7398A" w:rsidTr="00FA3871">
        <w:trPr>
          <w:trHeight w:val="180"/>
        </w:trPr>
        <w:tc>
          <w:tcPr>
            <w:tcW w:w="5000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b/>
                <w:bCs/>
                <w:sz w:val="10"/>
                <w:szCs w:val="10"/>
              </w:rPr>
            </w:pPr>
            <w:r>
              <w:rPr>
                <w:rFonts w:cs="Arial"/>
                <w:b/>
                <w:bCs/>
                <w:sz w:val="10"/>
                <w:szCs w:val="10"/>
              </w:rPr>
              <w:t xml:space="preserve">Old </w:t>
            </w:r>
            <w:r w:rsidRPr="00D7398A">
              <w:rPr>
                <w:rFonts w:cs="Arial"/>
                <w:b/>
                <w:bCs/>
                <w:sz w:val="10"/>
                <w:szCs w:val="10"/>
              </w:rPr>
              <w:t>AES</w:t>
            </w:r>
          </w:p>
        </w:tc>
      </w:tr>
      <w:tr w:rsidR="005C53F4" w:rsidRPr="00D7398A" w:rsidTr="002B4B73">
        <w:trPr>
          <w:trHeight w:val="33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55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 xml:space="preserve">If the MPC project is discontinued at Greenidge Unit 4 by 12/31/2009, Unit 4 will be subject to the following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emission caps:  2005 will be 12,125 tons, 2006 will be 11,800 tons, 2007 will be 11,475 tons, 2008 will be 11,150 tons, and 2009 will be 10,825 tons.  By 12/31/2009, AES shall control, repower, or cease operations at Westover Unit 7.  Beginning in 2005, Unit 8 will be subject to the following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emission caps:  2005 is 9500 tons, 2006 is 9250, 2007 is 9000, 2008 is 8750, 2009 is 8500 tons.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AD5A2E">
              <w:rPr>
                <w:rFonts w:cs="Arial"/>
                <w:sz w:val="10"/>
                <w:szCs w:val="10"/>
              </w:rPr>
              <w:t>http://www.ag.ny.gov/press-release/governor-and-attorney-general-announce-new-yorks-largest-coal-plants-slash-pollution</w:t>
            </w:r>
          </w:p>
        </w:tc>
      </w:tr>
      <w:tr w:rsidR="005C53F4" w:rsidRPr="00D7398A" w:rsidTr="002B4B73">
        <w:trPr>
          <w:trHeight w:val="330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Greenidge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4</w:t>
            </w:r>
          </w:p>
        </w:tc>
        <w:tc>
          <w:tcPr>
            <w:tcW w:w="355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Update: as of May 2009, CONSOL and AES describe the Greenidge Unit 4 MPC effort as a success.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380EFE" w:rsidRDefault="005C53F4" w:rsidP="00380EFE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380EFE">
              <w:rPr>
                <w:sz w:val="10"/>
                <w:szCs w:val="10"/>
              </w:rPr>
              <w:t xml:space="preserve"> </w:t>
            </w:r>
            <w:hyperlink r:id="rId4" w:history="1">
              <w:r w:rsidR="00380EFE" w:rsidRPr="00380EFE">
                <w:rPr>
                  <w:rStyle w:val="Hyperlink"/>
                  <w:sz w:val="10"/>
                  <w:szCs w:val="10"/>
                </w:rPr>
                <w:t>http://www.aes.com/investors/press-releases/press-release-details/2009/CONSOL-Energy-and-AES-Greenidge-Announce-Successful-Demonstration-of-Multi-Pollutant-Control-Technology-for-Smaller-Coal-Fired-Plants/default.aspx</w:t>
              </w:r>
            </w:hyperlink>
          </w:p>
        </w:tc>
      </w:tr>
      <w:tr w:rsidR="005C53F4" w:rsidRPr="00D7398A" w:rsidTr="002B4B73">
        <w:trPr>
          <w:trHeight w:val="1485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Retired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2011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90%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09/01/07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0.15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09/01/07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Unit has retired</w:t>
            </w:r>
            <w:r w:rsidRPr="00D7398A">
              <w:rPr>
                <w:rFonts w:cs="Arial"/>
                <w:sz w:val="10"/>
                <w:szCs w:val="10"/>
              </w:rPr>
              <w:t xml:space="preserve">  </w:t>
            </w:r>
          </w:p>
        </w:tc>
      </w:tr>
      <w:tr w:rsidR="005C53F4" w:rsidRPr="00D7398A" w:rsidTr="002B4B73">
        <w:trPr>
          <w:trHeight w:val="330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Retired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 w:rsidR="00FA3871">
              <w:rPr>
                <w:rFonts w:cs="Arial"/>
                <w:sz w:val="10"/>
                <w:szCs w:val="10"/>
              </w:rPr>
              <w:t>2011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12/31/09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12/31/09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Unit has retired</w:t>
            </w:r>
            <w:r w:rsidRPr="00D7398A">
              <w:rPr>
                <w:rFonts w:cs="Arial"/>
                <w:sz w:val="10"/>
                <w:szCs w:val="10"/>
              </w:rPr>
              <w:t xml:space="preserve">  </w:t>
            </w:r>
          </w:p>
        </w:tc>
      </w:tr>
      <w:tr w:rsidR="005C53F4" w:rsidRPr="00D7398A" w:rsidTr="002B4B73">
        <w:trPr>
          <w:trHeight w:val="330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 xml:space="preserve">Westover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55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Update: as of May 2009,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 emissions appear to be above the specified 0.15 lbs/</w:t>
            </w:r>
            <w:r w:rsidR="00843B3E" w:rsidRPr="00D7398A">
              <w:rPr>
                <w:rFonts w:cs="Arial"/>
                <w:sz w:val="10"/>
                <w:szCs w:val="10"/>
              </w:rPr>
              <w:t>MMBtu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http://www.powermag.com/print/environmental/Apply-the-fundamentals-to-improve-emissions-performance_574.html</w:t>
            </w:r>
          </w:p>
        </w:tc>
      </w:tr>
      <w:tr w:rsidR="005C53F4" w:rsidRPr="00D7398A" w:rsidTr="002B4B73">
        <w:trPr>
          <w:trHeight w:val="575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8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 w:rsidR="00FA3871">
              <w:rPr>
                <w:rFonts w:cs="Arial"/>
                <w:sz w:val="10"/>
                <w:szCs w:val="10"/>
              </w:rPr>
              <w:t>Retired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 w:rsidR="00FA3871">
              <w:rPr>
                <w:rFonts w:cs="Arial"/>
                <w:sz w:val="10"/>
                <w:szCs w:val="10"/>
              </w:rPr>
              <w:t>2010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90%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12/31/10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0.15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12/31/10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Unit has retired</w:t>
            </w:r>
            <w:r w:rsidRPr="00D7398A">
              <w:rPr>
                <w:rFonts w:cs="Arial"/>
                <w:sz w:val="10"/>
                <w:szCs w:val="10"/>
              </w:rPr>
              <w:t xml:space="preserve">  </w:t>
            </w:r>
          </w:p>
        </w:tc>
      </w:tr>
      <w:tr w:rsidR="00FA3871" w:rsidRPr="00D7398A" w:rsidTr="002B4B73">
        <w:trPr>
          <w:trHeight w:val="330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7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Retired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2010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Unit has retired</w:t>
            </w:r>
            <w:r w:rsidRPr="00D7398A">
              <w:rPr>
                <w:rFonts w:cs="Arial"/>
                <w:sz w:val="10"/>
                <w:szCs w:val="10"/>
              </w:rPr>
              <w:t xml:space="preserve">  </w:t>
            </w:r>
          </w:p>
        </w:tc>
      </w:tr>
      <w:tr w:rsidR="00FA3871" w:rsidRPr="00D7398A" w:rsidTr="002B4B73">
        <w:trPr>
          <w:trHeight w:val="330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Hickling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Retired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2010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05/01/07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05/01/07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 </w:t>
            </w:r>
            <w:r>
              <w:rPr>
                <w:rFonts w:cs="Arial"/>
                <w:sz w:val="10"/>
                <w:szCs w:val="10"/>
              </w:rPr>
              <w:t>Unit has retired</w:t>
            </w:r>
            <w:r w:rsidRPr="00D7398A">
              <w:rPr>
                <w:rFonts w:cs="Arial"/>
                <w:sz w:val="10"/>
                <w:szCs w:val="10"/>
              </w:rPr>
              <w:t xml:space="preserve">  </w:t>
            </w:r>
          </w:p>
        </w:tc>
      </w:tr>
      <w:tr w:rsidR="00FA3871" w:rsidRPr="00D7398A" w:rsidTr="002B4B73">
        <w:trPr>
          <w:trHeight w:val="330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Retired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2010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05/01/07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05/01/07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Unit has retired</w:t>
            </w:r>
            <w:r w:rsidRPr="00D7398A">
              <w:rPr>
                <w:rFonts w:cs="Arial"/>
                <w:sz w:val="10"/>
                <w:szCs w:val="10"/>
              </w:rPr>
              <w:t xml:space="preserve">  </w:t>
            </w:r>
          </w:p>
        </w:tc>
      </w:tr>
      <w:tr w:rsidR="005C53F4" w:rsidRPr="00D7398A" w:rsidTr="002B4B73">
        <w:trPr>
          <w:trHeight w:val="330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Cayuga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Unit 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3F4" w:rsidRPr="005F5C9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Meets System Wide RACT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ESP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98%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330"/>
        </w:trPr>
        <w:tc>
          <w:tcPr>
            <w:tcW w:w="241" w:type="pct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Unit 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C53F4" w:rsidRPr="005F5C9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LN Concentric Firing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Meets System Wide RACT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ESP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792CB1">
              <w:rPr>
                <w:rFonts w:cs="Arial"/>
                <w:sz w:val="10"/>
                <w:szCs w:val="10"/>
              </w:rPr>
              <w:t>98%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FA3871" w:rsidRPr="00D7398A" w:rsidTr="002B4B73">
        <w:trPr>
          <w:trHeight w:val="330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Jennison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Retired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2010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05/01/07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05/01/07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A3871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 </w:t>
            </w:r>
            <w:r>
              <w:rPr>
                <w:rFonts w:cs="Arial"/>
                <w:sz w:val="10"/>
                <w:szCs w:val="10"/>
              </w:rPr>
              <w:t>Unit has retired</w:t>
            </w:r>
            <w:r w:rsidRPr="00D7398A">
              <w:rPr>
                <w:rFonts w:cs="Arial"/>
                <w:sz w:val="10"/>
                <w:szCs w:val="10"/>
              </w:rPr>
              <w:t xml:space="preserve">  </w:t>
            </w:r>
          </w:p>
        </w:tc>
      </w:tr>
      <w:tr w:rsidR="005C53F4" w:rsidRPr="00D7398A" w:rsidTr="002B4B73">
        <w:trPr>
          <w:trHeight w:val="345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3746F9">
              <w:rPr>
                <w:rFonts w:cs="Arial"/>
                <w:sz w:val="10"/>
                <w:szCs w:val="10"/>
              </w:rPr>
              <w:t>Retired</w:t>
            </w:r>
            <w:r w:rsidRPr="00D7398A" w:rsidDel="00BE7210">
              <w:rPr>
                <w:rFonts w:cs="Arial"/>
                <w:sz w:val="10"/>
                <w:szCs w:val="10"/>
              </w:rPr>
              <w:t xml:space="preserve">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FA3871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2010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05/01/07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BACT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05/01/07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 </w:t>
            </w:r>
            <w:r>
              <w:rPr>
                <w:rFonts w:cs="Arial"/>
                <w:sz w:val="10"/>
                <w:szCs w:val="10"/>
              </w:rPr>
              <w:t>Unit has retired</w:t>
            </w:r>
            <w:r w:rsidRPr="00D7398A">
              <w:rPr>
                <w:rFonts w:cs="Arial"/>
                <w:sz w:val="10"/>
                <w:szCs w:val="10"/>
              </w:rPr>
              <w:t xml:space="preserve">  </w:t>
            </w:r>
          </w:p>
        </w:tc>
      </w:tr>
      <w:tr w:rsidR="005C53F4" w:rsidRPr="00D7398A" w:rsidTr="00FA3871">
        <w:trPr>
          <w:trHeight w:val="165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Niagara Mohawk Power</w:t>
            </w:r>
          </w:p>
        </w:tc>
      </w:tr>
      <w:tr w:rsidR="005C53F4" w:rsidRPr="00D7398A" w:rsidTr="002B4B73">
        <w:trPr>
          <w:trHeight w:val="33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553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 xml:space="preserve">NRG shall comply with the below annual tonnage limitations for its Huntley and Dunkirk Stations:  In 2005  59,537 tons of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and 10,777 tons of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, in 2006 34,230 of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and 6,772 of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, in 2007  30,859 of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and 6,211 of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, in 2008  22,733 tons of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and 6,211 tons of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, in 2009 19,444 of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and 5,388 of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, in 2010 and 2011 19,444 of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and 4,861 of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, in 2012 16,807 of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and 3,241 of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, 2013 and 14,169 of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</w:rPr>
              <w:t xml:space="preserve"> and 3,241 of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 thereafter.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AD5A2E">
              <w:rPr>
                <w:rFonts w:cs="Arial"/>
                <w:sz w:val="10"/>
                <w:szCs w:val="10"/>
              </w:rPr>
              <w:t>http://www.ag.ny.gov/press-release/governor-and-attorney-general-announce-new-yorks-largest-coal-plants-slash-pollution</w:t>
            </w:r>
          </w:p>
        </w:tc>
      </w:tr>
      <w:tr w:rsidR="005C53F4" w:rsidRPr="00D7398A" w:rsidTr="002B4B73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Huntley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 xml:space="preserve">Units </w:t>
            </w:r>
            <w:r w:rsidRPr="00D7398A">
              <w:rPr>
                <w:rFonts w:cs="Arial"/>
                <w:sz w:val="10"/>
                <w:szCs w:val="10"/>
              </w:rPr>
              <w:br/>
              <w:t xml:space="preserve">63 </w:t>
            </w:r>
            <w:r w:rsidRPr="00D7398A">
              <w:rPr>
                <w:rFonts w:ascii="Calibri" w:hAnsi="Calibri" w:cs="Arial"/>
                <w:sz w:val="10"/>
                <w:szCs w:val="10"/>
              </w:rPr>
              <w:t>–</w:t>
            </w:r>
            <w:r w:rsidRPr="00D7398A">
              <w:rPr>
                <w:rFonts w:cs="Arial"/>
                <w:sz w:val="10"/>
                <w:szCs w:val="10"/>
              </w:rPr>
              <w:t xml:space="preserve"> 66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Before 2008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</w:tr>
      <w:tr w:rsidR="005C53F4" w:rsidRPr="00D7398A" w:rsidTr="00FA3871">
        <w:trPr>
          <w:trHeight w:val="165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lastRenderedPageBreak/>
              <w:t>Public Service Co. of NM</w:t>
            </w: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San Juan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Mexico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State-of-the-art technology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90%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10/31/08</w:t>
            </w: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State-of-the-art technology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0.3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10/31/08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Operate Baghouse and demister technology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0.015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12/31/09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Design activated carbon injection technology (or comparable tech)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12/31/09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All four units have installed Wet Scrubbers. Unit 1 and 4 NO</w:t>
            </w:r>
            <w:r w:rsidRPr="005A3952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 controls [SNCR] are hardwired into EPA </w:t>
            </w:r>
            <w:r w:rsidR="006A31D8">
              <w:rPr>
                <w:rFonts w:cs="Arial"/>
                <w:sz w:val="10"/>
                <w:szCs w:val="10"/>
              </w:rPr>
              <w:t>Platform v6</w:t>
            </w:r>
            <w:r w:rsidRPr="00D7398A">
              <w:rPr>
                <w:rFonts w:cs="Arial"/>
                <w:sz w:val="10"/>
                <w:szCs w:val="10"/>
              </w:rPr>
              <w:t xml:space="preserve">. </w:t>
            </w:r>
            <w:r w:rsidR="00380EFE">
              <w:rPr>
                <w:rFonts w:cs="Arial"/>
                <w:sz w:val="10"/>
                <w:szCs w:val="10"/>
              </w:rPr>
              <w:t xml:space="preserve"> </w:t>
            </w:r>
            <w:r w:rsidRPr="00D7398A">
              <w:rPr>
                <w:rFonts w:cs="Arial"/>
                <w:sz w:val="10"/>
                <w:szCs w:val="10"/>
              </w:rPr>
              <w:br/>
            </w:r>
          </w:p>
          <w:p w:rsidR="005C53F4" w:rsidRPr="00D7398A" w:rsidRDefault="005C53F4" w:rsidP="00380EFE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Mexico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03/31/09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03/31/09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12/31/09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12/31/09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Mexico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04/30/08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04/30/08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04/30/08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04/30/08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80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Mexico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10/31/07</w:t>
            </w: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10/31/07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10/31/07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10/31/07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FA3871">
        <w:trPr>
          <w:trHeight w:val="165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Public Service Co of Colorado</w:t>
            </w:r>
          </w:p>
        </w:tc>
      </w:tr>
      <w:tr w:rsidR="005C53F4" w:rsidRPr="00D7398A" w:rsidTr="002B4B73">
        <w:trPr>
          <w:trHeight w:val="495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Comanche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Colorado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and operate FGD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0.1 lbs/</w:t>
            </w:r>
            <w:r w:rsidR="00843B3E" w:rsidRPr="00D7398A">
              <w:rPr>
                <w:rFonts w:cs="Arial"/>
                <w:sz w:val="10"/>
                <w:szCs w:val="10"/>
              </w:rPr>
              <w:t>MMBtu</w:t>
            </w:r>
            <w:r w:rsidRPr="00D7398A">
              <w:rPr>
                <w:rFonts w:cs="Arial"/>
                <w:sz w:val="10"/>
                <w:szCs w:val="10"/>
              </w:rPr>
              <w:t xml:space="preserve"> combined average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07/01/09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low-NO</w:t>
            </w:r>
            <w:r w:rsidRPr="00D7398A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 emission controls</w:t>
            </w:r>
          </w:p>
        </w:tc>
        <w:tc>
          <w:tcPr>
            <w:tcW w:w="2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0.15 lbs/</w:t>
            </w:r>
            <w:r w:rsidR="00843B3E" w:rsidRPr="00D7398A">
              <w:rPr>
                <w:rFonts w:cs="Arial"/>
                <w:sz w:val="10"/>
                <w:szCs w:val="10"/>
              </w:rPr>
              <w:t>MMBtu</w:t>
            </w:r>
            <w:r w:rsidRPr="00D7398A">
              <w:rPr>
                <w:rFonts w:cs="Arial"/>
                <w:sz w:val="10"/>
                <w:szCs w:val="10"/>
              </w:rPr>
              <w:t xml:space="preserve"> combined average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07/01/09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sorbent injection technology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07/01/09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Comanche units 1 and 2 taken together shall not exceed a 0.15 heat rate for NO</w:t>
            </w:r>
            <w:r w:rsidRPr="00D7398A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, nor 0.10 for </w:t>
            </w:r>
            <w:r>
              <w:rPr>
                <w:rFonts w:cs="Arial"/>
                <w:sz w:val="10"/>
                <w:szCs w:val="10"/>
              </w:rPr>
              <w:t>SO</w:t>
            </w:r>
            <w:r w:rsidRPr="00B44ACF">
              <w:rPr>
                <w:rFonts w:cs="Arial"/>
                <w:sz w:val="10"/>
                <w:szCs w:val="10"/>
                <w:vertAlign w:val="subscript"/>
              </w:rPr>
              <w:t>2</w:t>
            </w:r>
            <w:r w:rsidRPr="00D7398A">
              <w:rPr>
                <w:rFonts w:cs="Arial"/>
                <w:sz w:val="10"/>
                <w:szCs w:val="10"/>
                <w:vertAlign w:val="subscript"/>
              </w:rPr>
              <w:t xml:space="preserve">, </w:t>
            </w:r>
            <w:r w:rsidRPr="00D7398A">
              <w:rPr>
                <w:rFonts w:cs="Arial"/>
                <w:sz w:val="10"/>
                <w:szCs w:val="10"/>
              </w:rPr>
              <w:t>no later than 180 days after initial start-up of control equipment, or by 7/01/2009, whichever is earlier.</w:t>
            </w:r>
          </w:p>
          <w:p w:rsidR="005C53F4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4C660B">
              <w:rPr>
                <w:rFonts w:cs="Arial"/>
                <w:sz w:val="10"/>
                <w:szCs w:val="10"/>
              </w:rPr>
              <w:t>http://content.sierraclub.org/coal/sites/content.sierraclub.org.coal/files/elp/docs/co-comanche_agree-sign_2004-12-02.pdf</w:t>
            </w:r>
            <w:r w:rsidRPr="00D7398A">
              <w:rPr>
                <w:rFonts w:cs="Arial"/>
                <w:sz w:val="10"/>
                <w:szCs w:val="10"/>
              </w:rPr>
              <w:t xml:space="preserve"> </w:t>
            </w:r>
          </w:p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495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Colorado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and operate FGD</w:t>
            </w: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07/01/09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low-NO</w:t>
            </w:r>
            <w:r w:rsidRPr="00D7398A">
              <w:rPr>
                <w:rFonts w:cs="Arial"/>
                <w:sz w:val="10"/>
                <w:szCs w:val="10"/>
                <w:vertAlign w:val="subscript"/>
              </w:rPr>
              <w:t>x</w:t>
            </w:r>
            <w:r w:rsidRPr="00D7398A">
              <w:rPr>
                <w:rFonts w:cs="Arial"/>
                <w:sz w:val="10"/>
                <w:szCs w:val="10"/>
              </w:rPr>
              <w:t xml:space="preserve"> emission controls</w:t>
            </w:r>
          </w:p>
        </w:tc>
        <w:tc>
          <w:tcPr>
            <w:tcW w:w="2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07/01/09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sorbent injection technology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07/01/09</w:t>
            </w:r>
          </w:p>
        </w:tc>
        <w:tc>
          <w:tcPr>
            <w:tcW w:w="724" w:type="pct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510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Colorado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and operate 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 xml:space="preserve">0.1 </w:t>
            </w:r>
            <w:r w:rsidRPr="00D7398A">
              <w:rPr>
                <w:rFonts w:cs="Arial"/>
                <w:sz w:val="10"/>
                <w:szCs w:val="10"/>
              </w:rPr>
              <w:br/>
              <w:t>lbs/</w:t>
            </w:r>
            <w:r w:rsidR="00843B3E" w:rsidRPr="00D7398A">
              <w:rPr>
                <w:rFonts w:cs="Arial"/>
                <w:sz w:val="10"/>
                <w:szCs w:val="10"/>
              </w:rPr>
              <w:t>MMBtu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and operate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0.08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and operate a fabric filter dust collection system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0.013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sorbent injection technology</w:t>
            </w:r>
          </w:p>
        </w:tc>
        <w:tc>
          <w:tcPr>
            <w:tcW w:w="1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Within 180 days of start-up</w:t>
            </w: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FA3871">
        <w:trPr>
          <w:trHeight w:val="165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Rochester Gas &amp; Electric</w:t>
            </w:r>
          </w:p>
        </w:tc>
      </w:tr>
      <w:tr w:rsidR="005C53F4" w:rsidRPr="00D7398A" w:rsidTr="002B4B73">
        <w:trPr>
          <w:trHeight w:val="34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Russell Plant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 xml:space="preserve">Units </w:t>
            </w:r>
            <w:r w:rsidRPr="00D7398A">
              <w:rPr>
                <w:rFonts w:cs="Arial"/>
                <w:sz w:val="10"/>
                <w:szCs w:val="10"/>
              </w:rPr>
              <w:br/>
              <w:t xml:space="preserve">1 </w:t>
            </w:r>
            <w:r w:rsidRPr="00D7398A">
              <w:rPr>
                <w:rFonts w:ascii="Calibri" w:hAnsi="Calibri" w:cs="Arial"/>
                <w:sz w:val="10"/>
                <w:szCs w:val="10"/>
              </w:rPr>
              <w:t>–</w:t>
            </w:r>
            <w:r w:rsidRPr="00D7398A">
              <w:rPr>
                <w:rFonts w:cs="Arial"/>
                <w:sz w:val="10"/>
                <w:szCs w:val="10"/>
              </w:rPr>
              <w:t xml:space="preserve"> 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 all units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AD5A2E">
              <w:rPr>
                <w:rFonts w:cs="Arial"/>
                <w:sz w:val="10"/>
                <w:szCs w:val="10"/>
              </w:rPr>
              <w:t>http://www.ag.ny.gov/press-release/cuomo-announces-settlement-close-rochester-gas-electrics-coal-burning-russell-power</w:t>
            </w:r>
          </w:p>
        </w:tc>
      </w:tr>
      <w:tr w:rsidR="005C53F4" w:rsidRPr="00D7398A" w:rsidTr="00FA3871">
        <w:trPr>
          <w:trHeight w:val="165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Mirant New York</w:t>
            </w:r>
          </w:p>
        </w:tc>
      </w:tr>
      <w:tr w:rsidR="005C53F4" w:rsidRPr="00D7398A" w:rsidTr="002B4B73">
        <w:trPr>
          <w:trHeight w:val="330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Lovett Plant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05/07/07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http://www.nytimes.com/2007/05/11/nyregion/11plant.html?_r=1&amp;pagewanted=print</w:t>
            </w:r>
          </w:p>
        </w:tc>
      </w:tr>
      <w:tr w:rsidR="005C53F4" w:rsidRPr="00D7398A" w:rsidTr="002B4B73">
        <w:trPr>
          <w:trHeight w:val="345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York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04/30/08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Retirements are pursuant to a 2003 consent decree, and the plant's failure to comply with the required reductions.</w:t>
            </w:r>
          </w:p>
        </w:tc>
      </w:tr>
      <w:tr w:rsidR="005C53F4" w:rsidRPr="00D7398A" w:rsidTr="00FA3871">
        <w:trPr>
          <w:trHeight w:val="165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TVA</w:t>
            </w:r>
          </w:p>
        </w:tc>
      </w:tr>
      <w:tr w:rsidR="005C53F4" w:rsidRPr="00D7398A" w:rsidTr="002B4B73">
        <w:trPr>
          <w:trHeight w:val="49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Allen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Tennessee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1 - 3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Remove from Service, FGD, or Retire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494026">
              <w:rPr>
                <w:rFonts w:cs="Arial"/>
                <w:sz w:val="10"/>
                <w:szCs w:val="10"/>
              </w:rPr>
              <w:t>12/31/2018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http://www2.epa.gov/sites/production/files/documents/tvacoal-fired-cd.pdf</w:t>
            </w: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Bull Run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Tennessee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1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Wet 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825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Colbert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Alabama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1 - 4</w:t>
            </w:r>
          </w:p>
        </w:tc>
        <w:tc>
          <w:tcPr>
            <w:tcW w:w="410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Remove from Service, FGD, Repower to Renewable Biomass, or Retire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6/30/2016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Remove from Service, SCR, Repower to Renewable Biomass, or Retire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6/30/2016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495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5</w:t>
            </w:r>
          </w:p>
        </w:tc>
        <w:tc>
          <w:tcPr>
            <w:tcW w:w="41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Remove from Service, FGD, or Retire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Cumberland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Tennessee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&amp; 2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Wet 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66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Gallatin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Tennessee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1 - 4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FGD, Repower to Renewable Biomass, or Retire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SCR, Repower to Renewable Biomass, or Retire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12/31/2017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John Sevier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Tennessee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&amp; 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12/31/2012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660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3 &amp; 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Remove from Service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FGD, Repower to Renewable Biomass, or Retire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SCR, Repower to Renewable Biomass, or Retire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12/31/2015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33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Johnsonville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Tennessee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1 - 10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6 Units by 12/31/15, 4 Units by 12/31/18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Kingston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Tennessee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1 - 9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Wet 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Paradise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Kentucky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&amp; 2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Upgrade 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93% Removal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3</w:t>
            </w:r>
          </w:p>
        </w:tc>
        <w:tc>
          <w:tcPr>
            <w:tcW w:w="410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Wet 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660"/>
        </w:trPr>
        <w:tc>
          <w:tcPr>
            <w:tcW w:w="2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Shawnee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Kentucky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&amp; 4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FGD, Repower to Renewable Biomass, or Retire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SCR, Repower to Renewable Biomass, or Retire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12/31/2017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Widows Creek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Alabama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1 &amp; 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7/31/2013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255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3 &amp; 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7/31/2014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5 &amp; 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7/31/2015</w:t>
            </w:r>
          </w:p>
        </w:tc>
        <w:tc>
          <w:tcPr>
            <w:tcW w:w="8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8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2B4B73">
        <w:trPr>
          <w:trHeight w:val="180"/>
        </w:trPr>
        <w:tc>
          <w:tcPr>
            <w:tcW w:w="241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Units 7 &amp; 8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Wet FGD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Install SCR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Effective Date</w:t>
            </w:r>
          </w:p>
        </w:tc>
        <w:tc>
          <w:tcPr>
            <w:tcW w:w="751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673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</w:tr>
      <w:tr w:rsidR="005C53F4" w:rsidRPr="00D7398A" w:rsidTr="00FA3871">
        <w:trPr>
          <w:trHeight w:val="165"/>
        </w:trPr>
        <w:tc>
          <w:tcPr>
            <w:tcW w:w="5000" w:type="pct"/>
            <w:gridSpan w:val="1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b/>
                <w:bCs/>
                <w:sz w:val="10"/>
                <w:szCs w:val="10"/>
              </w:rPr>
            </w:pPr>
            <w:r w:rsidRPr="00D7398A">
              <w:rPr>
                <w:rFonts w:cs="Arial"/>
                <w:b/>
                <w:bCs/>
                <w:sz w:val="10"/>
                <w:szCs w:val="10"/>
              </w:rPr>
              <w:t>RC Cape May Holdings, LLC</w:t>
            </w:r>
          </w:p>
        </w:tc>
      </w:tr>
      <w:tr w:rsidR="005C53F4" w:rsidRPr="00D7398A" w:rsidTr="002B4B73">
        <w:trPr>
          <w:trHeight w:val="165"/>
        </w:trPr>
        <w:tc>
          <w:tcPr>
            <w:tcW w:w="2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B L England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New Jersey</w:t>
            </w: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Retire/Repower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05/01/14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7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380EFE" w:rsidP="00FA3871">
            <w:pPr>
              <w:spacing w:before="20" w:after="20"/>
              <w:rPr>
                <w:rFonts w:cs="Arial"/>
                <w:sz w:val="10"/>
                <w:szCs w:val="10"/>
                <w:u w:val="single"/>
              </w:rPr>
            </w:pPr>
            <w:hyperlink r:id="rId5" w:history="1">
              <w:r w:rsidR="005C53F4" w:rsidRPr="00D7398A">
                <w:rPr>
                  <w:rFonts w:cs="Arial"/>
                  <w:sz w:val="10"/>
                  <w:szCs w:val="10"/>
                  <w:u w:val="single"/>
                </w:rPr>
                <w:t>http://www.nj.gov/dep/docs/20120613104728.pdf</w:t>
              </w:r>
            </w:hyperlink>
          </w:p>
        </w:tc>
      </w:tr>
      <w:tr w:rsidR="002A28E3" w:rsidRPr="00D7398A" w:rsidTr="002B4B73">
        <w:trPr>
          <w:trHeight w:val="510"/>
        </w:trPr>
        <w:tc>
          <w:tcPr>
            <w:tcW w:w="24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Unit 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 xml:space="preserve">Retire/Repower </w:t>
            </w: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05/01/17</w:t>
            </w:r>
          </w:p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1F3CE7">
              <w:rPr>
                <w:rFonts w:cs="Arial"/>
                <w:sz w:val="10"/>
                <w:szCs w:val="10"/>
              </w:rPr>
              <w:t>FGD</w:t>
            </w: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 xml:space="preserve">SNCR &amp; </w:t>
            </w:r>
            <w:r w:rsidRPr="001F3CE7">
              <w:rPr>
                <w:rFonts w:cs="Arial"/>
                <w:sz w:val="10"/>
                <w:szCs w:val="10"/>
              </w:rPr>
              <w:t>OFA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  <w:r>
              <w:rPr>
                <w:rFonts w:cs="Arial"/>
                <w:sz w:val="10"/>
                <w:szCs w:val="10"/>
              </w:rPr>
              <w:t>0.42 lb/</w:t>
            </w:r>
            <w:r w:rsidR="00843B3E" w:rsidRPr="001F3CE7">
              <w:rPr>
                <w:rFonts w:cs="Arial"/>
                <w:sz w:val="10"/>
                <w:szCs w:val="10"/>
              </w:rPr>
              <w:t>MMBtu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53F4" w:rsidRPr="00D7398A" w:rsidRDefault="005C53F4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D7398A">
              <w:rPr>
                <w:rFonts w:cs="Arial"/>
                <w:sz w:val="10"/>
                <w:szCs w:val="10"/>
              </w:rPr>
              <w:t> </w:t>
            </w:r>
          </w:p>
        </w:tc>
        <w:tc>
          <w:tcPr>
            <w:tcW w:w="2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7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C53F4" w:rsidRPr="00D7398A" w:rsidRDefault="005C53F4" w:rsidP="00FA3871">
            <w:pPr>
              <w:spacing w:before="20" w:after="20"/>
              <w:rPr>
                <w:rFonts w:cs="Arial"/>
                <w:sz w:val="10"/>
                <w:szCs w:val="10"/>
                <w:u w:val="single"/>
              </w:rPr>
            </w:pPr>
          </w:p>
        </w:tc>
      </w:tr>
      <w:tr w:rsidR="002B4B73" w:rsidRPr="00D7398A" w:rsidTr="00BA46E6">
        <w:trPr>
          <w:trHeight w:val="179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  <w:u w:val="single"/>
              </w:rPr>
            </w:pPr>
            <w:r w:rsidRPr="002B4B73">
              <w:rPr>
                <w:rFonts w:cs="Arial"/>
                <w:sz w:val="10"/>
                <w:szCs w:val="10"/>
                <w:u w:val="single"/>
              </w:rPr>
              <w:t>First Energy</w:t>
            </w:r>
          </w:p>
        </w:tc>
      </w:tr>
      <w:tr w:rsidR="002B4B73" w:rsidRPr="00D7398A" w:rsidTr="001A0754">
        <w:trPr>
          <w:trHeight w:val="510"/>
        </w:trPr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Harrison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West Virginia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1,3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1F3CE7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FGD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SCR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2B4B73" w:rsidRDefault="002B4B73" w:rsidP="002B4B7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0.25 lb/MMBtu, 30-day rolling average, Annual basis</w:t>
            </w:r>
          </w:p>
          <w:p w:rsidR="002B4B73" w:rsidRPr="002B4B73" w:rsidRDefault="002B4B73" w:rsidP="002B4B7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  <w:p w:rsidR="002B4B73" w:rsidRPr="00D7398A" w:rsidRDefault="002B4B73" w:rsidP="002B4B7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0.20 lb/MMBtu 30-day rolling average, Ozone Season basis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5/26/2016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ESP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  <w:u w:val="single"/>
              </w:rPr>
            </w:pPr>
            <w:r w:rsidRPr="002B4B73">
              <w:rPr>
                <w:rFonts w:cs="Arial"/>
                <w:sz w:val="10"/>
                <w:szCs w:val="10"/>
                <w:u w:val="single"/>
              </w:rPr>
              <w:t>Permit R13-2988A</w:t>
            </w:r>
          </w:p>
        </w:tc>
      </w:tr>
      <w:tr w:rsidR="002B4B73" w:rsidRPr="00D7398A" w:rsidTr="001A0754">
        <w:trPr>
          <w:trHeight w:val="510"/>
        </w:trPr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1F3CE7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2B4B73" w:rsidRDefault="002B4B73" w:rsidP="002B4B7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0.25 lb/MMBtu, 30-day rolling average, Annual basis</w:t>
            </w:r>
          </w:p>
          <w:p w:rsidR="002B4B73" w:rsidRPr="002B4B73" w:rsidRDefault="002B4B73" w:rsidP="002B4B7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  <w:p w:rsidR="002A28E3" w:rsidRDefault="002B4B73" w:rsidP="002A28E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0.20 lb/MMBtu 30-day rolling average, Ozone Season basis</w:t>
            </w:r>
          </w:p>
          <w:p w:rsidR="002A28E3" w:rsidRDefault="002A28E3" w:rsidP="002A28E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  <w:p w:rsidR="002B4B73" w:rsidRPr="00D7398A" w:rsidRDefault="002A28E3" w:rsidP="002A28E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F</w:t>
            </w:r>
            <w:r w:rsidR="002B4B73" w:rsidRPr="002B4B73">
              <w:rPr>
                <w:rFonts w:cs="Arial"/>
                <w:sz w:val="10"/>
                <w:szCs w:val="10"/>
              </w:rPr>
              <w:t>or Unit 2 boiler only, during the five consecutive 30 day periods of May through September 2016, preceding and during a catalyst replacement:  0.28 lb/</w:t>
            </w:r>
            <w:r w:rsidR="00843B3E" w:rsidRPr="002B4B73">
              <w:rPr>
                <w:rFonts w:cs="Arial"/>
                <w:sz w:val="10"/>
                <w:szCs w:val="10"/>
              </w:rPr>
              <w:t>MMBtu</w:t>
            </w:r>
            <w:r w:rsidR="002B4B73" w:rsidRPr="002B4B73">
              <w:rPr>
                <w:rFonts w:cs="Arial"/>
                <w:sz w:val="10"/>
                <w:szCs w:val="10"/>
              </w:rPr>
              <w:t xml:space="preserve"> </w:t>
            </w:r>
            <w:r w:rsidR="002B4B73" w:rsidRPr="002B4B73">
              <w:rPr>
                <w:rFonts w:cs="Arial"/>
                <w:sz w:val="10"/>
                <w:szCs w:val="10"/>
              </w:rPr>
              <w:lastRenderedPageBreak/>
              <w:t>on a 30 day rolling average.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lastRenderedPageBreak/>
              <w:t>5/26/2016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  <w:u w:val="single"/>
              </w:rPr>
            </w:pPr>
            <w:r w:rsidRPr="002B4B73">
              <w:rPr>
                <w:rFonts w:cs="Arial"/>
                <w:sz w:val="10"/>
                <w:szCs w:val="10"/>
                <w:u w:val="single"/>
              </w:rPr>
              <w:t>Permit R13-2988A</w:t>
            </w:r>
          </w:p>
        </w:tc>
      </w:tr>
      <w:tr w:rsidR="002B4B73" w:rsidRPr="00D7398A" w:rsidTr="002B4B73">
        <w:trPr>
          <w:trHeight w:val="510"/>
        </w:trPr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Pleasants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West Virginia</w:t>
            </w: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1,2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1F3CE7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FGD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SCR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2B4B73" w:rsidRDefault="002B4B73" w:rsidP="002B4B7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0.25 lb/MMBtu, 30-day rolling average, Annual basis</w:t>
            </w:r>
          </w:p>
          <w:p w:rsidR="002B4B73" w:rsidRPr="002B4B73" w:rsidRDefault="002B4B73" w:rsidP="002B4B7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  <w:p w:rsidR="002B4B73" w:rsidRPr="00D7398A" w:rsidRDefault="002B4B73" w:rsidP="002B4B73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0.20 lb/MMBtu 30-day rolling average, Ozone Season basis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  <w:r w:rsidRPr="002B4B73">
              <w:rPr>
                <w:rFonts w:cs="Arial"/>
                <w:sz w:val="10"/>
                <w:szCs w:val="10"/>
              </w:rPr>
              <w:t>5/26/2016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ESP</w:t>
            </w: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4B73" w:rsidRPr="00D7398A" w:rsidRDefault="002B4B73" w:rsidP="00FA3871">
            <w:pPr>
              <w:spacing w:before="20" w:after="20"/>
              <w:jc w:val="center"/>
              <w:rPr>
                <w:rFonts w:cs="Arial"/>
                <w:sz w:val="10"/>
                <w:szCs w:val="1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B73" w:rsidRPr="00D7398A" w:rsidRDefault="002B4B73" w:rsidP="00FA3871">
            <w:pPr>
              <w:spacing w:before="20" w:after="20"/>
              <w:rPr>
                <w:rFonts w:cs="Arial"/>
                <w:sz w:val="10"/>
                <w:szCs w:val="10"/>
                <w:u w:val="single"/>
              </w:rPr>
            </w:pPr>
            <w:r w:rsidRPr="002B4B73">
              <w:rPr>
                <w:rFonts w:cs="Arial"/>
                <w:sz w:val="10"/>
                <w:szCs w:val="10"/>
                <w:u w:val="single"/>
              </w:rPr>
              <w:t>Appeal No. 16-01-AQB, Permit R13-3082A</w:t>
            </w:r>
          </w:p>
        </w:tc>
      </w:tr>
    </w:tbl>
    <w:p w:rsidR="005C53F4" w:rsidRDefault="005C53F4" w:rsidP="005C53F4">
      <w:pPr>
        <w:pStyle w:val="NormalWeb"/>
        <w:shd w:val="clear" w:color="auto" w:fill="FFFFFF"/>
        <w:spacing w:before="0" w:beforeAutospacing="0" w:after="360" w:afterAutospacing="0" w:line="216" w:lineRule="atLeast"/>
        <w:rPr>
          <w:rFonts w:ascii="Arial" w:eastAsiaTheme="minorHAnsi" w:hAnsi="Arial" w:cs="Arial"/>
          <w:b/>
          <w:color w:val="151515"/>
          <w:sz w:val="20"/>
          <w:szCs w:val="20"/>
        </w:rPr>
      </w:pPr>
    </w:p>
    <w:p w:rsidR="005C53F4" w:rsidRDefault="005C53F4" w:rsidP="005C53F4">
      <w:pPr>
        <w:pStyle w:val="NormalWeb"/>
        <w:shd w:val="clear" w:color="auto" w:fill="FFFFFF"/>
        <w:spacing w:before="0" w:beforeAutospacing="0" w:after="360" w:afterAutospacing="0" w:line="216" w:lineRule="atLeast"/>
        <w:rPr>
          <w:rFonts w:ascii="Arial" w:eastAsiaTheme="minorHAnsi" w:hAnsi="Arial" w:cs="Arial"/>
          <w:b/>
          <w:color w:val="151515"/>
          <w:sz w:val="20"/>
          <w:szCs w:val="20"/>
        </w:rPr>
      </w:pPr>
    </w:p>
    <w:p w:rsidR="005C53F4" w:rsidRDefault="005C53F4" w:rsidP="005C53F4">
      <w:pPr>
        <w:rPr>
          <w:rFonts w:cs="Arial"/>
          <w:b/>
          <w:color w:val="151515"/>
          <w:szCs w:val="20"/>
        </w:rPr>
      </w:pPr>
    </w:p>
    <w:p w:rsidR="00FA3871" w:rsidRDefault="00FA3871"/>
    <w:sectPr w:rsidR="00FA3871" w:rsidSect="00FF21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F4"/>
    <w:rsid w:val="00133536"/>
    <w:rsid w:val="001C25EA"/>
    <w:rsid w:val="002A28E3"/>
    <w:rsid w:val="002B4B73"/>
    <w:rsid w:val="00380EFE"/>
    <w:rsid w:val="004E0220"/>
    <w:rsid w:val="005C53F4"/>
    <w:rsid w:val="006A31D8"/>
    <w:rsid w:val="006E0808"/>
    <w:rsid w:val="00843B3E"/>
    <w:rsid w:val="009649D4"/>
    <w:rsid w:val="00AA28EB"/>
    <w:rsid w:val="00BA46E6"/>
    <w:rsid w:val="00CF20C5"/>
    <w:rsid w:val="00FA3871"/>
    <w:rsid w:val="00FF2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9E086B-8643-455D-93FD-65E68352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3F4"/>
    <w:pPr>
      <w:spacing w:after="0" w:line="240" w:lineRule="auto"/>
    </w:pPr>
    <w:rPr>
      <w:rFonts w:ascii="Arial" w:eastAsiaTheme="minorHAnsi" w:hAnsi="Arial"/>
      <w:sz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C53F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53F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8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871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j.gov/dep/docs/20120613104728.pdf" TargetMode="External"/><Relationship Id="rId4" Type="http://schemas.openxmlformats.org/officeDocument/2006/relationships/hyperlink" Target="http://www.aes.com/investors/press-releases/press-release-details/2009/CONSOL-Energy-and-AES-Greenidge-Announce-Successful-Demonstration-of-Multi-Pollutant-Control-Technology-for-Smaller-Coal-Fired-Plant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1273</Words>
  <Characters>7258</Characters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2017-12-09T18:51:00Z</dcterms:created>
  <dcterms:modified xsi:type="dcterms:W3CDTF">2018-05-29T19:11:00Z</dcterms:modified>
</cp:coreProperties>
</file>