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3AD" w:rsidRPr="0075750E" w:rsidRDefault="003226E4" w:rsidP="004A4D62">
      <w:pPr>
        <w:jc w:val="center"/>
        <w:rPr>
          <w:b/>
          <w:sz w:val="36"/>
        </w:rPr>
      </w:pPr>
      <w:bookmarkStart w:id="0" w:name="_GoBack"/>
      <w:bookmarkEnd w:id="0"/>
      <w:r>
        <w:rPr>
          <w:b/>
          <w:sz w:val="36"/>
        </w:rPr>
        <w:t>Key Performance Indicators for Product Distributors</w:t>
      </w:r>
    </w:p>
    <w:p w:rsidR="00A56F47" w:rsidRDefault="00B92038" w:rsidP="00A56F47">
      <w:r>
        <w:t>P</w:t>
      </w:r>
      <w:r w:rsidR="00A56F47">
        <w:t xml:space="preserve">rovide the following </w:t>
      </w:r>
      <w:r w:rsidR="00F04B7A">
        <w:t xml:space="preserve">key </w:t>
      </w:r>
      <w:r w:rsidR="00A56F47">
        <w:t xml:space="preserve">performance </w:t>
      </w:r>
      <w:r w:rsidR="00F04B7A">
        <w:t>indicators including you</w:t>
      </w:r>
      <w:r>
        <w:t>r commitment to selling green cleaning products, experien</w:t>
      </w:r>
      <w:r w:rsidR="00F04B7A">
        <w:t xml:space="preserve">ce training custodians, and </w:t>
      </w:r>
      <w:r>
        <w:t>performance of</w:t>
      </w:r>
      <w:r w:rsidR="00A56F47">
        <w:t xml:space="preserve"> the warehouse and delivery vehic</w:t>
      </w:r>
      <w:r w:rsidR="00F04B7A">
        <w:t>les</w:t>
      </w:r>
      <w:r w:rsidR="00A56F47">
        <w:t>.</w:t>
      </w:r>
    </w:p>
    <w:tbl>
      <w:tblPr>
        <w:tblStyle w:val="TableGrid"/>
        <w:tblW w:w="9445" w:type="dxa"/>
        <w:tblLayout w:type="fixed"/>
        <w:tblLook w:val="04A0" w:firstRow="1" w:lastRow="0" w:firstColumn="1" w:lastColumn="0" w:noHBand="0" w:noVBand="1"/>
      </w:tblPr>
      <w:tblGrid>
        <w:gridCol w:w="2245"/>
        <w:gridCol w:w="1530"/>
        <w:gridCol w:w="765"/>
        <w:gridCol w:w="765"/>
        <w:gridCol w:w="1440"/>
        <w:gridCol w:w="1260"/>
        <w:gridCol w:w="1440"/>
      </w:tblGrid>
      <w:tr w:rsidR="00DF0C87" w:rsidTr="0017213E">
        <w:tc>
          <w:tcPr>
            <w:tcW w:w="2245" w:type="dxa"/>
            <w:vMerge w:val="restart"/>
            <w:vAlign w:val="center"/>
          </w:tcPr>
          <w:p w:rsidR="00E433AD" w:rsidRDefault="00E433AD" w:rsidP="00DF0C87"/>
        </w:tc>
        <w:tc>
          <w:tcPr>
            <w:tcW w:w="1530" w:type="dxa"/>
            <w:vMerge w:val="restart"/>
            <w:vAlign w:val="center"/>
          </w:tcPr>
          <w:p w:rsidR="00E433AD" w:rsidRDefault="00E433AD" w:rsidP="00DF0C87">
            <w:pPr>
              <w:jc w:val="center"/>
              <w:rPr>
                <w:rFonts w:ascii="Calibri" w:hAnsi="Calibri"/>
                <w:color w:val="000000"/>
              </w:rPr>
            </w:pPr>
            <w:r>
              <w:rPr>
                <w:rFonts w:ascii="Calibri" w:hAnsi="Calibri"/>
                <w:color w:val="000000"/>
              </w:rPr>
              <w:t>Unit of Measure</w:t>
            </w:r>
          </w:p>
        </w:tc>
        <w:tc>
          <w:tcPr>
            <w:tcW w:w="1530" w:type="dxa"/>
            <w:gridSpan w:val="2"/>
            <w:vAlign w:val="center"/>
          </w:tcPr>
          <w:p w:rsidR="00E433AD" w:rsidRDefault="00E433AD" w:rsidP="009B29E7">
            <w:pPr>
              <w:jc w:val="center"/>
              <w:rPr>
                <w:rFonts w:ascii="Calibri" w:hAnsi="Calibri"/>
                <w:color w:val="000000"/>
              </w:rPr>
            </w:pPr>
            <w:r>
              <w:rPr>
                <w:rFonts w:ascii="Calibri" w:hAnsi="Calibri"/>
                <w:color w:val="000000"/>
              </w:rPr>
              <w:t>Previous complete year</w:t>
            </w:r>
          </w:p>
        </w:tc>
        <w:tc>
          <w:tcPr>
            <w:tcW w:w="1440" w:type="dxa"/>
            <w:vAlign w:val="center"/>
          </w:tcPr>
          <w:p w:rsidR="00E433AD" w:rsidRDefault="00E433AD" w:rsidP="00DF0C87">
            <w:pPr>
              <w:jc w:val="center"/>
              <w:rPr>
                <w:rFonts w:ascii="Calibri" w:hAnsi="Calibri"/>
                <w:color w:val="000000"/>
              </w:rPr>
            </w:pPr>
            <w:r>
              <w:rPr>
                <w:rFonts w:ascii="Calibri" w:hAnsi="Calibri"/>
                <w:color w:val="000000"/>
              </w:rPr>
              <w:t>Year prior</w:t>
            </w:r>
          </w:p>
        </w:tc>
        <w:tc>
          <w:tcPr>
            <w:tcW w:w="1260" w:type="dxa"/>
            <w:vMerge w:val="restart"/>
            <w:vAlign w:val="center"/>
          </w:tcPr>
          <w:p w:rsidR="00E433AD" w:rsidRDefault="00DF0C87" w:rsidP="00DF0C87">
            <w:pPr>
              <w:jc w:val="center"/>
              <w:rPr>
                <w:rFonts w:ascii="Calibri" w:hAnsi="Calibri"/>
                <w:color w:val="000000"/>
              </w:rPr>
            </w:pPr>
            <w:r>
              <w:rPr>
                <w:rFonts w:ascii="Calibri" w:hAnsi="Calibri"/>
                <w:color w:val="000000"/>
              </w:rPr>
              <w:t>% Difference</w:t>
            </w:r>
            <w:r w:rsidR="002B5A23">
              <w:rPr>
                <w:rStyle w:val="FootnoteReference"/>
                <w:rFonts w:ascii="Calibri" w:hAnsi="Calibri"/>
                <w:color w:val="000000"/>
              </w:rPr>
              <w:footnoteReference w:id="1"/>
            </w:r>
          </w:p>
        </w:tc>
        <w:tc>
          <w:tcPr>
            <w:tcW w:w="1440" w:type="dxa"/>
            <w:vMerge w:val="restart"/>
            <w:vAlign w:val="center"/>
          </w:tcPr>
          <w:p w:rsidR="00E433AD" w:rsidRDefault="00E433AD" w:rsidP="00DF0C87">
            <w:pPr>
              <w:jc w:val="center"/>
              <w:rPr>
                <w:rFonts w:ascii="Calibri" w:hAnsi="Calibri"/>
                <w:color w:val="000000"/>
              </w:rPr>
            </w:pPr>
            <w:r>
              <w:rPr>
                <w:rFonts w:ascii="Calibri" w:hAnsi="Calibri"/>
                <w:color w:val="000000"/>
              </w:rPr>
              <w:t>Improvement Goals</w:t>
            </w:r>
            <w:r w:rsidR="002B5A23">
              <w:rPr>
                <w:rStyle w:val="FootnoteReference"/>
                <w:rFonts w:ascii="Calibri" w:hAnsi="Calibri"/>
                <w:color w:val="000000"/>
              </w:rPr>
              <w:footnoteReference w:id="2"/>
            </w:r>
          </w:p>
        </w:tc>
      </w:tr>
      <w:tr w:rsidR="00DF0C87" w:rsidTr="0017213E">
        <w:tc>
          <w:tcPr>
            <w:tcW w:w="2245" w:type="dxa"/>
            <w:vMerge/>
            <w:vAlign w:val="center"/>
          </w:tcPr>
          <w:p w:rsidR="00E433AD" w:rsidRDefault="00E433AD" w:rsidP="00DF0C87"/>
        </w:tc>
        <w:tc>
          <w:tcPr>
            <w:tcW w:w="1530" w:type="dxa"/>
            <w:vMerge/>
            <w:vAlign w:val="center"/>
          </w:tcPr>
          <w:p w:rsidR="00E433AD" w:rsidRDefault="00E433AD" w:rsidP="00DF0C87">
            <w:pPr>
              <w:jc w:val="center"/>
              <w:rPr>
                <w:rFonts w:ascii="Calibri" w:hAnsi="Calibri"/>
                <w:color w:val="000000"/>
              </w:rPr>
            </w:pPr>
          </w:p>
        </w:tc>
        <w:tc>
          <w:tcPr>
            <w:tcW w:w="1530" w:type="dxa"/>
            <w:gridSpan w:val="2"/>
            <w:vAlign w:val="center"/>
          </w:tcPr>
          <w:p w:rsidR="00E433AD" w:rsidRDefault="00E433AD" w:rsidP="002B5A23">
            <w:pPr>
              <w:rPr>
                <w:rFonts w:ascii="Calibri" w:hAnsi="Calibri"/>
                <w:color w:val="000000"/>
              </w:rPr>
            </w:pPr>
            <w:r>
              <w:rPr>
                <w:rFonts w:ascii="Calibri" w:hAnsi="Calibri"/>
                <w:color w:val="000000"/>
              </w:rPr>
              <w:t>Year</w:t>
            </w:r>
          </w:p>
        </w:tc>
        <w:tc>
          <w:tcPr>
            <w:tcW w:w="1440" w:type="dxa"/>
            <w:vAlign w:val="center"/>
          </w:tcPr>
          <w:p w:rsidR="00E433AD" w:rsidRDefault="00E433AD" w:rsidP="002B5A23">
            <w:pPr>
              <w:rPr>
                <w:rFonts w:ascii="Calibri" w:hAnsi="Calibri"/>
                <w:color w:val="000000"/>
              </w:rPr>
            </w:pPr>
            <w:r>
              <w:rPr>
                <w:rFonts w:ascii="Calibri" w:hAnsi="Calibri"/>
                <w:color w:val="000000"/>
              </w:rPr>
              <w:t>Year</w:t>
            </w:r>
          </w:p>
        </w:tc>
        <w:tc>
          <w:tcPr>
            <w:tcW w:w="1260" w:type="dxa"/>
            <w:vMerge/>
            <w:vAlign w:val="center"/>
          </w:tcPr>
          <w:p w:rsidR="00E433AD" w:rsidRDefault="00E433AD" w:rsidP="00DF0C87">
            <w:pPr>
              <w:jc w:val="center"/>
              <w:rPr>
                <w:rFonts w:ascii="Calibri" w:hAnsi="Calibri"/>
                <w:color w:val="000000"/>
              </w:rPr>
            </w:pPr>
          </w:p>
        </w:tc>
        <w:tc>
          <w:tcPr>
            <w:tcW w:w="1440" w:type="dxa"/>
            <w:vMerge/>
            <w:vAlign w:val="center"/>
          </w:tcPr>
          <w:p w:rsidR="00E433AD" w:rsidRDefault="00E433AD" w:rsidP="00DF0C87">
            <w:pPr>
              <w:jc w:val="center"/>
              <w:rPr>
                <w:rFonts w:ascii="Calibri" w:hAnsi="Calibri"/>
                <w:color w:val="000000"/>
              </w:rPr>
            </w:pPr>
          </w:p>
        </w:tc>
      </w:tr>
      <w:tr w:rsidR="0017213E" w:rsidTr="0017213E">
        <w:tc>
          <w:tcPr>
            <w:tcW w:w="2245" w:type="dxa"/>
            <w:vAlign w:val="center"/>
          </w:tcPr>
          <w:p w:rsidR="0017213E" w:rsidRDefault="0017213E" w:rsidP="0017213E">
            <w:pPr>
              <w:rPr>
                <w:rFonts w:ascii="Calibri" w:hAnsi="Calibri"/>
                <w:color w:val="000000"/>
              </w:rPr>
            </w:pPr>
            <w:r>
              <w:rPr>
                <w:rFonts w:ascii="Calibri" w:hAnsi="Calibri"/>
                <w:color w:val="000000"/>
              </w:rPr>
              <w:t>Commitment to Selling Green Products</w:t>
            </w:r>
          </w:p>
        </w:tc>
        <w:tc>
          <w:tcPr>
            <w:tcW w:w="1530" w:type="dxa"/>
            <w:vAlign w:val="center"/>
          </w:tcPr>
          <w:p w:rsidR="0017213E" w:rsidRDefault="0017213E" w:rsidP="0017213E">
            <w:pPr>
              <w:jc w:val="center"/>
              <w:rPr>
                <w:rFonts w:ascii="Calibri" w:hAnsi="Calibri"/>
                <w:color w:val="000000"/>
              </w:rPr>
            </w:pPr>
            <w:r>
              <w:rPr>
                <w:rFonts w:ascii="Calibri" w:hAnsi="Calibri"/>
                <w:color w:val="000000"/>
              </w:rPr>
              <w:t xml:space="preserve">% of </w:t>
            </w:r>
            <w:r w:rsidR="00F04B7A">
              <w:rPr>
                <w:rFonts w:ascii="Calibri" w:hAnsi="Calibri"/>
                <w:color w:val="000000"/>
              </w:rPr>
              <w:t>Total S</w:t>
            </w:r>
            <w:r>
              <w:rPr>
                <w:rFonts w:ascii="Calibri" w:hAnsi="Calibri"/>
                <w:color w:val="000000"/>
              </w:rPr>
              <w:t>ales $</w:t>
            </w:r>
            <w:r>
              <w:rPr>
                <w:rStyle w:val="FootnoteReference"/>
                <w:rFonts w:ascii="Calibri" w:hAnsi="Calibri"/>
                <w:color w:val="000000"/>
              </w:rPr>
              <w:footnoteReference w:id="3"/>
            </w:r>
          </w:p>
        </w:tc>
        <w:tc>
          <w:tcPr>
            <w:tcW w:w="1530" w:type="dxa"/>
            <w:gridSpan w:val="2"/>
            <w:vAlign w:val="center"/>
          </w:tcPr>
          <w:p w:rsidR="0017213E" w:rsidRDefault="0017213E" w:rsidP="0017213E">
            <w:pPr>
              <w:jc w:val="center"/>
              <w:rPr>
                <w:rFonts w:ascii="Calibri" w:hAnsi="Calibri"/>
                <w:color w:val="000000"/>
              </w:rPr>
            </w:pPr>
          </w:p>
        </w:tc>
        <w:tc>
          <w:tcPr>
            <w:tcW w:w="1440" w:type="dxa"/>
            <w:vAlign w:val="center"/>
          </w:tcPr>
          <w:p w:rsidR="0017213E" w:rsidRDefault="0017213E" w:rsidP="0017213E">
            <w:pPr>
              <w:jc w:val="center"/>
              <w:rPr>
                <w:sz w:val="20"/>
                <w:szCs w:val="20"/>
              </w:rPr>
            </w:pPr>
          </w:p>
        </w:tc>
        <w:tc>
          <w:tcPr>
            <w:tcW w:w="1260" w:type="dxa"/>
            <w:vAlign w:val="center"/>
          </w:tcPr>
          <w:p w:rsidR="0017213E" w:rsidRDefault="0017213E" w:rsidP="0017213E">
            <w:pPr>
              <w:jc w:val="center"/>
              <w:rPr>
                <w:sz w:val="20"/>
                <w:szCs w:val="20"/>
              </w:rPr>
            </w:pPr>
          </w:p>
        </w:tc>
        <w:tc>
          <w:tcPr>
            <w:tcW w:w="1440" w:type="dxa"/>
            <w:vAlign w:val="center"/>
          </w:tcPr>
          <w:p w:rsidR="0017213E" w:rsidRDefault="0017213E" w:rsidP="0017213E">
            <w:pPr>
              <w:jc w:val="center"/>
              <w:rPr>
                <w:sz w:val="20"/>
                <w:szCs w:val="20"/>
              </w:rPr>
            </w:pPr>
          </w:p>
        </w:tc>
      </w:tr>
      <w:tr w:rsidR="0017213E" w:rsidTr="0017213E">
        <w:tc>
          <w:tcPr>
            <w:tcW w:w="2245" w:type="dxa"/>
            <w:vAlign w:val="center"/>
          </w:tcPr>
          <w:p w:rsidR="0017213E" w:rsidRDefault="0017213E" w:rsidP="0017213E">
            <w:pPr>
              <w:rPr>
                <w:rFonts w:ascii="Calibri" w:hAnsi="Calibri"/>
                <w:color w:val="000000"/>
              </w:rPr>
            </w:pPr>
            <w:r>
              <w:rPr>
                <w:rFonts w:ascii="Calibri" w:hAnsi="Calibri"/>
                <w:color w:val="000000"/>
              </w:rPr>
              <w:t>Experience Training Custodians</w:t>
            </w:r>
          </w:p>
        </w:tc>
        <w:tc>
          <w:tcPr>
            <w:tcW w:w="1530" w:type="dxa"/>
            <w:vAlign w:val="center"/>
          </w:tcPr>
          <w:p w:rsidR="0017213E" w:rsidRDefault="00F04B7A" w:rsidP="0017213E">
            <w:pPr>
              <w:jc w:val="center"/>
              <w:rPr>
                <w:rFonts w:ascii="Calibri" w:hAnsi="Calibri"/>
                <w:color w:val="000000"/>
              </w:rPr>
            </w:pPr>
            <w:r>
              <w:rPr>
                <w:rFonts w:ascii="Calibri" w:hAnsi="Calibri"/>
                <w:color w:val="000000"/>
              </w:rPr>
              <w:t>FTEs Trained / S</w:t>
            </w:r>
            <w:r w:rsidR="0017213E" w:rsidRPr="0017213E">
              <w:rPr>
                <w:rFonts w:ascii="Calibri" w:hAnsi="Calibri"/>
                <w:color w:val="000000"/>
              </w:rPr>
              <w:t>ales $</w:t>
            </w:r>
          </w:p>
        </w:tc>
        <w:tc>
          <w:tcPr>
            <w:tcW w:w="1530" w:type="dxa"/>
            <w:gridSpan w:val="2"/>
            <w:vAlign w:val="center"/>
          </w:tcPr>
          <w:p w:rsidR="0017213E" w:rsidRDefault="0017213E" w:rsidP="0017213E">
            <w:pPr>
              <w:jc w:val="center"/>
              <w:rPr>
                <w:rFonts w:ascii="Calibri" w:hAnsi="Calibri"/>
                <w:color w:val="000000"/>
              </w:rPr>
            </w:pPr>
          </w:p>
        </w:tc>
        <w:tc>
          <w:tcPr>
            <w:tcW w:w="1440" w:type="dxa"/>
            <w:vAlign w:val="center"/>
          </w:tcPr>
          <w:p w:rsidR="0017213E" w:rsidRDefault="0017213E" w:rsidP="0017213E">
            <w:pPr>
              <w:jc w:val="center"/>
              <w:rPr>
                <w:sz w:val="20"/>
                <w:szCs w:val="20"/>
              </w:rPr>
            </w:pPr>
          </w:p>
        </w:tc>
        <w:tc>
          <w:tcPr>
            <w:tcW w:w="1260" w:type="dxa"/>
            <w:vAlign w:val="center"/>
          </w:tcPr>
          <w:p w:rsidR="0017213E" w:rsidRDefault="0017213E" w:rsidP="0017213E">
            <w:pPr>
              <w:jc w:val="center"/>
              <w:rPr>
                <w:sz w:val="20"/>
                <w:szCs w:val="20"/>
              </w:rPr>
            </w:pPr>
          </w:p>
        </w:tc>
        <w:tc>
          <w:tcPr>
            <w:tcW w:w="1440" w:type="dxa"/>
            <w:vAlign w:val="center"/>
          </w:tcPr>
          <w:p w:rsidR="0017213E" w:rsidRDefault="0017213E" w:rsidP="0017213E">
            <w:pPr>
              <w:jc w:val="center"/>
              <w:rPr>
                <w:sz w:val="20"/>
                <w:szCs w:val="20"/>
              </w:rPr>
            </w:pPr>
          </w:p>
        </w:tc>
      </w:tr>
      <w:tr w:rsidR="00DF0C87" w:rsidTr="0017213E">
        <w:tc>
          <w:tcPr>
            <w:tcW w:w="2245" w:type="dxa"/>
            <w:vAlign w:val="center"/>
          </w:tcPr>
          <w:p w:rsidR="00DF0C87" w:rsidRDefault="00E433AD" w:rsidP="00075FA2">
            <w:pPr>
              <w:rPr>
                <w:rFonts w:ascii="Calibri" w:hAnsi="Calibri"/>
                <w:color w:val="000000"/>
              </w:rPr>
            </w:pPr>
            <w:r>
              <w:rPr>
                <w:rFonts w:ascii="Calibri" w:hAnsi="Calibri"/>
                <w:color w:val="000000"/>
              </w:rPr>
              <w:t>Fuel</w:t>
            </w:r>
            <w:r w:rsidR="0017213E">
              <w:rPr>
                <w:rFonts w:ascii="Calibri" w:hAnsi="Calibri"/>
                <w:color w:val="000000"/>
              </w:rPr>
              <w:t xml:space="preserve"> Efficiency</w:t>
            </w:r>
          </w:p>
        </w:tc>
        <w:tc>
          <w:tcPr>
            <w:tcW w:w="1530" w:type="dxa"/>
            <w:vAlign w:val="center"/>
          </w:tcPr>
          <w:p w:rsidR="00E433AD" w:rsidRDefault="00F04B7A" w:rsidP="001B2574">
            <w:pPr>
              <w:jc w:val="center"/>
              <w:rPr>
                <w:rFonts w:ascii="Calibri" w:hAnsi="Calibri"/>
                <w:color w:val="000000"/>
              </w:rPr>
            </w:pPr>
            <w:r>
              <w:rPr>
                <w:rFonts w:ascii="Calibri" w:hAnsi="Calibri"/>
                <w:color w:val="000000"/>
              </w:rPr>
              <w:t>M</w:t>
            </w:r>
            <w:r w:rsidR="004840CC">
              <w:rPr>
                <w:rFonts w:ascii="Calibri" w:hAnsi="Calibri"/>
                <w:color w:val="000000"/>
              </w:rPr>
              <w:t>iles</w:t>
            </w:r>
            <w:r>
              <w:rPr>
                <w:rFonts w:ascii="Calibri" w:hAnsi="Calibri"/>
                <w:color w:val="000000"/>
              </w:rPr>
              <w:t xml:space="preserve"> </w:t>
            </w:r>
            <w:r w:rsidR="004840CC">
              <w:rPr>
                <w:rFonts w:ascii="Calibri" w:hAnsi="Calibri"/>
                <w:color w:val="000000"/>
              </w:rPr>
              <w:t>/</w:t>
            </w:r>
            <w:r>
              <w:rPr>
                <w:rFonts w:ascii="Calibri" w:hAnsi="Calibri"/>
                <w:color w:val="000000"/>
              </w:rPr>
              <w:t xml:space="preserve"> </w:t>
            </w:r>
            <w:r w:rsidR="001B2574">
              <w:rPr>
                <w:rFonts w:ascii="Calibri" w:hAnsi="Calibri"/>
                <w:color w:val="000000"/>
              </w:rPr>
              <w:t>G</w:t>
            </w:r>
            <w:r w:rsidR="004840CC">
              <w:rPr>
                <w:rFonts w:ascii="Calibri" w:hAnsi="Calibri"/>
                <w:color w:val="000000"/>
              </w:rPr>
              <w:t>al</w:t>
            </w:r>
            <w:r>
              <w:rPr>
                <w:rFonts w:ascii="Calibri" w:hAnsi="Calibri"/>
                <w:color w:val="000000"/>
              </w:rPr>
              <w:t>lon</w:t>
            </w:r>
            <w:r w:rsidR="00075FA2">
              <w:rPr>
                <w:rStyle w:val="FootnoteReference"/>
                <w:rFonts w:ascii="Calibri" w:hAnsi="Calibri"/>
                <w:color w:val="000000"/>
              </w:rPr>
              <w:footnoteReference w:id="4"/>
            </w:r>
          </w:p>
        </w:tc>
        <w:tc>
          <w:tcPr>
            <w:tcW w:w="1530" w:type="dxa"/>
            <w:gridSpan w:val="2"/>
            <w:vAlign w:val="center"/>
          </w:tcPr>
          <w:p w:rsidR="00E433AD" w:rsidRDefault="00E433AD" w:rsidP="00DF0C87">
            <w:pPr>
              <w:jc w:val="center"/>
              <w:rPr>
                <w:rFonts w:ascii="Calibri" w:hAnsi="Calibri"/>
                <w:color w:val="000000"/>
              </w:rPr>
            </w:pPr>
          </w:p>
        </w:tc>
        <w:tc>
          <w:tcPr>
            <w:tcW w:w="1440" w:type="dxa"/>
            <w:vAlign w:val="center"/>
          </w:tcPr>
          <w:p w:rsidR="00E433AD" w:rsidRDefault="00E433AD" w:rsidP="00DF0C87">
            <w:pPr>
              <w:jc w:val="center"/>
              <w:rPr>
                <w:sz w:val="20"/>
                <w:szCs w:val="20"/>
              </w:rPr>
            </w:pPr>
          </w:p>
        </w:tc>
        <w:tc>
          <w:tcPr>
            <w:tcW w:w="1260" w:type="dxa"/>
            <w:vAlign w:val="center"/>
          </w:tcPr>
          <w:p w:rsidR="00E433AD" w:rsidRDefault="00E433AD" w:rsidP="00DF0C87">
            <w:pPr>
              <w:jc w:val="center"/>
              <w:rPr>
                <w:sz w:val="20"/>
                <w:szCs w:val="20"/>
              </w:rPr>
            </w:pPr>
          </w:p>
        </w:tc>
        <w:tc>
          <w:tcPr>
            <w:tcW w:w="1440" w:type="dxa"/>
            <w:vAlign w:val="center"/>
          </w:tcPr>
          <w:p w:rsidR="00E433AD" w:rsidRDefault="00E433AD" w:rsidP="00DF0C87">
            <w:pPr>
              <w:jc w:val="center"/>
              <w:rPr>
                <w:sz w:val="20"/>
                <w:szCs w:val="20"/>
              </w:rPr>
            </w:pPr>
          </w:p>
        </w:tc>
      </w:tr>
      <w:tr w:rsidR="00DF0C87" w:rsidTr="0017213E">
        <w:tc>
          <w:tcPr>
            <w:tcW w:w="2245" w:type="dxa"/>
            <w:vAlign w:val="center"/>
          </w:tcPr>
          <w:p w:rsidR="00DF0C87" w:rsidRDefault="009A368F" w:rsidP="00075FA2">
            <w:pPr>
              <w:rPr>
                <w:rFonts w:ascii="Calibri" w:hAnsi="Calibri"/>
                <w:color w:val="000000"/>
              </w:rPr>
            </w:pPr>
            <w:r>
              <w:rPr>
                <w:rFonts w:ascii="Calibri" w:hAnsi="Calibri"/>
                <w:color w:val="000000"/>
              </w:rPr>
              <w:t>ENERGY STAR Score</w:t>
            </w:r>
          </w:p>
        </w:tc>
        <w:tc>
          <w:tcPr>
            <w:tcW w:w="1530" w:type="dxa"/>
            <w:vAlign w:val="center"/>
          </w:tcPr>
          <w:p w:rsidR="00E433AD" w:rsidRDefault="00F04B7A" w:rsidP="00DF0C87">
            <w:pPr>
              <w:jc w:val="center"/>
              <w:rPr>
                <w:rFonts w:ascii="Calibri" w:hAnsi="Calibri"/>
                <w:color w:val="000000"/>
              </w:rPr>
            </w:pPr>
            <w:r>
              <w:rPr>
                <w:rFonts w:ascii="Calibri" w:hAnsi="Calibri"/>
                <w:color w:val="000000"/>
              </w:rPr>
              <w:t>ENERGY STAR</w:t>
            </w:r>
            <w:r w:rsidR="00075FA2">
              <w:rPr>
                <w:rFonts w:ascii="Calibri" w:hAnsi="Calibri"/>
                <w:color w:val="000000"/>
              </w:rPr>
              <w:t xml:space="preserve"> Score</w:t>
            </w:r>
            <w:r w:rsidR="00075FA2">
              <w:rPr>
                <w:rStyle w:val="FootnoteReference"/>
                <w:rFonts w:ascii="Calibri" w:hAnsi="Calibri"/>
                <w:color w:val="000000"/>
              </w:rPr>
              <w:footnoteReference w:id="5"/>
            </w:r>
          </w:p>
        </w:tc>
        <w:tc>
          <w:tcPr>
            <w:tcW w:w="1530" w:type="dxa"/>
            <w:gridSpan w:val="2"/>
            <w:vAlign w:val="center"/>
          </w:tcPr>
          <w:p w:rsidR="00E433AD" w:rsidRDefault="00E433AD" w:rsidP="00DF0C87">
            <w:pPr>
              <w:jc w:val="center"/>
              <w:rPr>
                <w:rFonts w:ascii="Calibri" w:hAnsi="Calibri"/>
                <w:color w:val="000000"/>
              </w:rPr>
            </w:pPr>
          </w:p>
        </w:tc>
        <w:tc>
          <w:tcPr>
            <w:tcW w:w="1440" w:type="dxa"/>
            <w:vAlign w:val="center"/>
          </w:tcPr>
          <w:p w:rsidR="00E433AD" w:rsidRDefault="00E433AD" w:rsidP="00DF0C87">
            <w:pPr>
              <w:jc w:val="center"/>
              <w:rPr>
                <w:sz w:val="20"/>
                <w:szCs w:val="20"/>
              </w:rPr>
            </w:pPr>
          </w:p>
        </w:tc>
        <w:tc>
          <w:tcPr>
            <w:tcW w:w="1260" w:type="dxa"/>
            <w:vAlign w:val="center"/>
          </w:tcPr>
          <w:p w:rsidR="00E433AD" w:rsidRDefault="00E433AD" w:rsidP="00DF0C87">
            <w:pPr>
              <w:jc w:val="center"/>
              <w:rPr>
                <w:sz w:val="20"/>
                <w:szCs w:val="20"/>
              </w:rPr>
            </w:pPr>
          </w:p>
        </w:tc>
        <w:tc>
          <w:tcPr>
            <w:tcW w:w="1440" w:type="dxa"/>
            <w:vAlign w:val="center"/>
          </w:tcPr>
          <w:p w:rsidR="00E433AD" w:rsidRDefault="00E433AD" w:rsidP="00DF0C87">
            <w:pPr>
              <w:jc w:val="center"/>
              <w:rPr>
                <w:sz w:val="20"/>
                <w:szCs w:val="20"/>
              </w:rPr>
            </w:pPr>
          </w:p>
        </w:tc>
      </w:tr>
      <w:tr w:rsidR="00DF0C87" w:rsidTr="0017213E">
        <w:tc>
          <w:tcPr>
            <w:tcW w:w="2245" w:type="dxa"/>
            <w:vAlign w:val="center"/>
          </w:tcPr>
          <w:p w:rsidR="00DF0C87" w:rsidRDefault="00E433AD" w:rsidP="00075FA2">
            <w:pPr>
              <w:rPr>
                <w:rFonts w:ascii="Calibri" w:hAnsi="Calibri"/>
                <w:color w:val="000000"/>
              </w:rPr>
            </w:pPr>
            <w:r>
              <w:rPr>
                <w:rFonts w:ascii="Calibri" w:hAnsi="Calibri"/>
                <w:color w:val="000000"/>
              </w:rPr>
              <w:t>Water</w:t>
            </w:r>
            <w:r w:rsidR="0017213E">
              <w:rPr>
                <w:rFonts w:ascii="Calibri" w:hAnsi="Calibri"/>
                <w:color w:val="000000"/>
              </w:rPr>
              <w:t xml:space="preserve"> Efficiency</w:t>
            </w:r>
          </w:p>
        </w:tc>
        <w:tc>
          <w:tcPr>
            <w:tcW w:w="1530" w:type="dxa"/>
            <w:vAlign w:val="center"/>
          </w:tcPr>
          <w:p w:rsidR="00E433AD" w:rsidRDefault="00F04B7A" w:rsidP="00DF0C87">
            <w:pPr>
              <w:jc w:val="center"/>
              <w:rPr>
                <w:rFonts w:ascii="Calibri" w:hAnsi="Calibri"/>
                <w:color w:val="000000"/>
              </w:rPr>
            </w:pPr>
            <w:r>
              <w:rPr>
                <w:rFonts w:ascii="Calibri" w:hAnsi="Calibri"/>
                <w:color w:val="000000"/>
              </w:rPr>
              <w:t>G</w:t>
            </w:r>
            <w:r w:rsidR="000D3613">
              <w:rPr>
                <w:rFonts w:ascii="Calibri" w:hAnsi="Calibri"/>
                <w:color w:val="000000"/>
              </w:rPr>
              <w:t>al</w:t>
            </w:r>
            <w:r>
              <w:rPr>
                <w:rFonts w:ascii="Calibri" w:hAnsi="Calibri"/>
                <w:color w:val="000000"/>
              </w:rPr>
              <w:t xml:space="preserve">lons </w:t>
            </w:r>
            <w:r w:rsidR="000D3613">
              <w:rPr>
                <w:rFonts w:ascii="Calibri" w:hAnsi="Calibri"/>
                <w:color w:val="000000"/>
              </w:rPr>
              <w:t>/</w:t>
            </w:r>
            <w:r>
              <w:rPr>
                <w:rFonts w:ascii="Calibri" w:hAnsi="Calibri"/>
                <w:color w:val="000000"/>
              </w:rPr>
              <w:t xml:space="preserve"> O</w:t>
            </w:r>
            <w:r w:rsidR="000D3613">
              <w:rPr>
                <w:rFonts w:ascii="Calibri" w:hAnsi="Calibri"/>
                <w:color w:val="000000"/>
              </w:rPr>
              <w:t>ccupant</w:t>
            </w:r>
            <w:r w:rsidR="00075FA2">
              <w:rPr>
                <w:rStyle w:val="FootnoteReference"/>
                <w:rFonts w:ascii="Calibri" w:hAnsi="Calibri"/>
                <w:color w:val="000000"/>
              </w:rPr>
              <w:footnoteReference w:id="6"/>
            </w:r>
          </w:p>
        </w:tc>
        <w:tc>
          <w:tcPr>
            <w:tcW w:w="1530" w:type="dxa"/>
            <w:gridSpan w:val="2"/>
            <w:vAlign w:val="center"/>
          </w:tcPr>
          <w:p w:rsidR="00E433AD" w:rsidRDefault="00E433AD" w:rsidP="00DF0C87">
            <w:pPr>
              <w:jc w:val="center"/>
              <w:rPr>
                <w:rFonts w:ascii="Calibri" w:hAnsi="Calibri"/>
                <w:color w:val="000000"/>
              </w:rPr>
            </w:pPr>
          </w:p>
        </w:tc>
        <w:tc>
          <w:tcPr>
            <w:tcW w:w="1440" w:type="dxa"/>
            <w:vAlign w:val="center"/>
          </w:tcPr>
          <w:p w:rsidR="00E433AD" w:rsidRDefault="00E433AD" w:rsidP="00DF0C87">
            <w:pPr>
              <w:jc w:val="center"/>
              <w:rPr>
                <w:sz w:val="20"/>
                <w:szCs w:val="20"/>
              </w:rPr>
            </w:pPr>
          </w:p>
        </w:tc>
        <w:tc>
          <w:tcPr>
            <w:tcW w:w="1260" w:type="dxa"/>
            <w:vAlign w:val="center"/>
          </w:tcPr>
          <w:p w:rsidR="00E433AD" w:rsidRDefault="00E433AD" w:rsidP="00DF0C87">
            <w:pPr>
              <w:jc w:val="center"/>
              <w:rPr>
                <w:sz w:val="20"/>
                <w:szCs w:val="20"/>
              </w:rPr>
            </w:pPr>
          </w:p>
        </w:tc>
        <w:tc>
          <w:tcPr>
            <w:tcW w:w="1440" w:type="dxa"/>
            <w:vAlign w:val="center"/>
          </w:tcPr>
          <w:p w:rsidR="00E433AD" w:rsidRDefault="00E433AD" w:rsidP="00DF0C87">
            <w:pPr>
              <w:jc w:val="center"/>
              <w:rPr>
                <w:sz w:val="20"/>
                <w:szCs w:val="20"/>
              </w:rPr>
            </w:pPr>
          </w:p>
        </w:tc>
      </w:tr>
      <w:tr w:rsidR="00DF0C87" w:rsidTr="0017213E">
        <w:tc>
          <w:tcPr>
            <w:tcW w:w="2245" w:type="dxa"/>
            <w:vAlign w:val="center"/>
          </w:tcPr>
          <w:p w:rsidR="00E433AD" w:rsidRDefault="00E433AD" w:rsidP="00075FA2">
            <w:pPr>
              <w:rPr>
                <w:rFonts w:ascii="Calibri" w:hAnsi="Calibri"/>
                <w:color w:val="000000"/>
              </w:rPr>
            </w:pPr>
            <w:r>
              <w:rPr>
                <w:rFonts w:ascii="Calibri" w:hAnsi="Calibri"/>
                <w:color w:val="000000"/>
              </w:rPr>
              <w:t>Waste (total waste</w:t>
            </w:r>
            <w:r w:rsidR="004840CC">
              <w:rPr>
                <w:rFonts w:ascii="Calibri" w:hAnsi="Calibri"/>
                <w:color w:val="000000"/>
              </w:rPr>
              <w:t>,</w:t>
            </w:r>
            <w:r>
              <w:rPr>
                <w:rFonts w:ascii="Calibri" w:hAnsi="Calibri"/>
                <w:color w:val="000000"/>
              </w:rPr>
              <w:t xml:space="preserve"> recycling</w:t>
            </w:r>
            <w:r w:rsidR="004840CC">
              <w:rPr>
                <w:rFonts w:ascii="Calibri" w:hAnsi="Calibri"/>
                <w:color w:val="000000"/>
              </w:rPr>
              <w:t xml:space="preserve"> &amp; pallets</w:t>
            </w:r>
            <w:r>
              <w:rPr>
                <w:rFonts w:ascii="Calibri" w:hAnsi="Calibri"/>
                <w:color w:val="000000"/>
              </w:rPr>
              <w:t>)</w:t>
            </w:r>
          </w:p>
        </w:tc>
        <w:tc>
          <w:tcPr>
            <w:tcW w:w="1530" w:type="dxa"/>
            <w:vAlign w:val="center"/>
          </w:tcPr>
          <w:p w:rsidR="00E433AD" w:rsidRDefault="00F04B7A" w:rsidP="00F04B7A">
            <w:pPr>
              <w:jc w:val="center"/>
              <w:rPr>
                <w:rFonts w:ascii="Calibri" w:hAnsi="Calibri"/>
                <w:color w:val="000000"/>
              </w:rPr>
            </w:pPr>
            <w:r>
              <w:rPr>
                <w:rFonts w:ascii="Calibri" w:hAnsi="Calibri"/>
                <w:color w:val="000000"/>
              </w:rPr>
              <w:t xml:space="preserve">Pounds </w:t>
            </w:r>
            <w:r w:rsidR="00CD4F51">
              <w:rPr>
                <w:rFonts w:ascii="Calibri" w:hAnsi="Calibri"/>
                <w:color w:val="000000"/>
              </w:rPr>
              <w:t>/</w:t>
            </w:r>
            <w:r>
              <w:rPr>
                <w:rFonts w:ascii="Calibri" w:hAnsi="Calibri"/>
                <w:color w:val="000000"/>
              </w:rPr>
              <w:t xml:space="preserve">  S</w:t>
            </w:r>
            <w:r w:rsidR="00CD4F51">
              <w:rPr>
                <w:rFonts w:ascii="Calibri" w:hAnsi="Calibri"/>
                <w:color w:val="000000"/>
              </w:rPr>
              <w:t>ales $</w:t>
            </w:r>
            <w:r w:rsidR="00075FA2">
              <w:rPr>
                <w:rStyle w:val="FootnoteReference"/>
                <w:rFonts w:ascii="Calibri" w:hAnsi="Calibri"/>
                <w:color w:val="000000"/>
              </w:rPr>
              <w:footnoteReference w:id="7"/>
            </w:r>
          </w:p>
        </w:tc>
        <w:tc>
          <w:tcPr>
            <w:tcW w:w="1530" w:type="dxa"/>
            <w:gridSpan w:val="2"/>
            <w:vAlign w:val="center"/>
          </w:tcPr>
          <w:p w:rsidR="00E433AD" w:rsidRDefault="00E433AD" w:rsidP="00DF0C87">
            <w:pPr>
              <w:jc w:val="center"/>
              <w:rPr>
                <w:rFonts w:ascii="Calibri" w:hAnsi="Calibri"/>
                <w:color w:val="000000"/>
              </w:rPr>
            </w:pPr>
          </w:p>
        </w:tc>
        <w:tc>
          <w:tcPr>
            <w:tcW w:w="1440" w:type="dxa"/>
            <w:vAlign w:val="center"/>
          </w:tcPr>
          <w:p w:rsidR="00E433AD" w:rsidRDefault="00E433AD" w:rsidP="00DF0C87">
            <w:pPr>
              <w:jc w:val="center"/>
              <w:rPr>
                <w:sz w:val="20"/>
                <w:szCs w:val="20"/>
              </w:rPr>
            </w:pPr>
          </w:p>
        </w:tc>
        <w:tc>
          <w:tcPr>
            <w:tcW w:w="1260" w:type="dxa"/>
            <w:vAlign w:val="center"/>
          </w:tcPr>
          <w:p w:rsidR="00E433AD" w:rsidRDefault="00E433AD" w:rsidP="00DF0C87">
            <w:pPr>
              <w:jc w:val="center"/>
              <w:rPr>
                <w:sz w:val="20"/>
                <w:szCs w:val="20"/>
              </w:rPr>
            </w:pPr>
          </w:p>
        </w:tc>
        <w:tc>
          <w:tcPr>
            <w:tcW w:w="1440" w:type="dxa"/>
            <w:vAlign w:val="center"/>
          </w:tcPr>
          <w:p w:rsidR="00E433AD" w:rsidRDefault="00E433AD" w:rsidP="00DF0C87">
            <w:pPr>
              <w:jc w:val="center"/>
              <w:rPr>
                <w:sz w:val="20"/>
                <w:szCs w:val="20"/>
              </w:rPr>
            </w:pPr>
          </w:p>
        </w:tc>
      </w:tr>
      <w:tr w:rsidR="00DF0C87" w:rsidTr="0017213E">
        <w:tc>
          <w:tcPr>
            <w:tcW w:w="2245" w:type="dxa"/>
            <w:vAlign w:val="center"/>
          </w:tcPr>
          <w:p w:rsidR="00140BB7" w:rsidRDefault="00E433AD" w:rsidP="00075FA2">
            <w:pPr>
              <w:rPr>
                <w:rFonts w:ascii="Calibri" w:hAnsi="Calibri"/>
                <w:color w:val="000000"/>
              </w:rPr>
            </w:pPr>
            <w:r>
              <w:rPr>
                <w:rFonts w:ascii="Calibri" w:hAnsi="Calibri"/>
                <w:color w:val="000000"/>
              </w:rPr>
              <w:t>Recycling</w:t>
            </w:r>
            <w:r w:rsidR="004840CC">
              <w:rPr>
                <w:rFonts w:ascii="Calibri" w:hAnsi="Calibri"/>
                <w:color w:val="000000"/>
              </w:rPr>
              <w:t xml:space="preserve"> (excluding Pallets)</w:t>
            </w:r>
          </w:p>
        </w:tc>
        <w:tc>
          <w:tcPr>
            <w:tcW w:w="1530" w:type="dxa"/>
            <w:vAlign w:val="center"/>
          </w:tcPr>
          <w:p w:rsidR="004840CC" w:rsidRDefault="00F04B7A" w:rsidP="00F04B7A">
            <w:pPr>
              <w:jc w:val="center"/>
              <w:rPr>
                <w:rFonts w:ascii="Calibri" w:hAnsi="Calibri"/>
                <w:color w:val="000000"/>
              </w:rPr>
            </w:pPr>
            <w:r>
              <w:rPr>
                <w:rFonts w:ascii="Calibri" w:hAnsi="Calibri"/>
                <w:color w:val="000000"/>
              </w:rPr>
              <w:t>% D</w:t>
            </w:r>
            <w:r w:rsidR="004840CC">
              <w:rPr>
                <w:rFonts w:ascii="Calibri" w:hAnsi="Calibri"/>
                <w:color w:val="000000"/>
              </w:rPr>
              <w:t>iver</w:t>
            </w:r>
            <w:r>
              <w:rPr>
                <w:rFonts w:ascii="Calibri" w:hAnsi="Calibri"/>
                <w:color w:val="000000"/>
              </w:rPr>
              <w:t>ted from L</w:t>
            </w:r>
            <w:r w:rsidR="004840CC">
              <w:rPr>
                <w:rFonts w:ascii="Calibri" w:hAnsi="Calibri"/>
                <w:color w:val="000000"/>
              </w:rPr>
              <w:t>andfill</w:t>
            </w:r>
            <w:r w:rsidR="00075FA2">
              <w:rPr>
                <w:rStyle w:val="FootnoteReference"/>
                <w:rFonts w:ascii="Calibri" w:hAnsi="Calibri"/>
                <w:color w:val="000000"/>
              </w:rPr>
              <w:footnoteReference w:id="8"/>
            </w:r>
          </w:p>
        </w:tc>
        <w:tc>
          <w:tcPr>
            <w:tcW w:w="1530" w:type="dxa"/>
            <w:gridSpan w:val="2"/>
            <w:vAlign w:val="center"/>
          </w:tcPr>
          <w:p w:rsidR="00E433AD" w:rsidRDefault="00E433AD" w:rsidP="00DF0C87">
            <w:pPr>
              <w:jc w:val="center"/>
              <w:rPr>
                <w:rFonts w:ascii="Calibri" w:hAnsi="Calibri"/>
                <w:color w:val="000000"/>
              </w:rPr>
            </w:pPr>
          </w:p>
        </w:tc>
        <w:tc>
          <w:tcPr>
            <w:tcW w:w="1440" w:type="dxa"/>
            <w:vAlign w:val="center"/>
          </w:tcPr>
          <w:p w:rsidR="00E433AD" w:rsidRDefault="00E433AD" w:rsidP="00DF0C87">
            <w:pPr>
              <w:jc w:val="center"/>
              <w:rPr>
                <w:sz w:val="20"/>
                <w:szCs w:val="20"/>
              </w:rPr>
            </w:pPr>
          </w:p>
        </w:tc>
        <w:tc>
          <w:tcPr>
            <w:tcW w:w="1260" w:type="dxa"/>
            <w:vAlign w:val="center"/>
          </w:tcPr>
          <w:p w:rsidR="00E433AD" w:rsidRDefault="00E433AD" w:rsidP="00DF0C87">
            <w:pPr>
              <w:jc w:val="center"/>
              <w:rPr>
                <w:sz w:val="20"/>
                <w:szCs w:val="20"/>
              </w:rPr>
            </w:pPr>
          </w:p>
        </w:tc>
        <w:tc>
          <w:tcPr>
            <w:tcW w:w="1440" w:type="dxa"/>
            <w:vAlign w:val="center"/>
          </w:tcPr>
          <w:p w:rsidR="00E433AD" w:rsidRDefault="00E433AD" w:rsidP="00DF0C87">
            <w:pPr>
              <w:jc w:val="center"/>
              <w:rPr>
                <w:sz w:val="20"/>
                <w:szCs w:val="20"/>
              </w:rPr>
            </w:pPr>
          </w:p>
        </w:tc>
      </w:tr>
      <w:tr w:rsidR="00DF0C87" w:rsidTr="0017213E">
        <w:tc>
          <w:tcPr>
            <w:tcW w:w="2245" w:type="dxa"/>
            <w:vAlign w:val="center"/>
          </w:tcPr>
          <w:p w:rsidR="004840CC" w:rsidRDefault="0017213E" w:rsidP="00075FA2">
            <w:pPr>
              <w:rPr>
                <w:rFonts w:ascii="Calibri" w:hAnsi="Calibri"/>
                <w:color w:val="000000"/>
              </w:rPr>
            </w:pPr>
            <w:r>
              <w:rPr>
                <w:rFonts w:ascii="Calibri" w:hAnsi="Calibri"/>
                <w:color w:val="000000"/>
              </w:rPr>
              <w:t>Pallet Recycling</w:t>
            </w:r>
          </w:p>
        </w:tc>
        <w:tc>
          <w:tcPr>
            <w:tcW w:w="1530" w:type="dxa"/>
            <w:vAlign w:val="center"/>
          </w:tcPr>
          <w:p w:rsidR="004840CC" w:rsidRDefault="00F04B7A" w:rsidP="00DF0C87">
            <w:pPr>
              <w:jc w:val="center"/>
              <w:rPr>
                <w:rFonts w:ascii="Calibri" w:hAnsi="Calibri"/>
                <w:color w:val="000000"/>
              </w:rPr>
            </w:pPr>
            <w:r>
              <w:rPr>
                <w:rFonts w:ascii="Calibri" w:hAnsi="Calibri"/>
                <w:color w:val="000000"/>
              </w:rPr>
              <w:t>% Diverted</w:t>
            </w:r>
            <w:r w:rsidR="004840CC">
              <w:rPr>
                <w:rFonts w:ascii="Calibri" w:hAnsi="Calibri"/>
                <w:color w:val="000000"/>
              </w:rPr>
              <w:t xml:space="preserve"> </w:t>
            </w:r>
            <w:r>
              <w:rPr>
                <w:rFonts w:ascii="Calibri" w:hAnsi="Calibri"/>
                <w:color w:val="000000"/>
              </w:rPr>
              <w:t>from L</w:t>
            </w:r>
            <w:r w:rsidR="004840CC">
              <w:rPr>
                <w:rFonts w:ascii="Calibri" w:hAnsi="Calibri"/>
                <w:color w:val="000000"/>
              </w:rPr>
              <w:t>andfill</w:t>
            </w:r>
            <w:r w:rsidR="00075FA2">
              <w:rPr>
                <w:rStyle w:val="FootnoteReference"/>
                <w:rFonts w:ascii="Calibri" w:hAnsi="Calibri"/>
                <w:color w:val="000000"/>
              </w:rPr>
              <w:footnoteReference w:id="9"/>
            </w:r>
          </w:p>
        </w:tc>
        <w:tc>
          <w:tcPr>
            <w:tcW w:w="1530" w:type="dxa"/>
            <w:gridSpan w:val="2"/>
            <w:vAlign w:val="center"/>
          </w:tcPr>
          <w:p w:rsidR="004840CC" w:rsidRDefault="004840CC" w:rsidP="00DF0C87">
            <w:pPr>
              <w:jc w:val="center"/>
              <w:rPr>
                <w:rFonts w:ascii="Calibri" w:hAnsi="Calibri"/>
                <w:color w:val="000000"/>
              </w:rPr>
            </w:pPr>
          </w:p>
        </w:tc>
        <w:tc>
          <w:tcPr>
            <w:tcW w:w="1440" w:type="dxa"/>
            <w:vAlign w:val="center"/>
          </w:tcPr>
          <w:p w:rsidR="004840CC" w:rsidRDefault="004840CC" w:rsidP="00DF0C87">
            <w:pPr>
              <w:jc w:val="center"/>
              <w:rPr>
                <w:sz w:val="20"/>
                <w:szCs w:val="20"/>
              </w:rPr>
            </w:pPr>
          </w:p>
        </w:tc>
        <w:tc>
          <w:tcPr>
            <w:tcW w:w="1260" w:type="dxa"/>
            <w:vAlign w:val="center"/>
          </w:tcPr>
          <w:p w:rsidR="004840CC" w:rsidRDefault="004840CC" w:rsidP="00DF0C87">
            <w:pPr>
              <w:jc w:val="center"/>
              <w:rPr>
                <w:sz w:val="20"/>
                <w:szCs w:val="20"/>
              </w:rPr>
            </w:pPr>
          </w:p>
        </w:tc>
        <w:tc>
          <w:tcPr>
            <w:tcW w:w="1440" w:type="dxa"/>
            <w:vAlign w:val="center"/>
          </w:tcPr>
          <w:p w:rsidR="004840CC" w:rsidRDefault="004840CC" w:rsidP="00DF0C87">
            <w:pPr>
              <w:jc w:val="center"/>
              <w:rPr>
                <w:sz w:val="20"/>
                <w:szCs w:val="20"/>
              </w:rPr>
            </w:pPr>
          </w:p>
        </w:tc>
      </w:tr>
      <w:tr w:rsidR="00F04B7A" w:rsidTr="004D37A4">
        <w:tc>
          <w:tcPr>
            <w:tcW w:w="4540" w:type="dxa"/>
            <w:gridSpan w:val="3"/>
            <w:vAlign w:val="center"/>
          </w:tcPr>
          <w:p w:rsidR="00F04B7A" w:rsidRDefault="00F04B7A" w:rsidP="00F04B7A">
            <w:pPr>
              <w:jc w:val="center"/>
              <w:rPr>
                <w:rFonts w:ascii="Calibri" w:hAnsi="Calibri"/>
                <w:color w:val="000000"/>
              </w:rPr>
            </w:pPr>
            <w:r>
              <w:rPr>
                <w:rFonts w:ascii="Calibri" w:hAnsi="Calibri"/>
              </w:rPr>
              <w:t>List G</w:t>
            </w:r>
            <w:r w:rsidRPr="00265DCE">
              <w:rPr>
                <w:rFonts w:ascii="Calibri" w:hAnsi="Calibri"/>
              </w:rPr>
              <w:t xml:space="preserve">reen </w:t>
            </w:r>
            <w:r>
              <w:rPr>
                <w:rFonts w:ascii="Calibri" w:hAnsi="Calibri"/>
              </w:rPr>
              <w:t>B</w:t>
            </w:r>
            <w:r w:rsidRPr="00265DCE">
              <w:rPr>
                <w:rFonts w:ascii="Calibri" w:hAnsi="Calibri"/>
              </w:rPr>
              <w:t xml:space="preserve">uilding, </w:t>
            </w:r>
            <w:r>
              <w:rPr>
                <w:rFonts w:ascii="Calibri" w:hAnsi="Calibri"/>
              </w:rPr>
              <w:t>Transportation, Sustainability, CSR or Other C</w:t>
            </w:r>
            <w:r w:rsidRPr="00265DCE">
              <w:rPr>
                <w:rFonts w:ascii="Calibri" w:hAnsi="Calibri"/>
              </w:rPr>
              <w:t>ertifications.</w:t>
            </w:r>
            <w:r w:rsidRPr="00265DCE">
              <w:rPr>
                <w:rStyle w:val="FootnoteReference"/>
                <w:rFonts w:ascii="Calibri" w:hAnsi="Calibri"/>
              </w:rPr>
              <w:footnoteReference w:id="10"/>
            </w:r>
          </w:p>
        </w:tc>
        <w:tc>
          <w:tcPr>
            <w:tcW w:w="4905" w:type="dxa"/>
            <w:gridSpan w:val="4"/>
            <w:vAlign w:val="center"/>
          </w:tcPr>
          <w:p w:rsidR="00F04B7A" w:rsidRDefault="00F04B7A" w:rsidP="00DF0C87">
            <w:pPr>
              <w:jc w:val="center"/>
              <w:rPr>
                <w:sz w:val="20"/>
                <w:szCs w:val="20"/>
              </w:rPr>
            </w:pPr>
          </w:p>
        </w:tc>
      </w:tr>
    </w:tbl>
    <w:p w:rsidR="007D0FE0" w:rsidRDefault="007D0FE0" w:rsidP="00233496"/>
    <w:sectPr w:rsidR="007D0FE0" w:rsidSect="001B2574">
      <w:pgSz w:w="12240" w:h="15840"/>
      <w:pgMar w:top="5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B80" w:rsidRDefault="00305B80" w:rsidP="00057C65">
      <w:pPr>
        <w:spacing w:after="0" w:line="240" w:lineRule="auto"/>
      </w:pPr>
      <w:r>
        <w:separator/>
      </w:r>
    </w:p>
  </w:endnote>
  <w:endnote w:type="continuationSeparator" w:id="0">
    <w:p w:rsidR="00305B80" w:rsidRDefault="00305B80" w:rsidP="0005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B80" w:rsidRDefault="00305B80" w:rsidP="00057C65">
      <w:pPr>
        <w:spacing w:after="0" w:line="240" w:lineRule="auto"/>
      </w:pPr>
      <w:r>
        <w:separator/>
      </w:r>
    </w:p>
  </w:footnote>
  <w:footnote w:type="continuationSeparator" w:id="0">
    <w:p w:rsidR="00305B80" w:rsidRDefault="00305B80" w:rsidP="00057C65">
      <w:pPr>
        <w:spacing w:after="0" w:line="240" w:lineRule="auto"/>
      </w:pPr>
      <w:r>
        <w:continuationSeparator/>
      </w:r>
    </w:p>
  </w:footnote>
  <w:footnote w:id="1">
    <w:p w:rsidR="002B5A23" w:rsidRDefault="002B5A23" w:rsidP="001B2574">
      <w:pPr>
        <w:pStyle w:val="FootnoteText"/>
        <w:ind w:left="-360" w:right="-270"/>
      </w:pPr>
      <w:r>
        <w:rPr>
          <w:rStyle w:val="FootnoteReference"/>
        </w:rPr>
        <w:footnoteRef/>
      </w:r>
      <w:r>
        <w:t xml:space="preserve"> Calculate the percent difference by subtracting the previous complete year from the year prior and then dividing by the year prior.</w:t>
      </w:r>
      <w:r w:rsidR="00CE31D5" w:rsidRPr="00CE31D5">
        <w:t xml:space="preserve"> </w:t>
      </w:r>
      <w:r w:rsidR="00CE31D5">
        <w:t xml:space="preserve">Then multiply this value by 100%. </w:t>
      </w:r>
    </w:p>
  </w:footnote>
  <w:footnote w:id="2">
    <w:p w:rsidR="002B5A23" w:rsidRDefault="002B5A23" w:rsidP="001B2574">
      <w:pPr>
        <w:pStyle w:val="FootnoteText"/>
        <w:ind w:left="-360" w:right="-270"/>
      </w:pPr>
      <w:r>
        <w:rPr>
          <w:rStyle w:val="FootnoteReference"/>
        </w:rPr>
        <w:footnoteRef/>
      </w:r>
      <w:r>
        <w:t xml:space="preserve"> State improvement goals.  This is typically a percentage.  If no goals have been established, leave this blank.</w:t>
      </w:r>
    </w:p>
  </w:footnote>
  <w:footnote w:id="3">
    <w:p w:rsidR="0017213E" w:rsidRPr="00265DCE" w:rsidRDefault="0017213E" w:rsidP="001B2574">
      <w:pPr>
        <w:pStyle w:val="FootnoteText"/>
        <w:ind w:left="-360" w:right="-270"/>
      </w:pPr>
      <w:r>
        <w:rPr>
          <w:rStyle w:val="FootnoteReference"/>
        </w:rPr>
        <w:footnoteRef/>
      </w:r>
      <w:r>
        <w:t xml:space="preserve"> This is a measure of the distributor’s commitment to selling Green products.  Calculate the total dollar value of Green products sold (define Green products by using the US Green Building Council’s LEED for Existing Buildings: </w:t>
      </w:r>
      <w:r w:rsidRPr="00265DCE">
        <w:t>Operations &amp; Maintenance Rating System Version 4 guidelines for cleaning products) and divide by total sales dollars. Then multiply this value by 100%.</w:t>
      </w:r>
    </w:p>
  </w:footnote>
  <w:footnote w:id="4">
    <w:p w:rsidR="00075FA2" w:rsidRPr="00EA4221" w:rsidRDefault="00075FA2" w:rsidP="001B2574">
      <w:pPr>
        <w:pStyle w:val="FootnoteText"/>
        <w:ind w:left="-360" w:right="-270"/>
        <w:rPr>
          <w:color w:val="FF0000"/>
        </w:rPr>
      </w:pPr>
      <w:r>
        <w:rPr>
          <w:rStyle w:val="FootnoteReference"/>
        </w:rPr>
        <w:footnoteRef/>
      </w:r>
      <w:r>
        <w:t xml:space="preserve"> This is a measure of </w:t>
      </w:r>
      <w:r w:rsidR="00997DD3">
        <w:t xml:space="preserve">fuel </w:t>
      </w:r>
      <w:r>
        <w:t xml:space="preserve">efficiency.  </w:t>
      </w:r>
      <w:r w:rsidR="00CE31D5">
        <w:t xml:space="preserve">Calculate the total number of miles driven by delivery and service vehicles and divide by </w:t>
      </w:r>
      <w:r>
        <w:t xml:space="preserve">the </w:t>
      </w:r>
      <w:r w:rsidR="00CE31D5">
        <w:t xml:space="preserve">gallons of fuel </w:t>
      </w:r>
      <w:r>
        <w:t xml:space="preserve">consumed </w:t>
      </w:r>
      <w:r w:rsidR="00CE31D5">
        <w:t>for</w:t>
      </w:r>
      <w:r>
        <w:t xml:space="preserve"> all fuel types including diesel, gasoline, E10 and others used in delivery</w:t>
      </w:r>
      <w:r w:rsidR="00CE31D5">
        <w:t xml:space="preserve"> and service</w:t>
      </w:r>
      <w:r>
        <w:t xml:space="preserve"> vehicles</w:t>
      </w:r>
      <w:r w:rsidR="00CE31D5">
        <w:t xml:space="preserve"> only (exclude sa</w:t>
      </w:r>
      <w:r w:rsidR="00CE31D5" w:rsidRPr="00265DCE">
        <w:t>les vehicles)</w:t>
      </w:r>
      <w:r w:rsidRPr="00265DCE">
        <w:t>.</w:t>
      </w:r>
      <w:r w:rsidR="00EA4221" w:rsidRPr="00265DCE">
        <w:t xml:space="preserve">  </w:t>
      </w:r>
      <w:r w:rsidR="00265DCE">
        <w:t xml:space="preserve">If </w:t>
      </w:r>
      <w:r w:rsidR="00EA4221" w:rsidRPr="00265DCE">
        <w:t>third-party delivery companies</w:t>
      </w:r>
      <w:r w:rsidR="00265DCE">
        <w:t xml:space="preserve"> are used, </w:t>
      </w:r>
      <w:r w:rsidR="00EA4221" w:rsidRPr="00265DCE">
        <w:t>calculate</w:t>
      </w:r>
      <w:r w:rsidR="00265DCE">
        <w:t xml:space="preserve"> the weighted miles per gallon of the delivery services based on the percentage of total dollars spent with each service</w:t>
      </w:r>
      <w:r w:rsidR="00EA4221" w:rsidRPr="00265DCE">
        <w:t>.</w:t>
      </w:r>
    </w:p>
  </w:footnote>
  <w:footnote w:id="5">
    <w:p w:rsidR="00075FA2" w:rsidRDefault="00075FA2" w:rsidP="001B2574">
      <w:pPr>
        <w:pStyle w:val="FootnoteText"/>
        <w:ind w:left="-360" w:right="-270"/>
      </w:pPr>
      <w:r>
        <w:rPr>
          <w:rStyle w:val="FootnoteReference"/>
        </w:rPr>
        <w:footnoteRef/>
      </w:r>
      <w:r>
        <w:t xml:space="preserve"> This is a measure of energy efficiency.  Use ENERGY STAR Portfolio Manager for Buildings &amp; Plants to calculate warehouse energy performance.  </w:t>
      </w:r>
      <w:r w:rsidRPr="00057C65">
        <w:t>https://www.energystar.gov/buildings/facility-owners-and-managers/existing-buildings/use-portfolio-manager</w:t>
      </w:r>
    </w:p>
  </w:footnote>
  <w:footnote w:id="6">
    <w:p w:rsidR="00075FA2" w:rsidRDefault="00075FA2" w:rsidP="001B2574">
      <w:pPr>
        <w:pStyle w:val="FootnoteText"/>
        <w:ind w:left="-360" w:right="-270"/>
      </w:pPr>
      <w:r>
        <w:rPr>
          <w:rStyle w:val="FootnoteReference"/>
        </w:rPr>
        <w:footnoteRef/>
      </w:r>
      <w:r>
        <w:t xml:space="preserve"> This is a measure of water efficiency.  Calculate the total </w:t>
      </w:r>
      <w:r w:rsidR="00CE31D5">
        <w:t xml:space="preserve">gallons of </w:t>
      </w:r>
      <w:r>
        <w:t xml:space="preserve">water consumed including that used for drinking, landscaping, vehicle washing and others purposes (gallons) and divide by the number of FTEs working in the office and warehouse. </w:t>
      </w:r>
    </w:p>
  </w:footnote>
  <w:footnote w:id="7">
    <w:p w:rsidR="00075FA2" w:rsidRDefault="00075FA2" w:rsidP="001B2574">
      <w:pPr>
        <w:pStyle w:val="FootnoteText"/>
        <w:ind w:left="-360" w:right="-270"/>
      </w:pPr>
      <w:r>
        <w:rPr>
          <w:rStyle w:val="FootnoteReference"/>
        </w:rPr>
        <w:footnoteRef/>
      </w:r>
      <w:r>
        <w:t xml:space="preserve"> This is a measure of waste minimization</w:t>
      </w:r>
      <w:r w:rsidR="00C53C28">
        <w:t>.</w:t>
      </w:r>
      <w:r>
        <w:t xml:space="preserve"> Calculate the total waste in pounds per total sales dollars.  If </w:t>
      </w:r>
      <w:r w:rsidR="00AD7568">
        <w:t xml:space="preserve">the </w:t>
      </w:r>
      <w:r>
        <w:t xml:space="preserve">waste hauler does not weigh the bin, calculate the weight for </w:t>
      </w:r>
      <w:proofErr w:type="spellStart"/>
      <w:r>
        <w:t>uncompacted</w:t>
      </w:r>
      <w:proofErr w:type="spellEnd"/>
      <w:r>
        <w:t xml:space="preserve"> waste at 73 pounds per </w:t>
      </w:r>
      <w:r w:rsidR="00C53C28">
        <w:t xml:space="preserve">cubic </w:t>
      </w:r>
      <w:r>
        <w:t xml:space="preserve">yard and compacted waste at 138 pounds per </w:t>
      </w:r>
      <w:r w:rsidR="00C53C28">
        <w:t xml:space="preserve">cubic </w:t>
      </w:r>
      <w:r>
        <w:t xml:space="preserve">yard. </w:t>
      </w:r>
      <w:r w:rsidRPr="00DE4186">
        <w:t>https://www.epa.gov/sites/production/files/2016-04/documents/volume_to_weight_conversion_factors_memorandum_04192016_508fnl.pdf</w:t>
      </w:r>
    </w:p>
  </w:footnote>
  <w:footnote w:id="8">
    <w:p w:rsidR="00075FA2" w:rsidRDefault="00075FA2" w:rsidP="001B2574">
      <w:pPr>
        <w:pStyle w:val="FootnoteText"/>
        <w:ind w:left="-360" w:right="-270"/>
      </w:pPr>
      <w:r>
        <w:rPr>
          <w:rStyle w:val="FootnoteReference"/>
        </w:rPr>
        <w:footnoteRef/>
      </w:r>
      <w:r w:rsidR="00C53C28">
        <w:t>This is a measure of</w:t>
      </w:r>
      <w:r w:rsidR="00C53C28" w:rsidRPr="00C53C28">
        <w:t xml:space="preserve"> </w:t>
      </w:r>
      <w:r w:rsidR="00C53C28">
        <w:t>waste diversion from landfills</w:t>
      </w:r>
      <w:r w:rsidR="00997DD3">
        <w:t xml:space="preserve"> of internal consumables</w:t>
      </w:r>
      <w:r w:rsidR="00C53C28">
        <w:t xml:space="preserve">.  </w:t>
      </w:r>
      <w:r>
        <w:t xml:space="preserve"> Calculate the total amount of recycling including </w:t>
      </w:r>
      <w:r w:rsidR="00C53C28">
        <w:t xml:space="preserve">materials that are </w:t>
      </w:r>
      <w:r>
        <w:t>composted, donated, reused or otherwise diverted from the landfill and divide by the total amount of materials being disposed</w:t>
      </w:r>
      <w:r w:rsidR="00997DD3">
        <w:t>, ex</w:t>
      </w:r>
      <w:r>
        <w:t>cluding pallets.</w:t>
      </w:r>
      <w:r w:rsidR="00CE31D5">
        <w:t xml:space="preserve"> Then multiply this value by 100%.</w:t>
      </w:r>
    </w:p>
  </w:footnote>
  <w:footnote w:id="9">
    <w:p w:rsidR="00075FA2" w:rsidRDefault="00075FA2" w:rsidP="001B2574">
      <w:pPr>
        <w:pStyle w:val="FootnoteText"/>
        <w:ind w:left="-360" w:right="-270"/>
      </w:pPr>
      <w:r>
        <w:rPr>
          <w:rStyle w:val="FootnoteReference"/>
        </w:rPr>
        <w:footnoteRef/>
      </w:r>
      <w:r>
        <w:t xml:space="preserve"> </w:t>
      </w:r>
      <w:r w:rsidR="00997DD3">
        <w:t xml:space="preserve">This is a measure of waste diversion from landfills </w:t>
      </w:r>
      <w:r w:rsidR="00AD7568">
        <w:t xml:space="preserve">of </w:t>
      </w:r>
      <w:r w:rsidR="00997DD3">
        <w:t>durable good</w:t>
      </w:r>
      <w:r w:rsidR="00AD7568">
        <w:t>s</w:t>
      </w:r>
      <w:r w:rsidR="00997DD3">
        <w:t xml:space="preserve">. </w:t>
      </w:r>
      <w:r>
        <w:t xml:space="preserve"> Calculate the total weight of pallets</w:t>
      </w:r>
      <w:r w:rsidR="00AD7568">
        <w:t xml:space="preserve"> recycled, sold for third-</w:t>
      </w:r>
      <w:r w:rsidR="00997DD3">
        <w:t xml:space="preserve">party reprocessing </w:t>
      </w:r>
      <w:r w:rsidR="00AD7568">
        <w:t xml:space="preserve">or otherwise diverted from the landfill </w:t>
      </w:r>
      <w:r w:rsidR="00997DD3">
        <w:t>and divide by the total amount of pallets being disposed</w:t>
      </w:r>
      <w:r>
        <w:t xml:space="preserve">. </w:t>
      </w:r>
      <w:r w:rsidR="00CE31D5">
        <w:t>Then multiply this value by 100%.</w:t>
      </w:r>
    </w:p>
  </w:footnote>
  <w:footnote w:id="10">
    <w:p w:rsidR="00F04B7A" w:rsidRDefault="00F04B7A" w:rsidP="001B2574">
      <w:pPr>
        <w:pStyle w:val="FootnoteText"/>
        <w:ind w:left="-360" w:right="-270"/>
      </w:pPr>
      <w:r w:rsidRPr="00265DCE">
        <w:rPr>
          <w:rStyle w:val="FootnoteReference"/>
        </w:rPr>
        <w:footnoteRef/>
      </w:r>
      <w:r w:rsidRPr="00265DCE">
        <w:t xml:space="preserve"> Include third party certifications such as LEED, WELL,</w:t>
      </w:r>
      <w:r>
        <w:t xml:space="preserve"> ENERGY STAR, BOMA TOBY Award, </w:t>
      </w:r>
      <w:r w:rsidR="006B64FE">
        <w:t xml:space="preserve">SmartWay Transport, </w:t>
      </w:r>
      <w:r>
        <w:t>other.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AD"/>
    <w:rsid w:val="00057C65"/>
    <w:rsid w:val="00075FA2"/>
    <w:rsid w:val="000760A2"/>
    <w:rsid w:val="000D3613"/>
    <w:rsid w:val="001211BF"/>
    <w:rsid w:val="00140BB7"/>
    <w:rsid w:val="0017213E"/>
    <w:rsid w:val="00194BBD"/>
    <w:rsid w:val="00197676"/>
    <w:rsid w:val="001B2574"/>
    <w:rsid w:val="001D0E4B"/>
    <w:rsid w:val="00233496"/>
    <w:rsid w:val="00240274"/>
    <w:rsid w:val="00265DCE"/>
    <w:rsid w:val="002B5A23"/>
    <w:rsid w:val="00305B80"/>
    <w:rsid w:val="003226E4"/>
    <w:rsid w:val="00385D91"/>
    <w:rsid w:val="003D3B2C"/>
    <w:rsid w:val="004840CC"/>
    <w:rsid w:val="004A4D62"/>
    <w:rsid w:val="0051015B"/>
    <w:rsid w:val="00511B83"/>
    <w:rsid w:val="00524767"/>
    <w:rsid w:val="00673B70"/>
    <w:rsid w:val="006846DB"/>
    <w:rsid w:val="006B64FE"/>
    <w:rsid w:val="00707811"/>
    <w:rsid w:val="0075750E"/>
    <w:rsid w:val="007D0FE0"/>
    <w:rsid w:val="00810110"/>
    <w:rsid w:val="00816F83"/>
    <w:rsid w:val="0086026E"/>
    <w:rsid w:val="00997DD3"/>
    <w:rsid w:val="009A368F"/>
    <w:rsid w:val="009B29E7"/>
    <w:rsid w:val="00A56F47"/>
    <w:rsid w:val="00AC6E27"/>
    <w:rsid w:val="00AD7568"/>
    <w:rsid w:val="00B92038"/>
    <w:rsid w:val="00BC68DB"/>
    <w:rsid w:val="00C53C28"/>
    <w:rsid w:val="00CD4F51"/>
    <w:rsid w:val="00CE31D5"/>
    <w:rsid w:val="00D8140A"/>
    <w:rsid w:val="00DB7376"/>
    <w:rsid w:val="00DE4186"/>
    <w:rsid w:val="00DF0C87"/>
    <w:rsid w:val="00E433AD"/>
    <w:rsid w:val="00EA4221"/>
    <w:rsid w:val="00ED0B8E"/>
    <w:rsid w:val="00EF6969"/>
    <w:rsid w:val="00F04B7A"/>
    <w:rsid w:val="00F141A1"/>
    <w:rsid w:val="00F9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432CD-FEFF-4FF0-8D15-B7E7E636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3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3AD"/>
    <w:rPr>
      <w:rFonts w:ascii="Segoe UI" w:hAnsi="Segoe UI" w:cs="Segoe UI"/>
      <w:sz w:val="18"/>
      <w:szCs w:val="18"/>
    </w:rPr>
  </w:style>
  <w:style w:type="paragraph" w:styleId="FootnoteText">
    <w:name w:val="footnote text"/>
    <w:basedOn w:val="Normal"/>
    <w:link w:val="FootnoteTextChar"/>
    <w:uiPriority w:val="99"/>
    <w:semiHidden/>
    <w:unhideWhenUsed/>
    <w:rsid w:val="00057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7C65"/>
    <w:rPr>
      <w:sz w:val="20"/>
      <w:szCs w:val="20"/>
    </w:rPr>
  </w:style>
  <w:style w:type="character" w:styleId="FootnoteReference">
    <w:name w:val="footnote reference"/>
    <w:basedOn w:val="DefaultParagraphFont"/>
    <w:uiPriority w:val="99"/>
    <w:semiHidden/>
    <w:unhideWhenUsed/>
    <w:rsid w:val="00057C65"/>
    <w:rPr>
      <w:vertAlign w:val="superscript"/>
    </w:rPr>
  </w:style>
  <w:style w:type="paragraph" w:styleId="Header">
    <w:name w:val="header"/>
    <w:basedOn w:val="Normal"/>
    <w:link w:val="HeaderChar"/>
    <w:uiPriority w:val="99"/>
    <w:unhideWhenUsed/>
    <w:rsid w:val="00A56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F47"/>
  </w:style>
  <w:style w:type="paragraph" w:styleId="Footer">
    <w:name w:val="footer"/>
    <w:basedOn w:val="Normal"/>
    <w:link w:val="FooterChar"/>
    <w:uiPriority w:val="99"/>
    <w:unhideWhenUsed/>
    <w:rsid w:val="00A56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F47"/>
  </w:style>
  <w:style w:type="paragraph" w:styleId="EndnoteText">
    <w:name w:val="endnote text"/>
    <w:basedOn w:val="Normal"/>
    <w:link w:val="EndnoteTextChar"/>
    <w:uiPriority w:val="99"/>
    <w:semiHidden/>
    <w:unhideWhenUsed/>
    <w:rsid w:val="00EA42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4221"/>
    <w:rPr>
      <w:sz w:val="20"/>
      <w:szCs w:val="20"/>
    </w:rPr>
  </w:style>
  <w:style w:type="character" w:styleId="EndnoteReference">
    <w:name w:val="endnote reference"/>
    <w:basedOn w:val="DefaultParagraphFont"/>
    <w:uiPriority w:val="99"/>
    <w:semiHidden/>
    <w:unhideWhenUsed/>
    <w:rsid w:val="00EA42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0637">
      <w:bodyDiv w:val="1"/>
      <w:marLeft w:val="0"/>
      <w:marRight w:val="0"/>
      <w:marTop w:val="0"/>
      <w:marBottom w:val="0"/>
      <w:divBdr>
        <w:top w:val="none" w:sz="0" w:space="0" w:color="auto"/>
        <w:left w:val="none" w:sz="0" w:space="0" w:color="auto"/>
        <w:bottom w:val="none" w:sz="0" w:space="0" w:color="auto"/>
        <w:right w:val="none" w:sz="0" w:space="0" w:color="auto"/>
      </w:divBdr>
    </w:div>
    <w:div w:id="21372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4247CC-5B06-4F02-83F9-4B2643C398B8}">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E09C1-E9C5-40B7-AD13-E3632BCB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Ashkin</dc:creator>
  <cp:keywords/>
  <dc:description/>
  <cp:lastModifiedBy>Curreri, Michele</cp:lastModifiedBy>
  <cp:revision>2</cp:revision>
  <cp:lastPrinted>2018-08-15T16:03:00Z</cp:lastPrinted>
  <dcterms:created xsi:type="dcterms:W3CDTF">2018-08-15T18:25:00Z</dcterms:created>
  <dcterms:modified xsi:type="dcterms:W3CDTF">2018-08-15T18:25:00Z</dcterms:modified>
</cp:coreProperties>
</file>