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95CD5" w14:textId="77777777" w:rsidR="005E17C8" w:rsidRDefault="005E17C8" w:rsidP="005E17C8">
      <w:pPr>
        <w:jc w:val="center"/>
      </w:pPr>
    </w:p>
    <w:p w14:paraId="589B192A" w14:textId="77777777" w:rsidR="005E17C8" w:rsidRDefault="005E17C8" w:rsidP="005E17C8">
      <w:pPr>
        <w:jc w:val="center"/>
      </w:pPr>
    </w:p>
    <w:p w14:paraId="322E31B7" w14:textId="77777777" w:rsidR="00110664" w:rsidRDefault="005E17C8" w:rsidP="005E17C8">
      <w:pPr>
        <w:jc w:val="center"/>
      </w:pPr>
      <w:r>
        <w:t xml:space="preserve">Standard Operating Procedure for </w:t>
      </w:r>
    </w:p>
    <w:p w14:paraId="51214C87" w14:textId="607C16EF" w:rsidR="005E17C8" w:rsidRDefault="005E17C8" w:rsidP="005E17C8">
      <w:pPr>
        <w:jc w:val="center"/>
      </w:pPr>
      <w:r>
        <w:t xml:space="preserve">the </w:t>
      </w:r>
      <w:r w:rsidR="00E8776B">
        <w:t xml:space="preserve">Analysis </w:t>
      </w:r>
      <w:r>
        <w:t xml:space="preserve">of Carbonyl Compounds in Ambient Air for the Photochemical Assessment Monitoring Station (PAMS) Network </w:t>
      </w:r>
    </w:p>
    <w:p w14:paraId="0581C2F2" w14:textId="77777777" w:rsidR="005E17C8" w:rsidRDefault="005E17C8" w:rsidP="005E17C8">
      <w:pPr>
        <w:jc w:val="center"/>
      </w:pPr>
    </w:p>
    <w:p w14:paraId="5E20609B" w14:textId="1388B3C1" w:rsidR="005E17C8" w:rsidRDefault="00110664" w:rsidP="005E17C8">
      <w:pPr>
        <w:jc w:val="center"/>
      </w:pPr>
      <w:r>
        <w:t>Version 1.0</w:t>
      </w:r>
    </w:p>
    <w:p w14:paraId="1B26F7F9" w14:textId="77777777" w:rsidR="005E17C8" w:rsidRDefault="005E17C8" w:rsidP="005E17C8">
      <w:pPr>
        <w:jc w:val="center"/>
      </w:pPr>
    </w:p>
    <w:p w14:paraId="4103C0E2" w14:textId="7E64C049" w:rsidR="005E17C8" w:rsidRDefault="00C61837" w:rsidP="005E17C8">
      <w:pPr>
        <w:jc w:val="center"/>
        <w:sectPr w:rsidR="005E17C8">
          <w:pgSz w:w="12240" w:h="15840"/>
          <w:pgMar w:top="1440" w:right="1800" w:bottom="1440" w:left="1800" w:header="720" w:footer="720" w:gutter="0"/>
          <w:cols w:space="720"/>
          <w:docGrid w:linePitch="360"/>
        </w:sectPr>
      </w:pPr>
      <w:r>
        <w:t>January 2020</w:t>
      </w:r>
    </w:p>
    <w:p w14:paraId="480B6522" w14:textId="77777777" w:rsidR="005E17C8" w:rsidRDefault="005E17C8" w:rsidP="005E17C8"/>
    <w:p w14:paraId="7833AAAE" w14:textId="77777777" w:rsidR="005E17C8" w:rsidRPr="002337DE" w:rsidRDefault="005E17C8" w:rsidP="005E17C8">
      <w:pPr>
        <w:pStyle w:val="ListParagraph"/>
        <w:numPr>
          <w:ilvl w:val="0"/>
          <w:numId w:val="1"/>
        </w:numPr>
        <w:ind w:left="360"/>
        <w:rPr>
          <w:b/>
        </w:rPr>
      </w:pPr>
      <w:r w:rsidRPr="002337DE">
        <w:rPr>
          <w:b/>
        </w:rPr>
        <w:t>SCOPE AND APPLICABILITY</w:t>
      </w:r>
    </w:p>
    <w:p w14:paraId="7127D38A" w14:textId="77777777" w:rsidR="005E17C8" w:rsidRDefault="005E17C8" w:rsidP="005E17C8"/>
    <w:p w14:paraId="1FEB3891" w14:textId="615BA6F8" w:rsidR="005E17C8" w:rsidRDefault="005E17C8" w:rsidP="005E17C8">
      <w:r>
        <w:t xml:space="preserve">This purpose of this standard operating procedure (SOP) is to describe the receipt, extraction, and analysis of carbonyl compounds for </w:t>
      </w:r>
      <w:r w:rsidR="00110664">
        <w:t xml:space="preserve">the </w:t>
      </w:r>
      <w:r>
        <w:t xml:space="preserve">EPA Photochemical Assessment Monitoring Stations (PAMS) network.  This SOP describes the laboratory analysis of carbonyl compounds collected onto silica gel sorbent cartridge media impregnated with </w:t>
      </w:r>
      <w:proofErr w:type="spellStart"/>
      <w:r>
        <w:t>diphenylhydrazine</w:t>
      </w:r>
      <w:proofErr w:type="spellEnd"/>
      <w:r>
        <w:t xml:space="preserve"> (DNPH) as described in EPA Compendium Method TO-11A.</w:t>
      </w:r>
      <w:r w:rsidR="00110664" w:rsidRPr="0099275B">
        <w:rPr>
          <w:vertAlign w:val="superscript"/>
        </w:rPr>
        <w:t>1</w:t>
      </w:r>
      <w:r>
        <w:t xml:space="preserve">  This SOP describes the procedures to be followed to solvent extract derivatized carbonyl</w:t>
      </w:r>
      <w:r w:rsidR="00080A6E">
        <w:t>-</w:t>
      </w:r>
      <w:r>
        <w:t xml:space="preserve">hydrazones </w:t>
      </w:r>
      <w:r w:rsidR="00144EFA">
        <w:t xml:space="preserve">collected on the DNPH cartridge samples </w:t>
      </w:r>
      <w:r>
        <w:t xml:space="preserve">and </w:t>
      </w:r>
      <w:r w:rsidR="00144EFA">
        <w:t xml:space="preserve">to </w:t>
      </w:r>
      <w:r>
        <w:t>analyze the extracts by high performance liquid chromatography (HPLC)</w:t>
      </w:r>
      <w:r w:rsidR="00144EFA">
        <w:t xml:space="preserve"> </w:t>
      </w:r>
      <w:r w:rsidR="00110664">
        <w:t xml:space="preserve">or ultra-high performance liquid chromatography (UHPLC) </w:t>
      </w:r>
      <w:r w:rsidR="00144EFA">
        <w:t>with ultraviolet detection</w:t>
      </w:r>
      <w:r>
        <w:t>, but does not describe the unique actions required to operate specific instruments or their associated software systems</w:t>
      </w:r>
      <w:r w:rsidR="00144EFA">
        <w:t xml:space="preserve"> nor </w:t>
      </w:r>
      <w:r w:rsidR="004C7D8A">
        <w:t xml:space="preserve">operation of </w:t>
      </w:r>
      <w:r w:rsidR="00144EFA">
        <w:t>HPLC</w:t>
      </w:r>
      <w:r w:rsidR="004C7D8A">
        <w:t>s</w:t>
      </w:r>
      <w:r w:rsidR="00144EFA">
        <w:t xml:space="preserve"> with mass spectrometer </w:t>
      </w:r>
      <w:r w:rsidR="006E1155">
        <w:t xml:space="preserve">(MS) </w:t>
      </w:r>
      <w:r w:rsidR="00144EFA">
        <w:t>detection</w:t>
      </w:r>
      <w:r>
        <w:t xml:space="preserve">.  </w:t>
      </w:r>
      <w:r w:rsidR="00144EFA">
        <w:t xml:space="preserve">The </w:t>
      </w:r>
      <w:r>
        <w:t xml:space="preserve">field collection instruments </w:t>
      </w:r>
      <w:r w:rsidR="00144EFA">
        <w:t xml:space="preserve">and </w:t>
      </w:r>
      <w:r>
        <w:t xml:space="preserve">procedures </w:t>
      </w:r>
      <w:r w:rsidR="00110664">
        <w:t xml:space="preserve">employed </w:t>
      </w:r>
      <w:r>
        <w:t>prior to receipt at the laboratory</w:t>
      </w:r>
      <w:r w:rsidR="00561D1E">
        <w:t xml:space="preserve"> </w:t>
      </w:r>
      <w:r>
        <w:t xml:space="preserve">are </w:t>
      </w:r>
      <w:r w:rsidR="00110664">
        <w:t xml:space="preserve">not described in this document; however, are detailed </w:t>
      </w:r>
      <w:r>
        <w:t xml:space="preserve">in the </w:t>
      </w:r>
      <w:r w:rsidR="00110664">
        <w:t xml:space="preserve">companion </w:t>
      </w:r>
      <w:r>
        <w:t>Standard Operating Procedure for the Collection of Carbonyl Compounds in Ambient Air for the Photochemical Assessment Monitoring Station (PAMS) Network.</w:t>
      </w:r>
    </w:p>
    <w:p w14:paraId="1DE5C7A7" w14:textId="77777777" w:rsidR="005E17C8" w:rsidRDefault="005E17C8" w:rsidP="005E17C8"/>
    <w:p w14:paraId="13291542" w14:textId="557188C2" w:rsidR="005E17C8" w:rsidRPr="002337DE" w:rsidRDefault="005E17C8" w:rsidP="005E17C8">
      <w:pPr>
        <w:pStyle w:val="ListParagraph"/>
        <w:numPr>
          <w:ilvl w:val="0"/>
          <w:numId w:val="1"/>
        </w:numPr>
        <w:ind w:left="360"/>
        <w:rPr>
          <w:b/>
        </w:rPr>
      </w:pPr>
      <w:r w:rsidRPr="002337DE">
        <w:rPr>
          <w:b/>
        </w:rPr>
        <w:t>SUMMARY OF METHOD</w:t>
      </w:r>
      <w:r w:rsidR="009305B2">
        <w:rPr>
          <w:b/>
        </w:rPr>
        <w:t xml:space="preserve"> (COLLECTION AND ANALYSIS)</w:t>
      </w:r>
    </w:p>
    <w:p w14:paraId="2A21324F" w14:textId="77777777" w:rsidR="005E17C8" w:rsidRDefault="005E17C8" w:rsidP="005E17C8"/>
    <w:p w14:paraId="0E44C22B" w14:textId="08B66695" w:rsidR="00314894" w:rsidRDefault="00110664" w:rsidP="005E17C8">
      <w:r>
        <w:t>A measured volume of ambient air is pulled by a vacuum pump through an ozone denuder to remove ozone, which interferes with both the collection and analysis of the carbonyls.  The sampled air scrubbed of ozone is then passed through a silica gel sorbent cartridge impregnated with DNPH where carbonyls in the sampled air stream react with DNPH to form stable carbonyl</w:t>
      </w:r>
      <w:r w:rsidR="00076405">
        <w:t>-</w:t>
      </w:r>
      <w:r>
        <w:t>hydrazones.  These stable carbonyl</w:t>
      </w:r>
      <w:r w:rsidR="00076405">
        <w:t>-</w:t>
      </w:r>
      <w:r>
        <w:t>hydrazones are maintained within the sorbent bed until extraction at the analysis laboratory.  Carbonyl sampling for the PAMS program involves collecting three con</w:t>
      </w:r>
      <w:r w:rsidRPr="00995D9B">
        <w:t>secutive 8-hour samples on a 1-in-3 days schedule as required in 40 CFR Part 58 Appendix D, Section 5h.</w:t>
      </w:r>
      <w:r w:rsidRPr="00995D9B">
        <w:rPr>
          <w:vertAlign w:val="superscript"/>
        </w:rPr>
        <w:t>2</w:t>
      </w:r>
      <w:r w:rsidRPr="001E2BB4">
        <w:t xml:space="preserve">  C</w:t>
      </w:r>
      <w:r>
        <w:t xml:space="preserve">artridges are retrieved ideally within 48 hours (not to exceed 72 hours) of completion of the last of the three sequential samples and are stored and transported refrigerated and protected from light.  Sample cartridges are extracted with acetonitrile </w:t>
      </w:r>
      <w:r w:rsidR="001E2BB4">
        <w:t xml:space="preserve">(ACN) </w:t>
      </w:r>
      <w:r>
        <w:t xml:space="preserve">within 14 days of collection.  </w:t>
      </w:r>
      <w:r w:rsidR="005E17C8">
        <w:t xml:space="preserve">Extracts are then analyzed by HPLC with ultraviolet detection (UV) at </w:t>
      </w:r>
      <w:r w:rsidR="00537F4B">
        <w:t xml:space="preserve">approximately </w:t>
      </w:r>
      <w:r w:rsidR="009755E8">
        <w:t>360</w:t>
      </w:r>
      <w:r w:rsidR="005E17C8">
        <w:t xml:space="preserve"> nm within </w:t>
      </w:r>
      <w:r w:rsidR="009755E8">
        <w:t>30</w:t>
      </w:r>
      <w:r w:rsidR="005E17C8">
        <w:t xml:space="preserve"> days of extraction</w:t>
      </w:r>
      <w:r w:rsidR="00537F4B">
        <w:t xml:space="preserve">. </w:t>
      </w:r>
      <w:r w:rsidR="005E17C8">
        <w:t xml:space="preserve"> </w:t>
      </w:r>
      <w:r w:rsidR="00537F4B">
        <w:t>T</w:t>
      </w:r>
      <w:r w:rsidR="005E17C8">
        <w:t>he carbonyl concentrations in the ambient air sample</w:t>
      </w:r>
      <w:r>
        <w:t>s</w:t>
      </w:r>
      <w:r w:rsidR="005E17C8">
        <w:t xml:space="preserve"> </w:t>
      </w:r>
      <w:r w:rsidR="00537F4B">
        <w:t xml:space="preserve">are </w:t>
      </w:r>
      <w:r w:rsidR="005E17C8">
        <w:t>calculated from the measured concentrations</w:t>
      </w:r>
      <w:r w:rsidR="00080A6E">
        <w:t xml:space="preserve"> of the target analytes </w:t>
      </w:r>
      <w:r w:rsidR="005E17C8">
        <w:t>in the sample extracts</w:t>
      </w:r>
      <w:r w:rsidR="00664142">
        <w:t xml:space="preserve"> </w:t>
      </w:r>
      <w:r w:rsidR="00664142" w:rsidRPr="00664142">
        <w:t>and the volume</w:t>
      </w:r>
      <w:r>
        <w:t>s</w:t>
      </w:r>
      <w:r w:rsidR="00664142" w:rsidRPr="00664142">
        <w:t xml:space="preserve"> of air sampled onto the cartridg</w:t>
      </w:r>
      <w:r w:rsidR="00664142">
        <w:t>e</w:t>
      </w:r>
      <w:r>
        <w:t>s</w:t>
      </w:r>
      <w:r w:rsidR="005E17C8">
        <w:t xml:space="preserve">.  The resulting in-air </w:t>
      </w:r>
      <w:r>
        <w:t xml:space="preserve">carbonyl </w:t>
      </w:r>
      <w:r w:rsidR="005E17C8">
        <w:t xml:space="preserve">concentrations of the collected samples are reported </w:t>
      </w:r>
      <w:r>
        <w:t xml:space="preserve">to </w:t>
      </w:r>
      <w:r w:rsidR="005E17C8">
        <w:t>the EPA Air Quality System (AQS) database.</w:t>
      </w:r>
      <w:r w:rsidR="00314894">
        <w:t xml:space="preserve">  </w:t>
      </w:r>
      <w:r w:rsidR="0074630C">
        <w:t>Quality control requirements are summarized in Table 6 at the conclusion of this SOP.</w:t>
      </w:r>
    </w:p>
    <w:p w14:paraId="7DDEB212" w14:textId="77777777" w:rsidR="00314894" w:rsidRDefault="00314894" w:rsidP="005E17C8"/>
    <w:p w14:paraId="5693D66B" w14:textId="3E97E102" w:rsidR="005E17C8" w:rsidRDefault="00227910" w:rsidP="005E17C8">
      <w:r>
        <w:rPr>
          <w:i/>
          <w:iCs/>
        </w:rPr>
        <w:t>L</w:t>
      </w:r>
      <w:r w:rsidR="00314894" w:rsidRPr="0099275B">
        <w:rPr>
          <w:i/>
          <w:iCs/>
        </w:rPr>
        <w:t>aboratories are required to measure and report the PAMS priority compounds formaldehyde and acetaldehyde</w:t>
      </w:r>
      <w:r>
        <w:rPr>
          <w:i/>
          <w:iCs/>
        </w:rPr>
        <w:t xml:space="preserve"> </w:t>
      </w:r>
      <w:r w:rsidR="00314894" w:rsidRPr="0099275B">
        <w:rPr>
          <w:i/>
          <w:iCs/>
        </w:rPr>
        <w:t>and are encouraged to measure and report acetone and benzaldehyde.</w:t>
      </w:r>
      <w:r w:rsidR="00995D9B" w:rsidRPr="00995D9B">
        <w:rPr>
          <w:i/>
          <w:iCs/>
          <w:vertAlign w:val="superscript"/>
        </w:rPr>
        <w:t xml:space="preserve"> </w:t>
      </w:r>
      <w:r w:rsidR="00995D9B" w:rsidRPr="00D41747">
        <w:rPr>
          <w:i/>
          <w:iCs/>
          <w:vertAlign w:val="superscript"/>
        </w:rPr>
        <w:t>3</w:t>
      </w:r>
      <w:r w:rsidR="00314894" w:rsidRPr="0099275B">
        <w:rPr>
          <w:i/>
          <w:iCs/>
        </w:rPr>
        <w:t xml:space="preserve">  Th</w:t>
      </w:r>
      <w:r w:rsidR="000814A5">
        <w:rPr>
          <w:i/>
          <w:iCs/>
        </w:rPr>
        <w:t>e method described in this SOP</w:t>
      </w:r>
      <w:r w:rsidR="00314894" w:rsidRPr="0099275B">
        <w:rPr>
          <w:i/>
          <w:iCs/>
        </w:rPr>
        <w:t xml:space="preserve"> may also be employed for measuring the additional carbonyls compounds listed in </w:t>
      </w:r>
      <w:r w:rsidR="0074630C">
        <w:rPr>
          <w:i/>
          <w:iCs/>
        </w:rPr>
        <w:br/>
      </w:r>
      <w:r w:rsidR="00314894" w:rsidRPr="0099275B">
        <w:rPr>
          <w:i/>
          <w:iCs/>
        </w:rPr>
        <w:t>Table 1.</w:t>
      </w:r>
    </w:p>
    <w:p w14:paraId="0DC3C9FD" w14:textId="2B28A409" w:rsidR="00080A6E" w:rsidRDefault="00080A6E" w:rsidP="005E17C8"/>
    <w:p w14:paraId="614BE8FA" w14:textId="77777777" w:rsidR="00227910" w:rsidRDefault="00227910">
      <w:pPr>
        <w:spacing w:after="160" w:line="259" w:lineRule="auto"/>
        <w:rPr>
          <w:b/>
        </w:rPr>
      </w:pPr>
      <w:r>
        <w:rPr>
          <w:b/>
        </w:rPr>
        <w:br w:type="page"/>
      </w:r>
    </w:p>
    <w:p w14:paraId="75666A45" w14:textId="597E6740" w:rsidR="00080A6E" w:rsidRPr="009119D6" w:rsidRDefault="00080A6E" w:rsidP="00080A6E">
      <w:pPr>
        <w:pStyle w:val="ListParagraph"/>
        <w:jc w:val="center"/>
        <w:rPr>
          <w:b/>
        </w:rPr>
      </w:pPr>
      <w:r w:rsidRPr="00B46FD1">
        <w:rPr>
          <w:b/>
        </w:rPr>
        <w:lastRenderedPageBreak/>
        <w:t xml:space="preserve">Table </w:t>
      </w:r>
      <w:r>
        <w:rPr>
          <w:b/>
        </w:rPr>
        <w:t>1.  PAMS Priority and Optional Target Carbonyls</w:t>
      </w:r>
    </w:p>
    <w:tbl>
      <w:tblPr>
        <w:tblStyle w:val="TableGrid"/>
        <w:tblW w:w="0" w:type="auto"/>
        <w:jc w:val="center"/>
        <w:tblLook w:val="04A0" w:firstRow="1" w:lastRow="0" w:firstColumn="1" w:lastColumn="0" w:noHBand="0" w:noVBand="1"/>
      </w:tblPr>
      <w:tblGrid>
        <w:gridCol w:w="2934"/>
        <w:gridCol w:w="3271"/>
        <w:gridCol w:w="2520"/>
      </w:tblGrid>
      <w:tr w:rsidR="00227910" w14:paraId="118B087C" w14:textId="77777777" w:rsidTr="0099275B">
        <w:trPr>
          <w:jc w:val="center"/>
        </w:trPr>
        <w:tc>
          <w:tcPr>
            <w:tcW w:w="2934" w:type="dxa"/>
          </w:tcPr>
          <w:p w14:paraId="7507D7EB" w14:textId="56B4B8F3" w:rsidR="00227910" w:rsidRPr="0099275B" w:rsidRDefault="00227910" w:rsidP="00080A6E">
            <w:pPr>
              <w:pStyle w:val="ListParagraph"/>
              <w:ind w:left="0"/>
              <w:jc w:val="center"/>
              <w:rPr>
                <w:b/>
                <w:bCs/>
              </w:rPr>
            </w:pPr>
            <w:r w:rsidRPr="0099275B">
              <w:rPr>
                <w:b/>
                <w:bCs/>
              </w:rPr>
              <w:t xml:space="preserve"> Target Carbonyl</w:t>
            </w:r>
          </w:p>
        </w:tc>
        <w:tc>
          <w:tcPr>
            <w:tcW w:w="3271" w:type="dxa"/>
          </w:tcPr>
          <w:p w14:paraId="48F34024" w14:textId="60A5D704" w:rsidR="00227910" w:rsidRPr="0099275B" w:rsidRDefault="00227910" w:rsidP="00080A6E">
            <w:pPr>
              <w:pStyle w:val="ListParagraph"/>
              <w:ind w:left="0"/>
              <w:jc w:val="center"/>
              <w:rPr>
                <w:b/>
                <w:bCs/>
              </w:rPr>
            </w:pPr>
            <w:r w:rsidRPr="0099275B">
              <w:rPr>
                <w:b/>
                <w:bCs/>
              </w:rPr>
              <w:t>Chemical Abstracts Number</w:t>
            </w:r>
          </w:p>
        </w:tc>
        <w:tc>
          <w:tcPr>
            <w:tcW w:w="2520" w:type="dxa"/>
          </w:tcPr>
          <w:p w14:paraId="36F082F7" w14:textId="0C209238" w:rsidR="00227910" w:rsidRPr="0099275B" w:rsidRDefault="00227910" w:rsidP="00080A6E">
            <w:pPr>
              <w:pStyle w:val="ListParagraph"/>
              <w:ind w:left="0"/>
              <w:jc w:val="center"/>
              <w:rPr>
                <w:b/>
                <w:bCs/>
              </w:rPr>
            </w:pPr>
            <w:r w:rsidRPr="0099275B">
              <w:rPr>
                <w:b/>
                <w:bCs/>
              </w:rPr>
              <w:t>AQS Parameter Code</w:t>
            </w:r>
          </w:p>
        </w:tc>
      </w:tr>
      <w:tr w:rsidR="00227910" w14:paraId="00A39589" w14:textId="77777777" w:rsidTr="0099275B">
        <w:trPr>
          <w:jc w:val="center"/>
        </w:trPr>
        <w:tc>
          <w:tcPr>
            <w:tcW w:w="2934" w:type="dxa"/>
          </w:tcPr>
          <w:p w14:paraId="1DD13924" w14:textId="0C6E11C3" w:rsidR="00227910" w:rsidRDefault="00227910" w:rsidP="00227910">
            <w:pPr>
              <w:pStyle w:val="ListParagraph"/>
              <w:ind w:left="0"/>
            </w:pPr>
            <w:r w:rsidRPr="00A80121">
              <w:t xml:space="preserve">acetaldehyde </w:t>
            </w:r>
            <w:r w:rsidRPr="0099275B">
              <w:rPr>
                <w:vertAlign w:val="superscript"/>
              </w:rPr>
              <w:t>a</w:t>
            </w:r>
          </w:p>
        </w:tc>
        <w:tc>
          <w:tcPr>
            <w:tcW w:w="3271" w:type="dxa"/>
          </w:tcPr>
          <w:p w14:paraId="7E89E77A" w14:textId="75AC24ED" w:rsidR="00227910" w:rsidRDefault="00227910" w:rsidP="00227910">
            <w:pPr>
              <w:pStyle w:val="ListParagraph"/>
              <w:ind w:left="0"/>
              <w:jc w:val="center"/>
            </w:pPr>
            <w:r w:rsidRPr="00A80121">
              <w:t>75-07-0</w:t>
            </w:r>
          </w:p>
        </w:tc>
        <w:tc>
          <w:tcPr>
            <w:tcW w:w="2520" w:type="dxa"/>
          </w:tcPr>
          <w:p w14:paraId="0B822584" w14:textId="6811960D" w:rsidR="00227910" w:rsidRDefault="00227910" w:rsidP="00227910">
            <w:pPr>
              <w:pStyle w:val="ListParagraph"/>
              <w:ind w:left="0"/>
              <w:jc w:val="center"/>
            </w:pPr>
            <w:r w:rsidRPr="00A80121">
              <w:t>43503</w:t>
            </w:r>
          </w:p>
        </w:tc>
      </w:tr>
      <w:tr w:rsidR="00227910" w14:paraId="7D4B5EED" w14:textId="77777777" w:rsidTr="0099275B">
        <w:trPr>
          <w:jc w:val="center"/>
        </w:trPr>
        <w:tc>
          <w:tcPr>
            <w:tcW w:w="2934" w:type="dxa"/>
          </w:tcPr>
          <w:p w14:paraId="1EAC574D" w14:textId="05B6579A" w:rsidR="00227910" w:rsidRDefault="00227910" w:rsidP="00227910">
            <w:pPr>
              <w:pStyle w:val="ListParagraph"/>
              <w:ind w:left="0"/>
            </w:pPr>
            <w:r w:rsidRPr="00A80121">
              <w:t xml:space="preserve">acetone </w:t>
            </w:r>
            <w:r w:rsidRPr="0099275B">
              <w:rPr>
                <w:vertAlign w:val="superscript"/>
              </w:rPr>
              <w:t>b</w:t>
            </w:r>
          </w:p>
        </w:tc>
        <w:tc>
          <w:tcPr>
            <w:tcW w:w="3271" w:type="dxa"/>
          </w:tcPr>
          <w:p w14:paraId="549DF718" w14:textId="3F4B717B" w:rsidR="00227910" w:rsidRDefault="00227910" w:rsidP="00227910">
            <w:pPr>
              <w:pStyle w:val="ListParagraph"/>
              <w:ind w:left="0"/>
              <w:jc w:val="center"/>
            </w:pPr>
            <w:r w:rsidRPr="00A80121">
              <w:t>67-64-1</w:t>
            </w:r>
          </w:p>
        </w:tc>
        <w:tc>
          <w:tcPr>
            <w:tcW w:w="2520" w:type="dxa"/>
          </w:tcPr>
          <w:p w14:paraId="4B1D3C0E" w14:textId="4C4D60E9" w:rsidR="00227910" w:rsidRDefault="00227910" w:rsidP="00227910">
            <w:pPr>
              <w:pStyle w:val="ListParagraph"/>
              <w:ind w:left="0"/>
              <w:jc w:val="center"/>
            </w:pPr>
            <w:r w:rsidRPr="00A80121">
              <w:t>43551</w:t>
            </w:r>
          </w:p>
        </w:tc>
      </w:tr>
      <w:tr w:rsidR="00227910" w14:paraId="6CC79FD5" w14:textId="77777777" w:rsidTr="0099275B">
        <w:trPr>
          <w:jc w:val="center"/>
        </w:trPr>
        <w:tc>
          <w:tcPr>
            <w:tcW w:w="2934" w:type="dxa"/>
          </w:tcPr>
          <w:p w14:paraId="4F85AB93" w14:textId="4F8BB3B2" w:rsidR="00227910" w:rsidRDefault="00227910" w:rsidP="00227910">
            <w:pPr>
              <w:pStyle w:val="ListParagraph"/>
              <w:ind w:left="0"/>
            </w:pPr>
            <w:r w:rsidRPr="00A80121">
              <w:t xml:space="preserve">benzaldehyde </w:t>
            </w:r>
            <w:r w:rsidRPr="0099275B">
              <w:rPr>
                <w:vertAlign w:val="superscript"/>
              </w:rPr>
              <w:t>b</w:t>
            </w:r>
          </w:p>
        </w:tc>
        <w:tc>
          <w:tcPr>
            <w:tcW w:w="3271" w:type="dxa"/>
          </w:tcPr>
          <w:p w14:paraId="5613FB72" w14:textId="3D798077" w:rsidR="00227910" w:rsidRDefault="00227910" w:rsidP="00227910">
            <w:pPr>
              <w:pStyle w:val="ListParagraph"/>
              <w:ind w:left="0"/>
              <w:jc w:val="center"/>
            </w:pPr>
            <w:r w:rsidRPr="00A80121">
              <w:t>100-52-7</w:t>
            </w:r>
          </w:p>
        </w:tc>
        <w:tc>
          <w:tcPr>
            <w:tcW w:w="2520" w:type="dxa"/>
          </w:tcPr>
          <w:p w14:paraId="57A22479" w14:textId="79423609" w:rsidR="00227910" w:rsidRDefault="00227910" w:rsidP="00227910">
            <w:pPr>
              <w:pStyle w:val="ListParagraph"/>
              <w:ind w:left="0"/>
              <w:jc w:val="center"/>
            </w:pPr>
            <w:r w:rsidRPr="00A80121">
              <w:t>45501</w:t>
            </w:r>
          </w:p>
        </w:tc>
      </w:tr>
      <w:tr w:rsidR="00227910" w14:paraId="65ABF69A" w14:textId="77777777" w:rsidTr="0099275B">
        <w:trPr>
          <w:jc w:val="center"/>
        </w:trPr>
        <w:tc>
          <w:tcPr>
            <w:tcW w:w="2934" w:type="dxa"/>
          </w:tcPr>
          <w:p w14:paraId="414B9BB4" w14:textId="449FA0D5" w:rsidR="00227910" w:rsidRDefault="00227910" w:rsidP="00227910">
            <w:pPr>
              <w:pStyle w:val="ListParagraph"/>
              <w:ind w:left="0"/>
            </w:pPr>
            <w:r w:rsidRPr="00A80121">
              <w:t xml:space="preserve">formaldehyde </w:t>
            </w:r>
            <w:r w:rsidRPr="00D41747">
              <w:rPr>
                <w:vertAlign w:val="superscript"/>
              </w:rPr>
              <w:t>a</w:t>
            </w:r>
          </w:p>
        </w:tc>
        <w:tc>
          <w:tcPr>
            <w:tcW w:w="3271" w:type="dxa"/>
          </w:tcPr>
          <w:p w14:paraId="0CA11366" w14:textId="6F8E43E9" w:rsidR="00227910" w:rsidRDefault="00227910" w:rsidP="00227910">
            <w:pPr>
              <w:pStyle w:val="ListParagraph"/>
              <w:ind w:left="0"/>
              <w:jc w:val="center"/>
            </w:pPr>
            <w:r w:rsidRPr="00A80121">
              <w:t>50-00-0</w:t>
            </w:r>
          </w:p>
        </w:tc>
        <w:tc>
          <w:tcPr>
            <w:tcW w:w="2520" w:type="dxa"/>
          </w:tcPr>
          <w:p w14:paraId="1A71DCB7" w14:textId="3FD039C1" w:rsidR="00227910" w:rsidRDefault="00227910" w:rsidP="00227910">
            <w:pPr>
              <w:pStyle w:val="ListParagraph"/>
              <w:ind w:left="0"/>
              <w:jc w:val="center"/>
            </w:pPr>
            <w:r w:rsidRPr="00A80121">
              <w:t>43502</w:t>
            </w:r>
          </w:p>
        </w:tc>
      </w:tr>
      <w:tr w:rsidR="00227910" w14:paraId="4B1429AF" w14:textId="77777777" w:rsidTr="0099275B">
        <w:trPr>
          <w:jc w:val="center"/>
        </w:trPr>
        <w:tc>
          <w:tcPr>
            <w:tcW w:w="8725" w:type="dxa"/>
            <w:gridSpan w:val="3"/>
          </w:tcPr>
          <w:p w14:paraId="44FD78E8" w14:textId="5FC778CA" w:rsidR="00227910" w:rsidRPr="00A80121" w:rsidRDefault="00227910" w:rsidP="00227910">
            <w:pPr>
              <w:pStyle w:val="ListParagraph"/>
              <w:ind w:left="0"/>
              <w:jc w:val="center"/>
            </w:pPr>
            <w:r>
              <w:t>Additional Carbonyls That May Be Measured and Reported to AQS</w:t>
            </w:r>
          </w:p>
        </w:tc>
      </w:tr>
      <w:tr w:rsidR="00227910" w14:paraId="7CAF4FC0" w14:textId="77777777" w:rsidTr="0099275B">
        <w:trPr>
          <w:jc w:val="center"/>
        </w:trPr>
        <w:tc>
          <w:tcPr>
            <w:tcW w:w="2934" w:type="dxa"/>
          </w:tcPr>
          <w:p w14:paraId="5F8FEA66" w14:textId="1794A687" w:rsidR="00227910" w:rsidRPr="00A80121" w:rsidRDefault="00227910" w:rsidP="00227910">
            <w:pPr>
              <w:pStyle w:val="ListParagraph"/>
              <w:ind w:left="0"/>
            </w:pPr>
            <w:r w:rsidRPr="00CB6B38">
              <w:t>butyraldehyde</w:t>
            </w:r>
          </w:p>
        </w:tc>
        <w:tc>
          <w:tcPr>
            <w:tcW w:w="3271" w:type="dxa"/>
          </w:tcPr>
          <w:p w14:paraId="2F20445D" w14:textId="3CC55146" w:rsidR="00227910" w:rsidRPr="00A80121" w:rsidRDefault="00227910" w:rsidP="00227910">
            <w:pPr>
              <w:pStyle w:val="ListParagraph"/>
              <w:ind w:left="0"/>
              <w:jc w:val="center"/>
            </w:pPr>
            <w:r w:rsidRPr="00CB6B38">
              <w:t>123-72-8</w:t>
            </w:r>
          </w:p>
        </w:tc>
        <w:tc>
          <w:tcPr>
            <w:tcW w:w="2520" w:type="dxa"/>
          </w:tcPr>
          <w:p w14:paraId="03EB808D" w14:textId="78CBC829" w:rsidR="00227910" w:rsidRPr="00A80121" w:rsidRDefault="00227910" w:rsidP="00227910">
            <w:pPr>
              <w:pStyle w:val="ListParagraph"/>
              <w:ind w:left="0"/>
              <w:jc w:val="center"/>
            </w:pPr>
            <w:r w:rsidRPr="00CB6B38">
              <w:t>43510</w:t>
            </w:r>
          </w:p>
        </w:tc>
      </w:tr>
      <w:tr w:rsidR="00227910" w14:paraId="78F7D36C" w14:textId="77777777" w:rsidTr="0099275B">
        <w:trPr>
          <w:jc w:val="center"/>
        </w:trPr>
        <w:tc>
          <w:tcPr>
            <w:tcW w:w="2934" w:type="dxa"/>
          </w:tcPr>
          <w:p w14:paraId="6C93713B" w14:textId="3CCAD604" w:rsidR="00227910" w:rsidRPr="00A80121" w:rsidRDefault="00227910" w:rsidP="00227910">
            <w:pPr>
              <w:pStyle w:val="ListParagraph"/>
              <w:ind w:left="0"/>
            </w:pPr>
            <w:r w:rsidRPr="00CB6B38">
              <w:t>crotonaldehyde</w:t>
            </w:r>
          </w:p>
        </w:tc>
        <w:tc>
          <w:tcPr>
            <w:tcW w:w="3271" w:type="dxa"/>
          </w:tcPr>
          <w:p w14:paraId="6F6BE7A1" w14:textId="4C811A83" w:rsidR="00227910" w:rsidRPr="00A80121" w:rsidRDefault="00227910" w:rsidP="00227910">
            <w:pPr>
              <w:pStyle w:val="ListParagraph"/>
              <w:ind w:left="0"/>
              <w:jc w:val="center"/>
            </w:pPr>
            <w:r w:rsidRPr="00CB6B38">
              <w:t>4170-30-3</w:t>
            </w:r>
          </w:p>
        </w:tc>
        <w:tc>
          <w:tcPr>
            <w:tcW w:w="2520" w:type="dxa"/>
          </w:tcPr>
          <w:p w14:paraId="19A20DCB" w14:textId="0FE3033C" w:rsidR="00227910" w:rsidRPr="00A80121" w:rsidRDefault="00227910" w:rsidP="00227910">
            <w:pPr>
              <w:pStyle w:val="ListParagraph"/>
              <w:ind w:left="0"/>
              <w:jc w:val="center"/>
            </w:pPr>
            <w:r w:rsidRPr="00CB6B38">
              <w:t>43528</w:t>
            </w:r>
          </w:p>
        </w:tc>
      </w:tr>
      <w:tr w:rsidR="00227910" w14:paraId="4AA1C066" w14:textId="77777777" w:rsidTr="0099275B">
        <w:trPr>
          <w:jc w:val="center"/>
        </w:trPr>
        <w:tc>
          <w:tcPr>
            <w:tcW w:w="2934" w:type="dxa"/>
          </w:tcPr>
          <w:p w14:paraId="5676DCA8" w14:textId="12FFE101" w:rsidR="00227910" w:rsidRPr="00A80121" w:rsidRDefault="00227910" w:rsidP="00227910">
            <w:pPr>
              <w:pStyle w:val="ListParagraph"/>
              <w:ind w:left="0"/>
            </w:pPr>
            <w:r w:rsidRPr="00CB6B38">
              <w:t>2,5-dimethylbenzaldehyde</w:t>
            </w:r>
          </w:p>
        </w:tc>
        <w:tc>
          <w:tcPr>
            <w:tcW w:w="3271" w:type="dxa"/>
          </w:tcPr>
          <w:p w14:paraId="28FBEDC7" w14:textId="7D678C6C" w:rsidR="00227910" w:rsidRPr="00A80121" w:rsidRDefault="00227910" w:rsidP="00227910">
            <w:pPr>
              <w:pStyle w:val="ListParagraph"/>
              <w:ind w:left="0"/>
              <w:jc w:val="center"/>
            </w:pPr>
            <w:r w:rsidRPr="00CB6B38">
              <w:t>5779-94-2</w:t>
            </w:r>
          </w:p>
        </w:tc>
        <w:tc>
          <w:tcPr>
            <w:tcW w:w="2520" w:type="dxa"/>
          </w:tcPr>
          <w:p w14:paraId="63DDAF7A" w14:textId="0882F9C2" w:rsidR="00227910" w:rsidRPr="00A80121" w:rsidRDefault="00227910" w:rsidP="00227910">
            <w:pPr>
              <w:pStyle w:val="ListParagraph"/>
              <w:ind w:left="0"/>
              <w:jc w:val="center"/>
            </w:pPr>
            <w:r w:rsidRPr="00CB6B38">
              <w:t>45503</w:t>
            </w:r>
          </w:p>
        </w:tc>
      </w:tr>
      <w:tr w:rsidR="00227910" w14:paraId="3AC0A04E" w14:textId="77777777" w:rsidTr="0099275B">
        <w:trPr>
          <w:jc w:val="center"/>
        </w:trPr>
        <w:tc>
          <w:tcPr>
            <w:tcW w:w="2934" w:type="dxa"/>
          </w:tcPr>
          <w:p w14:paraId="5113B2A9" w14:textId="23B437F5" w:rsidR="00227910" w:rsidRPr="00A80121" w:rsidRDefault="00227910" w:rsidP="00227910">
            <w:pPr>
              <w:pStyle w:val="ListParagraph"/>
              <w:ind w:left="0"/>
            </w:pPr>
            <w:proofErr w:type="spellStart"/>
            <w:r w:rsidRPr="00CB6B38">
              <w:t>heptaldehyde</w:t>
            </w:r>
            <w:proofErr w:type="spellEnd"/>
          </w:p>
        </w:tc>
        <w:tc>
          <w:tcPr>
            <w:tcW w:w="3271" w:type="dxa"/>
          </w:tcPr>
          <w:p w14:paraId="7BB9EAF0" w14:textId="53D3797C" w:rsidR="00227910" w:rsidRPr="00A80121" w:rsidRDefault="00227910" w:rsidP="00227910">
            <w:pPr>
              <w:pStyle w:val="ListParagraph"/>
              <w:ind w:left="0"/>
              <w:jc w:val="center"/>
            </w:pPr>
            <w:r w:rsidRPr="00CB6B38">
              <w:t>111-71-7</w:t>
            </w:r>
          </w:p>
        </w:tc>
        <w:tc>
          <w:tcPr>
            <w:tcW w:w="2520" w:type="dxa"/>
          </w:tcPr>
          <w:p w14:paraId="2676E875" w14:textId="72E86ED3" w:rsidR="00227910" w:rsidRPr="00A80121" w:rsidRDefault="00227910" w:rsidP="00227910">
            <w:pPr>
              <w:pStyle w:val="ListParagraph"/>
              <w:ind w:left="0"/>
              <w:jc w:val="center"/>
            </w:pPr>
            <w:r w:rsidRPr="00CB6B38">
              <w:t>43950</w:t>
            </w:r>
          </w:p>
        </w:tc>
      </w:tr>
      <w:tr w:rsidR="00227910" w14:paraId="5AF80D18" w14:textId="77777777" w:rsidTr="0099275B">
        <w:trPr>
          <w:jc w:val="center"/>
        </w:trPr>
        <w:tc>
          <w:tcPr>
            <w:tcW w:w="2934" w:type="dxa"/>
          </w:tcPr>
          <w:p w14:paraId="0AD294F9" w14:textId="59F07A41" w:rsidR="00227910" w:rsidRPr="00A80121" w:rsidRDefault="00227910" w:rsidP="00227910">
            <w:pPr>
              <w:pStyle w:val="ListParagraph"/>
              <w:ind w:left="0"/>
            </w:pPr>
            <w:proofErr w:type="spellStart"/>
            <w:r w:rsidRPr="00CB6B38">
              <w:t>hexaldehyde</w:t>
            </w:r>
            <w:proofErr w:type="spellEnd"/>
          </w:p>
        </w:tc>
        <w:tc>
          <w:tcPr>
            <w:tcW w:w="3271" w:type="dxa"/>
          </w:tcPr>
          <w:p w14:paraId="4BA9D69E" w14:textId="798EF523" w:rsidR="00227910" w:rsidRPr="00A80121" w:rsidRDefault="00227910" w:rsidP="00227910">
            <w:pPr>
              <w:pStyle w:val="ListParagraph"/>
              <w:ind w:left="0"/>
              <w:jc w:val="center"/>
            </w:pPr>
            <w:r w:rsidRPr="00CB6B38">
              <w:t>66-25-1</w:t>
            </w:r>
          </w:p>
        </w:tc>
        <w:tc>
          <w:tcPr>
            <w:tcW w:w="2520" w:type="dxa"/>
          </w:tcPr>
          <w:p w14:paraId="4D9B5426" w14:textId="7C5F44A2" w:rsidR="00227910" w:rsidRPr="00A80121" w:rsidRDefault="00227910" w:rsidP="00227910">
            <w:pPr>
              <w:pStyle w:val="ListParagraph"/>
              <w:ind w:left="0"/>
              <w:jc w:val="center"/>
            </w:pPr>
            <w:r w:rsidRPr="00CB6B38">
              <w:t>43517</w:t>
            </w:r>
          </w:p>
        </w:tc>
      </w:tr>
      <w:tr w:rsidR="00227910" w14:paraId="10EABCBC" w14:textId="77777777" w:rsidTr="0099275B">
        <w:trPr>
          <w:jc w:val="center"/>
        </w:trPr>
        <w:tc>
          <w:tcPr>
            <w:tcW w:w="2934" w:type="dxa"/>
          </w:tcPr>
          <w:p w14:paraId="791B4302" w14:textId="6DD9040B" w:rsidR="00227910" w:rsidRPr="00A80121" w:rsidRDefault="00227910" w:rsidP="00227910">
            <w:pPr>
              <w:pStyle w:val="ListParagraph"/>
              <w:ind w:left="0"/>
            </w:pPr>
            <w:proofErr w:type="spellStart"/>
            <w:r w:rsidRPr="00CB6B38">
              <w:t>isovaleraldehyde</w:t>
            </w:r>
            <w:proofErr w:type="spellEnd"/>
          </w:p>
        </w:tc>
        <w:tc>
          <w:tcPr>
            <w:tcW w:w="3271" w:type="dxa"/>
          </w:tcPr>
          <w:p w14:paraId="25E69625" w14:textId="397D0A50" w:rsidR="00227910" w:rsidRPr="00A80121" w:rsidRDefault="00227910" w:rsidP="00227910">
            <w:pPr>
              <w:pStyle w:val="ListParagraph"/>
              <w:ind w:left="0"/>
              <w:jc w:val="center"/>
            </w:pPr>
            <w:r w:rsidRPr="00CB6B38">
              <w:t>590-86-3</w:t>
            </w:r>
          </w:p>
        </w:tc>
        <w:tc>
          <w:tcPr>
            <w:tcW w:w="2520" w:type="dxa"/>
          </w:tcPr>
          <w:p w14:paraId="1A1ACB02" w14:textId="0D0183B2" w:rsidR="00227910" w:rsidRPr="00A80121" w:rsidRDefault="00227910" w:rsidP="00227910">
            <w:pPr>
              <w:pStyle w:val="ListParagraph"/>
              <w:ind w:left="0"/>
              <w:jc w:val="center"/>
            </w:pPr>
            <w:r w:rsidRPr="00CB6B38">
              <w:t>43513</w:t>
            </w:r>
          </w:p>
        </w:tc>
      </w:tr>
      <w:tr w:rsidR="00227910" w14:paraId="68AC90F9" w14:textId="77777777" w:rsidTr="0099275B">
        <w:trPr>
          <w:jc w:val="center"/>
        </w:trPr>
        <w:tc>
          <w:tcPr>
            <w:tcW w:w="2934" w:type="dxa"/>
          </w:tcPr>
          <w:p w14:paraId="185723D5" w14:textId="0E25F4F8" w:rsidR="00227910" w:rsidRPr="00A80121" w:rsidRDefault="00227910" w:rsidP="00227910">
            <w:pPr>
              <w:pStyle w:val="ListParagraph"/>
              <w:ind w:left="0"/>
            </w:pPr>
            <w:proofErr w:type="spellStart"/>
            <w:r w:rsidRPr="00CB6B38">
              <w:t>m&amp;p-tolualdehyde</w:t>
            </w:r>
            <w:proofErr w:type="spellEnd"/>
          </w:p>
        </w:tc>
        <w:tc>
          <w:tcPr>
            <w:tcW w:w="3271" w:type="dxa"/>
          </w:tcPr>
          <w:p w14:paraId="62066A4F" w14:textId="61339580" w:rsidR="00227910" w:rsidRPr="00A80121" w:rsidRDefault="00227910" w:rsidP="00227910">
            <w:pPr>
              <w:pStyle w:val="ListParagraph"/>
              <w:ind w:left="0"/>
              <w:jc w:val="center"/>
            </w:pPr>
            <w:r w:rsidRPr="00CB6B38">
              <w:t>(m) 620-23-5/(p) 104-87-0</w:t>
            </w:r>
          </w:p>
        </w:tc>
        <w:tc>
          <w:tcPr>
            <w:tcW w:w="2520" w:type="dxa"/>
          </w:tcPr>
          <w:p w14:paraId="2B2940ED" w14:textId="12FB2D50" w:rsidR="00227910" w:rsidRPr="00A80121" w:rsidRDefault="00227910" w:rsidP="00227910">
            <w:pPr>
              <w:pStyle w:val="ListParagraph"/>
              <w:ind w:left="0"/>
              <w:jc w:val="center"/>
            </w:pPr>
            <w:r w:rsidRPr="00CB6B38">
              <w:t>45506</w:t>
            </w:r>
          </w:p>
        </w:tc>
      </w:tr>
      <w:tr w:rsidR="00227910" w14:paraId="441B44E0" w14:textId="77777777" w:rsidTr="0099275B">
        <w:trPr>
          <w:jc w:val="center"/>
        </w:trPr>
        <w:tc>
          <w:tcPr>
            <w:tcW w:w="2934" w:type="dxa"/>
          </w:tcPr>
          <w:p w14:paraId="3F42883C" w14:textId="4906196C" w:rsidR="00227910" w:rsidRPr="00A80121" w:rsidRDefault="00227910" w:rsidP="00227910">
            <w:pPr>
              <w:pStyle w:val="ListParagraph"/>
              <w:ind w:left="0"/>
            </w:pPr>
            <w:r w:rsidRPr="00CB6B38">
              <w:t>methyl ethyl ketone</w:t>
            </w:r>
          </w:p>
        </w:tc>
        <w:tc>
          <w:tcPr>
            <w:tcW w:w="3271" w:type="dxa"/>
          </w:tcPr>
          <w:p w14:paraId="76712F39" w14:textId="0A0A2964" w:rsidR="00227910" w:rsidRPr="00A80121" w:rsidRDefault="00227910" w:rsidP="00227910">
            <w:pPr>
              <w:pStyle w:val="ListParagraph"/>
              <w:ind w:left="0"/>
              <w:jc w:val="center"/>
            </w:pPr>
            <w:r w:rsidRPr="00CB6B38">
              <w:t>78-93-3</w:t>
            </w:r>
          </w:p>
        </w:tc>
        <w:tc>
          <w:tcPr>
            <w:tcW w:w="2520" w:type="dxa"/>
          </w:tcPr>
          <w:p w14:paraId="6F2D9E35" w14:textId="42E29D0C" w:rsidR="00227910" w:rsidRPr="00A80121" w:rsidRDefault="00227910" w:rsidP="00227910">
            <w:pPr>
              <w:pStyle w:val="ListParagraph"/>
              <w:ind w:left="0"/>
              <w:jc w:val="center"/>
            </w:pPr>
            <w:r w:rsidRPr="00CB6B38">
              <w:t>43552</w:t>
            </w:r>
          </w:p>
        </w:tc>
      </w:tr>
      <w:tr w:rsidR="00227910" w14:paraId="737274E8" w14:textId="77777777" w:rsidTr="0099275B">
        <w:trPr>
          <w:jc w:val="center"/>
        </w:trPr>
        <w:tc>
          <w:tcPr>
            <w:tcW w:w="2934" w:type="dxa"/>
          </w:tcPr>
          <w:p w14:paraId="652E1552" w14:textId="0AAFA649" w:rsidR="00227910" w:rsidRPr="00A80121" w:rsidRDefault="00227910" w:rsidP="00227910">
            <w:pPr>
              <w:pStyle w:val="ListParagraph"/>
              <w:ind w:left="0"/>
            </w:pPr>
            <w:r w:rsidRPr="00CB6B38">
              <w:t>methyl isobutyl ketone</w:t>
            </w:r>
          </w:p>
        </w:tc>
        <w:tc>
          <w:tcPr>
            <w:tcW w:w="3271" w:type="dxa"/>
          </w:tcPr>
          <w:p w14:paraId="33F4E3B9" w14:textId="0F8AF898" w:rsidR="00227910" w:rsidRPr="00A80121" w:rsidRDefault="00227910" w:rsidP="00227910">
            <w:pPr>
              <w:pStyle w:val="ListParagraph"/>
              <w:ind w:left="0"/>
              <w:jc w:val="center"/>
            </w:pPr>
            <w:r w:rsidRPr="00CB6B38">
              <w:t>108-10-1</w:t>
            </w:r>
          </w:p>
        </w:tc>
        <w:tc>
          <w:tcPr>
            <w:tcW w:w="2520" w:type="dxa"/>
          </w:tcPr>
          <w:p w14:paraId="54D1107D" w14:textId="616F89ED" w:rsidR="00227910" w:rsidRPr="00A80121" w:rsidRDefault="00227910" w:rsidP="00227910">
            <w:pPr>
              <w:pStyle w:val="ListParagraph"/>
              <w:ind w:left="0"/>
              <w:jc w:val="center"/>
            </w:pPr>
            <w:r w:rsidRPr="00CB6B38">
              <w:t>43560</w:t>
            </w:r>
          </w:p>
        </w:tc>
      </w:tr>
      <w:tr w:rsidR="00227910" w14:paraId="070BF5F6" w14:textId="77777777" w:rsidTr="0099275B">
        <w:trPr>
          <w:jc w:val="center"/>
        </w:trPr>
        <w:tc>
          <w:tcPr>
            <w:tcW w:w="2934" w:type="dxa"/>
          </w:tcPr>
          <w:p w14:paraId="08FBDEE5" w14:textId="0F0B3778" w:rsidR="00227910" w:rsidRPr="00A80121" w:rsidRDefault="00227910" w:rsidP="00227910">
            <w:pPr>
              <w:pStyle w:val="ListParagraph"/>
              <w:ind w:left="0"/>
            </w:pPr>
            <w:r w:rsidRPr="00CB6B38">
              <w:t>o-</w:t>
            </w:r>
            <w:proofErr w:type="spellStart"/>
            <w:r w:rsidRPr="00CB6B38">
              <w:t>tolualdehyde</w:t>
            </w:r>
            <w:proofErr w:type="spellEnd"/>
          </w:p>
        </w:tc>
        <w:tc>
          <w:tcPr>
            <w:tcW w:w="3271" w:type="dxa"/>
          </w:tcPr>
          <w:p w14:paraId="41A2BF59" w14:textId="3C5BBF6D" w:rsidR="00227910" w:rsidRPr="00A80121" w:rsidRDefault="00227910" w:rsidP="00227910">
            <w:pPr>
              <w:pStyle w:val="ListParagraph"/>
              <w:ind w:left="0"/>
              <w:jc w:val="center"/>
            </w:pPr>
            <w:r w:rsidRPr="00CB6B38">
              <w:t>529-20-4</w:t>
            </w:r>
          </w:p>
        </w:tc>
        <w:tc>
          <w:tcPr>
            <w:tcW w:w="2520" w:type="dxa"/>
          </w:tcPr>
          <w:p w14:paraId="1B93901A" w14:textId="26CB815B" w:rsidR="00227910" w:rsidRPr="00A80121" w:rsidRDefault="00227910" w:rsidP="00227910">
            <w:pPr>
              <w:pStyle w:val="ListParagraph"/>
              <w:ind w:left="0"/>
              <w:jc w:val="center"/>
            </w:pPr>
            <w:r w:rsidRPr="00CB6B38">
              <w:t>45505</w:t>
            </w:r>
          </w:p>
        </w:tc>
      </w:tr>
      <w:tr w:rsidR="00227910" w14:paraId="6099AD72" w14:textId="77777777" w:rsidTr="0099275B">
        <w:trPr>
          <w:jc w:val="center"/>
        </w:trPr>
        <w:tc>
          <w:tcPr>
            <w:tcW w:w="2934" w:type="dxa"/>
          </w:tcPr>
          <w:p w14:paraId="70E7A0E7" w14:textId="682E41D8" w:rsidR="00227910" w:rsidRPr="00A80121" w:rsidRDefault="00227910" w:rsidP="00227910">
            <w:pPr>
              <w:pStyle w:val="ListParagraph"/>
              <w:ind w:left="0"/>
            </w:pPr>
            <w:r w:rsidRPr="00CB6B38">
              <w:t>propionaldehyde</w:t>
            </w:r>
          </w:p>
        </w:tc>
        <w:tc>
          <w:tcPr>
            <w:tcW w:w="3271" w:type="dxa"/>
          </w:tcPr>
          <w:p w14:paraId="0114A326" w14:textId="51A0E7BD" w:rsidR="00227910" w:rsidRPr="00A80121" w:rsidRDefault="00227910" w:rsidP="00227910">
            <w:pPr>
              <w:pStyle w:val="ListParagraph"/>
              <w:ind w:left="0"/>
              <w:jc w:val="center"/>
            </w:pPr>
            <w:r w:rsidRPr="00CB6B38">
              <w:t>123-38-6</w:t>
            </w:r>
          </w:p>
        </w:tc>
        <w:tc>
          <w:tcPr>
            <w:tcW w:w="2520" w:type="dxa"/>
          </w:tcPr>
          <w:p w14:paraId="0FC3AB92" w14:textId="24E7298F" w:rsidR="00227910" w:rsidRPr="00A80121" w:rsidRDefault="00227910" w:rsidP="00227910">
            <w:pPr>
              <w:pStyle w:val="ListParagraph"/>
              <w:ind w:left="0"/>
              <w:jc w:val="center"/>
            </w:pPr>
            <w:r w:rsidRPr="00CB6B38">
              <w:t>43504</w:t>
            </w:r>
          </w:p>
        </w:tc>
      </w:tr>
      <w:tr w:rsidR="00227910" w14:paraId="121AE586" w14:textId="77777777" w:rsidTr="0099275B">
        <w:trPr>
          <w:jc w:val="center"/>
        </w:trPr>
        <w:tc>
          <w:tcPr>
            <w:tcW w:w="2934" w:type="dxa"/>
          </w:tcPr>
          <w:p w14:paraId="3A5EE42B" w14:textId="53321C01" w:rsidR="00227910" w:rsidRPr="00A80121" w:rsidRDefault="00227910" w:rsidP="00227910">
            <w:pPr>
              <w:pStyle w:val="ListParagraph"/>
              <w:ind w:left="0"/>
            </w:pPr>
            <w:r w:rsidRPr="00CB6B38">
              <w:t>valeraldehyde</w:t>
            </w:r>
          </w:p>
        </w:tc>
        <w:tc>
          <w:tcPr>
            <w:tcW w:w="3271" w:type="dxa"/>
          </w:tcPr>
          <w:p w14:paraId="65641AAA" w14:textId="44693006" w:rsidR="00227910" w:rsidRPr="00A80121" w:rsidRDefault="00227910" w:rsidP="00227910">
            <w:pPr>
              <w:pStyle w:val="ListParagraph"/>
              <w:ind w:left="0"/>
              <w:jc w:val="center"/>
            </w:pPr>
            <w:r w:rsidRPr="00CB6B38">
              <w:t>110-62-3</w:t>
            </w:r>
          </w:p>
        </w:tc>
        <w:tc>
          <w:tcPr>
            <w:tcW w:w="2520" w:type="dxa"/>
          </w:tcPr>
          <w:p w14:paraId="4C5FCBD1" w14:textId="126431F8" w:rsidR="00227910" w:rsidRPr="00A80121" w:rsidRDefault="00227910" w:rsidP="00227910">
            <w:pPr>
              <w:pStyle w:val="ListParagraph"/>
              <w:ind w:left="0"/>
              <w:jc w:val="center"/>
            </w:pPr>
            <w:r w:rsidRPr="00CB6B38">
              <w:t>43518</w:t>
            </w:r>
          </w:p>
        </w:tc>
      </w:tr>
    </w:tbl>
    <w:p w14:paraId="73F03821" w14:textId="77777777" w:rsidR="00227910" w:rsidRPr="0099275B" w:rsidRDefault="00227910" w:rsidP="0099275B">
      <w:pPr>
        <w:ind w:left="1260"/>
        <w:rPr>
          <w:sz w:val="18"/>
          <w:szCs w:val="18"/>
        </w:rPr>
      </w:pPr>
      <w:r w:rsidRPr="0099275B">
        <w:rPr>
          <w:sz w:val="18"/>
          <w:szCs w:val="18"/>
          <w:vertAlign w:val="superscript"/>
        </w:rPr>
        <w:t>a</w:t>
      </w:r>
      <w:r w:rsidRPr="0099275B">
        <w:rPr>
          <w:sz w:val="18"/>
          <w:szCs w:val="18"/>
        </w:rPr>
        <w:t xml:space="preserve"> PAMS priority compound</w:t>
      </w:r>
    </w:p>
    <w:p w14:paraId="5129BECA" w14:textId="61A62E2A" w:rsidR="00080A6E" w:rsidRPr="0099275B" w:rsidRDefault="00227910" w:rsidP="0099275B">
      <w:pPr>
        <w:ind w:left="1260"/>
        <w:rPr>
          <w:sz w:val="18"/>
          <w:szCs w:val="18"/>
        </w:rPr>
      </w:pPr>
      <w:r w:rsidRPr="0099275B">
        <w:rPr>
          <w:sz w:val="18"/>
          <w:szCs w:val="18"/>
          <w:vertAlign w:val="superscript"/>
        </w:rPr>
        <w:t>b</w:t>
      </w:r>
      <w:r w:rsidRPr="0099275B">
        <w:rPr>
          <w:sz w:val="18"/>
          <w:szCs w:val="18"/>
        </w:rPr>
        <w:t xml:space="preserve"> PAMS optional compound</w:t>
      </w:r>
    </w:p>
    <w:p w14:paraId="009598EC" w14:textId="77777777" w:rsidR="005E17C8" w:rsidRDefault="005E17C8" w:rsidP="005E17C8"/>
    <w:p w14:paraId="0618453E" w14:textId="77777777" w:rsidR="005E17C8" w:rsidRPr="002337DE" w:rsidRDefault="005E17C8" w:rsidP="005E17C8">
      <w:pPr>
        <w:pStyle w:val="ListParagraph"/>
        <w:numPr>
          <w:ilvl w:val="0"/>
          <w:numId w:val="1"/>
        </w:numPr>
        <w:ind w:left="360"/>
        <w:rPr>
          <w:b/>
        </w:rPr>
      </w:pPr>
      <w:r w:rsidRPr="002337DE">
        <w:rPr>
          <w:b/>
        </w:rPr>
        <w:t>DEFINITIONS</w:t>
      </w:r>
      <w:r w:rsidR="00170228" w:rsidRPr="002337DE">
        <w:rPr>
          <w:b/>
        </w:rPr>
        <w:t xml:space="preserve"> AND ABBREVIATIONS</w:t>
      </w:r>
      <w:r w:rsidR="00776D98" w:rsidRPr="002337DE">
        <w:rPr>
          <w:b/>
        </w:rPr>
        <w:br/>
      </w:r>
    </w:p>
    <w:p w14:paraId="30CEBBEE" w14:textId="77777777" w:rsidR="00110664" w:rsidRPr="004072E6" w:rsidRDefault="00110664" w:rsidP="00110664">
      <w:pPr>
        <w:pStyle w:val="ListParagraph"/>
        <w:numPr>
          <w:ilvl w:val="0"/>
          <w:numId w:val="2"/>
        </w:numPr>
        <w:spacing w:after="120"/>
        <w:contextualSpacing w:val="0"/>
      </w:pPr>
      <w:bookmarkStart w:id="0" w:name="_Hlk494311736"/>
      <w:r w:rsidRPr="004072E6">
        <w:rPr>
          <w:b/>
          <w:bCs/>
        </w:rPr>
        <w:t>Ambient Monitoring Technology Information Center (AMTIC)</w:t>
      </w:r>
      <w:r>
        <w:t xml:space="preserve">:  EPA website resource for information on ambient air monitoring programs and methods, quality assurance and control procedures, and federal regulations. </w:t>
      </w:r>
      <w:hyperlink r:id="rId8" w:history="1">
        <w:r>
          <w:rPr>
            <w:rStyle w:val="Hyperlink"/>
          </w:rPr>
          <w:t>https://www.epa.gov/amtic</w:t>
        </w:r>
      </w:hyperlink>
    </w:p>
    <w:p w14:paraId="6C251524" w14:textId="77777777" w:rsidR="005E17C8" w:rsidRDefault="005E17C8" w:rsidP="00DE6D51">
      <w:pPr>
        <w:pStyle w:val="ListParagraph"/>
        <w:numPr>
          <w:ilvl w:val="0"/>
          <w:numId w:val="2"/>
        </w:numPr>
        <w:spacing w:after="120"/>
        <w:contextualSpacing w:val="0"/>
      </w:pPr>
      <w:r w:rsidRPr="00170228">
        <w:rPr>
          <w:b/>
        </w:rPr>
        <w:t>Carbonyl Compound</w:t>
      </w:r>
      <w:r w:rsidRPr="00E56F8B">
        <w:t xml:space="preserve">:  Organic compound containing a carbon atom double-bonded to an oxygen atom, C=O.  Classes of carbonyl compounds include, but are not limited </w:t>
      </w:r>
      <w:proofErr w:type="gramStart"/>
      <w:r w:rsidRPr="00E56F8B">
        <w:t>to:</w:t>
      </w:r>
      <w:proofErr w:type="gramEnd"/>
      <w:r w:rsidRPr="00E56F8B">
        <w:t xml:space="preserve">  aldehydes, ketones, carboxylic acids, and esters.</w:t>
      </w:r>
    </w:p>
    <w:p w14:paraId="2DDEE8A6" w14:textId="588A24AA" w:rsidR="00B01A6A" w:rsidRDefault="008B61B0" w:rsidP="00DE6D51">
      <w:pPr>
        <w:pStyle w:val="ListParagraph"/>
        <w:numPr>
          <w:ilvl w:val="0"/>
          <w:numId w:val="2"/>
        </w:numPr>
        <w:spacing w:after="120"/>
        <w:contextualSpacing w:val="0"/>
      </w:pPr>
      <w:r>
        <w:rPr>
          <w:b/>
        </w:rPr>
        <w:t>Carbonyl</w:t>
      </w:r>
      <w:r w:rsidR="00227910">
        <w:rPr>
          <w:b/>
        </w:rPr>
        <w:t>-</w:t>
      </w:r>
      <w:r w:rsidR="00026576">
        <w:rPr>
          <w:b/>
        </w:rPr>
        <w:t>Hydrazone:</w:t>
      </w:r>
      <w:r w:rsidR="00026576" w:rsidRPr="0099275B">
        <w:t xml:space="preserve">  </w:t>
      </w:r>
      <w:r w:rsidR="00026576">
        <w:t xml:space="preserve">Stable derivative formed from the reaction of DNPH with a given carbonyl compound. </w:t>
      </w:r>
    </w:p>
    <w:p w14:paraId="65A90590" w14:textId="0721169A" w:rsidR="00026576" w:rsidRDefault="00B01A6A" w:rsidP="00DE6D51">
      <w:pPr>
        <w:pStyle w:val="ListParagraph"/>
        <w:numPr>
          <w:ilvl w:val="0"/>
          <w:numId w:val="2"/>
        </w:numPr>
        <w:spacing w:after="120"/>
        <w:contextualSpacing w:val="0"/>
      </w:pPr>
      <w:r>
        <w:rPr>
          <w:b/>
        </w:rPr>
        <w:t>Chromatography Data System:</w:t>
      </w:r>
      <w:r>
        <w:rPr>
          <w:bCs/>
        </w:rPr>
        <w:t xml:space="preserve">  Computer software system that permits programming, control, data recording, and data processing for the HPLC</w:t>
      </w:r>
      <w:r w:rsidR="00B57771">
        <w:rPr>
          <w:bCs/>
        </w:rPr>
        <w:t>.</w:t>
      </w:r>
    </w:p>
    <w:p w14:paraId="20474D17" w14:textId="34EA6869" w:rsidR="005E17C8" w:rsidRPr="00BC3250" w:rsidRDefault="005E17C8" w:rsidP="00DE6D51">
      <w:pPr>
        <w:pStyle w:val="ListParagraph"/>
        <w:numPr>
          <w:ilvl w:val="0"/>
          <w:numId w:val="2"/>
        </w:numPr>
        <w:spacing w:after="120"/>
        <w:contextualSpacing w:val="0"/>
      </w:pPr>
      <w:r w:rsidRPr="00BC3250">
        <w:rPr>
          <w:b/>
        </w:rPr>
        <w:t>Continuing Calibration Verification (CCV):</w:t>
      </w:r>
      <w:r w:rsidRPr="00BC3250">
        <w:t xml:space="preserve">  Analysis of a </w:t>
      </w:r>
      <w:r w:rsidR="00110664">
        <w:t>carbonyl</w:t>
      </w:r>
      <w:r w:rsidR="001E2BB4">
        <w:t>-</w:t>
      </w:r>
      <w:r w:rsidR="00110664">
        <w:t xml:space="preserve">hydrazone </w:t>
      </w:r>
      <w:r w:rsidRPr="00BC3250">
        <w:t>standard solution to demonstrate the HPLC calibration remains valid</w:t>
      </w:r>
      <w:r w:rsidR="00B57771">
        <w:t>.</w:t>
      </w:r>
    </w:p>
    <w:p w14:paraId="6A6534C8" w14:textId="1FB451B3" w:rsidR="005E17C8" w:rsidRPr="00BC3250" w:rsidRDefault="005E17C8" w:rsidP="00DE6D51">
      <w:pPr>
        <w:pStyle w:val="ListParagraph"/>
        <w:numPr>
          <w:ilvl w:val="0"/>
          <w:numId w:val="2"/>
        </w:numPr>
        <w:spacing w:after="120"/>
        <w:contextualSpacing w:val="0"/>
      </w:pPr>
      <w:r w:rsidRPr="00BC3250">
        <w:rPr>
          <w:b/>
        </w:rPr>
        <w:t>DNPH:</w:t>
      </w:r>
      <w:r w:rsidRPr="00BC3250">
        <w:t xml:space="preserve">  </w:t>
      </w:r>
      <w:proofErr w:type="spellStart"/>
      <w:r w:rsidRPr="00BC3250">
        <w:t>diphenylhydrazine</w:t>
      </w:r>
      <w:proofErr w:type="spellEnd"/>
      <w:r w:rsidR="00170228" w:rsidRPr="00BC3250">
        <w:t xml:space="preserve"> – derivatizing agent</w:t>
      </w:r>
      <w:r w:rsidR="00B57771">
        <w:t>.</w:t>
      </w:r>
    </w:p>
    <w:p w14:paraId="47A6DD28" w14:textId="32DB74EB" w:rsidR="005E17C8" w:rsidRPr="00BC3250" w:rsidRDefault="00170228" w:rsidP="001E2BB4">
      <w:pPr>
        <w:pStyle w:val="ListParagraph"/>
        <w:numPr>
          <w:ilvl w:val="0"/>
          <w:numId w:val="2"/>
        </w:numPr>
        <w:spacing w:after="120"/>
        <w:contextualSpacing w:val="0"/>
      </w:pPr>
      <w:r w:rsidRPr="00BC3250">
        <w:rPr>
          <w:b/>
        </w:rPr>
        <w:t>Derivatized St</w:t>
      </w:r>
      <w:r w:rsidR="005E17C8" w:rsidRPr="00BC3250">
        <w:rPr>
          <w:b/>
        </w:rPr>
        <w:t>andard:</w:t>
      </w:r>
      <w:r w:rsidR="005E17C8" w:rsidRPr="00BC3250">
        <w:t xml:space="preserve">  </w:t>
      </w:r>
      <w:r w:rsidR="00995D9B">
        <w:t>C</w:t>
      </w:r>
      <w:r w:rsidR="005E17C8" w:rsidRPr="00BC3250">
        <w:t>arbonyl compound that has been reacted with DNPH to form a carbonyl</w:t>
      </w:r>
      <w:r w:rsidR="001E2BB4">
        <w:t>-</w:t>
      </w:r>
      <w:r w:rsidR="00B57771">
        <w:t>hydraz</w:t>
      </w:r>
      <w:r w:rsidR="001E2BB4">
        <w:t>o</w:t>
      </w:r>
      <w:r w:rsidR="00B57771">
        <w:t>ne.</w:t>
      </w:r>
    </w:p>
    <w:p w14:paraId="17BAF550" w14:textId="02AEDF23" w:rsidR="007F4FDB" w:rsidRDefault="007F4FDB" w:rsidP="007F4FDB">
      <w:pPr>
        <w:pStyle w:val="ListParagraph"/>
        <w:numPr>
          <w:ilvl w:val="0"/>
          <w:numId w:val="2"/>
        </w:numPr>
        <w:spacing w:after="120"/>
        <w:contextualSpacing w:val="0"/>
      </w:pPr>
      <w:bookmarkStart w:id="1" w:name="_Hlk494312384"/>
      <w:r>
        <w:rPr>
          <w:b/>
        </w:rPr>
        <w:t>Extraction</w:t>
      </w:r>
      <w:r w:rsidRPr="004F24A3">
        <w:rPr>
          <w:b/>
        </w:rPr>
        <w:t xml:space="preserve"> Batch Quality Control (QC) Samples:</w:t>
      </w:r>
      <w:r>
        <w:t xml:space="preserve">  Laboratory-prepared samples that are processed in the laboratory in the same manner as field QC and field-collected samples.  Extraction batch QC samples </w:t>
      </w:r>
      <w:proofErr w:type="gramStart"/>
      <w:r>
        <w:t>include:</w:t>
      </w:r>
      <w:proofErr w:type="gramEnd"/>
      <w:r>
        <w:t xml:space="preserve">  </w:t>
      </w:r>
      <w:r w:rsidR="00E7013A">
        <w:t xml:space="preserve">extraction </w:t>
      </w:r>
      <w:r>
        <w:t>solvent method blank (</w:t>
      </w:r>
      <w:r w:rsidR="00E7013A">
        <w:t>E</w:t>
      </w:r>
      <w:r>
        <w:t xml:space="preserve">SMB), method blank (MB), laboratory control sample (LCS), and LCS duplicate </w:t>
      </w:r>
      <w:r>
        <w:lastRenderedPageBreak/>
        <w:t>(LCSD).  For extraction batch QC samples prepared on cartridge media, it is recommended that they be prepared from the same lot of cartridges as the associated field</w:t>
      </w:r>
      <w:r w:rsidR="001E2BB4">
        <w:t>-</w:t>
      </w:r>
      <w:r>
        <w:t>collected samples.</w:t>
      </w:r>
    </w:p>
    <w:p w14:paraId="1494C0CE" w14:textId="2FEF20AD" w:rsidR="00E7013A" w:rsidRDefault="00E7013A" w:rsidP="007F4FDB">
      <w:pPr>
        <w:pStyle w:val="ListParagraph"/>
        <w:numPr>
          <w:ilvl w:val="0"/>
          <w:numId w:val="2"/>
        </w:numPr>
        <w:spacing w:after="120"/>
        <w:contextualSpacing w:val="0"/>
      </w:pPr>
      <w:r>
        <w:rPr>
          <w:b/>
        </w:rPr>
        <w:t>Extraction</w:t>
      </w:r>
      <w:r w:rsidRPr="004F24A3">
        <w:rPr>
          <w:b/>
        </w:rPr>
        <w:t xml:space="preserve"> </w:t>
      </w:r>
      <w:r>
        <w:rPr>
          <w:b/>
        </w:rPr>
        <w:t>Solvent Method Blank (ESMB)</w:t>
      </w:r>
      <w:r w:rsidRPr="004F24A3">
        <w:rPr>
          <w:b/>
        </w:rPr>
        <w:t>:</w:t>
      </w:r>
      <w:r>
        <w:rPr>
          <w:bCs/>
        </w:rPr>
        <w:t xml:space="preserve"> Aliquot of ACN extraction solvent taken through the </w:t>
      </w:r>
      <w:r w:rsidR="00824AF5">
        <w:rPr>
          <w:bCs/>
        </w:rPr>
        <w:t>extraction process to verify cleanliness of the extraction solvent and labware.</w:t>
      </w:r>
    </w:p>
    <w:p w14:paraId="72091395" w14:textId="77777777" w:rsidR="00110664" w:rsidRPr="004368D8" w:rsidRDefault="00110664" w:rsidP="00110664">
      <w:pPr>
        <w:pStyle w:val="ListParagraph"/>
        <w:numPr>
          <w:ilvl w:val="0"/>
          <w:numId w:val="2"/>
        </w:numPr>
        <w:spacing w:after="120"/>
        <w:contextualSpacing w:val="0"/>
      </w:pPr>
      <w:r w:rsidRPr="005F0F36">
        <w:rPr>
          <w:b/>
        </w:rPr>
        <w:t>Field Quality Control (QC) Samples:</w:t>
      </w:r>
      <w:r>
        <w:t xml:space="preserve">  Samples additional to collected ambient air samples employed to characterize field bias, precision, or contamination.  Such field QC samples </w:t>
      </w:r>
      <w:proofErr w:type="gramStart"/>
      <w:r>
        <w:t>include:</w:t>
      </w:r>
      <w:proofErr w:type="gramEnd"/>
      <w:r>
        <w:t xml:space="preserve">  field blank (FB), trip blank (TB), exposure blank (EB), duplicate, and collocated samples.</w:t>
      </w:r>
    </w:p>
    <w:p w14:paraId="1624092C" w14:textId="678F0630" w:rsidR="005E17C8" w:rsidRPr="005F0F36" w:rsidRDefault="005E17C8" w:rsidP="00DE6D51">
      <w:pPr>
        <w:pStyle w:val="ListParagraph"/>
        <w:numPr>
          <w:ilvl w:val="0"/>
          <w:numId w:val="2"/>
        </w:numPr>
        <w:spacing w:after="120"/>
        <w:contextualSpacing w:val="0"/>
      </w:pPr>
      <w:r w:rsidRPr="005F0F36">
        <w:rPr>
          <w:b/>
        </w:rPr>
        <w:t>High Performance Liquid Chromatograph (HPLC):</w:t>
      </w:r>
      <w:r w:rsidRPr="005F0F36">
        <w:t xml:space="preserve">  Instrument employed for the analysis of collected carbonyl compounds by separation and detection of derivatized carbonyl</w:t>
      </w:r>
      <w:r w:rsidR="001E2BB4">
        <w:t>-</w:t>
      </w:r>
      <w:r w:rsidRPr="005F0F36">
        <w:t>hydrazones</w:t>
      </w:r>
      <w:r w:rsidR="00B57771">
        <w:t>.</w:t>
      </w:r>
    </w:p>
    <w:p w14:paraId="066E7FC9" w14:textId="2660D32E" w:rsidR="00DE6D51" w:rsidRPr="005F0F36" w:rsidRDefault="00DE6D51" w:rsidP="00DE6D51">
      <w:pPr>
        <w:pStyle w:val="ListParagraph"/>
        <w:numPr>
          <w:ilvl w:val="0"/>
          <w:numId w:val="2"/>
        </w:numPr>
        <w:spacing w:after="120"/>
        <w:contextualSpacing w:val="0"/>
      </w:pPr>
      <w:r w:rsidRPr="005F0F36">
        <w:rPr>
          <w:b/>
        </w:rPr>
        <w:t>Initial Multi-Point Calibration Curve (ICAL):</w:t>
      </w:r>
      <w:r w:rsidRPr="005F0F36">
        <w:t xml:space="preserve">  Standardization of the HPLC response to the target analytes by analysis of a </w:t>
      </w:r>
      <w:r w:rsidR="007F4FDB">
        <w:t>series</w:t>
      </w:r>
      <w:r w:rsidR="007F4FDB" w:rsidRPr="005F0F36">
        <w:t xml:space="preserve"> </w:t>
      </w:r>
      <w:r w:rsidRPr="005F0F36">
        <w:t>of standard solutions (</w:t>
      </w:r>
      <w:r w:rsidR="001E2BB4">
        <w:t>minim</w:t>
      </w:r>
      <w:r w:rsidRPr="005F0F36">
        <w:t xml:space="preserve">ally five or more) covering </w:t>
      </w:r>
      <w:r w:rsidR="00664142">
        <w:t>the</w:t>
      </w:r>
      <w:r w:rsidR="00664142" w:rsidRPr="005F0F36">
        <w:t xml:space="preserve"> </w:t>
      </w:r>
      <w:r w:rsidR="007F4FDB">
        <w:t xml:space="preserve">concentration </w:t>
      </w:r>
      <w:r w:rsidRPr="005F0F36">
        <w:t>range of interest.  The ICAL demonstrates the relationship between instrument response and analyte concentration.  ICAL standard</w:t>
      </w:r>
      <w:r w:rsidR="007F4FDB">
        <w:t xml:space="preserve"> solutions</w:t>
      </w:r>
      <w:r w:rsidRPr="005F0F36">
        <w:t xml:space="preserve"> are prepared from the primary stock standards.</w:t>
      </w:r>
    </w:p>
    <w:p w14:paraId="39333A38" w14:textId="5E1517BA" w:rsidR="004F24A3" w:rsidRDefault="004F24A3" w:rsidP="004F24A3">
      <w:pPr>
        <w:pStyle w:val="ListParagraph"/>
        <w:numPr>
          <w:ilvl w:val="0"/>
          <w:numId w:val="2"/>
        </w:numPr>
        <w:spacing w:after="120"/>
        <w:contextualSpacing w:val="0"/>
      </w:pPr>
      <w:r w:rsidRPr="004F24A3">
        <w:rPr>
          <w:b/>
        </w:rPr>
        <w:t>Laboratory Control Sample (LCS):</w:t>
      </w:r>
      <w:r>
        <w:t xml:space="preserve">  A </w:t>
      </w:r>
      <w:r w:rsidR="007F4FDB">
        <w:t xml:space="preserve">DNPH </w:t>
      </w:r>
      <w:r>
        <w:t xml:space="preserve">cartridge </w:t>
      </w:r>
      <w:r w:rsidR="00664142">
        <w:t xml:space="preserve">that </w:t>
      </w:r>
      <w:r>
        <w:t xml:space="preserve">has been spiked with a known amount of target compound(s) and processed through the </w:t>
      </w:r>
      <w:r w:rsidR="007F4FDB">
        <w:t xml:space="preserve">extraction and analysis </w:t>
      </w:r>
      <w:r>
        <w:t xml:space="preserve">procedure in the same manner as a field sample.  </w:t>
      </w:r>
      <w:r w:rsidR="007F4FDB">
        <w:t xml:space="preserve">The LCS </w:t>
      </w:r>
      <w:r>
        <w:t>assess</w:t>
      </w:r>
      <w:r w:rsidR="007F4FDB">
        <w:t>es</w:t>
      </w:r>
      <w:r>
        <w:t xml:space="preserve"> the recovery of the target analytes from the </w:t>
      </w:r>
      <w:r w:rsidR="007F4FDB">
        <w:t xml:space="preserve">cartridge </w:t>
      </w:r>
      <w:r>
        <w:t xml:space="preserve">matrix </w:t>
      </w:r>
      <w:r w:rsidR="007F4FDB">
        <w:t xml:space="preserve">through the </w:t>
      </w:r>
      <w:r>
        <w:t>extraction and analysis procedures as implemented during processing of the field</w:t>
      </w:r>
      <w:r w:rsidR="007F4FDB">
        <w:t>-collected</w:t>
      </w:r>
      <w:r>
        <w:t xml:space="preserve"> samples.</w:t>
      </w:r>
    </w:p>
    <w:p w14:paraId="7D4D4D08" w14:textId="6A3C2FD5" w:rsidR="004F24A3" w:rsidRPr="004F24A3" w:rsidRDefault="004F24A3" w:rsidP="00BC3250">
      <w:pPr>
        <w:pStyle w:val="ListParagraph"/>
        <w:numPr>
          <w:ilvl w:val="0"/>
          <w:numId w:val="2"/>
        </w:numPr>
        <w:spacing w:after="120"/>
        <w:contextualSpacing w:val="0"/>
      </w:pPr>
      <w:r w:rsidRPr="004F24A3">
        <w:rPr>
          <w:b/>
        </w:rPr>
        <w:t xml:space="preserve">LCS Duplicate: </w:t>
      </w:r>
      <w:r>
        <w:t xml:space="preserve"> A cartridge prepared identically to the LCS.  </w:t>
      </w:r>
      <w:r w:rsidR="007F4FDB">
        <w:t xml:space="preserve">The LCSD </w:t>
      </w:r>
      <w:r>
        <w:t>assess</w:t>
      </w:r>
      <w:r w:rsidR="007F4FDB">
        <w:t>es</w:t>
      </w:r>
      <w:r>
        <w:t xml:space="preserve"> the precision of the laboratory preparation</w:t>
      </w:r>
      <w:r w:rsidR="007F4FDB">
        <w:t>, extraction,</w:t>
      </w:r>
      <w:r>
        <w:t xml:space="preserve"> and analysis procedures.  </w:t>
      </w:r>
    </w:p>
    <w:p w14:paraId="1991322E" w14:textId="2203EDF3" w:rsidR="005E17C8" w:rsidRPr="00170228" w:rsidRDefault="00170228" w:rsidP="00DE6D51">
      <w:pPr>
        <w:pStyle w:val="ListParagraph"/>
        <w:numPr>
          <w:ilvl w:val="0"/>
          <w:numId w:val="2"/>
        </w:numPr>
        <w:spacing w:after="120"/>
        <w:contextualSpacing w:val="0"/>
      </w:pPr>
      <w:r>
        <w:rPr>
          <w:b/>
        </w:rPr>
        <w:t>Measurement Quality O</w:t>
      </w:r>
      <w:r w:rsidR="005E17C8" w:rsidRPr="00170228">
        <w:rPr>
          <w:b/>
        </w:rPr>
        <w:t>bjective (MQO)</w:t>
      </w:r>
      <w:r w:rsidR="005E17C8" w:rsidRPr="00170228">
        <w:t xml:space="preserve">:  Criteria prescribed for a given measurement or set of measurements which may </w:t>
      </w:r>
      <w:r w:rsidR="007F4FDB">
        <w:t>include</w:t>
      </w:r>
      <w:r w:rsidR="005E17C8" w:rsidRPr="00170228">
        <w:t xml:space="preserve"> bias, precision, completeness, frequency, and sensitivity. </w:t>
      </w:r>
    </w:p>
    <w:p w14:paraId="723ED55E" w14:textId="37069D23" w:rsidR="005F0F36" w:rsidRDefault="005F0F36" w:rsidP="004F24A3">
      <w:pPr>
        <w:pStyle w:val="ListParagraph"/>
        <w:numPr>
          <w:ilvl w:val="0"/>
          <w:numId w:val="2"/>
        </w:numPr>
        <w:spacing w:after="120"/>
        <w:contextualSpacing w:val="0"/>
      </w:pPr>
      <w:r w:rsidRPr="005F0F36">
        <w:rPr>
          <w:b/>
        </w:rPr>
        <w:t>Method Blank (MB):</w:t>
      </w:r>
      <w:r>
        <w:t xml:space="preserve">  </w:t>
      </w:r>
      <w:r w:rsidR="004F24A3" w:rsidRPr="004F24A3">
        <w:t xml:space="preserve">An </w:t>
      </w:r>
      <w:proofErr w:type="spellStart"/>
      <w:r w:rsidR="004F24A3" w:rsidRPr="004F24A3">
        <w:t>unspiked</w:t>
      </w:r>
      <w:proofErr w:type="spellEnd"/>
      <w:r w:rsidR="004F24A3" w:rsidRPr="004F24A3">
        <w:t xml:space="preserve"> </w:t>
      </w:r>
      <w:r w:rsidR="007F4FDB">
        <w:t xml:space="preserve">DNPH </w:t>
      </w:r>
      <w:r w:rsidR="004F24A3" w:rsidRPr="004F24A3">
        <w:t>cartridge that is extracted and analyzed to assess presence of background contamination</w:t>
      </w:r>
      <w:r w:rsidR="00E7013A">
        <w:t xml:space="preserve"> through the extraction and analysis procedures</w:t>
      </w:r>
      <w:r w:rsidR="004F24A3" w:rsidRPr="004F24A3">
        <w:t>.</w:t>
      </w:r>
    </w:p>
    <w:p w14:paraId="6F8C5C00" w14:textId="13C70F80" w:rsidR="00F83C84" w:rsidRPr="00F83C84" w:rsidRDefault="00F83C84" w:rsidP="00F83C84">
      <w:pPr>
        <w:pStyle w:val="ListParagraph"/>
        <w:numPr>
          <w:ilvl w:val="0"/>
          <w:numId w:val="2"/>
        </w:numPr>
        <w:spacing w:after="120"/>
        <w:contextualSpacing w:val="0"/>
      </w:pPr>
      <w:r w:rsidRPr="00C13B74">
        <w:rPr>
          <w:b/>
        </w:rPr>
        <w:t>Method Detection Limit (MDL):</w:t>
      </w:r>
      <w:r>
        <w:t xml:space="preserve">  The laboratory MDL is determined as the larger of the MDL components determined from minimally 7 method blanks (</w:t>
      </w:r>
      <w:proofErr w:type="spellStart"/>
      <w:r>
        <w:t>MDL</w:t>
      </w:r>
      <w:r w:rsidRPr="00C13B74">
        <w:rPr>
          <w:vertAlign w:val="subscript"/>
        </w:rPr>
        <w:t>b</w:t>
      </w:r>
      <w:proofErr w:type="spellEnd"/>
      <w:r>
        <w:t>) or from minimally 7 samples spiked with a known amount of target analytes (</w:t>
      </w:r>
      <w:proofErr w:type="spellStart"/>
      <w:r>
        <w:t>MDL</w:t>
      </w:r>
      <w:r w:rsidRPr="00C13B74">
        <w:rPr>
          <w:vertAlign w:val="subscript"/>
        </w:rPr>
        <w:t>sp</w:t>
      </w:r>
      <w:proofErr w:type="spellEnd"/>
      <w:r>
        <w:t xml:space="preserve">) as detailed in 40 CFR Part 136 updated rule </w:t>
      </w:r>
      <w:r w:rsidRPr="00F83C84">
        <w:t>82 FR 40836</w:t>
      </w:r>
      <w:r w:rsidR="00E7013A">
        <w:t>.</w:t>
      </w:r>
      <w:r w:rsidR="00995D9B" w:rsidRPr="0099275B">
        <w:rPr>
          <w:vertAlign w:val="superscript"/>
        </w:rPr>
        <w:t>4</w:t>
      </w:r>
    </w:p>
    <w:p w14:paraId="76B258B8" w14:textId="6801A710" w:rsidR="00DE6D51" w:rsidRPr="00170228" w:rsidRDefault="005F0F36" w:rsidP="00DE6D51">
      <w:pPr>
        <w:pStyle w:val="ListParagraph"/>
        <w:numPr>
          <w:ilvl w:val="0"/>
          <w:numId w:val="2"/>
        </w:numPr>
        <w:spacing w:after="120"/>
        <w:contextualSpacing w:val="0"/>
      </w:pPr>
      <w:r w:rsidRPr="005F0F36">
        <w:rPr>
          <w:b/>
        </w:rPr>
        <w:t>NIST:</w:t>
      </w:r>
      <w:r>
        <w:t xml:space="preserve">  </w:t>
      </w:r>
      <w:r w:rsidR="00DE6D51" w:rsidRPr="00170228">
        <w:t>National Institute of</w:t>
      </w:r>
      <w:r>
        <w:t xml:space="preserve"> Standards and Technology</w:t>
      </w:r>
      <w:r w:rsidR="00B57771">
        <w:t>.</w:t>
      </w:r>
    </w:p>
    <w:p w14:paraId="33027A43" w14:textId="77777777" w:rsidR="00DE6D51" w:rsidRPr="00170228" w:rsidRDefault="00DE6D51" w:rsidP="00BC3250">
      <w:pPr>
        <w:pStyle w:val="ListParagraph"/>
        <w:numPr>
          <w:ilvl w:val="0"/>
          <w:numId w:val="2"/>
        </w:numPr>
        <w:spacing w:after="120"/>
        <w:contextualSpacing w:val="0"/>
      </w:pPr>
      <w:r w:rsidRPr="005E17C8">
        <w:rPr>
          <w:b/>
        </w:rPr>
        <w:t>Ozone Denuder:</w:t>
      </w:r>
      <w:r w:rsidRPr="00E56F8B">
        <w:t xml:space="preserve">  </w:t>
      </w:r>
      <w:r>
        <w:t>Device used to remove ozone from a sampled gas stream.  For this method, the ozone denuder consists of a length of copper tubing onto which potassium iodide (KI) has been deposited, covering all copper surfaces.  Ozone in the sampled gas stream reacts with the KI and is eliminated from the sampled gas.</w:t>
      </w:r>
    </w:p>
    <w:p w14:paraId="01193A14" w14:textId="56AA556D" w:rsidR="00DE6D51" w:rsidRPr="00DE6D51" w:rsidRDefault="00DE6D51" w:rsidP="00DE6D51">
      <w:pPr>
        <w:pStyle w:val="ListParagraph"/>
        <w:numPr>
          <w:ilvl w:val="0"/>
          <w:numId w:val="2"/>
        </w:numPr>
        <w:spacing w:after="120"/>
        <w:contextualSpacing w:val="0"/>
      </w:pPr>
      <w:r w:rsidRPr="005F0F36">
        <w:rPr>
          <w:b/>
        </w:rPr>
        <w:t>PAMS:</w:t>
      </w:r>
      <w:r w:rsidRPr="00170228">
        <w:t xml:space="preserve">  Photochemical Assessment Monitoring Station</w:t>
      </w:r>
      <w:r w:rsidR="00E7013A">
        <w:t>s</w:t>
      </w:r>
      <w:r w:rsidR="00B57771" w:rsidRPr="0099275B">
        <w:rPr>
          <w:bCs/>
        </w:rPr>
        <w:t>.</w:t>
      </w:r>
    </w:p>
    <w:p w14:paraId="3FD5CDA8" w14:textId="007A5283" w:rsidR="005E17C8" w:rsidRPr="00170228" w:rsidRDefault="005E17C8" w:rsidP="00DE6D51">
      <w:pPr>
        <w:pStyle w:val="ListParagraph"/>
        <w:numPr>
          <w:ilvl w:val="0"/>
          <w:numId w:val="2"/>
        </w:numPr>
        <w:spacing w:after="120"/>
        <w:contextualSpacing w:val="0"/>
      </w:pPr>
      <w:r w:rsidRPr="00170228">
        <w:rPr>
          <w:b/>
        </w:rPr>
        <w:lastRenderedPageBreak/>
        <w:t>Part per billion carbon (ppbC)</w:t>
      </w:r>
      <w:r w:rsidRPr="00170228">
        <w:t>:  Concentration unit of measurement equivalent to a mixing ratio of 10</w:t>
      </w:r>
      <w:r w:rsidRPr="00170228">
        <w:rPr>
          <w:vertAlign w:val="superscript"/>
        </w:rPr>
        <w:t>-9</w:t>
      </w:r>
      <w:r w:rsidRPr="00170228">
        <w:t xml:space="preserve"> L (or moles) of carbon content of a trace gas in 1 L (or mole) of diluent.  One ppbC is equivalent to 2.46</w:t>
      </w:r>
      <w:r w:rsidR="00E7013A">
        <w:t xml:space="preserve"> </w:t>
      </w:r>
      <w:r w:rsidR="00E7013A">
        <w:sym w:font="Symbol" w:char="F0B4"/>
      </w:r>
      <w:r w:rsidR="00E7013A">
        <w:t xml:space="preserve"> </w:t>
      </w:r>
      <w:r w:rsidRPr="00170228">
        <w:t>10</w:t>
      </w:r>
      <w:r w:rsidRPr="00170228">
        <w:rPr>
          <w:vertAlign w:val="superscript"/>
        </w:rPr>
        <w:t>10</w:t>
      </w:r>
      <w:r w:rsidRPr="00170228">
        <w:t xml:space="preserve"> molecules cm</w:t>
      </w:r>
      <w:r w:rsidRPr="00170228">
        <w:rPr>
          <w:vertAlign w:val="superscript"/>
        </w:rPr>
        <w:t>-3</w:t>
      </w:r>
      <w:r w:rsidRPr="00170228">
        <w:t xml:space="preserve"> at 760 mm Hg pressure and 25°C multiplied by the number of carbon atoms in the molecule.</w:t>
      </w:r>
    </w:p>
    <w:p w14:paraId="083F8F4F" w14:textId="6FBC15B2" w:rsidR="005E17C8" w:rsidRPr="00170228" w:rsidRDefault="005E17C8" w:rsidP="00DE6D51">
      <w:pPr>
        <w:pStyle w:val="ListParagraph"/>
        <w:numPr>
          <w:ilvl w:val="0"/>
          <w:numId w:val="2"/>
        </w:numPr>
        <w:spacing w:after="120"/>
        <w:contextualSpacing w:val="0"/>
      </w:pPr>
      <w:r w:rsidRPr="00170228">
        <w:rPr>
          <w:b/>
        </w:rPr>
        <w:t>Part per billion volume (</w:t>
      </w:r>
      <w:proofErr w:type="spellStart"/>
      <w:r w:rsidRPr="00170228">
        <w:rPr>
          <w:b/>
        </w:rPr>
        <w:t>ppbv</w:t>
      </w:r>
      <w:proofErr w:type="spellEnd"/>
      <w:r w:rsidRPr="00170228">
        <w:rPr>
          <w:b/>
        </w:rPr>
        <w:t>)</w:t>
      </w:r>
      <w:r w:rsidRPr="00170228">
        <w:t>:  Concentration unit of measurement equivalent to a mixing ratio of 10</w:t>
      </w:r>
      <w:r w:rsidRPr="00170228">
        <w:rPr>
          <w:vertAlign w:val="superscript"/>
        </w:rPr>
        <w:t>-9</w:t>
      </w:r>
      <w:r w:rsidRPr="00170228">
        <w:t xml:space="preserve"> L (or moles) of a trace gas in 1 L (or mole) of diluent.  One </w:t>
      </w:r>
      <w:proofErr w:type="spellStart"/>
      <w:r w:rsidRPr="00170228">
        <w:t>ppbv</w:t>
      </w:r>
      <w:proofErr w:type="spellEnd"/>
      <w:r w:rsidRPr="00170228">
        <w:t xml:space="preserve"> is equivalent to 2.46</w:t>
      </w:r>
      <w:r w:rsidR="00E7013A">
        <w:t xml:space="preserve"> </w:t>
      </w:r>
      <w:r w:rsidR="00E7013A">
        <w:sym w:font="Symbol" w:char="F0B4"/>
      </w:r>
      <w:r w:rsidR="00E7013A">
        <w:t xml:space="preserve"> </w:t>
      </w:r>
      <w:r w:rsidRPr="00170228">
        <w:t>10</w:t>
      </w:r>
      <w:r w:rsidRPr="00170228">
        <w:rPr>
          <w:vertAlign w:val="superscript"/>
        </w:rPr>
        <w:t>10</w:t>
      </w:r>
      <w:r w:rsidRPr="00170228">
        <w:t xml:space="preserve"> molecules cm</w:t>
      </w:r>
      <w:r w:rsidRPr="00170228">
        <w:rPr>
          <w:vertAlign w:val="superscript"/>
        </w:rPr>
        <w:t>-3</w:t>
      </w:r>
      <w:r w:rsidRPr="00170228">
        <w:t xml:space="preserve"> at 760 mm Hg pressure and 25°C.</w:t>
      </w:r>
    </w:p>
    <w:p w14:paraId="09699083" w14:textId="452273DE" w:rsidR="00DE6D51" w:rsidRPr="00170228" w:rsidRDefault="00DE6D51" w:rsidP="005949F8">
      <w:pPr>
        <w:pStyle w:val="ListParagraph"/>
        <w:numPr>
          <w:ilvl w:val="0"/>
          <w:numId w:val="2"/>
        </w:numPr>
        <w:spacing w:after="120"/>
        <w:contextualSpacing w:val="0"/>
      </w:pPr>
      <w:r w:rsidRPr="005F0F36">
        <w:rPr>
          <w:b/>
        </w:rPr>
        <w:t>PFA:</w:t>
      </w:r>
      <w:r w:rsidRPr="00170228">
        <w:t xml:space="preserve">  </w:t>
      </w:r>
      <w:proofErr w:type="spellStart"/>
      <w:r w:rsidRPr="00170228">
        <w:t>perfluoralkoxy</w:t>
      </w:r>
      <w:proofErr w:type="spellEnd"/>
      <w:r w:rsidR="005F0F36">
        <w:t xml:space="preserve"> </w:t>
      </w:r>
      <w:r w:rsidR="005949F8" w:rsidRPr="005949F8">
        <w:t xml:space="preserve">copolymer resin </w:t>
      </w:r>
      <w:r w:rsidR="005F0F36">
        <w:t>(Teflon</w:t>
      </w:r>
      <w:r w:rsidR="005F0F36" w:rsidRPr="005F0F36">
        <w:rPr>
          <w:vertAlign w:val="superscript"/>
        </w:rPr>
        <w:t>®</w:t>
      </w:r>
      <w:r w:rsidR="005F0F36">
        <w:t>)</w:t>
      </w:r>
      <w:r w:rsidR="00B57771">
        <w:t>.</w:t>
      </w:r>
    </w:p>
    <w:p w14:paraId="31D997A8" w14:textId="14227682" w:rsidR="009755E8" w:rsidRPr="009755E8" w:rsidRDefault="009755E8" w:rsidP="00DE6D51">
      <w:pPr>
        <w:pStyle w:val="ListParagraph"/>
        <w:numPr>
          <w:ilvl w:val="0"/>
          <w:numId w:val="2"/>
        </w:numPr>
        <w:spacing w:after="120"/>
        <w:contextualSpacing w:val="0"/>
      </w:pPr>
      <w:r w:rsidRPr="00561D1E">
        <w:rPr>
          <w:b/>
        </w:rPr>
        <w:t>Photodiode array (PDA):</w:t>
      </w:r>
      <w:r>
        <w:t xml:space="preserve">  Detector </w:t>
      </w:r>
      <w:r w:rsidR="005949F8">
        <w:t xml:space="preserve">that allows </w:t>
      </w:r>
      <w:r>
        <w:t xml:space="preserve">light covering a wide range of the ultraviolet and visible spectrum </w:t>
      </w:r>
      <w:r w:rsidR="005949F8">
        <w:t>to be detected simultaneously</w:t>
      </w:r>
      <w:r>
        <w:t xml:space="preserve">.  For this method, the wavelength of interest is </w:t>
      </w:r>
      <w:r w:rsidR="00E7013A">
        <w:t xml:space="preserve">approximately </w:t>
      </w:r>
      <w:r>
        <w:t>360 nm.</w:t>
      </w:r>
    </w:p>
    <w:p w14:paraId="039BC600" w14:textId="55C3E26A" w:rsidR="00DE6D51" w:rsidRPr="00170228" w:rsidRDefault="00DE6D51" w:rsidP="00DE6D51">
      <w:pPr>
        <w:pStyle w:val="ListParagraph"/>
        <w:numPr>
          <w:ilvl w:val="0"/>
          <w:numId w:val="2"/>
        </w:numPr>
        <w:spacing w:after="120"/>
        <w:contextualSpacing w:val="0"/>
      </w:pPr>
      <w:r w:rsidRPr="005F0F36">
        <w:rPr>
          <w:b/>
        </w:rPr>
        <w:t>PTFE:</w:t>
      </w:r>
      <w:r w:rsidRPr="00170228">
        <w:t xml:space="preserve">  polytetrafluoroethylene</w:t>
      </w:r>
      <w:r w:rsidR="005F0F36">
        <w:t xml:space="preserve"> (Teflon</w:t>
      </w:r>
      <w:r w:rsidR="005F0F36" w:rsidRPr="005F0F36">
        <w:rPr>
          <w:vertAlign w:val="superscript"/>
        </w:rPr>
        <w:t>®</w:t>
      </w:r>
      <w:r w:rsidR="005F0F36">
        <w:t>)</w:t>
      </w:r>
      <w:r w:rsidR="00B57771">
        <w:t>.</w:t>
      </w:r>
    </w:p>
    <w:p w14:paraId="0A07A9CC" w14:textId="092917DF" w:rsidR="00DE6D51" w:rsidRPr="00170228" w:rsidRDefault="00DE6D51" w:rsidP="00DE6D51">
      <w:pPr>
        <w:pStyle w:val="ListParagraph"/>
        <w:numPr>
          <w:ilvl w:val="0"/>
          <w:numId w:val="2"/>
        </w:numPr>
        <w:spacing w:after="120"/>
        <w:contextualSpacing w:val="0"/>
      </w:pPr>
      <w:r w:rsidRPr="005F0F36">
        <w:rPr>
          <w:b/>
        </w:rPr>
        <w:t>Pounds per square inch absolute (psia)</w:t>
      </w:r>
      <w:r w:rsidR="005F0F36">
        <w:t xml:space="preserve">:  </w:t>
      </w:r>
      <w:r w:rsidR="00995D9B">
        <w:t>U</w:t>
      </w:r>
      <w:r w:rsidRPr="00170228">
        <w:t>nit of pressure</w:t>
      </w:r>
      <w:r w:rsidR="005F0F36">
        <w:t xml:space="preserve"> relative to </w:t>
      </w:r>
      <w:r w:rsidR="00776D98">
        <w:t>absolute vacuum (0 psia)</w:t>
      </w:r>
      <w:r w:rsidR="00B57771">
        <w:t>.</w:t>
      </w:r>
    </w:p>
    <w:p w14:paraId="6309A8A3" w14:textId="02B80BEA" w:rsidR="00DE6D51" w:rsidRDefault="00DE6D51" w:rsidP="00DE6D51">
      <w:pPr>
        <w:pStyle w:val="ListParagraph"/>
        <w:numPr>
          <w:ilvl w:val="0"/>
          <w:numId w:val="2"/>
        </w:numPr>
        <w:spacing w:after="120"/>
        <w:contextualSpacing w:val="0"/>
      </w:pPr>
      <w:r w:rsidRPr="00776D98">
        <w:rPr>
          <w:b/>
        </w:rPr>
        <w:t>Proficiency Test (PT)</w:t>
      </w:r>
      <w:r w:rsidR="00776D98" w:rsidRPr="00776D98">
        <w:rPr>
          <w:b/>
        </w:rPr>
        <w:t>:</w:t>
      </w:r>
      <w:r w:rsidR="00776D98">
        <w:t xml:space="preserve">  </w:t>
      </w:r>
      <w:r>
        <w:t xml:space="preserve">Sample with </w:t>
      </w:r>
      <w:r w:rsidR="005F0F36">
        <w:t xml:space="preserve">a known amount of </w:t>
      </w:r>
      <w:r>
        <w:t>target compounds blind to the laboratory</w:t>
      </w:r>
      <w:r w:rsidR="00E7013A">
        <w:t xml:space="preserve">. The PT is </w:t>
      </w:r>
      <w:proofErr w:type="gramStart"/>
      <w:r w:rsidR="005F0F36">
        <w:t>evaluate</w:t>
      </w:r>
      <w:r w:rsidR="00E7013A">
        <w:t>s</w:t>
      </w:r>
      <w:proofErr w:type="gramEnd"/>
      <w:r w:rsidR="005F0F36">
        <w:t xml:space="preserve"> the laboratory’s performance</w:t>
      </w:r>
      <w:r w:rsidR="00E7013A">
        <w:t xml:space="preserve"> to extract and analyze for the target analytes.</w:t>
      </w:r>
    </w:p>
    <w:p w14:paraId="04975188" w14:textId="1530FFB6" w:rsidR="004F24A3" w:rsidRDefault="004F24A3" w:rsidP="004F24A3">
      <w:pPr>
        <w:pStyle w:val="ListParagraph"/>
        <w:numPr>
          <w:ilvl w:val="0"/>
          <w:numId w:val="2"/>
        </w:numPr>
        <w:spacing w:after="120"/>
        <w:contextualSpacing w:val="0"/>
      </w:pPr>
      <w:r>
        <w:rPr>
          <w:b/>
        </w:rPr>
        <w:t xml:space="preserve">Second Source </w:t>
      </w:r>
      <w:r w:rsidR="004D5D13">
        <w:rPr>
          <w:b/>
        </w:rPr>
        <w:t>Calibration Verification Standard (SSCV</w:t>
      </w:r>
      <w:r>
        <w:rPr>
          <w:b/>
        </w:rPr>
        <w:t>):</w:t>
      </w:r>
      <w:r>
        <w:t xml:space="preserve">  </w:t>
      </w:r>
      <w:r w:rsidR="00E7013A">
        <w:t xml:space="preserve">Standard solution </w:t>
      </w:r>
      <w:r>
        <w:t xml:space="preserve">prepared </w:t>
      </w:r>
      <w:r w:rsidR="00E7013A">
        <w:t xml:space="preserve">from a stock standard source procured from a provider (vendor) other than the primary standard employed to prepare the ICAL.  The SSCV is prepared </w:t>
      </w:r>
      <w:r>
        <w:t xml:space="preserve">at a concentration(s) within the calibration curve </w:t>
      </w:r>
      <w:r w:rsidR="005949F8">
        <w:t xml:space="preserve">and </w:t>
      </w:r>
      <w:r>
        <w:t xml:space="preserve">is analyzed to independently verify the </w:t>
      </w:r>
      <w:r w:rsidR="004D5D13">
        <w:t>calibration.</w:t>
      </w:r>
    </w:p>
    <w:p w14:paraId="3C1F797E" w14:textId="08032CC0" w:rsidR="00BC3250" w:rsidRPr="00170228" w:rsidRDefault="00BC3250" w:rsidP="00BC3250">
      <w:pPr>
        <w:pStyle w:val="ListParagraph"/>
        <w:numPr>
          <w:ilvl w:val="0"/>
          <w:numId w:val="2"/>
        </w:numPr>
        <w:spacing w:after="120"/>
        <w:contextualSpacing w:val="0"/>
      </w:pPr>
      <w:r>
        <w:rPr>
          <w:b/>
        </w:rPr>
        <w:t>Solvent Blank (SB):</w:t>
      </w:r>
      <w:r>
        <w:t xml:space="preserve">  Aliquot of </w:t>
      </w:r>
      <w:r w:rsidR="00824AF5">
        <w:t xml:space="preserve">ACN </w:t>
      </w:r>
      <w:r>
        <w:t xml:space="preserve">solvent </w:t>
      </w:r>
      <w:r w:rsidRPr="00BC3250">
        <w:t>analyzed to demonstrate that the analytical instrument is free of background contamination and potential interferences</w:t>
      </w:r>
      <w:r>
        <w:t xml:space="preserve">.  </w:t>
      </w:r>
      <w:r w:rsidRPr="00BC3250">
        <w:t xml:space="preserve"> </w:t>
      </w:r>
    </w:p>
    <w:p w14:paraId="1E849B43" w14:textId="7CD870F4" w:rsidR="00DE6D51" w:rsidRPr="00170228" w:rsidRDefault="00DE6D51" w:rsidP="00DE6D51">
      <w:pPr>
        <w:pStyle w:val="ListParagraph"/>
        <w:numPr>
          <w:ilvl w:val="0"/>
          <w:numId w:val="2"/>
        </w:numPr>
        <w:spacing w:after="120"/>
        <w:contextualSpacing w:val="0"/>
      </w:pPr>
      <w:r>
        <w:rPr>
          <w:b/>
        </w:rPr>
        <w:t>Standard Temperature and P</w:t>
      </w:r>
      <w:r w:rsidRPr="00170228">
        <w:rPr>
          <w:b/>
        </w:rPr>
        <w:t>ressure (STP)</w:t>
      </w:r>
      <w:r w:rsidRPr="00170228">
        <w:t>:  25</w:t>
      </w:r>
      <w:bookmarkStart w:id="2" w:name="_Hlk494445604"/>
      <w:r w:rsidR="005949F8">
        <w:t>°</w:t>
      </w:r>
      <w:bookmarkEnd w:id="2"/>
      <w:r w:rsidRPr="00170228">
        <w:t>C and 760 mm Hg absolute pressure</w:t>
      </w:r>
      <w:r w:rsidR="00B57771">
        <w:t>.</w:t>
      </w:r>
    </w:p>
    <w:p w14:paraId="54263E4E" w14:textId="16722B1E" w:rsidR="005E17C8" w:rsidRDefault="005E17C8" w:rsidP="0099275B">
      <w:pPr>
        <w:pStyle w:val="ListParagraph"/>
        <w:numPr>
          <w:ilvl w:val="0"/>
          <w:numId w:val="2"/>
        </w:numPr>
        <w:spacing w:after="120"/>
        <w:contextualSpacing w:val="0"/>
      </w:pPr>
      <w:r w:rsidRPr="00776D98">
        <w:rPr>
          <w:b/>
        </w:rPr>
        <w:t>Zero Air:</w:t>
      </w:r>
      <w:r w:rsidRPr="00170228">
        <w:t xml:space="preserve">  Synthetic air that has been scrubbed of carbonyls</w:t>
      </w:r>
      <w:r w:rsidR="00776D98">
        <w:t xml:space="preserve"> and water vapor</w:t>
      </w:r>
      <w:r w:rsidR="00B57771">
        <w:t>.</w:t>
      </w:r>
      <w:bookmarkEnd w:id="0"/>
      <w:bookmarkEnd w:id="1"/>
    </w:p>
    <w:p w14:paraId="5A310CE0" w14:textId="77777777" w:rsidR="005E17C8" w:rsidRPr="002337DE" w:rsidRDefault="005E17C8" w:rsidP="0099275B">
      <w:pPr>
        <w:pStyle w:val="ListParagraph"/>
        <w:numPr>
          <w:ilvl w:val="0"/>
          <w:numId w:val="1"/>
        </w:numPr>
        <w:spacing w:before="240"/>
        <w:ind w:left="360"/>
        <w:contextualSpacing w:val="0"/>
        <w:rPr>
          <w:b/>
        </w:rPr>
      </w:pPr>
      <w:r w:rsidRPr="002337DE">
        <w:rPr>
          <w:b/>
        </w:rPr>
        <w:t>INTERFERENCES</w:t>
      </w:r>
      <w:r w:rsidR="005B6EA4" w:rsidRPr="002337DE">
        <w:rPr>
          <w:b/>
        </w:rPr>
        <w:br/>
      </w:r>
    </w:p>
    <w:p w14:paraId="26C7E5B6" w14:textId="77777777" w:rsidR="00701FFD" w:rsidRDefault="00701FFD" w:rsidP="005B6EA4">
      <w:pPr>
        <w:pStyle w:val="ListParagraph"/>
        <w:numPr>
          <w:ilvl w:val="1"/>
          <w:numId w:val="5"/>
        </w:numPr>
        <w:spacing w:after="120"/>
        <w:ind w:left="720"/>
        <w:contextualSpacing w:val="0"/>
      </w:pPr>
      <w:r>
        <w:t>Temperature effects:</w:t>
      </w:r>
    </w:p>
    <w:p w14:paraId="1361E7C2" w14:textId="4CECCEE8" w:rsidR="00824AF5" w:rsidRDefault="00824AF5" w:rsidP="00701FFD">
      <w:pPr>
        <w:pStyle w:val="ListParagraph"/>
        <w:numPr>
          <w:ilvl w:val="2"/>
          <w:numId w:val="5"/>
        </w:numPr>
        <w:spacing w:after="120"/>
        <w:ind w:left="1080"/>
        <w:contextualSpacing w:val="0"/>
      </w:pPr>
      <w:r>
        <w:t>Carbonyl hydrazones degrade more quickly at ambient temperatures than at reduced (e.g. refrigerated) temperatures.  Care should be taken to ensure sampled cartridges, prepared QC samples, and standard materials are maintained refrigerated at ≤ 4°C.</w:t>
      </w:r>
    </w:p>
    <w:p w14:paraId="4DBEEB8F" w14:textId="7A5C8958" w:rsidR="00701FFD" w:rsidRDefault="00701FFD" w:rsidP="00701FFD">
      <w:pPr>
        <w:pStyle w:val="ListParagraph"/>
        <w:numPr>
          <w:ilvl w:val="2"/>
          <w:numId w:val="5"/>
        </w:numPr>
        <w:spacing w:after="120"/>
        <w:ind w:left="1080"/>
        <w:contextualSpacing w:val="0"/>
      </w:pPr>
      <w:r>
        <w:t xml:space="preserve">Inability to maintain a stable separation column temperature may result in poor retention time stability </w:t>
      </w:r>
      <w:r w:rsidR="00824AF5">
        <w:t xml:space="preserve">which may make </w:t>
      </w:r>
      <w:r>
        <w:t>identifying target analytes</w:t>
      </w:r>
      <w:r w:rsidR="00824AF5">
        <w:t xml:space="preserve"> difficult or impossible</w:t>
      </w:r>
      <w:r>
        <w:t>.  Separation columns should be installed within a column heater set to a temperature several degrees above ambient laboratory temperature (e.g.</w:t>
      </w:r>
      <w:r w:rsidR="00227910">
        <w:t>,</w:t>
      </w:r>
      <w:r>
        <w:t xml:space="preserve"> 30°C)</w:t>
      </w:r>
      <w:r w:rsidR="00824AF5">
        <w:t xml:space="preserve"> and the temperature maintained to within ±1°C</w:t>
      </w:r>
      <w:r w:rsidR="00B01A6A">
        <w:t>,</w:t>
      </w:r>
      <w:r w:rsidR="00824AF5">
        <w:t xml:space="preserve"> as practical</w:t>
      </w:r>
      <w:r>
        <w:t>.</w:t>
      </w:r>
    </w:p>
    <w:p w14:paraId="4594A3FC" w14:textId="77777777" w:rsidR="00824AF5" w:rsidRDefault="00824AF5" w:rsidP="0099275B">
      <w:pPr>
        <w:pStyle w:val="ListParagraph"/>
        <w:numPr>
          <w:ilvl w:val="1"/>
          <w:numId w:val="5"/>
        </w:numPr>
        <w:spacing w:after="120"/>
        <w:ind w:left="720"/>
        <w:contextualSpacing w:val="0"/>
      </w:pPr>
      <w:r>
        <w:t xml:space="preserve">Ozone:  Ozone that is not removed from the sampled air stream may react directly with the DNPH reagent thereby making the DNPH unavailable for derivatizing carbonyl </w:t>
      </w:r>
      <w:r>
        <w:lastRenderedPageBreak/>
        <w:t>compounds.  Ozone may also react with carbonyl-hydrazones on the sampled cartridge to degrade these compounds, leading to underestimation of sample carbonyl concentrations.  These degradation byproducts may also be difficult or impossible to separate chromatographically from desired target compounds, resulting in overestimation or false positive detection of target compounds.</w:t>
      </w:r>
    </w:p>
    <w:p w14:paraId="5EAB7AC8" w14:textId="7C81589F" w:rsidR="005B6EA4" w:rsidRDefault="005B6EA4" w:rsidP="005B6EA4">
      <w:pPr>
        <w:pStyle w:val="ListParagraph"/>
        <w:numPr>
          <w:ilvl w:val="1"/>
          <w:numId w:val="5"/>
        </w:numPr>
        <w:spacing w:after="120"/>
        <w:ind w:left="720"/>
        <w:contextualSpacing w:val="0"/>
      </w:pPr>
      <w:r>
        <w:t>Nitrogen dioxide:  Nitrogen dioxide (NO</w:t>
      </w:r>
      <w:r w:rsidRPr="00C433C4">
        <w:rPr>
          <w:vertAlign w:val="subscript"/>
        </w:rPr>
        <w:t>2</w:t>
      </w:r>
      <w:r>
        <w:t xml:space="preserve">) is known to react with DNPH to form </w:t>
      </w:r>
      <w:r w:rsidR="00DB330F">
        <w:t>reaction products.  These reaction products</w:t>
      </w:r>
      <w:r>
        <w:t xml:space="preserve"> absorb light </w:t>
      </w:r>
      <w:r w:rsidR="00824AF5">
        <w:t>in the range of</w:t>
      </w:r>
      <w:r>
        <w:t xml:space="preserve"> 360 nm and may be difficult or impossible to separate chromatographically from desired target compounds, particularly formaldehyde, resulting in overestimation or false positive detection of target compounds.</w:t>
      </w:r>
      <w:r w:rsidR="00995D9B" w:rsidRPr="0099275B">
        <w:rPr>
          <w:vertAlign w:val="superscript"/>
        </w:rPr>
        <w:t>5</w:t>
      </w:r>
      <w:r>
        <w:t xml:space="preserve"> </w:t>
      </w:r>
    </w:p>
    <w:p w14:paraId="739225D7" w14:textId="754BDD8F" w:rsidR="00701FFD" w:rsidRDefault="00701FFD" w:rsidP="005B6EA4">
      <w:pPr>
        <w:pStyle w:val="ListParagraph"/>
        <w:numPr>
          <w:ilvl w:val="1"/>
          <w:numId w:val="5"/>
        </w:numPr>
        <w:spacing w:after="120"/>
        <w:ind w:left="720"/>
        <w:contextualSpacing w:val="0"/>
      </w:pPr>
      <w:r>
        <w:t xml:space="preserve">Contaminated solvents:  Only high-purity </w:t>
      </w:r>
      <w:r w:rsidR="005A1F12">
        <w:t xml:space="preserve">grade, </w:t>
      </w:r>
      <w:r>
        <w:t>carbonyl-free solvents should be used for extraction, standard solution preparation, and mobile phase preparation.  Solvents can adsorb carbonyl compounds from the ambient atmosphere</w:t>
      </w:r>
      <w:r w:rsidR="005A1F12">
        <w:t>,</w:t>
      </w:r>
      <w:r w:rsidR="000103E5">
        <w:t xml:space="preserve"> which will form carbonyl</w:t>
      </w:r>
      <w:r w:rsidR="00396F12">
        <w:t>-</w:t>
      </w:r>
      <w:r w:rsidR="000103E5">
        <w:t>hydrazones when introduced to DNPH extracted from sample cartridges</w:t>
      </w:r>
      <w:r w:rsidR="005A1F12">
        <w:t xml:space="preserve"> and</w:t>
      </w:r>
      <w:r>
        <w:t xml:space="preserve"> therefore should be stored tightly capped in sealed impermeable containers</w:t>
      </w:r>
      <w:r w:rsidR="00824AF5">
        <w:t xml:space="preserve"> (e.g., amber glass bottles with PTFE-lined lids)</w:t>
      </w:r>
      <w:r>
        <w:t xml:space="preserve">.  </w:t>
      </w:r>
      <w:r w:rsidR="000103E5">
        <w:t xml:space="preserve">Opening of solvent containers to ambient air should be minimized.  Ambient air introduced to solvent containers by </w:t>
      </w:r>
      <w:proofErr w:type="spellStart"/>
      <w:r w:rsidR="000103E5">
        <w:t>bottletop</w:t>
      </w:r>
      <w:proofErr w:type="spellEnd"/>
      <w:r w:rsidR="000103E5">
        <w:t xml:space="preserve"> dispensers can be scrubbed of carbonyls by installing a blank DNPH cartridge onto the dispenser’s air inlet.  </w:t>
      </w:r>
    </w:p>
    <w:p w14:paraId="48C2AB7B" w14:textId="4E0EEBF4" w:rsidR="005B6EA4" w:rsidRDefault="005B6EA4" w:rsidP="005B6EA4">
      <w:pPr>
        <w:pStyle w:val="ListParagraph"/>
        <w:numPr>
          <w:ilvl w:val="1"/>
          <w:numId w:val="5"/>
        </w:numPr>
        <w:spacing w:after="120"/>
        <w:ind w:left="720"/>
        <w:contextualSpacing w:val="0"/>
      </w:pPr>
      <w:r>
        <w:t>Particulate build-up on separation column:  Particulate</w:t>
      </w:r>
      <w:r w:rsidR="00824AF5">
        <w:t xml:space="preserve">s </w:t>
      </w:r>
      <w:r w:rsidR="005910F8">
        <w:t>commonly enter the HPLC system through materials washed into the solvent extracts during sample extraction.  Particulates may include liberated silica gel and/or particulate matter residue collected on the cartridge filter</w:t>
      </w:r>
      <w:r>
        <w:t xml:space="preserve"> </w:t>
      </w:r>
      <w:r w:rsidR="005910F8">
        <w:t xml:space="preserve">during sampling.  Over time, particulate </w:t>
      </w:r>
      <w:r>
        <w:t xml:space="preserve">build-up can </w:t>
      </w:r>
      <w:r w:rsidR="000103E5">
        <w:t xml:space="preserve">substantially reduce or </w:t>
      </w:r>
      <w:r>
        <w:t xml:space="preserve">block flow through the separation column leading to </w:t>
      </w:r>
      <w:r w:rsidR="00701FFD">
        <w:t xml:space="preserve">reduced column life, </w:t>
      </w:r>
      <w:r>
        <w:t xml:space="preserve">shifting retention times, </w:t>
      </w:r>
      <w:r w:rsidR="005910F8">
        <w:t xml:space="preserve">poor chromatographic performance (e.g., </w:t>
      </w:r>
      <w:r>
        <w:t>split chromatographic peaks</w:t>
      </w:r>
      <w:r w:rsidR="005910F8">
        <w:t>)</w:t>
      </w:r>
      <w:r>
        <w:t xml:space="preserve">, </w:t>
      </w:r>
      <w:r w:rsidR="00701FFD">
        <w:t>and</w:t>
      </w:r>
      <w:r w:rsidR="005910F8">
        <w:t>/or</w:t>
      </w:r>
      <w:r w:rsidR="00701FFD">
        <w:t xml:space="preserve"> over</w:t>
      </w:r>
      <w:r w:rsidR="00B20064">
        <w:t>-</w:t>
      </w:r>
      <w:r w:rsidR="00701FFD">
        <w:t xml:space="preserve">pressurization and shutdown of the </w:t>
      </w:r>
      <w:r w:rsidR="00824AF5">
        <w:t>LC instrument</w:t>
      </w:r>
      <w:r w:rsidR="00701FFD">
        <w:t xml:space="preserve">.  Installation of a guard column </w:t>
      </w:r>
      <w:r w:rsidR="00824AF5">
        <w:t>and/</w:t>
      </w:r>
      <w:r w:rsidR="00701FFD">
        <w:t xml:space="preserve">or frit upstream of the separation column can </w:t>
      </w:r>
      <w:r w:rsidR="005910F8">
        <w:t xml:space="preserve">remove particulates from the injected sample aliquot and </w:t>
      </w:r>
      <w:r w:rsidR="00701FFD">
        <w:t>prevent damage to the separation column</w:t>
      </w:r>
      <w:r w:rsidR="005910F8">
        <w:t xml:space="preserve"> due to build-up</w:t>
      </w:r>
      <w:r w:rsidR="00701FFD">
        <w:t xml:space="preserve">.  Separation columns </w:t>
      </w:r>
      <w:r w:rsidR="00824AF5">
        <w:t xml:space="preserve">exhibiting particulate build-up </w:t>
      </w:r>
      <w:r w:rsidR="00701FFD">
        <w:t xml:space="preserve">may be backflushed with </w:t>
      </w:r>
      <w:r w:rsidR="00396F12">
        <w:t>can, methanol,</w:t>
      </w:r>
      <w:r w:rsidR="00701FFD">
        <w:t xml:space="preserve"> and/or mobile phase to remove particulates.</w:t>
      </w:r>
    </w:p>
    <w:p w14:paraId="1365B0EA" w14:textId="0FF4613F" w:rsidR="005910F8" w:rsidRDefault="005910F8" w:rsidP="005910F8">
      <w:pPr>
        <w:pStyle w:val="ListParagraph"/>
        <w:numPr>
          <w:ilvl w:val="1"/>
          <w:numId w:val="5"/>
        </w:numPr>
        <w:ind w:left="720"/>
      </w:pPr>
      <w:r w:rsidRPr="005910F8">
        <w:t>Exposure to light may cause degradation and loss of the DNPH-carbonyl derivatives; therefore, DNPH-coated cartridges should be protected from light.  Cartridges should be sealed into the foil pouch as soon as possible after sample retrieval to minimize exposure to light.  Exposure to direct sunlight should particularly be avoided.</w:t>
      </w:r>
    </w:p>
    <w:p w14:paraId="2D435FB7" w14:textId="77777777" w:rsidR="005910F8" w:rsidRPr="005910F8" w:rsidRDefault="005910F8" w:rsidP="0099275B">
      <w:pPr>
        <w:ind w:left="360"/>
      </w:pPr>
    </w:p>
    <w:p w14:paraId="37404A6D" w14:textId="2085BB1B" w:rsidR="00995D9B" w:rsidRDefault="00DB330F" w:rsidP="005B6EA4">
      <w:pPr>
        <w:pStyle w:val="ListParagraph"/>
        <w:numPr>
          <w:ilvl w:val="1"/>
          <w:numId w:val="5"/>
        </w:numPr>
        <w:ind w:left="720"/>
      </w:pPr>
      <w:r>
        <w:t xml:space="preserve">Acetone is </w:t>
      </w:r>
      <w:r w:rsidR="005910F8">
        <w:t xml:space="preserve">included among the target analytes for this method; however, it is </w:t>
      </w:r>
      <w:r>
        <w:t xml:space="preserve">particularly difficult to analyze via this method due to the significant and variable </w:t>
      </w:r>
      <w:r w:rsidR="005910F8">
        <w:t xml:space="preserve">concentrations in laboratory atmospheres and </w:t>
      </w:r>
      <w:r>
        <w:t>background levels on cartridge media.</w:t>
      </w:r>
      <w:r w:rsidR="005910F8">
        <w:t xml:space="preserve">  When measured concentrations of acetone are suspected to be elevated due to cartridge background and/or contamination, the associated sample data are to be qualified (flagged) and may require invalidation if</w:t>
      </w:r>
      <w:r w:rsidR="00622521">
        <w:t>, in the opinion of the analyst,</w:t>
      </w:r>
      <w:r w:rsidR="005910F8">
        <w:t xml:space="preserve"> the magnitude of the contamination is s</w:t>
      </w:r>
      <w:r w:rsidR="00622521">
        <w:t>ubstantial</w:t>
      </w:r>
      <w:r w:rsidR="005910F8">
        <w:t>.</w:t>
      </w:r>
      <w:r w:rsidR="00314894">
        <w:t xml:space="preserve">  This SOP calls for solvent rinsing of labware; however, acetone should never be employed as a cleaning solvent for this method.</w:t>
      </w:r>
    </w:p>
    <w:p w14:paraId="54023312" w14:textId="77777777" w:rsidR="00995D9B" w:rsidRDefault="00995D9B">
      <w:pPr>
        <w:spacing w:after="160" w:line="259" w:lineRule="auto"/>
      </w:pPr>
      <w:r>
        <w:br w:type="page"/>
      </w:r>
    </w:p>
    <w:p w14:paraId="7602582C" w14:textId="77777777" w:rsidR="005E17C8" w:rsidRPr="002337DE" w:rsidRDefault="005E17C8" w:rsidP="0099275B">
      <w:pPr>
        <w:pStyle w:val="ListParagraph"/>
        <w:numPr>
          <w:ilvl w:val="0"/>
          <w:numId w:val="1"/>
        </w:numPr>
        <w:ind w:left="360"/>
        <w:rPr>
          <w:b/>
        </w:rPr>
      </w:pPr>
      <w:r w:rsidRPr="002337DE">
        <w:rPr>
          <w:b/>
        </w:rPr>
        <w:lastRenderedPageBreak/>
        <w:t>SAFETY</w:t>
      </w:r>
    </w:p>
    <w:p w14:paraId="52FD76A3" w14:textId="77777777" w:rsidR="005E17C8" w:rsidRDefault="005E17C8" w:rsidP="005E17C8">
      <w:pPr>
        <w:pStyle w:val="ListParagraph"/>
      </w:pPr>
    </w:p>
    <w:p w14:paraId="60BD1F5C" w14:textId="768E3A05" w:rsidR="00C13B74" w:rsidRDefault="00C13B74" w:rsidP="0099275B">
      <w:pPr>
        <w:pStyle w:val="ListParagraph"/>
        <w:ind w:left="360"/>
      </w:pPr>
      <w:r>
        <w:t xml:space="preserve">Analysts should take basic precautions for working in a wet chemistry laboratory by </w:t>
      </w:r>
      <w:r w:rsidR="005A1F12">
        <w:t xml:space="preserve">wearing </w:t>
      </w:r>
      <w:r>
        <w:t xml:space="preserve">personal protective equipment (PPE) such as solvent impermeable gloves, </w:t>
      </w:r>
      <w:proofErr w:type="spellStart"/>
      <w:r>
        <w:t>labcoat</w:t>
      </w:r>
      <w:proofErr w:type="spellEnd"/>
      <w:r>
        <w:t>, safety glasses, and closed-toed shoes.  Exposures to solvents should be minimized by working with these materials in a fume hood and complying with recommendations listed in safety data sheets (SDS).</w:t>
      </w:r>
    </w:p>
    <w:p w14:paraId="5268E596" w14:textId="77777777" w:rsidR="00A16B41" w:rsidRDefault="00A16B41" w:rsidP="005E17C8">
      <w:pPr>
        <w:pStyle w:val="ListParagraph"/>
      </w:pPr>
    </w:p>
    <w:p w14:paraId="2A83FAE0" w14:textId="77777777" w:rsidR="005E17C8" w:rsidRPr="002337DE" w:rsidRDefault="005E17C8" w:rsidP="0099275B">
      <w:pPr>
        <w:pStyle w:val="ListParagraph"/>
        <w:numPr>
          <w:ilvl w:val="0"/>
          <w:numId w:val="1"/>
        </w:numPr>
        <w:ind w:left="360"/>
        <w:rPr>
          <w:b/>
        </w:rPr>
      </w:pPr>
      <w:r w:rsidRPr="002337DE">
        <w:rPr>
          <w:b/>
        </w:rPr>
        <w:t>APPARATUS AND MATERIALS</w:t>
      </w:r>
      <w:r w:rsidR="00C13B74">
        <w:rPr>
          <w:b/>
        </w:rPr>
        <w:br/>
      </w:r>
    </w:p>
    <w:p w14:paraId="243C3367" w14:textId="77777777" w:rsidR="00BC3250" w:rsidRDefault="00BC3250" w:rsidP="0099275B">
      <w:pPr>
        <w:pStyle w:val="ListParagraph"/>
        <w:numPr>
          <w:ilvl w:val="1"/>
          <w:numId w:val="1"/>
        </w:numPr>
        <w:spacing w:after="120"/>
        <w:ind w:left="720"/>
        <w:contextualSpacing w:val="0"/>
      </w:pPr>
      <w:r>
        <w:t>HPLC System:</w:t>
      </w:r>
    </w:p>
    <w:p w14:paraId="348CA998" w14:textId="1E75D2F5" w:rsidR="00BC3250" w:rsidRDefault="00BC3250" w:rsidP="0099275B">
      <w:pPr>
        <w:pStyle w:val="ListParagraph"/>
        <w:numPr>
          <w:ilvl w:val="2"/>
          <w:numId w:val="1"/>
        </w:numPr>
        <w:spacing w:after="120"/>
        <w:ind w:left="1440" w:hanging="187"/>
        <w:contextualSpacing w:val="0"/>
      </w:pPr>
      <w:r>
        <w:t xml:space="preserve">HPLC system </w:t>
      </w:r>
      <w:r w:rsidR="00B01A6A">
        <w:t xml:space="preserve">minimally </w:t>
      </w:r>
      <w:r>
        <w:t xml:space="preserve">consisting of an autosampler, </w:t>
      </w:r>
      <w:r w:rsidR="006C3658">
        <w:t xml:space="preserve">solvent/mobile phase </w:t>
      </w:r>
      <w:r>
        <w:t xml:space="preserve">pump, degasser, column heater, and ultraviolet </w:t>
      </w:r>
      <w:r w:rsidR="00B01A6A">
        <w:t xml:space="preserve">(UV) </w:t>
      </w:r>
      <w:r>
        <w:t xml:space="preserve">detector </w:t>
      </w:r>
      <w:r w:rsidR="009755E8">
        <w:t xml:space="preserve">or PDA </w:t>
      </w:r>
      <w:r>
        <w:t>capable of wavelength operation at 360 nm.</w:t>
      </w:r>
    </w:p>
    <w:p w14:paraId="13530862" w14:textId="7547BDF6" w:rsidR="00BC3250" w:rsidRDefault="00BC3250">
      <w:pPr>
        <w:pStyle w:val="ListParagraph"/>
        <w:numPr>
          <w:ilvl w:val="2"/>
          <w:numId w:val="1"/>
        </w:numPr>
        <w:spacing w:after="120"/>
        <w:ind w:left="1440" w:hanging="187"/>
        <w:contextualSpacing w:val="0"/>
      </w:pPr>
      <w:r>
        <w:t xml:space="preserve">Analytical Separation Column:  C-18 reversed phase column capable of meeting quality control (QC) and analytical acceptance criteria </w:t>
      </w:r>
      <w:r w:rsidR="009755E8">
        <w:t>specified</w:t>
      </w:r>
      <w:r>
        <w:t xml:space="preserve"> in </w:t>
      </w:r>
      <w:r w:rsidR="006C3658">
        <w:t xml:space="preserve">Table </w:t>
      </w:r>
      <w:r w:rsidR="00E565A1">
        <w:t>5</w:t>
      </w:r>
      <w:r w:rsidR="006C3658">
        <w:t xml:space="preserve"> of </w:t>
      </w:r>
      <w:r>
        <w:t xml:space="preserve">this SOP.  </w:t>
      </w:r>
      <w:r w:rsidR="00C168E9">
        <w:t xml:space="preserve">C-18 separation columns </w:t>
      </w:r>
      <w:r w:rsidR="00595BE4">
        <w:t xml:space="preserve">that </w:t>
      </w:r>
      <w:r w:rsidR="00B57771">
        <w:t>perform chromatographically similarly for</w:t>
      </w:r>
      <w:r w:rsidR="00595BE4">
        <w:t xml:space="preserve"> </w:t>
      </w:r>
      <w:r w:rsidR="00995D9B">
        <w:t xml:space="preserve">target </w:t>
      </w:r>
      <w:r w:rsidR="00595BE4">
        <w:t>analyte separation</w:t>
      </w:r>
      <w:r w:rsidR="00396F12" w:rsidRPr="00396F12">
        <w:t xml:space="preserve"> </w:t>
      </w:r>
      <w:r w:rsidR="00396F12">
        <w:t>are available from a number of suppliers</w:t>
      </w:r>
      <w:r w:rsidR="00595BE4">
        <w:t xml:space="preserve">.  Suitable columns will have </w:t>
      </w:r>
      <w:r w:rsidR="00C168E9">
        <w:t xml:space="preserve">inner diameters </w:t>
      </w:r>
      <w:r w:rsidR="00595BE4">
        <w:t xml:space="preserve">(IDs) </w:t>
      </w:r>
      <w:r w:rsidR="00C168E9">
        <w:t>of approximately 3 to 5 mm</w:t>
      </w:r>
      <w:r w:rsidR="00595BE4">
        <w:t>, lengths from 50 to 250 mm, particle sizes from approximately 2.5 to 5</w:t>
      </w:r>
      <w:r w:rsidR="00C168E9">
        <w:t xml:space="preserve"> µm</w:t>
      </w:r>
      <w:r w:rsidR="00595BE4">
        <w:t xml:space="preserve">, and pore sizes from approximately 50 to </w:t>
      </w:r>
      <w:r w:rsidR="00995D9B">
        <w:t>10</w:t>
      </w:r>
      <w:r w:rsidR="00595BE4">
        <w:t>0</w:t>
      </w:r>
      <w:r w:rsidR="00C168E9">
        <w:t>Å</w:t>
      </w:r>
      <w:r w:rsidR="00595BE4">
        <w:t xml:space="preserve">.  </w:t>
      </w:r>
      <w:r>
        <w:t xml:space="preserve">EPA Method TO-11A allows for </w:t>
      </w:r>
      <w:r w:rsidR="00595BE4">
        <w:t>installing</w:t>
      </w:r>
      <w:r>
        <w:t xml:space="preserve"> two such columns in series for separation of carbonyl compounds in addition to formaldehyde.  Installation of a</w:t>
      </w:r>
      <w:r w:rsidR="00B57771">
        <w:t xml:space="preserve"> long</w:t>
      </w:r>
      <w:r w:rsidR="00995D9B">
        <w:t xml:space="preserve"> column</w:t>
      </w:r>
      <w:r w:rsidR="00B57771">
        <w:t xml:space="preserve"> (e.g., &gt; 350 mm)</w:t>
      </w:r>
      <w:r>
        <w:t xml:space="preserve"> </w:t>
      </w:r>
      <w:r w:rsidR="00B57771">
        <w:t xml:space="preserve">or an </w:t>
      </w:r>
      <w:r>
        <w:t xml:space="preserve">additional column </w:t>
      </w:r>
      <w:r w:rsidR="00396F12">
        <w:t xml:space="preserve">in series </w:t>
      </w:r>
      <w:r>
        <w:t>improves separation of analytes</w:t>
      </w:r>
      <w:r w:rsidR="009755E8">
        <w:t xml:space="preserve"> </w:t>
      </w:r>
      <w:r w:rsidR="00B57771">
        <w:t xml:space="preserve">but </w:t>
      </w:r>
      <w:r w:rsidR="009755E8">
        <w:t xml:space="preserve">increases the </w:t>
      </w:r>
      <w:r w:rsidR="00B57771">
        <w:t xml:space="preserve">sample </w:t>
      </w:r>
      <w:r w:rsidR="009755E8">
        <w:t>run time</w:t>
      </w:r>
      <w:r>
        <w:t>.</w:t>
      </w:r>
    </w:p>
    <w:p w14:paraId="77B20339" w14:textId="0060A845" w:rsidR="00A74CEB" w:rsidRDefault="00A74CEB" w:rsidP="0099275B">
      <w:pPr>
        <w:pStyle w:val="ListParagraph"/>
        <w:spacing w:after="120"/>
        <w:ind w:left="1440"/>
        <w:contextualSpacing w:val="0"/>
      </w:pPr>
      <w:r>
        <w:t xml:space="preserve">Guard columns or stainless steel frits suitable for protecting the separation column are recommended available for typical HPLC systems.  Guard columns with a pore size of approximately 5 µm are suitable for this application.  </w:t>
      </w:r>
    </w:p>
    <w:p w14:paraId="73755B1C" w14:textId="5C4F6FF1" w:rsidR="00BC3250" w:rsidRDefault="00B01A6A" w:rsidP="0099275B">
      <w:pPr>
        <w:pStyle w:val="ListParagraph"/>
        <w:numPr>
          <w:ilvl w:val="2"/>
          <w:numId w:val="1"/>
        </w:numPr>
        <w:spacing w:after="120"/>
        <w:ind w:left="1440" w:hanging="187"/>
        <w:contextualSpacing w:val="0"/>
      </w:pPr>
      <w:r>
        <w:t xml:space="preserve">Computer equipped with a </w:t>
      </w:r>
      <w:r w:rsidR="00BC3250">
        <w:t xml:space="preserve">Chromatography Data System (CDS):  </w:t>
      </w:r>
      <w:r>
        <w:t xml:space="preserve">A computer system with installed CDS software compatible with the HPLC instrument and </w:t>
      </w:r>
      <w:r w:rsidR="00BC3250">
        <w:t>capable of automated control of the analytical instrument, online data acquisition, post-acquisition data manipulation, peak integration, and results presentation.  Subsequent data manipulation and reduction may be performed with a commercially-available spreadsheet program</w:t>
      </w:r>
      <w:r w:rsidR="006D1BC7">
        <w:t xml:space="preserve"> or other suitable software</w:t>
      </w:r>
      <w:r w:rsidR="00BC3250">
        <w:t>.</w:t>
      </w:r>
    </w:p>
    <w:p w14:paraId="78353442" w14:textId="77777777" w:rsidR="00BC3250" w:rsidRDefault="00BC3250" w:rsidP="0099275B">
      <w:pPr>
        <w:pStyle w:val="ListParagraph"/>
        <w:numPr>
          <w:ilvl w:val="1"/>
          <w:numId w:val="1"/>
        </w:numPr>
        <w:spacing w:after="120"/>
        <w:ind w:left="720"/>
        <w:contextualSpacing w:val="0"/>
      </w:pPr>
      <w:r>
        <w:t>DNPH-impregnated silica gel cartridge media</w:t>
      </w:r>
    </w:p>
    <w:p w14:paraId="2C22C82E" w14:textId="63463107" w:rsidR="00BC3250" w:rsidRDefault="00BC3250" w:rsidP="0099275B">
      <w:pPr>
        <w:pStyle w:val="ListParagraph"/>
        <w:numPr>
          <w:ilvl w:val="2"/>
          <w:numId w:val="1"/>
        </w:numPr>
        <w:spacing w:after="120"/>
        <w:ind w:left="1440" w:hanging="187"/>
        <w:contextualSpacing w:val="0"/>
      </w:pPr>
      <w:r>
        <w:t xml:space="preserve">Supelco </w:t>
      </w:r>
      <w:proofErr w:type="spellStart"/>
      <w:r>
        <w:t>LnDNPH</w:t>
      </w:r>
      <w:proofErr w:type="spellEnd"/>
      <w:r>
        <w:t xml:space="preserve"> S10 cartridges, 1 mg DNPH/cartridge, 150-250 µm particle size, or equivalent, catalog number 21026-U;</w:t>
      </w:r>
      <w:r w:rsidR="006D1BC7">
        <w:rPr>
          <w:vertAlign w:val="superscript"/>
        </w:rPr>
        <w:t>6</w:t>
      </w:r>
      <w:r>
        <w:t xml:space="preserve"> or</w:t>
      </w:r>
    </w:p>
    <w:p w14:paraId="4D665E75" w14:textId="38A00E90" w:rsidR="00BC3250" w:rsidRDefault="00BC3250" w:rsidP="0099275B">
      <w:pPr>
        <w:pStyle w:val="ListParagraph"/>
        <w:numPr>
          <w:ilvl w:val="2"/>
          <w:numId w:val="1"/>
        </w:numPr>
        <w:spacing w:after="120"/>
        <w:ind w:left="1440" w:hanging="187"/>
        <w:contextualSpacing w:val="0"/>
      </w:pPr>
      <w:r>
        <w:t xml:space="preserve">Waters Sep-Pak cartridges, 350 mg sorbent per cartridge, </w:t>
      </w:r>
      <w:r w:rsidR="00D632EE">
        <w:t xml:space="preserve">(1 mg DNPH/cartridge) </w:t>
      </w:r>
      <w:r>
        <w:t>55-105 µm particle size, part number WAT037500</w:t>
      </w:r>
      <w:r w:rsidR="00B01A6A">
        <w:t xml:space="preserve"> </w:t>
      </w:r>
      <w:r w:rsidR="006D1BC7">
        <w:rPr>
          <w:vertAlign w:val="superscript"/>
        </w:rPr>
        <w:t>7</w:t>
      </w:r>
    </w:p>
    <w:p w14:paraId="14978B8C" w14:textId="6E8647D7" w:rsidR="00C168E9" w:rsidRDefault="00BC3250" w:rsidP="0099275B">
      <w:pPr>
        <w:pStyle w:val="ListParagraph"/>
        <w:numPr>
          <w:ilvl w:val="1"/>
          <w:numId w:val="1"/>
        </w:numPr>
        <w:spacing w:after="120"/>
        <w:ind w:left="720"/>
        <w:contextualSpacing w:val="0"/>
      </w:pPr>
      <w:r>
        <w:t xml:space="preserve">Apparatus for holding DNPH cartridges vertically </w:t>
      </w:r>
      <w:r w:rsidR="00B57771">
        <w:t xml:space="preserve">to facilitate </w:t>
      </w:r>
      <w:r>
        <w:t>extraction</w:t>
      </w:r>
    </w:p>
    <w:p w14:paraId="736F7E63" w14:textId="793428A8" w:rsidR="00BC3250" w:rsidRDefault="00BC3250" w:rsidP="0099275B">
      <w:pPr>
        <w:pStyle w:val="ListParagraph"/>
        <w:numPr>
          <w:ilvl w:val="1"/>
          <w:numId w:val="1"/>
        </w:numPr>
        <w:spacing w:after="120"/>
        <w:ind w:left="720"/>
        <w:contextualSpacing w:val="0"/>
      </w:pPr>
      <w:r>
        <w:lastRenderedPageBreak/>
        <w:t>Mechanical pipette</w:t>
      </w:r>
      <w:r w:rsidR="00C61837">
        <w:t xml:space="preserve"> with associated pipette tips</w:t>
      </w:r>
      <w:r w:rsidR="00AA6A27">
        <w:t>, gastight syringe with PTFE-lined plunger,</w:t>
      </w:r>
      <w:r>
        <w:t xml:space="preserve"> or combination of mechanical pipettes </w:t>
      </w:r>
      <w:r w:rsidR="00AA6A27">
        <w:t xml:space="preserve">and syringes </w:t>
      </w:r>
      <w:r>
        <w:t>capable of</w:t>
      </w:r>
      <w:r w:rsidR="00396F12">
        <w:t xml:space="preserve"> accurately</w:t>
      </w:r>
      <w:r>
        <w:t xml:space="preserve"> delivering 20 to 2000 µL</w:t>
      </w:r>
      <w:r w:rsidR="00C61837">
        <w:t xml:space="preserve"> </w:t>
      </w:r>
      <w:r w:rsidR="00B57771">
        <w:t>– calibrated at the intended delivered volumes</w:t>
      </w:r>
    </w:p>
    <w:p w14:paraId="17508E88" w14:textId="1096E6A2" w:rsidR="00BC3250" w:rsidRDefault="00BC3250" w:rsidP="0099275B">
      <w:pPr>
        <w:pStyle w:val="ListParagraph"/>
        <w:numPr>
          <w:ilvl w:val="1"/>
          <w:numId w:val="1"/>
        </w:numPr>
        <w:spacing w:after="120"/>
        <w:ind w:left="720"/>
        <w:contextualSpacing w:val="0"/>
      </w:pPr>
      <w:r>
        <w:t xml:space="preserve">HPLC autoinjector vials compatible with the HPLC </w:t>
      </w:r>
      <w:r w:rsidR="00B57771">
        <w:t xml:space="preserve">autosampler </w:t>
      </w:r>
      <w:r>
        <w:t xml:space="preserve">– amber glass with </w:t>
      </w:r>
      <w:r w:rsidR="00B57771">
        <w:t>PTFE</w:t>
      </w:r>
      <w:r w:rsidR="005A1F12">
        <w:t>-</w:t>
      </w:r>
      <w:r>
        <w:t>sealed caps</w:t>
      </w:r>
    </w:p>
    <w:p w14:paraId="0878C6E9" w14:textId="41B12E37" w:rsidR="004F24A3" w:rsidRDefault="00BC3250" w:rsidP="0099275B">
      <w:pPr>
        <w:pStyle w:val="ListParagraph"/>
        <w:numPr>
          <w:ilvl w:val="1"/>
          <w:numId w:val="1"/>
        </w:numPr>
        <w:spacing w:after="120"/>
        <w:ind w:left="720"/>
        <w:contextualSpacing w:val="0"/>
      </w:pPr>
      <w:r>
        <w:t>Class A volumetric flasks, TC:  flasks labeled “TC” (to contain), various sizes</w:t>
      </w:r>
      <w:r w:rsidR="00B57771">
        <w:t>, as needed,</w:t>
      </w:r>
      <w:r>
        <w:t xml:space="preserve"> with stoppers (e.g. 2-mL, 5-mL, 100-mL, etc.)</w:t>
      </w:r>
    </w:p>
    <w:p w14:paraId="1C738168" w14:textId="77777777" w:rsidR="0043481C" w:rsidRPr="002337DE" w:rsidRDefault="0043481C" w:rsidP="0099275B">
      <w:pPr>
        <w:pStyle w:val="ListParagraph"/>
        <w:numPr>
          <w:ilvl w:val="0"/>
          <w:numId w:val="1"/>
        </w:numPr>
        <w:spacing w:before="240"/>
        <w:ind w:left="360"/>
        <w:contextualSpacing w:val="0"/>
        <w:rPr>
          <w:b/>
        </w:rPr>
      </w:pPr>
      <w:r w:rsidRPr="002337DE">
        <w:rPr>
          <w:b/>
        </w:rPr>
        <w:t>REAGENTS AND CHEMICALS</w:t>
      </w:r>
      <w:r w:rsidR="00C13B74">
        <w:rPr>
          <w:b/>
        </w:rPr>
        <w:br/>
      </w:r>
    </w:p>
    <w:p w14:paraId="1638456E" w14:textId="24CADE15" w:rsidR="00217E38" w:rsidRDefault="00217E38" w:rsidP="0099275B">
      <w:pPr>
        <w:pStyle w:val="ListParagraph"/>
        <w:numPr>
          <w:ilvl w:val="1"/>
          <w:numId w:val="1"/>
        </w:numPr>
        <w:spacing w:after="120"/>
        <w:ind w:left="720"/>
        <w:contextualSpacing w:val="0"/>
      </w:pPr>
      <w:r>
        <w:t>Acetonitrile</w:t>
      </w:r>
      <w:r w:rsidR="00B57771">
        <w:t xml:space="preserve"> (ACN)</w:t>
      </w:r>
      <w:r>
        <w:t xml:space="preserve">:  ACN must be </w:t>
      </w:r>
      <w:r w:rsidR="00B57771">
        <w:t xml:space="preserve">high-purity </w:t>
      </w:r>
      <w:r>
        <w:t>HPLC grade, carbonyl-free quality.</w:t>
      </w:r>
    </w:p>
    <w:p w14:paraId="07CC4DDA" w14:textId="7EFDB863" w:rsidR="00217E38" w:rsidRDefault="00217E38" w:rsidP="0099275B">
      <w:pPr>
        <w:pStyle w:val="ListParagraph"/>
        <w:numPr>
          <w:ilvl w:val="1"/>
          <w:numId w:val="1"/>
        </w:numPr>
        <w:spacing w:after="120"/>
        <w:ind w:left="720"/>
        <w:contextualSpacing w:val="0"/>
      </w:pPr>
      <w:r>
        <w:t>Reagent Water:  Deionized water, ASTM Type I (resistivity ≥ 18MΩ·cm) or equivalent.</w:t>
      </w:r>
    </w:p>
    <w:p w14:paraId="5C9D42B2" w14:textId="04BCD528" w:rsidR="00B77558" w:rsidRDefault="00B77558" w:rsidP="0099275B">
      <w:pPr>
        <w:pStyle w:val="ListParagraph"/>
        <w:numPr>
          <w:ilvl w:val="1"/>
          <w:numId w:val="1"/>
        </w:numPr>
        <w:spacing w:after="120"/>
        <w:ind w:left="720"/>
        <w:contextualSpacing w:val="0"/>
      </w:pPr>
      <w:r>
        <w:t>Stock Standard Solutions:  Single component or component mixtures of certified DNPH-carbonyl solution(s) in ACN may be purchased from a commercial vendor.  This/these certified stock solution(s) is/are diluted in-house to prepare intermediate and working standards, as appropriate.  Vendors typically provide certified concentration values of the DNPH-carbonyl compounds as both the concentration of the DNPH-carbonyl and free-carbonyl (or “functional”) compounds.  Alternatively, high-purity neat solid carbonyl-DNPH standard materials may be sourced and stock standard solutions prepared by accurately weighing (to a minimum of three significant figures) an aliquot of neat material and diluting to a known volume with an appropriate solvent (e.g., ACN).</w:t>
      </w:r>
    </w:p>
    <w:p w14:paraId="43D36336" w14:textId="2367706B" w:rsidR="00217E38" w:rsidRDefault="00217E38" w:rsidP="0099275B">
      <w:pPr>
        <w:pStyle w:val="ListParagraph"/>
        <w:numPr>
          <w:ilvl w:val="2"/>
          <w:numId w:val="1"/>
        </w:numPr>
        <w:spacing w:after="120"/>
        <w:ind w:left="1440"/>
        <w:contextualSpacing w:val="0"/>
      </w:pPr>
      <w:r>
        <w:t xml:space="preserve">Primary Stock Standard Solution(s):  </w:t>
      </w:r>
      <w:r w:rsidR="00B77558">
        <w:t>The ICAL standard solutions are prepared from the primary stock standard solutions.</w:t>
      </w:r>
    </w:p>
    <w:p w14:paraId="1F91DF3E" w14:textId="49FF971C" w:rsidR="00217E38" w:rsidRDefault="00217E38" w:rsidP="0099275B">
      <w:pPr>
        <w:pStyle w:val="ListParagraph"/>
        <w:numPr>
          <w:ilvl w:val="2"/>
          <w:numId w:val="1"/>
        </w:numPr>
        <w:spacing w:after="120"/>
        <w:ind w:left="1440"/>
        <w:contextualSpacing w:val="0"/>
      </w:pPr>
      <w:r>
        <w:t xml:space="preserve">Secondary Source Stock Standard Solution(s):  </w:t>
      </w:r>
      <w:r w:rsidR="00B77558">
        <w:t xml:space="preserve">This stock standard material is procured from a </w:t>
      </w:r>
      <w:r>
        <w:t>different vendor</w:t>
      </w:r>
      <w:r w:rsidR="00B77558">
        <w:t xml:space="preserve"> than that of the primary stock standard(s)</w:t>
      </w:r>
      <w:r>
        <w:t>, or</w:t>
      </w:r>
      <w:r w:rsidR="00B77558">
        <w:t xml:space="preserve">, if not available from a different vendor, </w:t>
      </w:r>
      <w:r>
        <w:t xml:space="preserve">from a different lot than the primary stock standard(s).  </w:t>
      </w:r>
      <w:r w:rsidR="00C13B74">
        <w:br/>
      </w:r>
    </w:p>
    <w:p w14:paraId="3A2E1215" w14:textId="6D54D6F9" w:rsidR="0043481C" w:rsidRPr="002337DE" w:rsidRDefault="0043481C" w:rsidP="0099275B">
      <w:pPr>
        <w:pStyle w:val="ListParagraph"/>
        <w:numPr>
          <w:ilvl w:val="0"/>
          <w:numId w:val="1"/>
        </w:numPr>
        <w:ind w:left="360"/>
        <w:rPr>
          <w:b/>
        </w:rPr>
      </w:pPr>
      <w:r w:rsidRPr="002337DE">
        <w:rPr>
          <w:b/>
        </w:rPr>
        <w:t>SAMPLE COLLECTION</w:t>
      </w:r>
      <w:r w:rsidR="00FC68A2">
        <w:rPr>
          <w:b/>
        </w:rPr>
        <w:t>,</w:t>
      </w:r>
      <w:r w:rsidRPr="002337DE">
        <w:rPr>
          <w:b/>
        </w:rPr>
        <w:t xml:space="preserve"> </w:t>
      </w:r>
      <w:r w:rsidR="00FC68A2">
        <w:rPr>
          <w:b/>
        </w:rPr>
        <w:t xml:space="preserve">MEDIA </w:t>
      </w:r>
      <w:r w:rsidRPr="002337DE">
        <w:rPr>
          <w:b/>
        </w:rPr>
        <w:t>HANDLING</w:t>
      </w:r>
      <w:r w:rsidR="00FC68A2">
        <w:rPr>
          <w:b/>
        </w:rPr>
        <w:t>, AND HOLDING TIMES</w:t>
      </w:r>
      <w:r w:rsidR="00C13B74">
        <w:rPr>
          <w:b/>
        </w:rPr>
        <w:br/>
      </w:r>
    </w:p>
    <w:p w14:paraId="14789130" w14:textId="6AC80B6F" w:rsidR="00B7325B" w:rsidRDefault="005A1F12" w:rsidP="0099275B">
      <w:pPr>
        <w:pStyle w:val="ListParagraph"/>
        <w:numPr>
          <w:ilvl w:val="1"/>
          <w:numId w:val="1"/>
        </w:numPr>
        <w:spacing w:after="120"/>
        <w:ind w:left="720"/>
        <w:contextualSpacing w:val="0"/>
      </w:pPr>
      <w:r>
        <w:t>Field s</w:t>
      </w:r>
      <w:r w:rsidR="00B7325B">
        <w:t xml:space="preserve">ample collection procedures are addressed in the </w:t>
      </w:r>
      <w:r w:rsidR="00FF1426">
        <w:t xml:space="preserve">companion </w:t>
      </w:r>
      <w:r w:rsidR="00B7325B" w:rsidRPr="00B7325B">
        <w:t xml:space="preserve">Standard Operating Procedure </w:t>
      </w:r>
      <w:r w:rsidR="00B77558">
        <w:t xml:space="preserve">(SOP) </w:t>
      </w:r>
      <w:r w:rsidR="00B7325B" w:rsidRPr="00B7325B">
        <w:t>for the Collection of Carbonyl Compounds in Ambient Air for the Photochemical Assessment Monitoring Station (PAMS) Network</w:t>
      </w:r>
      <w:r w:rsidR="00561D1E">
        <w:t>.</w:t>
      </w:r>
    </w:p>
    <w:p w14:paraId="2F447A3E" w14:textId="3C9E9504" w:rsidR="00B77558" w:rsidRDefault="00B77558" w:rsidP="0099275B">
      <w:pPr>
        <w:pStyle w:val="ListParagraph"/>
        <w:numPr>
          <w:ilvl w:val="1"/>
          <w:numId w:val="1"/>
        </w:numPr>
        <w:spacing w:after="120"/>
        <w:ind w:left="720"/>
        <w:contextualSpacing w:val="0"/>
      </w:pPr>
      <w:r>
        <w:t>Sample Cartridge Handling</w:t>
      </w:r>
    </w:p>
    <w:p w14:paraId="49A7020E" w14:textId="77777777" w:rsidR="00FC68A2" w:rsidRDefault="00B77558" w:rsidP="0099275B">
      <w:pPr>
        <w:pStyle w:val="ListParagraph"/>
        <w:numPr>
          <w:ilvl w:val="2"/>
          <w:numId w:val="1"/>
        </w:numPr>
        <w:spacing w:after="120"/>
        <w:ind w:left="1440"/>
        <w:contextualSpacing w:val="0"/>
      </w:pPr>
      <w:r>
        <w:t xml:space="preserve">New </w:t>
      </w:r>
      <w:r w:rsidR="00FC68A2">
        <w:t xml:space="preserve">DNPH </w:t>
      </w:r>
      <w:r>
        <w:t>cartridge</w:t>
      </w:r>
      <w:r w:rsidR="00FC68A2">
        <w:t xml:space="preserve"> media</w:t>
      </w:r>
      <w:r>
        <w:t xml:space="preserve"> are to be stored refrigerated at ≤ 4°C upon receipt.  </w:t>
      </w:r>
    </w:p>
    <w:p w14:paraId="3F4A1FC4" w14:textId="1B7C31D1" w:rsidR="00FC68A2" w:rsidRDefault="00B77558" w:rsidP="0099275B">
      <w:pPr>
        <w:pStyle w:val="ListParagraph"/>
        <w:numPr>
          <w:ilvl w:val="3"/>
          <w:numId w:val="1"/>
        </w:numPr>
        <w:spacing w:after="120"/>
        <w:ind w:left="1800"/>
        <w:contextualSpacing w:val="0"/>
      </w:pPr>
      <w:r>
        <w:t>Waters cartridges are typically shipped from the vendor at ambient temperature</w:t>
      </w:r>
      <w:r w:rsidR="00FC68A2">
        <w:t>.</w:t>
      </w:r>
    </w:p>
    <w:p w14:paraId="692093F8" w14:textId="77777777" w:rsidR="00FC68A2" w:rsidRDefault="00B77558" w:rsidP="0099275B">
      <w:pPr>
        <w:pStyle w:val="ListParagraph"/>
        <w:numPr>
          <w:ilvl w:val="3"/>
          <w:numId w:val="1"/>
        </w:numPr>
        <w:spacing w:after="120"/>
        <w:ind w:left="1800"/>
        <w:contextualSpacing w:val="0"/>
      </w:pPr>
      <w:r>
        <w:t xml:space="preserve">Supelco cartridges are typically shipped from the vendor at refrigerated temperatures.  </w:t>
      </w:r>
    </w:p>
    <w:p w14:paraId="71125B63" w14:textId="260086F7" w:rsidR="00B77558" w:rsidRDefault="00B77558" w:rsidP="0099275B">
      <w:pPr>
        <w:pStyle w:val="ListParagraph"/>
        <w:numPr>
          <w:ilvl w:val="2"/>
          <w:numId w:val="1"/>
        </w:numPr>
        <w:spacing w:after="120"/>
        <w:ind w:left="1440"/>
        <w:contextualSpacing w:val="0"/>
      </w:pPr>
      <w:r>
        <w:t xml:space="preserve">Cartridges are typically provided individually sealed in a foil pouch.  To maintain cartridge integrity, the sealed foil cartridge storage pouch should not be opened </w:t>
      </w:r>
      <w:r>
        <w:lastRenderedPageBreak/>
        <w:t>until the cartridge is to be used in the field</w:t>
      </w:r>
      <w:r w:rsidR="00FC68A2">
        <w:t xml:space="preserve"> or laboratory (e.g., for preparation of an extraction batch QC sample such as </w:t>
      </w:r>
      <w:r w:rsidR="00FF1426">
        <w:t xml:space="preserve">an MB or </w:t>
      </w:r>
      <w:r w:rsidR="00FC68A2">
        <w:t>LCS)</w:t>
      </w:r>
      <w:r>
        <w:t xml:space="preserve">. </w:t>
      </w:r>
    </w:p>
    <w:p w14:paraId="6848CE03" w14:textId="77777777" w:rsidR="00B77558" w:rsidRDefault="00B77558" w:rsidP="0099275B">
      <w:pPr>
        <w:pStyle w:val="ListParagraph"/>
        <w:numPr>
          <w:ilvl w:val="2"/>
          <w:numId w:val="1"/>
        </w:numPr>
        <w:spacing w:after="120"/>
        <w:ind w:left="1440" w:hanging="187"/>
        <w:contextualSpacing w:val="0"/>
      </w:pPr>
      <w:r>
        <w:t>Cartridges should only be handled with gloved hands (chemicals from hand sanitizers, lotions, etc., can contaminate sample cartridges).</w:t>
      </w:r>
    </w:p>
    <w:p w14:paraId="4C143C67" w14:textId="653DAFCA" w:rsidR="00B77558" w:rsidRDefault="00B77558" w:rsidP="0099275B">
      <w:pPr>
        <w:pStyle w:val="ListParagraph"/>
        <w:numPr>
          <w:ilvl w:val="2"/>
          <w:numId w:val="1"/>
        </w:numPr>
        <w:spacing w:after="120"/>
        <w:ind w:left="1440" w:hanging="187"/>
        <w:contextualSpacing w:val="0"/>
      </w:pPr>
      <w:r>
        <w:t>Markers containing volatile solvents (e.g. permanent markers such as Sharpie</w:t>
      </w:r>
      <w:r w:rsidRPr="0084631F">
        <w:rPr>
          <w:vertAlign w:val="superscript"/>
        </w:rPr>
        <w:t>®</w:t>
      </w:r>
      <w:r>
        <w:t xml:space="preserve">) should </w:t>
      </w:r>
      <w:r w:rsidR="00396F12">
        <w:t>not be used</w:t>
      </w:r>
      <w:r>
        <w:t xml:space="preserve"> for marking on foil storage pouches.</w:t>
      </w:r>
    </w:p>
    <w:p w14:paraId="3F5E2A2A" w14:textId="4B441169" w:rsidR="00B77558" w:rsidRDefault="00B77558" w:rsidP="0099275B">
      <w:pPr>
        <w:pStyle w:val="ListParagraph"/>
        <w:numPr>
          <w:ilvl w:val="2"/>
          <w:numId w:val="1"/>
        </w:numPr>
        <w:spacing w:after="120"/>
        <w:ind w:left="1440" w:hanging="187"/>
        <w:contextualSpacing w:val="0"/>
      </w:pPr>
      <w:r>
        <w:t>Cartridge storage areas should be free of carbonyls.  Cartridge refrigerat</w:t>
      </w:r>
      <w:r w:rsidR="00396F12">
        <w:t>ed storage</w:t>
      </w:r>
      <w:r>
        <w:t xml:space="preserve"> units should not be used for storage of solvents or items containing carbonyl compounds.</w:t>
      </w:r>
    </w:p>
    <w:p w14:paraId="26ADE65E" w14:textId="3CC3228D" w:rsidR="00E565A1" w:rsidRDefault="00E565A1" w:rsidP="0099275B">
      <w:pPr>
        <w:pStyle w:val="ListParagraph"/>
        <w:numPr>
          <w:ilvl w:val="2"/>
          <w:numId w:val="1"/>
        </w:numPr>
        <w:spacing w:after="120"/>
        <w:ind w:left="1440"/>
      </w:pPr>
      <w:r>
        <w:t>Cartridge Lot Blank Determination and Acceptance:  Prior to use in the field for sample collection, each lot of DNPH cartridges will be tested to ensure the background contamination is acceptably low.  Minimally 3 cartridges per lot or 1% of the received lot, whichever is greater, should be extracted and analyzed to determine the average background concentration.  Each tested cartridge will meet the criteria in Table 1:</w:t>
      </w:r>
    </w:p>
    <w:p w14:paraId="786B6F4C" w14:textId="77777777" w:rsidR="00E565A1" w:rsidRDefault="00E565A1" w:rsidP="00E565A1">
      <w:pPr>
        <w:pStyle w:val="ListParagraph"/>
        <w:spacing w:after="120"/>
      </w:pPr>
    </w:p>
    <w:p w14:paraId="4C99BDEE" w14:textId="3855328B" w:rsidR="00E565A1" w:rsidRPr="00AC7B2D" w:rsidRDefault="00E565A1" w:rsidP="00E565A1">
      <w:pPr>
        <w:pStyle w:val="ListParagraph"/>
        <w:ind w:left="1440"/>
        <w:rPr>
          <w:b/>
        </w:rPr>
      </w:pPr>
      <w:r>
        <w:rPr>
          <w:b/>
        </w:rPr>
        <w:t>Table 2</w:t>
      </w:r>
      <w:r w:rsidRPr="00AC7B2D">
        <w:rPr>
          <w:b/>
        </w:rPr>
        <w:t xml:space="preserve">.  </w:t>
      </w:r>
      <w:r>
        <w:rPr>
          <w:b/>
        </w:rPr>
        <w:t xml:space="preserve">DNPH Cartridge Lot Blank Acceptance Criteria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3955"/>
      </w:tblGrid>
      <w:tr w:rsidR="00E565A1" w14:paraId="6F4EE4B4" w14:textId="77777777" w:rsidTr="00294783">
        <w:trPr>
          <w:jc w:val="center"/>
        </w:trPr>
        <w:tc>
          <w:tcPr>
            <w:tcW w:w="4675" w:type="dxa"/>
            <w:hideMark/>
          </w:tcPr>
          <w:p w14:paraId="41182F19" w14:textId="77777777" w:rsidR="00E565A1" w:rsidRPr="0099275B" w:rsidRDefault="00E565A1" w:rsidP="00294783">
            <w:pPr>
              <w:tabs>
                <w:tab w:val="left" w:pos="1080"/>
              </w:tabs>
              <w:spacing w:after="120"/>
              <w:ind w:left="-120"/>
              <w:contextualSpacing/>
              <w:jc w:val="center"/>
              <w:rPr>
                <w:b/>
              </w:rPr>
            </w:pPr>
            <w:r w:rsidRPr="0099275B">
              <w:rPr>
                <w:b/>
              </w:rPr>
              <w:t>Carbonyl Compound</w:t>
            </w:r>
          </w:p>
        </w:tc>
        <w:tc>
          <w:tcPr>
            <w:tcW w:w="3955" w:type="dxa"/>
            <w:hideMark/>
          </w:tcPr>
          <w:p w14:paraId="57D3B18A" w14:textId="77777777" w:rsidR="00E565A1" w:rsidRPr="0099275B" w:rsidRDefault="00E565A1" w:rsidP="00294783">
            <w:pPr>
              <w:tabs>
                <w:tab w:val="left" w:pos="1080"/>
              </w:tabs>
              <w:spacing w:after="120"/>
              <w:ind w:left="-120"/>
              <w:contextualSpacing/>
              <w:jc w:val="center"/>
              <w:rPr>
                <w:b/>
              </w:rPr>
            </w:pPr>
            <w:r w:rsidRPr="0099275B">
              <w:rPr>
                <w:b/>
              </w:rPr>
              <w:t>Acceptance Limit (µg/cartridge)</w:t>
            </w:r>
          </w:p>
        </w:tc>
      </w:tr>
      <w:tr w:rsidR="00E565A1" w14:paraId="02EEB70C" w14:textId="77777777" w:rsidTr="00294783">
        <w:trPr>
          <w:jc w:val="center"/>
        </w:trPr>
        <w:tc>
          <w:tcPr>
            <w:tcW w:w="4675" w:type="dxa"/>
            <w:hideMark/>
          </w:tcPr>
          <w:p w14:paraId="40A8CAF9" w14:textId="77777777" w:rsidR="00E565A1" w:rsidRPr="0099275B" w:rsidRDefault="00E565A1" w:rsidP="00294783">
            <w:pPr>
              <w:tabs>
                <w:tab w:val="left" w:pos="1080"/>
              </w:tabs>
              <w:spacing w:after="120"/>
              <w:ind w:left="-120"/>
              <w:contextualSpacing/>
              <w:jc w:val="center"/>
            </w:pPr>
            <w:r w:rsidRPr="0099275B">
              <w:t>Acetaldehyde</w:t>
            </w:r>
          </w:p>
        </w:tc>
        <w:tc>
          <w:tcPr>
            <w:tcW w:w="3955" w:type="dxa"/>
            <w:hideMark/>
          </w:tcPr>
          <w:p w14:paraId="267F766B" w14:textId="77777777" w:rsidR="00E565A1" w:rsidRPr="0099275B" w:rsidRDefault="00E565A1" w:rsidP="00294783">
            <w:pPr>
              <w:tabs>
                <w:tab w:val="left" w:pos="1080"/>
              </w:tabs>
              <w:spacing w:after="120"/>
              <w:ind w:left="-120"/>
              <w:contextualSpacing/>
              <w:jc w:val="center"/>
            </w:pPr>
            <w:r w:rsidRPr="0099275B">
              <w:t>&lt; 0.10</w:t>
            </w:r>
          </w:p>
        </w:tc>
      </w:tr>
      <w:tr w:rsidR="00E565A1" w14:paraId="1FF2DC01" w14:textId="77777777" w:rsidTr="00294783">
        <w:trPr>
          <w:jc w:val="center"/>
        </w:trPr>
        <w:tc>
          <w:tcPr>
            <w:tcW w:w="4675" w:type="dxa"/>
            <w:hideMark/>
          </w:tcPr>
          <w:p w14:paraId="1AF1087A" w14:textId="77777777" w:rsidR="00E565A1" w:rsidRPr="0099275B" w:rsidRDefault="00E565A1" w:rsidP="00294783">
            <w:pPr>
              <w:tabs>
                <w:tab w:val="left" w:pos="1080"/>
              </w:tabs>
              <w:spacing w:after="120"/>
              <w:ind w:left="-120"/>
              <w:contextualSpacing/>
              <w:jc w:val="center"/>
            </w:pPr>
            <w:r w:rsidRPr="0099275B">
              <w:t>Formaldehyde</w:t>
            </w:r>
          </w:p>
        </w:tc>
        <w:tc>
          <w:tcPr>
            <w:tcW w:w="3955" w:type="dxa"/>
            <w:hideMark/>
          </w:tcPr>
          <w:p w14:paraId="2BDEDDE1" w14:textId="77777777" w:rsidR="00E565A1" w:rsidRPr="0099275B" w:rsidRDefault="00E565A1" w:rsidP="00294783">
            <w:pPr>
              <w:tabs>
                <w:tab w:val="left" w:pos="1080"/>
              </w:tabs>
              <w:spacing w:after="120"/>
              <w:ind w:left="-120"/>
              <w:contextualSpacing/>
              <w:jc w:val="center"/>
            </w:pPr>
            <w:r w:rsidRPr="0099275B">
              <w:t>&lt; 0.15</w:t>
            </w:r>
          </w:p>
        </w:tc>
      </w:tr>
      <w:tr w:rsidR="00E565A1" w14:paraId="07551459" w14:textId="77777777" w:rsidTr="00294783">
        <w:trPr>
          <w:jc w:val="center"/>
        </w:trPr>
        <w:tc>
          <w:tcPr>
            <w:tcW w:w="4675" w:type="dxa"/>
            <w:hideMark/>
          </w:tcPr>
          <w:p w14:paraId="42EECEFB" w14:textId="77777777" w:rsidR="00E565A1" w:rsidRPr="0099275B" w:rsidRDefault="00E565A1" w:rsidP="00294783">
            <w:pPr>
              <w:tabs>
                <w:tab w:val="left" w:pos="1080"/>
              </w:tabs>
              <w:spacing w:after="120"/>
              <w:ind w:left="-120"/>
              <w:contextualSpacing/>
              <w:jc w:val="center"/>
            </w:pPr>
            <w:r w:rsidRPr="0099275B">
              <w:t>Acetone</w:t>
            </w:r>
          </w:p>
        </w:tc>
        <w:tc>
          <w:tcPr>
            <w:tcW w:w="3955" w:type="dxa"/>
            <w:hideMark/>
          </w:tcPr>
          <w:p w14:paraId="5E874AFF" w14:textId="77777777" w:rsidR="00E565A1" w:rsidRPr="0099275B" w:rsidRDefault="00E565A1" w:rsidP="00294783">
            <w:pPr>
              <w:tabs>
                <w:tab w:val="left" w:pos="1080"/>
              </w:tabs>
              <w:spacing w:after="120"/>
              <w:ind w:left="-120"/>
              <w:contextualSpacing/>
              <w:jc w:val="center"/>
            </w:pPr>
            <w:r w:rsidRPr="0099275B">
              <w:t>&lt; 0.30</w:t>
            </w:r>
          </w:p>
        </w:tc>
      </w:tr>
      <w:tr w:rsidR="00E565A1" w14:paraId="3D90E3A2" w14:textId="77777777" w:rsidTr="00294783">
        <w:trPr>
          <w:jc w:val="center"/>
        </w:trPr>
        <w:tc>
          <w:tcPr>
            <w:tcW w:w="4675" w:type="dxa"/>
            <w:hideMark/>
          </w:tcPr>
          <w:p w14:paraId="65FA4989" w14:textId="77777777" w:rsidR="00E565A1" w:rsidRPr="0099275B" w:rsidRDefault="00E565A1" w:rsidP="00294783">
            <w:pPr>
              <w:tabs>
                <w:tab w:val="left" w:pos="1080"/>
              </w:tabs>
              <w:spacing w:after="120"/>
              <w:ind w:left="-120"/>
              <w:contextualSpacing/>
              <w:jc w:val="center"/>
            </w:pPr>
            <w:r w:rsidRPr="0099275B">
              <w:t>Other Individual Target Carbonyl Compounds</w:t>
            </w:r>
          </w:p>
        </w:tc>
        <w:tc>
          <w:tcPr>
            <w:tcW w:w="3955" w:type="dxa"/>
            <w:hideMark/>
          </w:tcPr>
          <w:p w14:paraId="4DE3F73E" w14:textId="77777777" w:rsidR="00E565A1" w:rsidRPr="0099275B" w:rsidRDefault="00E565A1" w:rsidP="00294783">
            <w:pPr>
              <w:tabs>
                <w:tab w:val="left" w:pos="1080"/>
              </w:tabs>
              <w:spacing w:after="120"/>
              <w:ind w:left="-120"/>
              <w:contextualSpacing/>
              <w:jc w:val="center"/>
            </w:pPr>
            <w:r w:rsidRPr="0099275B">
              <w:t>&lt; 0.10</w:t>
            </w:r>
          </w:p>
        </w:tc>
      </w:tr>
    </w:tbl>
    <w:p w14:paraId="7A799D15" w14:textId="77777777" w:rsidR="00E565A1" w:rsidRDefault="00E565A1" w:rsidP="00E565A1">
      <w:pPr>
        <w:spacing w:after="120"/>
        <w:ind w:left="720"/>
        <w:contextualSpacing/>
      </w:pPr>
    </w:p>
    <w:p w14:paraId="268C29AA" w14:textId="77777777" w:rsidR="00E565A1" w:rsidRDefault="00E565A1" w:rsidP="0099275B">
      <w:pPr>
        <w:spacing w:after="120"/>
        <w:ind w:left="1440"/>
        <w:contextualSpacing/>
      </w:pPr>
      <w:r>
        <w:t>If the criteria in the table are not met, the lot of media should not be used for sampling and should be returned to the vendor.</w:t>
      </w:r>
    </w:p>
    <w:p w14:paraId="63D5BB3D" w14:textId="06B594EB" w:rsidR="00FC68A2" w:rsidRDefault="00FC68A2" w:rsidP="0099275B">
      <w:pPr>
        <w:pStyle w:val="ListParagraph"/>
        <w:numPr>
          <w:ilvl w:val="1"/>
          <w:numId w:val="1"/>
        </w:numPr>
        <w:spacing w:after="120"/>
        <w:ind w:left="720"/>
        <w:contextualSpacing w:val="0"/>
      </w:pPr>
      <w:r>
        <w:t>Holding Time and Storage Requirements</w:t>
      </w:r>
    </w:p>
    <w:p w14:paraId="197CF1F2" w14:textId="77777777" w:rsidR="00FC68A2" w:rsidRDefault="00FC68A2" w:rsidP="0099275B">
      <w:pPr>
        <w:pStyle w:val="ListParagraph"/>
        <w:numPr>
          <w:ilvl w:val="2"/>
          <w:numId w:val="1"/>
        </w:numPr>
        <w:spacing w:after="120"/>
        <w:ind w:left="1440"/>
        <w:contextualSpacing w:val="0"/>
      </w:pPr>
      <w:r>
        <w:t xml:space="preserve">Stock Materials:  Unopened stock materials are appropriate for use until their expiration date </w:t>
      </w:r>
      <w:proofErr w:type="gramStart"/>
      <w:r>
        <w:t>provided</w:t>
      </w:r>
      <w:proofErr w:type="gramEnd"/>
      <w:r>
        <w:t xml:space="preserve"> they are stored per manufacturer requirements.  Once opened, stock materials may not be used past the manufacturer recommended period or, if no time period is specified, not beyond six months from the opened date.  To use the standard materials past this time period, standards must have been demonstrated to not be degraded or concentrated by comparison to freshly opened standards.  Unopened stock materials must be stored per manufacturer recommendations.  All stock and diluted working calibration standards must be stored at ≤ 4°C in a separate refrigeration unit from sample cartridges and sample extracts.</w:t>
      </w:r>
    </w:p>
    <w:p w14:paraId="57CB7582" w14:textId="2B05F40E" w:rsidR="00314894" w:rsidRDefault="00314894" w:rsidP="00D632EE">
      <w:pPr>
        <w:pStyle w:val="ListParagraph"/>
        <w:numPr>
          <w:ilvl w:val="2"/>
          <w:numId w:val="1"/>
        </w:numPr>
        <w:spacing w:after="120"/>
        <w:ind w:left="1440" w:hanging="360"/>
        <w:contextualSpacing w:val="0"/>
      </w:pPr>
      <w:r>
        <w:t>Sample</w:t>
      </w:r>
      <w:r w:rsidR="00FC68A2">
        <w:t xml:space="preserve"> Holding Time and Storage Requirements </w:t>
      </w:r>
    </w:p>
    <w:p w14:paraId="6C6A1787" w14:textId="1CED88A0" w:rsidR="00314894" w:rsidRDefault="00314894" w:rsidP="0099275B">
      <w:pPr>
        <w:pStyle w:val="ListParagraph"/>
        <w:spacing w:after="120"/>
        <w:ind w:left="1440"/>
        <w:contextualSpacing w:val="0"/>
      </w:pPr>
      <w:r>
        <w:t>Results input to AQS must be appropriately qualified for failure to meet the following holding time and/or storage criteria.</w:t>
      </w:r>
    </w:p>
    <w:p w14:paraId="741EC7CD" w14:textId="1B20E3AF" w:rsidR="00314894" w:rsidRDefault="00FC68A2" w:rsidP="0099275B">
      <w:pPr>
        <w:pStyle w:val="ListParagraph"/>
        <w:numPr>
          <w:ilvl w:val="3"/>
          <w:numId w:val="1"/>
        </w:numPr>
        <w:spacing w:after="120"/>
        <w:ind w:left="1800"/>
        <w:contextualSpacing w:val="0"/>
      </w:pPr>
      <w:r>
        <w:t>All field-collected cartridges must be stored at ≤ 4°C and extracted within 14 days of the end of collection.  These conditions similarly apply to laboratory-</w:t>
      </w:r>
      <w:r>
        <w:lastRenderedPageBreak/>
        <w:t xml:space="preserve">prepared QC samples, which must be stored at ≤ 4°C and extracted within 14 days of preparation.  </w:t>
      </w:r>
    </w:p>
    <w:p w14:paraId="53938B02" w14:textId="7729C09F" w:rsidR="00314894" w:rsidRDefault="00FC68A2" w:rsidP="0099275B">
      <w:pPr>
        <w:pStyle w:val="ListParagraph"/>
        <w:numPr>
          <w:ilvl w:val="3"/>
          <w:numId w:val="1"/>
        </w:numPr>
        <w:ind w:left="1800"/>
        <w:contextualSpacing w:val="0"/>
      </w:pPr>
      <w:r>
        <w:t xml:space="preserve">Extracts </w:t>
      </w:r>
      <w:r w:rsidR="00314894">
        <w:t xml:space="preserve">are to be stored at ≤ 4°C and </w:t>
      </w:r>
      <w:r>
        <w:t xml:space="preserve">must be analyzed within 30 days of extraction.  </w:t>
      </w:r>
    </w:p>
    <w:p w14:paraId="759A0B2C" w14:textId="77777777" w:rsidR="00D632EE" w:rsidRDefault="00D632EE" w:rsidP="0099275B"/>
    <w:p w14:paraId="492677FB" w14:textId="639FCE5C" w:rsidR="00FC68A2" w:rsidRPr="0099275B" w:rsidRDefault="007C10D1" w:rsidP="0099275B">
      <w:pPr>
        <w:pStyle w:val="ListParagraph"/>
        <w:numPr>
          <w:ilvl w:val="2"/>
          <w:numId w:val="1"/>
        </w:numPr>
        <w:autoSpaceDE w:val="0"/>
        <w:autoSpaceDN w:val="0"/>
        <w:adjustRightInd w:val="0"/>
        <w:ind w:left="1440"/>
        <w:rPr>
          <w:rFonts w:ascii="TimesNewRomanPSMT" w:eastAsiaTheme="minorHAnsi" w:hAnsi="TimesNewRomanPSMT" w:cs="TimesNewRomanPSMT"/>
        </w:rPr>
      </w:pPr>
      <w:r w:rsidRPr="0099275B">
        <w:rPr>
          <w:rFonts w:ascii="TimesNewRomanPSMT" w:eastAsiaTheme="minorHAnsi" w:hAnsi="TimesNewRomanPSMT" w:cs="TimesNewRomanPSMT"/>
        </w:rPr>
        <w:t>Commercially</w:t>
      </w:r>
      <w:r w:rsidR="00D632EE" w:rsidRPr="0099275B">
        <w:rPr>
          <w:rFonts w:ascii="TimesNewRomanPSMT" w:eastAsiaTheme="minorHAnsi" w:hAnsi="TimesNewRomanPSMT" w:cs="TimesNewRomanPSMT"/>
        </w:rPr>
        <w:t xml:space="preserve">-available DNPH cartridges are typically provided with an expiration from the manufacturer specifying storage conditions.  Agencies are to comply with the manufacturer expiration, if given.  Degradation of the DNPH reagent or silica gel sorbent bed which may reduce collection efficiency to unacceptable levels may occur after the assigned expiration date.  Additionally, as DNPH cartridge media age, their levels of background contamination are likely to have increased, perhaps to unacceptable levels, due to passive sampling and uptake from the ambient atmosphere.  For cartridges </w:t>
      </w:r>
      <w:proofErr w:type="gramStart"/>
      <w:r w:rsidR="00D632EE" w:rsidRPr="0099275B">
        <w:rPr>
          <w:rFonts w:ascii="TimesNewRomanPSMT" w:eastAsiaTheme="minorHAnsi" w:hAnsi="TimesNewRomanPSMT" w:cs="TimesNewRomanPSMT"/>
        </w:rPr>
        <w:t>not assigned</w:t>
      </w:r>
      <w:proofErr w:type="gramEnd"/>
      <w:r w:rsidR="00D632EE" w:rsidRPr="0099275B">
        <w:rPr>
          <w:rFonts w:ascii="TimesNewRomanPSMT" w:eastAsiaTheme="minorHAnsi" w:hAnsi="TimesNewRomanPSMT" w:cs="TimesNewRomanPSMT"/>
        </w:rPr>
        <w:t xml:space="preserve"> an expiration date or assigned an arbitrary expiration date (i.e., six months from time of receipt) by the manufacturer, agencies should work within this expiration period as practical.  For such cartridges which have exceeded the arbitrary expiration period, they may be shown to be acceptable if, by performing another lot background assessment as described in </w:t>
      </w:r>
      <w:r w:rsidR="00D632EE" w:rsidRPr="00227910">
        <w:rPr>
          <w:rFonts w:ascii="TimesNewRomanPSMT" w:eastAsiaTheme="minorHAnsi" w:hAnsi="TimesNewRomanPSMT" w:cs="TimesNewRomanPSMT"/>
        </w:rPr>
        <w:t xml:space="preserve">Section </w:t>
      </w:r>
      <w:r w:rsidR="00E565A1" w:rsidRPr="0099275B">
        <w:rPr>
          <w:rFonts w:ascii="TimesNewRomanPSMT" w:eastAsiaTheme="minorHAnsi" w:hAnsi="TimesNewRomanPSMT" w:cs="TimesNewRomanPSMT"/>
        </w:rPr>
        <w:t>H.2.vi</w:t>
      </w:r>
      <w:r w:rsidR="00D632EE" w:rsidRPr="0099275B">
        <w:rPr>
          <w:rFonts w:ascii="TimesNewRomanPSMT" w:eastAsiaTheme="minorHAnsi" w:hAnsi="TimesNewRomanPSMT" w:cs="TimesNewRomanPSMT"/>
        </w:rPr>
        <w:t>, levels of contaminants mee</w:t>
      </w:r>
      <w:r w:rsidR="00D632EE" w:rsidRPr="00227910">
        <w:rPr>
          <w:rFonts w:ascii="TimesNewRomanPSMT" w:eastAsiaTheme="minorHAnsi" w:hAnsi="TimesNewRomanPSMT" w:cs="TimesNewRomanPSMT"/>
        </w:rPr>
        <w:t xml:space="preserve">t the criteria in </w:t>
      </w:r>
      <w:r w:rsidR="00D632EE" w:rsidRPr="00314894">
        <w:rPr>
          <w:rFonts w:ascii="TimesNewRomanPSMT" w:eastAsiaTheme="minorHAnsi" w:hAnsi="TimesNewRomanPSMT" w:cs="TimesNewRomanPSMT"/>
        </w:rPr>
        <w:t>Table 2 an</w:t>
      </w:r>
      <w:r w:rsidR="00D632EE" w:rsidRPr="0099275B">
        <w:rPr>
          <w:rFonts w:ascii="TimesNewRomanPSMT" w:eastAsiaTheme="minorHAnsi" w:hAnsi="TimesNewRomanPSMT" w:cs="TimesNewRomanPSMT"/>
        </w:rPr>
        <w:t xml:space="preserve">d there remains sufficient DNPH to conduct sampling and ensure excess DNPH levels remain following sample collection.  This level of DNPH on unsampled cartridges is recommended to be a reduction of DNPH area counts of no more than ~15% from the original lot acceptance analysis.  </w:t>
      </w:r>
      <w:r w:rsidR="00D632EE" w:rsidRPr="0099275B">
        <w:rPr>
          <w:rFonts w:ascii="TimesNewRomanPSMT" w:eastAsiaTheme="minorHAnsi" w:hAnsi="TimesNewRomanPSMT" w:cs="TimesNewRomanPSMT"/>
          <w:i/>
          <w:iCs/>
        </w:rPr>
        <w:t>Note that both the Supelco S10 and Waters WAT037500 cartridges are impregnated with 1 mg of DNPH per cartridge, therefore a 15% reduction would indicate that 0.85 mg of DNPH are still available for sample collection.</w:t>
      </w:r>
    </w:p>
    <w:p w14:paraId="2BC278AD" w14:textId="7A12795A" w:rsidR="00B7325B" w:rsidRDefault="00B7325B" w:rsidP="0099275B"/>
    <w:p w14:paraId="5E9C4476" w14:textId="31C678A4" w:rsidR="0043481C" w:rsidRDefault="00FC68A2" w:rsidP="0099275B">
      <w:pPr>
        <w:pStyle w:val="ListParagraph"/>
        <w:numPr>
          <w:ilvl w:val="0"/>
          <w:numId w:val="1"/>
        </w:numPr>
        <w:ind w:left="360"/>
        <w:rPr>
          <w:b/>
        </w:rPr>
      </w:pPr>
      <w:r>
        <w:rPr>
          <w:b/>
        </w:rPr>
        <w:t>LABWARE CLEANING</w:t>
      </w:r>
      <w:r w:rsidR="00C13B74">
        <w:rPr>
          <w:b/>
        </w:rPr>
        <w:br/>
      </w:r>
    </w:p>
    <w:p w14:paraId="45C07A83" w14:textId="46EED884" w:rsidR="008D29D5" w:rsidRDefault="00240613" w:rsidP="0099275B">
      <w:r w:rsidRPr="00240613">
        <w:t>Clean all associated labware by rinsing with ACN, washing with laboratory detergent, rinsing with deionized water, rinsing with ACN or methanol, and air drying or drying in an ov</w:t>
      </w:r>
      <w:r>
        <w:t>en at no more than 80 to 90°C.</w:t>
      </w:r>
      <w:r w:rsidRPr="00240613">
        <w:t xml:space="preserve">  Heated drying of volumetric </w:t>
      </w:r>
      <w:r w:rsidR="00FC68A2">
        <w:t>lab</w:t>
      </w:r>
      <w:r w:rsidRPr="00240613">
        <w:t>ware at temperatures &gt; 90°C voids the manufacturer volumetric certification.</w:t>
      </w:r>
      <w:r w:rsidR="00FC68A2">
        <w:t xml:space="preserve">  </w:t>
      </w:r>
      <w:r w:rsidR="00487F28">
        <w:t>A best practice just prior to use is to rinse the labware several times with ACN and allow to air dry.</w:t>
      </w:r>
      <w:r w:rsidR="00487F28">
        <w:br/>
      </w:r>
      <w:r w:rsidR="00487F28">
        <w:br/>
      </w:r>
      <w:r w:rsidR="004F2B8D" w:rsidRPr="0099275B">
        <w:rPr>
          <w:i/>
          <w:iCs/>
        </w:rPr>
        <w:t xml:space="preserve">Note that this labware cleaning process is the minimum recommended and that additional steps (e.g., additional rinses with deionized water and solvents) may be needed to remove silica gel residue, target analyte contamination, or interferences from laboratory soaps.  Labware cleanliness will be demonstrated by evaluation of </w:t>
      </w:r>
      <w:r w:rsidR="008D29D5">
        <w:rPr>
          <w:i/>
          <w:iCs/>
        </w:rPr>
        <w:t>E</w:t>
      </w:r>
      <w:r w:rsidR="004F2B8D" w:rsidRPr="0099275B">
        <w:rPr>
          <w:i/>
          <w:iCs/>
        </w:rPr>
        <w:t>S</w:t>
      </w:r>
      <w:r w:rsidR="008D29D5">
        <w:rPr>
          <w:i/>
          <w:iCs/>
        </w:rPr>
        <w:t>MB</w:t>
      </w:r>
      <w:r w:rsidR="004F2B8D" w:rsidRPr="0099275B">
        <w:rPr>
          <w:i/>
          <w:iCs/>
        </w:rPr>
        <w:t xml:space="preserve"> and MB and adjustments to the cleaning procedure should be made if contamination or interferences are observed in these negative QC samples.  </w:t>
      </w:r>
      <w:r w:rsidR="004F2B8D">
        <w:t xml:space="preserve"> </w:t>
      </w:r>
      <w:r w:rsidR="008D29D5">
        <w:br/>
      </w:r>
    </w:p>
    <w:p w14:paraId="520A5A99" w14:textId="3CD0208E" w:rsidR="008D29D5" w:rsidRDefault="008D29D5" w:rsidP="0099275B">
      <w:pPr>
        <w:pStyle w:val="ListParagraph"/>
        <w:numPr>
          <w:ilvl w:val="0"/>
          <w:numId w:val="1"/>
        </w:numPr>
        <w:ind w:left="360"/>
      </w:pPr>
      <w:r>
        <w:rPr>
          <w:b/>
          <w:bCs/>
        </w:rPr>
        <w:t>LABORATORY EXTRACTION QUALITY CONTROL SAMPLES</w:t>
      </w:r>
    </w:p>
    <w:p w14:paraId="73A4DA5B" w14:textId="27864B07" w:rsidR="00357013" w:rsidRDefault="008D29D5" w:rsidP="0099275B">
      <w:pPr>
        <w:pStyle w:val="ListParagraph"/>
        <w:spacing w:after="120"/>
        <w:ind w:left="360"/>
        <w:contextualSpacing w:val="0"/>
      </w:pPr>
      <w:r>
        <w:rPr>
          <w:b/>
        </w:rPr>
        <w:br/>
      </w:r>
      <w:r w:rsidR="00357013">
        <w:t xml:space="preserve">A best practice is to process field-collected cartridges in batches of no more than 20 at a time.  </w:t>
      </w:r>
      <w:r w:rsidR="00357013" w:rsidRPr="00E51992">
        <w:t xml:space="preserve">All field-collected and laboratory </w:t>
      </w:r>
      <w:r w:rsidR="00357013">
        <w:t xml:space="preserve">extraction </w:t>
      </w:r>
      <w:r w:rsidR="00357013" w:rsidRPr="00E51992">
        <w:t xml:space="preserve">QC samples </w:t>
      </w:r>
      <w:r w:rsidR="00357013">
        <w:t>in a given extraction batch should</w:t>
      </w:r>
      <w:r w:rsidR="00357013" w:rsidRPr="00E51992">
        <w:t xml:space="preserve"> </w:t>
      </w:r>
      <w:r w:rsidR="00357013" w:rsidRPr="00E51992">
        <w:lastRenderedPageBreak/>
        <w:t>be analyzed in the same analysis batch (an analysis batch is defined as all samples analyzed together within a 24-hour period).</w:t>
      </w:r>
    </w:p>
    <w:p w14:paraId="468DD6C2" w14:textId="3FC22F5D" w:rsidR="00240613" w:rsidRDefault="00091A03" w:rsidP="0099275B">
      <w:pPr>
        <w:pStyle w:val="ListParagraph"/>
        <w:numPr>
          <w:ilvl w:val="1"/>
          <w:numId w:val="1"/>
        </w:numPr>
        <w:spacing w:after="120"/>
        <w:ind w:left="720"/>
        <w:contextualSpacing w:val="0"/>
      </w:pPr>
      <w:r w:rsidRPr="0099275B">
        <w:rPr>
          <w:b/>
          <w:bCs/>
        </w:rPr>
        <w:t>Laboratory Extraction QC Samples Required with Each Extraction Batch</w:t>
      </w:r>
      <w:r>
        <w:t xml:space="preserve"> - </w:t>
      </w:r>
      <w:r w:rsidR="004F2B8D">
        <w:t xml:space="preserve">The following laboratory extraction QC samples are prepared </w:t>
      </w:r>
      <w:r>
        <w:t>at 5% of t</w:t>
      </w:r>
      <w:r w:rsidRPr="00227910">
        <w:t xml:space="preserve">he </w:t>
      </w:r>
      <w:r w:rsidRPr="00487F28">
        <w:t xml:space="preserve">field-collected samples, </w:t>
      </w:r>
      <w:r w:rsidR="00240613" w:rsidRPr="00487F28">
        <w:t xml:space="preserve">which may include the various field QC samples such as those listed in Section </w:t>
      </w:r>
      <w:r w:rsidR="004F2B8D" w:rsidRPr="00487F28">
        <w:t>C.10</w:t>
      </w:r>
      <w:r w:rsidRPr="00487F28">
        <w:t>.</w:t>
      </w:r>
      <w:r>
        <w:t xml:space="preserve">  </w:t>
      </w:r>
      <w:r w:rsidR="00240613">
        <w:t xml:space="preserve">For batch sizes of more than 20 field-collected cartridges, </w:t>
      </w:r>
      <w:r w:rsidR="00240613" w:rsidRPr="009B067F">
        <w:rPr>
          <w:i/>
          <w:iCs/>
        </w:rPr>
        <w:t>n</w:t>
      </w:r>
      <w:r w:rsidR="00240613">
        <w:t xml:space="preserve"> such QC samples of each type are added to the batch, where </w:t>
      </w:r>
      <w:r w:rsidR="00240613" w:rsidRPr="009B067F">
        <w:rPr>
          <w:i/>
          <w:iCs/>
        </w:rPr>
        <w:t>n</w:t>
      </w:r>
      <w:r w:rsidR="00240613">
        <w:t xml:space="preserve"> = batch size/20, and where n is rounded to the next highest integer.  Thus</w:t>
      </w:r>
      <w:r w:rsidR="004F2B8D">
        <w:t>,</w:t>
      </w:r>
      <w:r w:rsidR="00240613">
        <w:t xml:space="preserve"> for </w:t>
      </w:r>
      <w:r w:rsidR="004F2B8D">
        <w:t xml:space="preserve">extractions including </w:t>
      </w:r>
      <w:r w:rsidR="00240613">
        <w:t>30</w:t>
      </w:r>
      <w:r w:rsidR="004F2B8D">
        <w:t xml:space="preserve"> field-collected samples</w:t>
      </w:r>
      <w:r w:rsidR="00240613">
        <w:t xml:space="preserve">, two of each of the following QC samples would be included in each batch.  </w:t>
      </w:r>
    </w:p>
    <w:p w14:paraId="4A74A3DF" w14:textId="66753C98" w:rsidR="00240613" w:rsidRDefault="00240613" w:rsidP="0099275B">
      <w:pPr>
        <w:pStyle w:val="ListParagraph"/>
        <w:numPr>
          <w:ilvl w:val="2"/>
          <w:numId w:val="1"/>
        </w:numPr>
        <w:spacing w:after="120"/>
        <w:ind w:left="1440"/>
        <w:contextualSpacing w:val="0"/>
      </w:pPr>
      <w:r>
        <w:t xml:space="preserve">Extraction Solvent Method Blank (ESMB):  </w:t>
      </w:r>
      <w:r w:rsidR="00091A03">
        <w:t>Negative QC sample p</w:t>
      </w:r>
      <w:r>
        <w:t xml:space="preserve">repared by transferring the extraction solvent </w:t>
      </w:r>
      <w:r w:rsidR="00E51992">
        <w:t xml:space="preserve">for the extraction batch </w:t>
      </w:r>
      <w:r>
        <w:t>into a flask just as an extracted sample.  The purpose of this negative control is to demonstrate that the extraction solvent is free of interferences and contamination and that the labware w</w:t>
      </w:r>
      <w:r w:rsidR="00E51992">
        <w:t xml:space="preserve">ashing procedure is effective.  </w:t>
      </w:r>
      <w:bookmarkStart w:id="3" w:name="_Hlk494341816"/>
      <w:r w:rsidR="00091A03">
        <w:t xml:space="preserve">All target analytes must be </w:t>
      </w:r>
      <w:r w:rsidR="008D29D5">
        <w:br/>
      </w:r>
      <w:r w:rsidR="00091A03">
        <w:t>≤</w:t>
      </w:r>
      <w:r w:rsidR="00E51992">
        <w:t xml:space="preserve"> </w:t>
      </w:r>
      <w:proofErr w:type="spellStart"/>
      <w:r w:rsidR="00E51992">
        <w:t>MDL</w:t>
      </w:r>
      <w:r w:rsidR="00E51992" w:rsidRPr="00E51992">
        <w:rPr>
          <w:vertAlign w:val="subscript"/>
        </w:rPr>
        <w:t>sp</w:t>
      </w:r>
      <w:proofErr w:type="spellEnd"/>
      <w:r w:rsidR="00E51992">
        <w:t>.</w:t>
      </w:r>
      <w:bookmarkEnd w:id="3"/>
    </w:p>
    <w:p w14:paraId="77BF8237" w14:textId="058C1B20" w:rsidR="00240613" w:rsidRDefault="00240613" w:rsidP="0099275B">
      <w:pPr>
        <w:pStyle w:val="ListParagraph"/>
        <w:numPr>
          <w:ilvl w:val="2"/>
          <w:numId w:val="1"/>
        </w:numPr>
        <w:spacing w:after="120"/>
        <w:ind w:left="1440"/>
        <w:contextualSpacing w:val="0"/>
      </w:pPr>
      <w:r>
        <w:t xml:space="preserve">Method Blank (MB):  The MB is a blank unopened cartridge (that has not left the laboratory) </w:t>
      </w:r>
      <w:r w:rsidR="00026576">
        <w:t xml:space="preserve">and </w:t>
      </w:r>
      <w:r>
        <w:t>is extracted identically to field samples.</w:t>
      </w:r>
      <w:r w:rsidR="00E51992">
        <w:t xml:space="preserve">  </w:t>
      </w:r>
      <w:r w:rsidR="00E51992" w:rsidRPr="00E51992">
        <w:t xml:space="preserve">The MB should not show target analytes above </w:t>
      </w:r>
      <w:r w:rsidR="00E51992">
        <w:t xml:space="preserve">the laboratory </w:t>
      </w:r>
      <w:r w:rsidR="00E51992" w:rsidRPr="00E51992">
        <w:t>MDL.</w:t>
      </w:r>
    </w:p>
    <w:p w14:paraId="6B03B5A2" w14:textId="77777777" w:rsidR="00091A03" w:rsidRDefault="00091A03" w:rsidP="0099275B">
      <w:pPr>
        <w:pStyle w:val="ListParagraph"/>
        <w:numPr>
          <w:ilvl w:val="1"/>
          <w:numId w:val="1"/>
        </w:numPr>
        <w:spacing w:after="120"/>
        <w:ind w:left="720"/>
        <w:contextualSpacing w:val="0"/>
      </w:pPr>
      <w:r w:rsidRPr="0099275B">
        <w:rPr>
          <w:b/>
          <w:bCs/>
        </w:rPr>
        <w:t>Laboratory Extraction QC Samples Required Quarterly</w:t>
      </w:r>
      <w:r>
        <w:t xml:space="preserve"> – The following laboratory batch QC samples are to be prepared, extracted, and analyzed minimally quarterly, but are recommended to be prepared as 5% of the field-collected sample load.</w:t>
      </w:r>
    </w:p>
    <w:p w14:paraId="08F380E1" w14:textId="5B994BB8" w:rsidR="00240613" w:rsidRDefault="00240613" w:rsidP="0099275B">
      <w:pPr>
        <w:pStyle w:val="ListParagraph"/>
        <w:numPr>
          <w:ilvl w:val="2"/>
          <w:numId w:val="1"/>
        </w:numPr>
        <w:spacing w:after="120"/>
        <w:ind w:left="1440"/>
        <w:contextualSpacing w:val="0"/>
      </w:pPr>
      <w:r>
        <w:t xml:space="preserve">Laboratory Control Sample (LCS):  The LCS, also referred to as the laboratory fortified blank, is a positive control </w:t>
      </w:r>
      <w:r w:rsidR="00091A03">
        <w:t xml:space="preserve">sample </w:t>
      </w:r>
      <w:r>
        <w:t xml:space="preserve">prepared by spiking a known amount of underivatized </w:t>
      </w:r>
      <w:r w:rsidR="00026576">
        <w:t xml:space="preserve">carbonyl target analyte </w:t>
      </w:r>
      <w:r>
        <w:t>or derivatized carbonyl</w:t>
      </w:r>
      <w:r w:rsidR="001E2BB4">
        <w:t>-</w:t>
      </w:r>
      <w:r w:rsidR="008B61B0">
        <w:t>hydraz</w:t>
      </w:r>
      <w:r w:rsidR="001E2BB4">
        <w:t>o</w:t>
      </w:r>
      <w:r w:rsidR="008B61B0">
        <w:t xml:space="preserve">ne </w:t>
      </w:r>
      <w:r>
        <w:t xml:space="preserve">onto a cartridge such that the expected </w:t>
      </w:r>
      <w:r w:rsidR="00091A03">
        <w:t xml:space="preserve">target analyte </w:t>
      </w:r>
      <w:r>
        <w:t xml:space="preserve">concentration </w:t>
      </w:r>
      <w:r w:rsidR="00091A03">
        <w:t xml:space="preserve">in the extract </w:t>
      </w:r>
      <w:r>
        <w:t xml:space="preserve">is in the lower third of the </w:t>
      </w:r>
      <w:r w:rsidR="00091A03">
        <w:t xml:space="preserve">instrument calibration </w:t>
      </w:r>
      <w:r>
        <w:t xml:space="preserve">range. </w:t>
      </w:r>
      <w:r w:rsidR="00561D1E">
        <w:t xml:space="preserve"> </w:t>
      </w:r>
      <w:r>
        <w:t>The LCS is then extracted with the same extraction solvent and method employed for field samples to assess bias in matrix of the extraction and analysis proce</w:t>
      </w:r>
      <w:r w:rsidR="00E51992">
        <w:t>dures.  LCS recovery is to</w:t>
      </w:r>
      <w:r>
        <w:t xml:space="preserve"> be within 80 to 120% of </w:t>
      </w:r>
      <w:r w:rsidR="00091A03">
        <w:t xml:space="preserve">the theoretical concentration </w:t>
      </w:r>
      <w:r>
        <w:t xml:space="preserve">for formaldehyde and 70 to 130% of </w:t>
      </w:r>
      <w:r w:rsidR="00091A03">
        <w:t xml:space="preserve">the theoretical concentration </w:t>
      </w:r>
      <w:r>
        <w:t xml:space="preserve">for all other target carbonyls.  </w:t>
      </w:r>
    </w:p>
    <w:p w14:paraId="00A3E5D3" w14:textId="257A9F0D" w:rsidR="00240613" w:rsidRDefault="00240613" w:rsidP="0099275B">
      <w:pPr>
        <w:pStyle w:val="ListParagraph"/>
        <w:numPr>
          <w:ilvl w:val="2"/>
          <w:numId w:val="1"/>
        </w:numPr>
        <w:spacing w:after="120"/>
        <w:ind w:left="1440"/>
        <w:contextualSpacing w:val="0"/>
      </w:pPr>
      <w:r>
        <w:t xml:space="preserve">Laboratory Control Sample Duplicate (LCSD):  The LCSD is prepared and extracted identically to the LCS.  The LCSD assesses precision </w:t>
      </w:r>
      <w:r w:rsidR="00091A03">
        <w:t xml:space="preserve">of the </w:t>
      </w:r>
      <w:r>
        <w:t>extraction and analysis</w:t>
      </w:r>
      <w:r w:rsidR="00091A03">
        <w:t xml:space="preserve"> procedures</w:t>
      </w:r>
      <w:r>
        <w:t xml:space="preserve">.  </w:t>
      </w:r>
      <w:r w:rsidR="00E51992">
        <w:t xml:space="preserve">LCSD </w:t>
      </w:r>
      <w:r w:rsidR="00091A03">
        <w:t>recovery is to be within 80 to 120% of the theoretical concentration for formaldehyde and 70 to 130% of the theoretical concentration for all other target carbonyls.</w:t>
      </w:r>
      <w:r w:rsidR="00E51992">
        <w:t xml:space="preserve">  </w:t>
      </w:r>
      <w:r>
        <w:t xml:space="preserve">LCS and LCSD results must show </w:t>
      </w:r>
      <w:r w:rsidR="00E51992">
        <w:t xml:space="preserve">precision as </w:t>
      </w:r>
      <w:r w:rsidR="00091A03">
        <w:t>relative percent difference (</w:t>
      </w:r>
      <w:r>
        <w:t>RPD</w:t>
      </w:r>
      <w:r w:rsidR="00091A03">
        <w:t>)</w:t>
      </w:r>
      <w:r>
        <w:t xml:space="preserve"> of ≤ 20%.</w:t>
      </w:r>
    </w:p>
    <w:p w14:paraId="3DF77F3F" w14:textId="77777777" w:rsidR="00217E38" w:rsidRDefault="00217E38" w:rsidP="001C371E">
      <w:pPr>
        <w:pStyle w:val="ListParagraph"/>
        <w:ind w:left="2160"/>
      </w:pPr>
    </w:p>
    <w:p w14:paraId="5AD977B1" w14:textId="77777777" w:rsidR="0043481C" w:rsidRPr="002337DE" w:rsidRDefault="0043481C" w:rsidP="0099275B">
      <w:pPr>
        <w:pStyle w:val="ListParagraph"/>
        <w:numPr>
          <w:ilvl w:val="0"/>
          <w:numId w:val="1"/>
        </w:numPr>
        <w:ind w:left="360"/>
        <w:rPr>
          <w:b/>
        </w:rPr>
      </w:pPr>
      <w:r w:rsidRPr="002337DE">
        <w:rPr>
          <w:b/>
        </w:rPr>
        <w:t>PROCEDURE</w:t>
      </w:r>
      <w:r w:rsidR="009E0FF0">
        <w:rPr>
          <w:b/>
        </w:rPr>
        <w:br/>
      </w:r>
    </w:p>
    <w:p w14:paraId="63D1990A" w14:textId="77777777" w:rsidR="00B7325B" w:rsidRDefault="00B7325B" w:rsidP="0099275B">
      <w:pPr>
        <w:pStyle w:val="ListParagraph"/>
        <w:numPr>
          <w:ilvl w:val="1"/>
          <w:numId w:val="1"/>
        </w:numPr>
        <w:spacing w:after="120"/>
        <w:ind w:left="720"/>
        <w:contextualSpacing w:val="0"/>
      </w:pPr>
      <w:r>
        <w:t>Sample Receipt</w:t>
      </w:r>
    </w:p>
    <w:p w14:paraId="7AE9095E" w14:textId="68965AD6" w:rsidR="00B7325B" w:rsidRDefault="00B500B3" w:rsidP="0099275B">
      <w:pPr>
        <w:pStyle w:val="ListParagraph"/>
        <w:spacing w:after="120"/>
        <w:contextualSpacing w:val="0"/>
      </w:pPr>
      <w:r>
        <w:t>Field-c</w:t>
      </w:r>
      <w:r w:rsidR="00BD1840">
        <w:t xml:space="preserve">ollected </w:t>
      </w:r>
      <w:r>
        <w:t xml:space="preserve">(ambient and </w:t>
      </w:r>
      <w:r w:rsidR="00BD1840">
        <w:t>field QC samples</w:t>
      </w:r>
      <w:r>
        <w:t>) samples</w:t>
      </w:r>
      <w:r w:rsidR="00BD1840">
        <w:t xml:space="preserve"> </w:t>
      </w:r>
      <w:r>
        <w:t xml:space="preserve">are to </w:t>
      </w:r>
      <w:r w:rsidR="00BD1840">
        <w:t xml:space="preserve">be transported under refrigeration to the laboratory (hand delivered by </w:t>
      </w:r>
      <w:r>
        <w:t xml:space="preserve">monitoring agency </w:t>
      </w:r>
      <w:r w:rsidR="00BD1840">
        <w:t xml:space="preserve">staff or </w:t>
      </w:r>
      <w:r>
        <w:t xml:space="preserve">delivered </w:t>
      </w:r>
      <w:r w:rsidR="00BD1840">
        <w:t xml:space="preserve">via </w:t>
      </w:r>
      <w:r w:rsidR="00BD1840">
        <w:lastRenderedPageBreak/>
        <w:t>courier) and arrive at the laboratory under refrigeration</w:t>
      </w:r>
      <w:r>
        <w:t xml:space="preserve"> (cartridge shipments should arrive cold)</w:t>
      </w:r>
      <w:r w:rsidR="00BD1840">
        <w:t xml:space="preserve">.  </w:t>
      </w:r>
      <w:r w:rsidR="00BD1840" w:rsidRPr="00BD1840">
        <w:t>M</w:t>
      </w:r>
      <w:r w:rsidR="008D29D5">
        <w:t>easu</w:t>
      </w:r>
      <w:r w:rsidR="00BD1840" w:rsidRPr="00BD1840">
        <w:t>ring the shipping temperature with a calibrated min-max type thermometer is a best practice</w:t>
      </w:r>
      <w:r>
        <w:t xml:space="preserve"> to verify that the sample shipment remained cold </w:t>
      </w:r>
      <w:r w:rsidR="00F107E9">
        <w:t xml:space="preserve">(≤ 4°C) </w:t>
      </w:r>
      <w:r>
        <w:t>through the duration of transport</w:t>
      </w:r>
      <w:r w:rsidR="00BD1840" w:rsidRPr="00BD1840">
        <w:t>.</w:t>
      </w:r>
    </w:p>
    <w:p w14:paraId="59195B33" w14:textId="2C163A36" w:rsidR="00BD1840" w:rsidRDefault="00BD1840" w:rsidP="0099275B">
      <w:pPr>
        <w:pStyle w:val="ListParagraph"/>
        <w:numPr>
          <w:ilvl w:val="2"/>
          <w:numId w:val="1"/>
        </w:numPr>
        <w:spacing w:after="120"/>
        <w:ind w:left="1440" w:hanging="187"/>
        <w:contextualSpacing w:val="0"/>
      </w:pPr>
      <w:r>
        <w:t>Upon opening the sample cooler, the temperature of the cartridge shipment should be measured</w:t>
      </w:r>
      <w:r w:rsidR="00B500B3">
        <w:t xml:space="preserve"> and recorded</w:t>
      </w:r>
      <w:r>
        <w:t>.  Th</w:t>
      </w:r>
      <w:r w:rsidR="00B500B3">
        <w:t>e temperature</w:t>
      </w:r>
      <w:r>
        <w:t xml:space="preserve"> is ideally measur</w:t>
      </w:r>
      <w:r w:rsidR="00B500B3">
        <w:t>ed</w:t>
      </w:r>
      <w:r>
        <w:t xml:space="preserve"> </w:t>
      </w:r>
      <w:r w:rsidR="00B500B3">
        <w:t>by aiming a calibrated handheld infrared (IR) thermometer gun at</w:t>
      </w:r>
      <w:r>
        <w:t xml:space="preserve"> </w:t>
      </w:r>
      <w:r w:rsidR="00B500B3">
        <w:t xml:space="preserve">a </w:t>
      </w:r>
      <w:r w:rsidR="00A27962">
        <w:t xml:space="preserve">foil pouch containing </w:t>
      </w:r>
      <w:r w:rsidR="00B500B3">
        <w:t xml:space="preserve">a sample </w:t>
      </w:r>
      <w:r>
        <w:t>cartridge</w:t>
      </w:r>
      <w:r w:rsidR="00B500B3">
        <w:t xml:space="preserve"> in the shipment</w:t>
      </w:r>
      <w:r>
        <w:t>.</w:t>
      </w:r>
      <w:r w:rsidR="00B500B3">
        <w:t xml:space="preserve">  Document the </w:t>
      </w:r>
      <w:r w:rsidR="00487F28">
        <w:t>date and time of sample receipt in the sample receiving records (e.g., on the COC form).</w:t>
      </w:r>
    </w:p>
    <w:p w14:paraId="3CCC9DB4" w14:textId="56C5F3B4" w:rsidR="00BD1840" w:rsidRDefault="00BD1840" w:rsidP="0099275B">
      <w:pPr>
        <w:pStyle w:val="ListParagraph"/>
        <w:numPr>
          <w:ilvl w:val="2"/>
          <w:numId w:val="1"/>
        </w:numPr>
        <w:spacing w:after="120"/>
        <w:ind w:left="1440" w:hanging="187"/>
        <w:contextualSpacing w:val="0"/>
      </w:pPr>
      <w:r>
        <w:t xml:space="preserve">Verify that the correct number of cartridge samples </w:t>
      </w:r>
      <w:r w:rsidR="00B500B3">
        <w:t xml:space="preserve">expected </w:t>
      </w:r>
      <w:r>
        <w:t>is present in the shipment and verify that the unique identifiers on the chain of custody (COC) form and field data collection forms correlate to the samples</w:t>
      </w:r>
      <w:r w:rsidR="00B500B3">
        <w:t xml:space="preserve"> in the shipment</w:t>
      </w:r>
      <w:r>
        <w:t xml:space="preserve">.  Document any discrepancies for follow-up with </w:t>
      </w:r>
      <w:r w:rsidR="00B500B3">
        <w:t>field monitoring staff</w:t>
      </w:r>
      <w:r>
        <w:t>.</w:t>
      </w:r>
      <w:r w:rsidR="00EC062A">
        <w:t xml:space="preserve">  Discrepancies such as missing samples</w:t>
      </w:r>
      <w:r w:rsidR="00B500B3">
        <w:t xml:space="preserve">, </w:t>
      </w:r>
      <w:r w:rsidR="00EC062A">
        <w:t>additional samples</w:t>
      </w:r>
      <w:r w:rsidR="00B500B3">
        <w:t>, or sample identifier mix-ups</w:t>
      </w:r>
      <w:r w:rsidR="00EC062A">
        <w:t xml:space="preserve"> should be addressed as soon as possible with field staff.</w:t>
      </w:r>
    </w:p>
    <w:p w14:paraId="10CAC4A1" w14:textId="788EEE9D" w:rsidR="00EC062A" w:rsidRDefault="00BD1840" w:rsidP="0099275B">
      <w:pPr>
        <w:pStyle w:val="ListParagraph"/>
        <w:numPr>
          <w:ilvl w:val="2"/>
          <w:numId w:val="1"/>
        </w:numPr>
        <w:spacing w:after="120"/>
        <w:ind w:left="1440" w:hanging="187"/>
        <w:contextualSpacing w:val="0"/>
      </w:pPr>
      <w:r>
        <w:t>Review the COC form to ensure custody transfers (signatures with dates</w:t>
      </w:r>
      <w:r w:rsidR="00487F28">
        <w:t xml:space="preserve"> of sample transfer</w:t>
      </w:r>
      <w:r>
        <w:t xml:space="preserve">) and storage </w:t>
      </w:r>
      <w:r w:rsidR="00B500B3">
        <w:t xml:space="preserve">conditions </w:t>
      </w:r>
      <w:r>
        <w:t>information are complet</w:t>
      </w:r>
      <w:r w:rsidR="00EC062A">
        <w:t xml:space="preserve">e.  Document any discrepancies or deficiencies for follow-up with </w:t>
      </w:r>
      <w:r w:rsidR="00B500B3">
        <w:t>field staff</w:t>
      </w:r>
      <w:r w:rsidR="00EC062A">
        <w:t xml:space="preserve">.  </w:t>
      </w:r>
    </w:p>
    <w:p w14:paraId="4DE61DD8" w14:textId="1E64FE97" w:rsidR="00BD1840" w:rsidRDefault="00EC062A" w:rsidP="0099275B">
      <w:pPr>
        <w:pStyle w:val="ListParagraph"/>
        <w:numPr>
          <w:ilvl w:val="2"/>
          <w:numId w:val="1"/>
        </w:numPr>
        <w:spacing w:after="120"/>
        <w:ind w:left="1440" w:hanging="187"/>
        <w:contextualSpacing w:val="0"/>
      </w:pPr>
      <w:r>
        <w:t>Sign and date the COC form to complete the custody transfer</w:t>
      </w:r>
      <w:r w:rsidR="00487F28">
        <w:t>.</w:t>
      </w:r>
    </w:p>
    <w:p w14:paraId="1013BAA4" w14:textId="1F9281E5" w:rsidR="00EC062A" w:rsidRDefault="00EC062A" w:rsidP="0099275B">
      <w:pPr>
        <w:pStyle w:val="ListParagraph"/>
        <w:numPr>
          <w:ilvl w:val="2"/>
          <w:numId w:val="1"/>
        </w:numPr>
        <w:spacing w:after="120"/>
        <w:ind w:left="1440" w:hanging="187"/>
        <w:contextualSpacing w:val="0"/>
      </w:pPr>
      <w:r>
        <w:t>Examine the foil pouches to ensure they are sealed and document any discrepancies</w:t>
      </w:r>
      <w:r w:rsidR="00487F28">
        <w:t xml:space="preserve"> or damage to the samples in the shipment</w:t>
      </w:r>
      <w:r>
        <w:t>.</w:t>
      </w:r>
    </w:p>
    <w:p w14:paraId="5FEBF0E1" w14:textId="2387B382" w:rsidR="00EC062A" w:rsidRDefault="00EC062A" w:rsidP="0099275B">
      <w:pPr>
        <w:pStyle w:val="ListParagraph"/>
        <w:numPr>
          <w:ilvl w:val="2"/>
          <w:numId w:val="1"/>
        </w:numPr>
        <w:spacing w:after="120"/>
        <w:ind w:left="1440" w:hanging="187"/>
        <w:contextualSpacing w:val="0"/>
      </w:pPr>
      <w:r>
        <w:t>Log the samples into the laboratory tracking system such as a tracking database or laboratory information management system (LIMS)</w:t>
      </w:r>
      <w:r w:rsidR="00487F28">
        <w:t xml:space="preserve"> and assign unique laboratory identifiers as appropriate per the laboratory standard procedure for sample tracking.</w:t>
      </w:r>
    </w:p>
    <w:p w14:paraId="7984D6A1" w14:textId="206C87E1" w:rsidR="00EC062A" w:rsidRDefault="00EC062A" w:rsidP="0099275B">
      <w:pPr>
        <w:pStyle w:val="ListParagraph"/>
        <w:numPr>
          <w:ilvl w:val="2"/>
          <w:numId w:val="1"/>
        </w:numPr>
        <w:spacing w:after="120"/>
        <w:ind w:left="1440" w:hanging="187"/>
        <w:contextualSpacing w:val="0"/>
      </w:pPr>
      <w:r>
        <w:t>Store the samples under refrigeration at ≤ 4°C until extraction</w:t>
      </w:r>
      <w:r w:rsidR="001D5DCB">
        <w:t xml:space="preserve"> (no longer than 14 days from end of collection)</w:t>
      </w:r>
      <w:r>
        <w:t>.</w:t>
      </w:r>
      <w:r w:rsidR="00487F28">
        <w:t xml:space="preserve">  Samples should be stored in a dedicated storage unit free of solvents and organic vapors that may contaminate the cartridge media and should not be stored with carbonyls standards materials or extracts.</w:t>
      </w:r>
    </w:p>
    <w:p w14:paraId="782AD818" w14:textId="4D5942CD" w:rsidR="00EC062A" w:rsidRDefault="00EC062A" w:rsidP="0099275B">
      <w:pPr>
        <w:pStyle w:val="ListParagraph"/>
        <w:numPr>
          <w:ilvl w:val="1"/>
          <w:numId w:val="1"/>
        </w:numPr>
        <w:spacing w:after="120"/>
        <w:ind w:left="720"/>
        <w:contextualSpacing w:val="0"/>
      </w:pPr>
      <w:r>
        <w:t>Sample Extraction</w:t>
      </w:r>
    </w:p>
    <w:p w14:paraId="74648929" w14:textId="4FB837AA" w:rsidR="00734FEC" w:rsidRPr="0099275B" w:rsidRDefault="00734FEC" w:rsidP="0099275B">
      <w:pPr>
        <w:pStyle w:val="ListParagraph"/>
        <w:spacing w:after="120"/>
        <w:contextualSpacing w:val="0"/>
        <w:rPr>
          <w:i/>
          <w:iCs/>
        </w:rPr>
      </w:pPr>
      <w:r w:rsidRPr="0099275B">
        <w:rPr>
          <w:i/>
          <w:iCs/>
        </w:rPr>
        <w:t xml:space="preserve">Samples are extracted with ACN </w:t>
      </w:r>
      <w:r w:rsidR="00AA6A27" w:rsidRPr="0099275B">
        <w:rPr>
          <w:i/>
          <w:iCs/>
        </w:rPr>
        <w:t>to final extract volumes of 2 to 5 mL</w:t>
      </w:r>
      <w:r w:rsidR="00466589" w:rsidRPr="0099275B">
        <w:rPr>
          <w:i/>
          <w:iCs/>
        </w:rPr>
        <w:t xml:space="preserve"> and all cartridges are to be extracted with the same </w:t>
      </w:r>
      <w:r w:rsidR="001D5DCB">
        <w:rPr>
          <w:i/>
          <w:iCs/>
        </w:rPr>
        <w:t xml:space="preserve">ACN </w:t>
      </w:r>
      <w:r w:rsidR="00466589" w:rsidRPr="0099275B">
        <w:rPr>
          <w:i/>
          <w:iCs/>
        </w:rPr>
        <w:t>volume</w:t>
      </w:r>
      <w:r w:rsidR="00AA6A27" w:rsidRPr="0099275B">
        <w:rPr>
          <w:i/>
          <w:iCs/>
        </w:rPr>
        <w:t xml:space="preserve">.  </w:t>
      </w:r>
      <w:r w:rsidR="00466589" w:rsidRPr="0099275B">
        <w:rPr>
          <w:i/>
          <w:iCs/>
        </w:rPr>
        <w:t xml:space="preserve">Complete extraction is accomplished with 2 mL of </w:t>
      </w:r>
      <w:r w:rsidR="0051403C">
        <w:rPr>
          <w:i/>
          <w:iCs/>
        </w:rPr>
        <w:t>can. A</w:t>
      </w:r>
      <w:r w:rsidR="00466589" w:rsidRPr="0099275B">
        <w:rPr>
          <w:i/>
          <w:iCs/>
        </w:rPr>
        <w:t xml:space="preserve">dditional solvent dilutes the </w:t>
      </w:r>
      <w:r w:rsidR="0051403C">
        <w:rPr>
          <w:i/>
          <w:iCs/>
        </w:rPr>
        <w:t xml:space="preserve">final </w:t>
      </w:r>
      <w:r w:rsidR="00466589" w:rsidRPr="0099275B">
        <w:rPr>
          <w:i/>
          <w:iCs/>
        </w:rPr>
        <w:t>extract</w:t>
      </w:r>
      <w:r w:rsidR="0051403C">
        <w:rPr>
          <w:i/>
          <w:iCs/>
        </w:rPr>
        <w:t>,</w:t>
      </w:r>
      <w:r w:rsidR="00466589" w:rsidRPr="0099275B">
        <w:rPr>
          <w:i/>
          <w:iCs/>
        </w:rPr>
        <w:t xml:space="preserve"> resulting in reduced sensitivity at the HPLC.  The collected extract volume must be known and accurately measured by a volumetrically certified method (e.g. Class A volumetric flask).  To limit quantitative transfers and contact with potentially contaminated glassware, it is re</w:t>
      </w:r>
      <w:r w:rsidR="00AA6A27" w:rsidRPr="0099275B">
        <w:rPr>
          <w:i/>
          <w:iCs/>
        </w:rPr>
        <w:t xml:space="preserve">commended to capture the </w:t>
      </w:r>
      <w:r w:rsidR="00466589" w:rsidRPr="0099275B">
        <w:rPr>
          <w:i/>
          <w:iCs/>
        </w:rPr>
        <w:t xml:space="preserve">extracted </w:t>
      </w:r>
      <w:r w:rsidR="00AA6A27" w:rsidRPr="0099275B">
        <w:rPr>
          <w:i/>
          <w:iCs/>
        </w:rPr>
        <w:t xml:space="preserve">cartridge eluent into a Class A volumetric flask of the desired </w:t>
      </w:r>
      <w:r w:rsidR="00466589" w:rsidRPr="0099275B">
        <w:rPr>
          <w:i/>
          <w:iCs/>
        </w:rPr>
        <w:t xml:space="preserve">final </w:t>
      </w:r>
      <w:r w:rsidR="00AA6A27" w:rsidRPr="0099275B">
        <w:rPr>
          <w:i/>
          <w:iCs/>
        </w:rPr>
        <w:t>volume.</w:t>
      </w:r>
    </w:p>
    <w:p w14:paraId="04E070CB" w14:textId="59753A6C" w:rsidR="00C61837" w:rsidRDefault="00C61837" w:rsidP="0099275B">
      <w:pPr>
        <w:pStyle w:val="ListParagraph"/>
        <w:spacing w:after="120"/>
        <w:contextualSpacing w:val="0"/>
      </w:pPr>
      <w:r>
        <w:t>Powder-free nitrile or equivalent gloves should be worn for all standard, reagent, and cartridge handling steps.</w:t>
      </w:r>
    </w:p>
    <w:p w14:paraId="08C38C6B" w14:textId="518B96FB" w:rsidR="00EC062A" w:rsidRDefault="00C61837" w:rsidP="0099275B">
      <w:pPr>
        <w:pStyle w:val="ListParagraph"/>
        <w:numPr>
          <w:ilvl w:val="2"/>
          <w:numId w:val="1"/>
        </w:numPr>
        <w:spacing w:after="120"/>
        <w:ind w:left="1440" w:hanging="187"/>
        <w:contextualSpacing w:val="0"/>
      </w:pPr>
      <w:r>
        <w:lastRenderedPageBreak/>
        <w:t xml:space="preserve">Determine the number of field-collected samples and laboratory extraction QC samples to be extracted.  </w:t>
      </w:r>
      <w:r w:rsidR="008613ED">
        <w:t xml:space="preserve">Gather </w:t>
      </w:r>
      <w:r w:rsidR="00EC062A">
        <w:t xml:space="preserve">the needed number of </w:t>
      </w:r>
      <w:r>
        <w:t xml:space="preserve">clean </w:t>
      </w:r>
      <w:r w:rsidR="00EC062A">
        <w:t xml:space="preserve">volumetric flasks </w:t>
      </w:r>
      <w:r>
        <w:t>(</w:t>
      </w:r>
      <w:r w:rsidR="00EC062A">
        <w:t>or other volumetrically</w:t>
      </w:r>
      <w:r w:rsidR="008613ED">
        <w:t>-</w:t>
      </w:r>
      <w:r w:rsidR="00EC062A">
        <w:t xml:space="preserve">certified labware </w:t>
      </w:r>
      <w:r w:rsidR="008613ED">
        <w:t xml:space="preserve">suitable </w:t>
      </w:r>
      <w:r w:rsidR="00EC062A">
        <w:t>for determining extraction volume</w:t>
      </w:r>
      <w:r>
        <w:t>)</w:t>
      </w:r>
      <w:r w:rsidR="00EC062A">
        <w:t>, extraction solvent</w:t>
      </w:r>
      <w:r w:rsidR="00AA6A27">
        <w:t xml:space="preserve">, </w:t>
      </w:r>
      <w:r w:rsidR="00EC062A">
        <w:t xml:space="preserve">and blank cartridges needed to prepare laboratory </w:t>
      </w:r>
      <w:r w:rsidR="00AA6A27">
        <w:t xml:space="preserve">extraction </w:t>
      </w:r>
      <w:r w:rsidR="00EC062A">
        <w:t>QC samples.</w:t>
      </w:r>
      <w:r w:rsidR="00332C9D">
        <w:t xml:space="preserve">  Label the flasks uniquely</w:t>
      </w:r>
      <w:r>
        <w:t xml:space="preserve"> and record the sample identifiers in an extraction logbook, bench sheet, or similar record.</w:t>
      </w:r>
      <w:r w:rsidR="00487F28">
        <w:br/>
      </w:r>
      <w:r w:rsidR="00487F28">
        <w:br/>
      </w:r>
      <w:r w:rsidR="00487F28">
        <w:rPr>
          <w:i/>
          <w:iCs/>
        </w:rPr>
        <w:t>I</w:t>
      </w:r>
      <w:r w:rsidR="00487F28" w:rsidRPr="0099275B">
        <w:rPr>
          <w:i/>
          <w:iCs/>
        </w:rPr>
        <w:t xml:space="preserve">t is a best practice to rinse </w:t>
      </w:r>
      <w:r w:rsidR="001D5DCB">
        <w:rPr>
          <w:i/>
          <w:iCs/>
        </w:rPr>
        <w:t xml:space="preserve">clean </w:t>
      </w:r>
      <w:r w:rsidR="00487F28" w:rsidRPr="0099275B">
        <w:rPr>
          <w:i/>
          <w:iCs/>
        </w:rPr>
        <w:t>labware several times with ACN and air dry just prior to use.</w:t>
      </w:r>
    </w:p>
    <w:p w14:paraId="50EE94F9" w14:textId="4914398B" w:rsidR="00EC062A" w:rsidRDefault="00EC062A" w:rsidP="0099275B">
      <w:pPr>
        <w:pStyle w:val="ListParagraph"/>
        <w:numPr>
          <w:ilvl w:val="2"/>
          <w:numId w:val="1"/>
        </w:numPr>
        <w:spacing w:after="120"/>
        <w:ind w:left="1440" w:hanging="187"/>
        <w:contextualSpacing w:val="0"/>
      </w:pPr>
      <w:r>
        <w:t xml:space="preserve">Remove the sample cartridges </w:t>
      </w:r>
      <w:r w:rsidR="00AA6A27">
        <w:t xml:space="preserve">to be extracted </w:t>
      </w:r>
      <w:r>
        <w:t>from refrigerated storage and allow to warm to room temperature (approximately 30 minutes prior to extraction), maintaining the cartridges in the sealed foil pouch</w:t>
      </w:r>
      <w:r w:rsidR="008613ED">
        <w:t>es</w:t>
      </w:r>
      <w:r>
        <w:t>.</w:t>
      </w:r>
    </w:p>
    <w:p w14:paraId="6BD605D2" w14:textId="44E3D8E4" w:rsidR="00EC062A" w:rsidRDefault="00332C9D" w:rsidP="0099275B">
      <w:pPr>
        <w:pStyle w:val="ListParagraph"/>
        <w:numPr>
          <w:ilvl w:val="2"/>
          <w:numId w:val="1"/>
        </w:numPr>
        <w:spacing w:after="120"/>
        <w:ind w:left="1440" w:hanging="187"/>
        <w:contextualSpacing w:val="0"/>
      </w:pPr>
      <w:r>
        <w:t>Remove spiking solutions from refrigerated storage and allow to warm to room temperature (approximately 30 minutes).</w:t>
      </w:r>
    </w:p>
    <w:p w14:paraId="0CAA42AD" w14:textId="77777777" w:rsidR="00332C9D" w:rsidRDefault="004F7CC7" w:rsidP="0099275B">
      <w:pPr>
        <w:pStyle w:val="ListParagraph"/>
        <w:numPr>
          <w:ilvl w:val="2"/>
          <w:numId w:val="1"/>
        </w:numPr>
        <w:spacing w:after="120"/>
        <w:ind w:left="1440" w:hanging="187"/>
        <w:contextualSpacing w:val="0"/>
      </w:pPr>
      <w:r>
        <w:t>Prepare laboratory batch QC samples:</w:t>
      </w:r>
    </w:p>
    <w:p w14:paraId="7ACCA436" w14:textId="4DD49842" w:rsidR="004F7CC7" w:rsidRDefault="004F7CC7" w:rsidP="0099275B">
      <w:pPr>
        <w:pStyle w:val="ListParagraph"/>
        <w:numPr>
          <w:ilvl w:val="3"/>
          <w:numId w:val="1"/>
        </w:numPr>
        <w:spacing w:after="120"/>
        <w:ind w:left="1800"/>
        <w:contextualSpacing w:val="0"/>
      </w:pPr>
      <w:r w:rsidRPr="0099275B">
        <w:rPr>
          <w:b/>
          <w:bCs/>
        </w:rPr>
        <w:t>MB</w:t>
      </w:r>
      <w:r w:rsidR="00C61837">
        <w:t xml:space="preserve"> (required as ≥ 5% of </w:t>
      </w:r>
      <w:r w:rsidR="00466589">
        <w:t xml:space="preserve">field-collected </w:t>
      </w:r>
      <w:r w:rsidR="00C61837">
        <w:t>samples)</w:t>
      </w:r>
      <w:r w:rsidR="003063CA">
        <w:t>:  The MB</w:t>
      </w:r>
      <w:r w:rsidR="009755E8">
        <w:t xml:space="preserve"> is an </w:t>
      </w:r>
      <w:proofErr w:type="spellStart"/>
      <w:r w:rsidR="009755E8">
        <w:t>unspike</w:t>
      </w:r>
      <w:r w:rsidR="003063CA">
        <w:t>d</w:t>
      </w:r>
      <w:proofErr w:type="spellEnd"/>
      <w:r w:rsidR="009755E8">
        <w:t xml:space="preserve"> cartridge preferably of the same lot as </w:t>
      </w:r>
      <w:r w:rsidR="00AA6A27">
        <w:t xml:space="preserve">the </w:t>
      </w:r>
      <w:r w:rsidR="009755E8">
        <w:t>field</w:t>
      </w:r>
      <w:r w:rsidR="00AA6A27">
        <w:t>-</w:t>
      </w:r>
      <w:r w:rsidR="009755E8">
        <w:t>collected samples.</w:t>
      </w:r>
      <w:r w:rsidR="00AA6A27">
        <w:t xml:space="preserve">  Document the cartridge lot in the extraction records.</w:t>
      </w:r>
    </w:p>
    <w:p w14:paraId="42AD8A27" w14:textId="1E7F4E6C" w:rsidR="00C61837" w:rsidRDefault="00C61837" w:rsidP="0099275B">
      <w:pPr>
        <w:pStyle w:val="ListParagraph"/>
        <w:numPr>
          <w:ilvl w:val="3"/>
          <w:numId w:val="1"/>
        </w:numPr>
        <w:spacing w:after="120"/>
        <w:ind w:left="1800"/>
        <w:contextualSpacing w:val="0"/>
      </w:pPr>
      <w:r w:rsidRPr="0099275B">
        <w:rPr>
          <w:b/>
          <w:bCs/>
        </w:rPr>
        <w:t>ESMB</w:t>
      </w:r>
      <w:r>
        <w:t xml:space="preserve"> (required as ≥ 5% of </w:t>
      </w:r>
      <w:r w:rsidR="00466589">
        <w:t xml:space="preserve">field-collected </w:t>
      </w:r>
      <w:r>
        <w:t xml:space="preserve">samples):  Prepare the ESMB by adding extraction solvent to a volumetric flask and bringing the flask to </w:t>
      </w:r>
      <w:r w:rsidR="009031A3">
        <w:t xml:space="preserve">the final extract </w:t>
      </w:r>
      <w:r>
        <w:t>volume.</w:t>
      </w:r>
    </w:p>
    <w:p w14:paraId="17C4A2C2" w14:textId="693C4C0C" w:rsidR="004F7CC7" w:rsidRDefault="004F7CC7" w:rsidP="0099275B">
      <w:pPr>
        <w:pStyle w:val="ListParagraph"/>
        <w:numPr>
          <w:ilvl w:val="3"/>
          <w:numId w:val="1"/>
        </w:numPr>
        <w:spacing w:after="120"/>
        <w:ind w:left="1800"/>
        <w:contextualSpacing w:val="0"/>
      </w:pPr>
      <w:r w:rsidRPr="0099275B">
        <w:rPr>
          <w:b/>
          <w:bCs/>
        </w:rPr>
        <w:t>LCS</w:t>
      </w:r>
      <w:r w:rsidR="00C61837">
        <w:t xml:space="preserve"> (required quarterly, recommended as ≥ 5% of </w:t>
      </w:r>
      <w:r w:rsidR="00466589">
        <w:t xml:space="preserve">field-collected </w:t>
      </w:r>
      <w:r w:rsidR="00C61837">
        <w:t>samples)</w:t>
      </w:r>
      <w:r w:rsidR="009755E8">
        <w:t xml:space="preserve">:  </w:t>
      </w:r>
      <w:r w:rsidR="00AA6A27">
        <w:t xml:space="preserve">The LCS is prepared with a new cartridge preferably of the same lot as the field-collected samples.  Ensure the spiking solution(s) has warmed to room temperature prior to use.  Examine the solution for precipitate or cloudiness which indicate incomplete dissolution of materials.  Gentle warming in a water bath, manual agitation (e.g., shaking) and/or sonication may aid in dissolving precipitates.  Using a calibrated mechanical pipette or </w:t>
      </w:r>
      <w:r w:rsidR="00C61837">
        <w:t xml:space="preserve">gastight </w:t>
      </w:r>
      <w:r w:rsidR="00AA6A27">
        <w:t>syringe, s</w:t>
      </w:r>
      <w:r w:rsidR="009755E8">
        <w:t>pike t</w:t>
      </w:r>
      <w:r w:rsidR="00AA6A27">
        <w:t>he</w:t>
      </w:r>
      <w:r w:rsidR="009755E8">
        <w:t xml:space="preserve"> cartridge with derivatized carbonyl</w:t>
      </w:r>
      <w:r w:rsidR="00C61837">
        <w:t>-</w:t>
      </w:r>
      <w:r w:rsidR="008613ED">
        <w:t xml:space="preserve">hydrazone </w:t>
      </w:r>
      <w:r w:rsidR="009755E8">
        <w:t xml:space="preserve">or underivatized carbonyl standards in ACN.  The </w:t>
      </w:r>
      <w:r w:rsidR="00C61837">
        <w:t xml:space="preserve">selected </w:t>
      </w:r>
      <w:r w:rsidR="009755E8">
        <w:t xml:space="preserve">LCS </w:t>
      </w:r>
      <w:r w:rsidR="00C61837">
        <w:t xml:space="preserve">spiking </w:t>
      </w:r>
      <w:r w:rsidR="009755E8">
        <w:t xml:space="preserve">concentration should </w:t>
      </w:r>
      <w:r w:rsidR="00C61837">
        <w:t xml:space="preserve">result in concentrations of target analytes in the extract </w:t>
      </w:r>
      <w:r w:rsidR="009755E8">
        <w:t>in the lower third of the calibration curv</w:t>
      </w:r>
      <w:r w:rsidR="003063CA">
        <w:t>e</w:t>
      </w:r>
      <w:r w:rsidR="008D29D5">
        <w:t>s</w:t>
      </w:r>
      <w:r w:rsidR="003063CA">
        <w:t xml:space="preserve"> and </w:t>
      </w:r>
      <w:r w:rsidR="00C61837">
        <w:t xml:space="preserve">recommended spiking volumes </w:t>
      </w:r>
      <w:r w:rsidR="008D29D5">
        <w:t>are</w:t>
      </w:r>
      <w:r w:rsidR="003063CA">
        <w:t xml:space="preserve"> </w:t>
      </w:r>
      <w:r w:rsidR="00C61837">
        <w:t xml:space="preserve">≤ </w:t>
      </w:r>
      <w:r w:rsidR="003063CA">
        <w:t xml:space="preserve">100 µL.  </w:t>
      </w:r>
      <w:r w:rsidR="00067643">
        <w:t>(</w:t>
      </w:r>
      <w:r w:rsidR="00067643" w:rsidRPr="0099275B">
        <w:rPr>
          <w:i/>
          <w:iCs/>
        </w:rPr>
        <w:t>For example, addition of 50 µL of a 15 µg/mL standard solution with a 5-mL extract volume will result in a theoretical concentration of 0.15 µg/</w:t>
      </w:r>
      <w:proofErr w:type="spellStart"/>
      <w:r w:rsidR="00067643" w:rsidRPr="0099275B">
        <w:rPr>
          <w:i/>
          <w:iCs/>
        </w:rPr>
        <w:t>mL</w:t>
      </w:r>
      <w:r w:rsidR="00067643">
        <w:rPr>
          <w:i/>
          <w:iCs/>
        </w:rPr>
        <w:t>.</w:t>
      </w:r>
      <w:proofErr w:type="spellEnd"/>
      <w:r w:rsidR="00067643">
        <w:t xml:space="preserve">)  </w:t>
      </w:r>
      <w:r w:rsidR="003063CA">
        <w:t xml:space="preserve">Allow the </w:t>
      </w:r>
      <w:r w:rsidR="00C61837">
        <w:t xml:space="preserve">spiked solution to permeate the silica gel bed and the </w:t>
      </w:r>
      <w:r w:rsidR="003063CA">
        <w:t>solvent to dry for approximately 30 minutes prior to extraction.</w:t>
      </w:r>
    </w:p>
    <w:p w14:paraId="6DA498C2" w14:textId="27CAD737" w:rsidR="004F7CC7" w:rsidRDefault="004F7CC7" w:rsidP="0099275B">
      <w:pPr>
        <w:pStyle w:val="ListParagraph"/>
        <w:numPr>
          <w:ilvl w:val="3"/>
          <w:numId w:val="1"/>
        </w:numPr>
        <w:spacing w:after="120"/>
        <w:ind w:left="1800"/>
        <w:contextualSpacing w:val="0"/>
      </w:pPr>
      <w:r w:rsidRPr="0099275B">
        <w:rPr>
          <w:b/>
          <w:bCs/>
        </w:rPr>
        <w:t>LCSD</w:t>
      </w:r>
      <w:r w:rsidR="00C61837">
        <w:t xml:space="preserve"> (required quarterly, recommended as ≥ 5% of </w:t>
      </w:r>
      <w:r w:rsidR="00466589">
        <w:t xml:space="preserve">field-collected </w:t>
      </w:r>
      <w:r w:rsidR="00C61837">
        <w:t>samples)</w:t>
      </w:r>
      <w:r w:rsidR="003063CA">
        <w:t>:  Prepare this laboratory QC sample identically to the LCS.</w:t>
      </w:r>
    </w:p>
    <w:p w14:paraId="6D64E4B9" w14:textId="465862BF" w:rsidR="00466589" w:rsidRDefault="004F7CC7" w:rsidP="0099275B">
      <w:pPr>
        <w:pStyle w:val="ListParagraph"/>
        <w:numPr>
          <w:ilvl w:val="2"/>
          <w:numId w:val="1"/>
        </w:numPr>
        <w:spacing w:after="120"/>
        <w:ind w:left="1440" w:hanging="187"/>
        <w:contextualSpacing w:val="0"/>
      </w:pPr>
      <w:r>
        <w:t xml:space="preserve">Remove </w:t>
      </w:r>
      <w:r w:rsidR="001C50E2">
        <w:t xml:space="preserve">each </w:t>
      </w:r>
      <w:r>
        <w:t>field</w:t>
      </w:r>
      <w:r w:rsidR="00C61837">
        <w:t>-</w:t>
      </w:r>
      <w:r>
        <w:t xml:space="preserve">collected sample cartridge from </w:t>
      </w:r>
      <w:r w:rsidR="001C50E2">
        <w:t xml:space="preserve">its </w:t>
      </w:r>
      <w:r>
        <w:t>sealed foil pouch</w:t>
      </w:r>
      <w:r w:rsidR="008D29D5">
        <w:t>, remove the caps,</w:t>
      </w:r>
      <w:r>
        <w:t xml:space="preserve"> and place in the</w:t>
      </w:r>
      <w:r w:rsidR="00466589">
        <w:t xml:space="preserve"> extraction cartridge holding</w:t>
      </w:r>
      <w:r>
        <w:t xml:space="preserve"> apparatus to orient the cartridges vertically.  </w:t>
      </w:r>
      <w:r w:rsidR="00C61837">
        <w:t xml:space="preserve">Position </w:t>
      </w:r>
      <w:r w:rsidR="00790B88">
        <w:t xml:space="preserve">the </w:t>
      </w:r>
      <w:r w:rsidR="003063CA">
        <w:t>field</w:t>
      </w:r>
      <w:r w:rsidR="00466589">
        <w:t>-</w:t>
      </w:r>
      <w:r w:rsidR="003063CA">
        <w:t>collected and laboratory QC cartridge samples</w:t>
      </w:r>
      <w:r w:rsidR="00C61837">
        <w:t xml:space="preserve"> </w:t>
      </w:r>
      <w:r w:rsidR="001C50E2">
        <w:t xml:space="preserve">with </w:t>
      </w:r>
      <w:r w:rsidR="003063CA">
        <w:t xml:space="preserve">the cartridge inlet </w:t>
      </w:r>
      <w:r w:rsidR="001C50E2">
        <w:t xml:space="preserve">facing </w:t>
      </w:r>
      <w:r w:rsidR="003063CA">
        <w:t>down so</w:t>
      </w:r>
      <w:r w:rsidR="00790B88">
        <w:t xml:space="preserve"> that the cartridge is eluted in the </w:t>
      </w:r>
      <w:r w:rsidR="00790B88">
        <w:lastRenderedPageBreak/>
        <w:t xml:space="preserve">reverse direction of sample collection.  </w:t>
      </w:r>
      <w:r>
        <w:t xml:space="preserve">Use of a vacuum manifold is not </w:t>
      </w:r>
      <w:proofErr w:type="gramStart"/>
      <w:r>
        <w:t>necessary, but</w:t>
      </w:r>
      <w:proofErr w:type="gramEnd"/>
      <w:r>
        <w:t xml:space="preserve"> may reduce the time </w:t>
      </w:r>
      <w:r w:rsidR="00466589">
        <w:t xml:space="preserve">required </w:t>
      </w:r>
      <w:r>
        <w:t xml:space="preserve">to elute the cartridges.  Position the </w:t>
      </w:r>
      <w:r w:rsidR="00466589">
        <w:t xml:space="preserve">catch </w:t>
      </w:r>
      <w:r>
        <w:t xml:space="preserve">flasks under the cartridges to </w:t>
      </w:r>
      <w:r w:rsidR="00466589">
        <w:t xml:space="preserve">capture </w:t>
      </w:r>
      <w:r>
        <w:t>the extracts</w:t>
      </w:r>
      <w:r w:rsidR="00466589">
        <w:t xml:space="preserve"> and doublecheck that the sample identifiers match those on the catch flasks</w:t>
      </w:r>
      <w:r>
        <w:t>.</w:t>
      </w:r>
    </w:p>
    <w:p w14:paraId="20DEA7A5" w14:textId="75C288B4" w:rsidR="004F7CC7" w:rsidRDefault="003063CA" w:rsidP="0099275B">
      <w:pPr>
        <w:pStyle w:val="ListParagraph"/>
        <w:numPr>
          <w:ilvl w:val="2"/>
          <w:numId w:val="1"/>
        </w:numPr>
        <w:spacing w:after="120"/>
        <w:ind w:left="1440" w:hanging="187"/>
        <w:contextualSpacing w:val="0"/>
      </w:pPr>
      <w:r>
        <w:t xml:space="preserve">Using </w:t>
      </w:r>
      <w:r w:rsidR="00FF1426">
        <w:t>a single</w:t>
      </w:r>
      <w:r>
        <w:t xml:space="preserve"> lot of ACN for the extraction batch, a</w:t>
      </w:r>
      <w:r w:rsidR="004F7CC7">
        <w:t xml:space="preserve">dd ACN extraction solvent to the cartridges to begin elution of the cartridges.  </w:t>
      </w:r>
      <w:r w:rsidR="00790B88">
        <w:t xml:space="preserve">As the solvent drains through the cartridge, add additional solvent taking care to not overfill the </w:t>
      </w:r>
      <w:r w:rsidR="00466589">
        <w:t xml:space="preserve">catch </w:t>
      </w:r>
      <w:r w:rsidR="00790B88">
        <w:t xml:space="preserve">flasks.  </w:t>
      </w:r>
      <w:r w:rsidR="001D5DCB">
        <w:t xml:space="preserve">Note that the cartridge media will retain a small volume (approximately 0.5 mL) of solvent.  </w:t>
      </w:r>
      <w:r w:rsidR="004F7CC7">
        <w:t>Extraction solvent reservoir funnels</w:t>
      </w:r>
      <w:r w:rsidR="007C24C1">
        <w:t xml:space="preserve"> or </w:t>
      </w:r>
      <w:proofErr w:type="spellStart"/>
      <w:r w:rsidR="007C24C1">
        <w:t>Luer</w:t>
      </w:r>
      <w:proofErr w:type="spellEnd"/>
      <w:r w:rsidR="007C24C1">
        <w:t>-type syringe barrels</w:t>
      </w:r>
      <w:r w:rsidR="004F7CC7">
        <w:t xml:space="preserve"> </w:t>
      </w:r>
      <w:r w:rsidR="003D66AA">
        <w:t xml:space="preserve">are commercially available that </w:t>
      </w:r>
      <w:r w:rsidR="004F7CC7">
        <w:t xml:space="preserve">can be </w:t>
      </w:r>
      <w:r w:rsidR="003D66AA">
        <w:t>connected to the top of</w:t>
      </w:r>
      <w:r w:rsidR="004F7CC7">
        <w:t xml:space="preserve"> the cartridge </w:t>
      </w:r>
      <w:r w:rsidR="00790B88">
        <w:t>to speed up the extraction</w:t>
      </w:r>
      <w:r>
        <w:t xml:space="preserve"> and </w:t>
      </w:r>
      <w:r w:rsidR="007C24C1">
        <w:t>provide an</w:t>
      </w:r>
      <w:r>
        <w:t xml:space="preserve"> estimate </w:t>
      </w:r>
      <w:r w:rsidR="007C24C1">
        <w:t xml:space="preserve">for </w:t>
      </w:r>
      <w:r>
        <w:t>the volume of solvent</w:t>
      </w:r>
      <w:r w:rsidR="00790B88">
        <w:t>.</w:t>
      </w:r>
      <w:r w:rsidR="00466589">
        <w:t xml:space="preserve">  Note that Supelco S10 cartridges comprise an approximate 2-mL reservoir </w:t>
      </w:r>
      <w:r w:rsidR="00FF1426">
        <w:t xml:space="preserve">in the cartridge body </w:t>
      </w:r>
      <w:r w:rsidR="00466589">
        <w:t>for this purpose.</w:t>
      </w:r>
    </w:p>
    <w:p w14:paraId="18D22143" w14:textId="493E59A7" w:rsidR="00790B88" w:rsidRDefault="00790B88" w:rsidP="0099275B">
      <w:pPr>
        <w:pStyle w:val="ListParagraph"/>
        <w:numPr>
          <w:ilvl w:val="2"/>
          <w:numId w:val="1"/>
        </w:numPr>
        <w:spacing w:after="120"/>
        <w:ind w:left="1440" w:hanging="187"/>
        <w:contextualSpacing w:val="0"/>
      </w:pPr>
      <w:r>
        <w:t xml:space="preserve">Allow the solvent to drain into the </w:t>
      </w:r>
      <w:r w:rsidR="00466589">
        <w:t xml:space="preserve">catch </w:t>
      </w:r>
      <w:r>
        <w:t xml:space="preserve">flasks.  </w:t>
      </w:r>
      <w:r w:rsidR="003D66AA">
        <w:t>Once elution is complete, d</w:t>
      </w:r>
      <w:r>
        <w:t>ilute each flask to volume with</w:t>
      </w:r>
      <w:r w:rsidR="009755E8">
        <w:t xml:space="preserve"> extraction solvent </w:t>
      </w:r>
      <w:r>
        <w:t xml:space="preserve">as needed, stopper the flasks, and invert </w:t>
      </w:r>
      <w:r w:rsidR="003063CA">
        <w:t xml:space="preserve">each flask </w:t>
      </w:r>
      <w:r>
        <w:t>several times to mix.</w:t>
      </w:r>
    </w:p>
    <w:p w14:paraId="5052C348" w14:textId="73905C4B" w:rsidR="00790B88" w:rsidRDefault="00790B88" w:rsidP="0099275B">
      <w:pPr>
        <w:pStyle w:val="ListParagraph"/>
        <w:numPr>
          <w:ilvl w:val="2"/>
          <w:numId w:val="1"/>
        </w:numPr>
        <w:spacing w:after="120"/>
        <w:ind w:left="1440" w:hanging="187"/>
        <w:contextualSpacing w:val="0"/>
      </w:pPr>
      <w:r>
        <w:t xml:space="preserve">Transfer an aliquot </w:t>
      </w:r>
      <w:r w:rsidR="001631D9">
        <w:t xml:space="preserve">(e.g., approximately 500 µL) </w:t>
      </w:r>
      <w:r>
        <w:t>of each extract to a</w:t>
      </w:r>
      <w:r w:rsidR="001631D9">
        <w:t xml:space="preserve"> labeled </w:t>
      </w:r>
      <w:r w:rsidR="002F49B2">
        <w:t xml:space="preserve">amber </w:t>
      </w:r>
      <w:r>
        <w:t xml:space="preserve">autosampler vial </w:t>
      </w:r>
      <w:r w:rsidR="009755E8">
        <w:t xml:space="preserve">for analysis </w:t>
      </w:r>
      <w:r>
        <w:t xml:space="preserve">and cap </w:t>
      </w:r>
      <w:r w:rsidR="002F49B2">
        <w:t xml:space="preserve">each vial </w:t>
      </w:r>
      <w:r>
        <w:t xml:space="preserve">tightly.  It is recommended that </w:t>
      </w:r>
      <w:r w:rsidR="00A27962">
        <w:t>a</w:t>
      </w:r>
      <w:r w:rsidR="001631D9">
        <w:t xml:space="preserve"> separate </w:t>
      </w:r>
      <w:r w:rsidR="00A27962">
        <w:t>aliquot (e.g.</w:t>
      </w:r>
      <w:r w:rsidR="001631D9">
        <w:t>,</w:t>
      </w:r>
      <w:r w:rsidR="00A27962">
        <w:t xml:space="preserve"> a second autosampler vial) of </w:t>
      </w:r>
      <w:r w:rsidR="001631D9">
        <w:t xml:space="preserve">the </w:t>
      </w:r>
      <w:r>
        <w:t xml:space="preserve">extract be stored </w:t>
      </w:r>
      <w:r w:rsidR="001631D9">
        <w:t xml:space="preserve">as an archive </w:t>
      </w:r>
      <w:r>
        <w:t xml:space="preserve">to afford reanalysis should an error or problem occur during analysis.  </w:t>
      </w:r>
      <w:r w:rsidR="009755E8">
        <w:t xml:space="preserve">Any </w:t>
      </w:r>
      <w:r w:rsidR="00A27962">
        <w:t xml:space="preserve">extract </w:t>
      </w:r>
      <w:r w:rsidR="009755E8">
        <w:t>remaining</w:t>
      </w:r>
      <w:r>
        <w:t xml:space="preserve"> </w:t>
      </w:r>
      <w:r w:rsidR="00A27962">
        <w:t xml:space="preserve">after preparing the analysis vial and archive vial </w:t>
      </w:r>
      <w:r>
        <w:t>may be discarded</w:t>
      </w:r>
      <w:r w:rsidR="001631D9">
        <w:t xml:space="preserve"> or archived per the analyst’s discretion</w:t>
      </w:r>
      <w:r>
        <w:t>.  Store extracts</w:t>
      </w:r>
      <w:r w:rsidR="001631D9">
        <w:t xml:space="preserve"> protected from light</w:t>
      </w:r>
      <w:r>
        <w:t xml:space="preserve"> a</w:t>
      </w:r>
      <w:r w:rsidR="009755E8">
        <w:t xml:space="preserve">t </w:t>
      </w:r>
      <w:r w:rsidR="00A27962">
        <w:t>≤</w:t>
      </w:r>
      <w:r w:rsidR="009755E8">
        <w:t xml:space="preserve"> 4°C</w:t>
      </w:r>
      <w:r w:rsidR="007C24C1">
        <w:t xml:space="preserve"> in a dedicated storage unit</w:t>
      </w:r>
      <w:r>
        <w:t>.</w:t>
      </w:r>
      <w:r w:rsidR="002F49B2">
        <w:t xml:space="preserve">  </w:t>
      </w:r>
    </w:p>
    <w:p w14:paraId="121A86FD" w14:textId="580F13EB" w:rsidR="00790B88" w:rsidRDefault="00790B88" w:rsidP="0099275B">
      <w:pPr>
        <w:pStyle w:val="ListParagraph"/>
        <w:numPr>
          <w:ilvl w:val="1"/>
          <w:numId w:val="1"/>
        </w:numPr>
        <w:spacing w:after="120"/>
        <w:ind w:left="720"/>
        <w:contextualSpacing w:val="0"/>
      </w:pPr>
      <w:r>
        <w:t>Analysis</w:t>
      </w:r>
      <w:r w:rsidR="0074630C">
        <w:t xml:space="preserve"> by HPLC</w:t>
      </w:r>
    </w:p>
    <w:p w14:paraId="1EB9459E" w14:textId="77777777" w:rsidR="00790B88" w:rsidRDefault="009755E8" w:rsidP="0099275B">
      <w:pPr>
        <w:pStyle w:val="ListParagraph"/>
        <w:numPr>
          <w:ilvl w:val="2"/>
          <w:numId w:val="1"/>
        </w:numPr>
        <w:spacing w:after="120"/>
        <w:ind w:left="1440"/>
      </w:pPr>
      <w:r>
        <w:t>HPLC Setup</w:t>
      </w:r>
    </w:p>
    <w:p w14:paraId="44B09098" w14:textId="77777777" w:rsidR="002F49B2" w:rsidRDefault="002F49B2" w:rsidP="0099275B">
      <w:pPr>
        <w:pStyle w:val="ListParagraph"/>
        <w:ind w:left="1440"/>
      </w:pPr>
    </w:p>
    <w:p w14:paraId="44A7FB06" w14:textId="54E30FD8" w:rsidR="002F49B2" w:rsidRDefault="002F49B2" w:rsidP="0099275B">
      <w:pPr>
        <w:pStyle w:val="ListParagraph"/>
        <w:spacing w:after="120"/>
        <w:ind w:left="1440"/>
        <w:contextualSpacing w:val="0"/>
      </w:pPr>
      <w:r>
        <w:t xml:space="preserve">Note that the following instrument settings are a suggested </w:t>
      </w:r>
      <w:r w:rsidR="001E1D65">
        <w:t>starting point for the analytical method and instrument setup</w:t>
      </w:r>
      <w:r>
        <w:t xml:space="preserve">.  It is expected that experienced analysts </w:t>
      </w:r>
      <w:r w:rsidR="00B666E7">
        <w:t>will make modifications</w:t>
      </w:r>
      <w:r w:rsidR="007C24C1">
        <w:t>, as needed,</w:t>
      </w:r>
      <w:r w:rsidR="00B666E7">
        <w:t xml:space="preserve"> to these parameters to optimize the analysis </w:t>
      </w:r>
      <w:r w:rsidR="001631D9">
        <w:t xml:space="preserve">parameters </w:t>
      </w:r>
      <w:r w:rsidR="00B666E7">
        <w:t>for their specific instrument, separation column, and desired target analytes for quantitation.</w:t>
      </w:r>
      <w:r w:rsidR="0074630C">
        <w:t xml:space="preserve">  The method described below relates to HPLC; however, can be applied with little modification to UHPLC instruments.</w:t>
      </w:r>
    </w:p>
    <w:p w14:paraId="7B55ECEB" w14:textId="77777777" w:rsidR="00B666E7" w:rsidRDefault="00A00923" w:rsidP="0099275B">
      <w:pPr>
        <w:pStyle w:val="ListParagraph"/>
        <w:numPr>
          <w:ilvl w:val="3"/>
          <w:numId w:val="1"/>
        </w:numPr>
        <w:spacing w:after="120"/>
        <w:ind w:left="1800"/>
        <w:contextualSpacing w:val="0"/>
      </w:pPr>
      <w:r>
        <w:t>Instrument Parameter</w:t>
      </w:r>
      <w:r w:rsidR="001E1D65">
        <w:t>s</w:t>
      </w:r>
    </w:p>
    <w:p w14:paraId="2A6EE81C" w14:textId="7C1122A1" w:rsidR="00A00923" w:rsidRDefault="00A00923" w:rsidP="0099275B">
      <w:pPr>
        <w:pStyle w:val="ListParagraph"/>
        <w:numPr>
          <w:ilvl w:val="4"/>
          <w:numId w:val="1"/>
        </w:numPr>
        <w:spacing w:after="120"/>
        <w:ind w:left="2160"/>
        <w:contextualSpacing w:val="0"/>
      </w:pPr>
      <w:r>
        <w:t xml:space="preserve">Prior to beginning analysis, the analyst should ensure there </w:t>
      </w:r>
      <w:r w:rsidR="001631D9">
        <w:t>are</w:t>
      </w:r>
      <w:r>
        <w:t xml:space="preserve"> sufficient volume</w:t>
      </w:r>
      <w:r w:rsidR="001631D9">
        <w:t>s</w:t>
      </w:r>
      <w:r>
        <w:t xml:space="preserve"> of mobile phase reagents</w:t>
      </w:r>
      <w:r w:rsidR="00D040AD">
        <w:t xml:space="preserve"> in the HPLC reservoirs to cover the needed v</w:t>
      </w:r>
      <w:r w:rsidR="00671A84">
        <w:t xml:space="preserve">olume </w:t>
      </w:r>
      <w:r w:rsidR="001631D9">
        <w:t>to complete the analysis</w:t>
      </w:r>
      <w:r w:rsidR="00671A84">
        <w:t xml:space="preserve"> sequence</w:t>
      </w:r>
      <w:r w:rsidR="001631D9">
        <w:t>(s)</w:t>
      </w:r>
      <w:r w:rsidR="00671A84">
        <w:t xml:space="preserve"> and that the waste reservoir has sufficient space.</w:t>
      </w:r>
    </w:p>
    <w:p w14:paraId="7BCB5402" w14:textId="386A7FB6" w:rsidR="006E23B5" w:rsidRDefault="001E1D65" w:rsidP="002E2F67">
      <w:pPr>
        <w:pStyle w:val="ListParagraph"/>
        <w:numPr>
          <w:ilvl w:val="4"/>
          <w:numId w:val="1"/>
        </w:numPr>
        <w:spacing w:after="120"/>
        <w:ind w:left="2160"/>
        <w:contextualSpacing w:val="0"/>
      </w:pPr>
      <w:r>
        <w:t>Begin</w:t>
      </w:r>
      <w:r w:rsidR="00D040AD">
        <w:t xml:space="preserve"> pumping </w:t>
      </w:r>
      <w:r w:rsidR="001631D9">
        <w:t xml:space="preserve">the starting </w:t>
      </w:r>
      <w:r w:rsidR="00D040AD">
        <w:t xml:space="preserve">mobile phase through the </w:t>
      </w:r>
      <w:r w:rsidR="001631D9">
        <w:t xml:space="preserve">system and </w:t>
      </w:r>
      <w:r w:rsidR="00D040AD">
        <w:t xml:space="preserve">column minimally 30 minutes </w:t>
      </w:r>
      <w:r>
        <w:t xml:space="preserve">prior beginning an analytical sequence </w:t>
      </w:r>
      <w:r w:rsidR="006E23B5">
        <w:t xml:space="preserve">to </w:t>
      </w:r>
      <w:r w:rsidR="001631D9">
        <w:t xml:space="preserve">ensure a </w:t>
      </w:r>
      <w:r w:rsidR="006E23B5">
        <w:t>stable chromatogram baseline.</w:t>
      </w:r>
      <w:r w:rsidR="001631D9">
        <w:t xml:space="preserve">  Instruments that have not been operated for several days or weeks may require extended conditioning pumping times to ensure gases, bubbles, </w:t>
      </w:r>
      <w:r w:rsidR="007C24C1">
        <w:t>and/</w:t>
      </w:r>
      <w:r w:rsidR="001631D9">
        <w:t>or precipitates are eliminated.</w:t>
      </w:r>
    </w:p>
    <w:p w14:paraId="6A542513" w14:textId="33E183E7" w:rsidR="00AF38FF" w:rsidRDefault="00AF38FF" w:rsidP="0099275B">
      <w:pPr>
        <w:pStyle w:val="ListParagraph"/>
        <w:numPr>
          <w:ilvl w:val="4"/>
          <w:numId w:val="1"/>
        </w:numPr>
        <w:spacing w:after="120"/>
        <w:ind w:left="2160"/>
        <w:contextualSpacing w:val="0"/>
      </w:pPr>
      <w:r>
        <w:lastRenderedPageBreak/>
        <w:t xml:space="preserve">The simplest HPLC </w:t>
      </w:r>
      <w:r w:rsidR="00227910">
        <w:t xml:space="preserve">run </w:t>
      </w:r>
      <w:r>
        <w:t>method utilizes an isocratic method whereby the mobile phase remains a</w:t>
      </w:r>
      <w:r w:rsidR="007C24C1">
        <w:t xml:space="preserve"> constant (e.g.,</w:t>
      </w:r>
      <w:r>
        <w:t xml:space="preserve"> 70:30</w:t>
      </w:r>
      <w:r w:rsidR="007C24C1">
        <w:t>)</w:t>
      </w:r>
      <w:r>
        <w:t xml:space="preserve"> mixture of </w:t>
      </w:r>
      <w:proofErr w:type="spellStart"/>
      <w:r>
        <w:t>ACN:reagent</w:t>
      </w:r>
      <w:proofErr w:type="spellEnd"/>
      <w:r>
        <w:t xml:space="preserve"> water; however, adjustments to the mobile phase gradient</w:t>
      </w:r>
      <w:r w:rsidR="007C24C1">
        <w:t xml:space="preserve"> program</w:t>
      </w:r>
      <w:r w:rsidR="00A72728">
        <w:t xml:space="preserve"> and addition of other reagents such as methanol may improve chromatographic performance and </w:t>
      </w:r>
      <w:r w:rsidR="0016522D">
        <w:t xml:space="preserve">analyte </w:t>
      </w:r>
      <w:r w:rsidR="00A72728">
        <w:t xml:space="preserve">separation depending on the desired </w:t>
      </w:r>
      <w:r w:rsidR="0016522D">
        <w:t xml:space="preserve">suite of </w:t>
      </w:r>
      <w:r w:rsidR="00A72728">
        <w:t xml:space="preserve">target analytes, column selected, flow rates, etc. </w:t>
      </w:r>
      <w:r>
        <w:t xml:space="preserve"> </w:t>
      </w:r>
    </w:p>
    <w:p w14:paraId="4262C8C3" w14:textId="75FEEC11" w:rsidR="002F49B2" w:rsidRDefault="002F49B2" w:rsidP="0099275B">
      <w:pPr>
        <w:pStyle w:val="ListParagraph"/>
        <w:numPr>
          <w:ilvl w:val="3"/>
          <w:numId w:val="1"/>
        </w:numPr>
        <w:spacing w:after="120"/>
        <w:ind w:left="1800"/>
        <w:contextualSpacing w:val="0"/>
      </w:pPr>
      <w:r>
        <w:t>Chrom</w:t>
      </w:r>
      <w:r w:rsidR="00B666E7">
        <w:t>a</w:t>
      </w:r>
      <w:r w:rsidR="00A00923">
        <w:t>tography Data System Settings</w:t>
      </w:r>
      <w:r w:rsidR="0016522D">
        <w:t xml:space="preserve"> (example)</w:t>
      </w:r>
      <w:r>
        <w:t>:</w:t>
      </w:r>
    </w:p>
    <w:p w14:paraId="62BCBA61" w14:textId="694D9A98" w:rsidR="009755E8" w:rsidRDefault="009755E8" w:rsidP="0099275B">
      <w:pPr>
        <w:pStyle w:val="ListParagraph"/>
        <w:numPr>
          <w:ilvl w:val="4"/>
          <w:numId w:val="1"/>
        </w:numPr>
        <w:spacing w:after="120"/>
        <w:ind w:left="2160"/>
        <w:contextualSpacing w:val="0"/>
      </w:pPr>
      <w:r>
        <w:t>UV or PDA detector wavelength</w:t>
      </w:r>
      <w:r w:rsidR="002F49B2">
        <w:t>:</w:t>
      </w:r>
      <w:r w:rsidR="00A00923">
        <w:t xml:space="preserve"> </w:t>
      </w:r>
      <w:r>
        <w:t xml:space="preserve"> 360 </w:t>
      </w:r>
      <w:r w:rsidR="00A00923">
        <w:t>nm</w:t>
      </w:r>
    </w:p>
    <w:p w14:paraId="61309D65" w14:textId="68D9133A" w:rsidR="007D3477" w:rsidRPr="0099275B" w:rsidRDefault="007D3477" w:rsidP="0099275B">
      <w:pPr>
        <w:pStyle w:val="ListParagraph"/>
        <w:spacing w:after="120"/>
        <w:ind w:left="2160"/>
        <w:contextualSpacing w:val="0"/>
        <w:rPr>
          <w:i/>
          <w:iCs/>
        </w:rPr>
      </w:pPr>
      <w:r>
        <w:rPr>
          <w:i/>
          <w:iCs/>
        </w:rPr>
        <w:t xml:space="preserve">Note:  The target analyte carbonyl-hydrazones </w:t>
      </w:r>
      <w:r w:rsidR="00B91BD0">
        <w:rPr>
          <w:i/>
          <w:iCs/>
        </w:rPr>
        <w:t>absorb light efficiently in the range of 340 to 380 nm for detection</w:t>
      </w:r>
      <w:r w:rsidR="007C24C1">
        <w:rPr>
          <w:i/>
          <w:iCs/>
        </w:rPr>
        <w:t>.  W</w:t>
      </w:r>
      <w:r w:rsidR="007640CD">
        <w:rPr>
          <w:i/>
          <w:iCs/>
        </w:rPr>
        <w:t xml:space="preserve">avelengths selected within this range are </w:t>
      </w:r>
      <w:r w:rsidR="0016522D">
        <w:rPr>
          <w:i/>
          <w:iCs/>
        </w:rPr>
        <w:t xml:space="preserve">typically </w:t>
      </w:r>
      <w:r w:rsidR="007640CD">
        <w:rPr>
          <w:i/>
          <w:iCs/>
        </w:rPr>
        <w:t>suitable for this analysis</w:t>
      </w:r>
      <w:r w:rsidR="00B91BD0">
        <w:rPr>
          <w:i/>
          <w:iCs/>
        </w:rPr>
        <w:t>.</w:t>
      </w:r>
    </w:p>
    <w:p w14:paraId="7D46F766" w14:textId="77777777" w:rsidR="009755E8" w:rsidRDefault="00A00923" w:rsidP="0099275B">
      <w:pPr>
        <w:pStyle w:val="ListParagraph"/>
        <w:numPr>
          <w:ilvl w:val="4"/>
          <w:numId w:val="1"/>
        </w:numPr>
        <w:spacing w:after="120"/>
        <w:ind w:left="2160"/>
        <w:contextualSpacing w:val="0"/>
      </w:pPr>
      <w:r>
        <w:t>Mobile Phase</w:t>
      </w:r>
      <w:r w:rsidR="00B666E7">
        <w:t xml:space="preserve"> Flow Rate:  </w:t>
      </w:r>
      <w:r w:rsidR="009755E8">
        <w:t>1.5 mL/minute</w:t>
      </w:r>
    </w:p>
    <w:p w14:paraId="268DEDEE" w14:textId="77777777" w:rsidR="009755E8" w:rsidRDefault="009755E8" w:rsidP="0099275B">
      <w:pPr>
        <w:pStyle w:val="ListParagraph"/>
        <w:numPr>
          <w:ilvl w:val="4"/>
          <w:numId w:val="1"/>
        </w:numPr>
        <w:spacing w:after="120"/>
        <w:ind w:left="2160"/>
        <w:contextualSpacing w:val="0"/>
      </w:pPr>
      <w:r>
        <w:t xml:space="preserve">Mobile Phase: </w:t>
      </w:r>
      <w:r>
        <w:tab/>
      </w:r>
      <w:r w:rsidR="00A00923">
        <w:t xml:space="preserve"> isocratic 70:30 </w:t>
      </w:r>
      <w:proofErr w:type="spellStart"/>
      <w:r w:rsidR="00A00923">
        <w:t>ACN</w:t>
      </w:r>
      <w:r>
        <w:t>:reagent</w:t>
      </w:r>
      <w:proofErr w:type="spellEnd"/>
      <w:r>
        <w:t xml:space="preserve"> water </w:t>
      </w:r>
    </w:p>
    <w:p w14:paraId="2DED9044" w14:textId="77777777" w:rsidR="009755E8" w:rsidRDefault="00A00923" w:rsidP="0099275B">
      <w:pPr>
        <w:pStyle w:val="ListParagraph"/>
        <w:numPr>
          <w:ilvl w:val="4"/>
          <w:numId w:val="1"/>
        </w:numPr>
        <w:spacing w:after="120"/>
        <w:ind w:left="2160"/>
        <w:contextualSpacing w:val="0"/>
      </w:pPr>
      <w:r>
        <w:t xml:space="preserve">Injection Volume:  </w:t>
      </w:r>
      <w:r w:rsidR="009755E8">
        <w:t>20 µL</w:t>
      </w:r>
    </w:p>
    <w:p w14:paraId="0DC43B27" w14:textId="77777777" w:rsidR="009755E8" w:rsidRDefault="00B3353A" w:rsidP="0099275B">
      <w:pPr>
        <w:pStyle w:val="ListParagraph"/>
        <w:numPr>
          <w:ilvl w:val="4"/>
          <w:numId w:val="1"/>
        </w:numPr>
        <w:spacing w:after="120"/>
        <w:ind w:left="2160"/>
        <w:contextualSpacing w:val="0"/>
      </w:pPr>
      <w:r>
        <w:t>Column Temperature</w:t>
      </w:r>
      <w:r w:rsidR="009755E8">
        <w:t>:</w:t>
      </w:r>
      <w:r w:rsidR="009755E8">
        <w:tab/>
      </w:r>
      <w:r w:rsidR="00A00923">
        <w:t xml:space="preserve"> 30</w:t>
      </w:r>
      <w:r w:rsidR="009755E8">
        <w:t>°C, isothermal</w:t>
      </w:r>
    </w:p>
    <w:p w14:paraId="1AE94F54" w14:textId="0CA8FD8B" w:rsidR="00B91BD0" w:rsidRDefault="00B666E7" w:rsidP="0099275B">
      <w:pPr>
        <w:pStyle w:val="ListParagraph"/>
        <w:numPr>
          <w:ilvl w:val="4"/>
          <w:numId w:val="1"/>
        </w:numPr>
        <w:spacing w:after="120"/>
        <w:ind w:left="2160"/>
        <w:contextualSpacing w:val="0"/>
      </w:pPr>
      <w:r>
        <w:t>HPLC Run Time:  formaldehyde, acetaldehyde, acetone, and benzaldehyde will typically elute within 20 minutes depending on the specific instrument</w:t>
      </w:r>
      <w:r w:rsidR="0016522D">
        <w:t xml:space="preserve"> configuration</w:t>
      </w:r>
      <w:r>
        <w:t xml:space="preserve">.  </w:t>
      </w:r>
      <w:r w:rsidR="007C24C1">
        <w:t>Adjust run time to ensure complete elution of target analytes.</w:t>
      </w:r>
    </w:p>
    <w:p w14:paraId="3C1DEE5B" w14:textId="19860544" w:rsidR="009755E8" w:rsidRPr="0099275B" w:rsidRDefault="00B666E7" w:rsidP="0099275B">
      <w:pPr>
        <w:pStyle w:val="ListParagraph"/>
        <w:spacing w:after="120"/>
        <w:ind w:left="2160"/>
        <w:contextualSpacing w:val="0"/>
        <w:rPr>
          <w:i/>
          <w:iCs/>
        </w:rPr>
      </w:pPr>
      <w:r w:rsidRPr="0099275B">
        <w:rPr>
          <w:i/>
          <w:iCs/>
        </w:rPr>
        <w:t xml:space="preserve">Note:  </w:t>
      </w:r>
      <w:r w:rsidR="0016522D">
        <w:rPr>
          <w:i/>
          <w:iCs/>
        </w:rPr>
        <w:t>When first developing this method, a</w:t>
      </w:r>
      <w:r w:rsidRPr="0099275B">
        <w:rPr>
          <w:i/>
          <w:iCs/>
        </w:rPr>
        <w:t>nalysts should analyze a calibration standard in the upper third of the expected calibration range to determine the elution order and approximate elution times.  Vendors typically provide an example chromatogram with certified calibration stock solutions for assigning peaks to target analytes.</w:t>
      </w:r>
      <w:r w:rsidR="00AF6FB9" w:rsidRPr="0099275B">
        <w:rPr>
          <w:i/>
          <w:iCs/>
        </w:rPr>
        <w:t xml:space="preserve">  A typical example chromatogram is shown below in Figure 1.</w:t>
      </w:r>
    </w:p>
    <w:p w14:paraId="634DF2D2" w14:textId="4584BA6D" w:rsidR="00AF6FB9" w:rsidRDefault="007640CD" w:rsidP="00AF6FB9">
      <w:pPr>
        <w:pStyle w:val="ListParagraph"/>
        <w:ind w:left="0"/>
        <w:jc w:val="center"/>
      </w:pPr>
      <w:r>
        <w:rPr>
          <w:noProof/>
        </w:rPr>
        <w:drawing>
          <wp:inline distT="0" distB="0" distL="0" distR="0" wp14:anchorId="0A6C8559" wp14:editId="0F54C809">
            <wp:extent cx="3645865" cy="2566516"/>
            <wp:effectExtent l="19050" t="19050" r="12065" b="24765"/>
            <wp:docPr id="2" name="Picture 2" descr="Example HPLC chromatogram shows carbonyl-hydrazone peaks separated by retention time on the horizontal axis and detector response on the vertical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xample HPLC chromatogram shows carbonyl-hydrazone peaks separated by retention time on the horizontal axis and detector response on the vertical axi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6216" cy="2601961"/>
                    </a:xfrm>
                    <a:prstGeom prst="rect">
                      <a:avLst/>
                    </a:prstGeom>
                    <a:ln w="12700">
                      <a:solidFill>
                        <a:schemeClr val="tx1"/>
                      </a:solidFill>
                    </a:ln>
                  </pic:spPr>
                </pic:pic>
              </a:graphicData>
            </a:graphic>
          </wp:inline>
        </w:drawing>
      </w:r>
    </w:p>
    <w:p w14:paraId="4069535B" w14:textId="1905D8AB" w:rsidR="00911124" w:rsidRPr="00911124" w:rsidRDefault="00911124" w:rsidP="00AF6FB9">
      <w:pPr>
        <w:pStyle w:val="ListParagraph"/>
        <w:ind w:left="0"/>
        <w:jc w:val="center"/>
        <w:rPr>
          <w:b/>
        </w:rPr>
      </w:pPr>
      <w:r>
        <w:rPr>
          <w:b/>
        </w:rPr>
        <w:t xml:space="preserve">Figure 1:  Example </w:t>
      </w:r>
      <w:r w:rsidR="007640CD">
        <w:rPr>
          <w:b/>
        </w:rPr>
        <w:t xml:space="preserve">Carbonyls Analysis HPLC </w:t>
      </w:r>
      <w:r>
        <w:rPr>
          <w:b/>
        </w:rPr>
        <w:t>Chromatogram</w:t>
      </w:r>
    </w:p>
    <w:p w14:paraId="23AFA792" w14:textId="77777777" w:rsidR="00911124" w:rsidRDefault="00911124" w:rsidP="00AF6FB9">
      <w:pPr>
        <w:pStyle w:val="ListParagraph"/>
        <w:ind w:left="0"/>
        <w:jc w:val="center"/>
      </w:pPr>
    </w:p>
    <w:p w14:paraId="68D14F1A" w14:textId="77777777" w:rsidR="004F7CC7" w:rsidRDefault="00671A84" w:rsidP="0099275B">
      <w:pPr>
        <w:pStyle w:val="ListParagraph"/>
        <w:numPr>
          <w:ilvl w:val="2"/>
          <w:numId w:val="1"/>
        </w:numPr>
        <w:spacing w:after="120"/>
        <w:ind w:left="1440" w:hanging="187"/>
        <w:contextualSpacing w:val="0"/>
      </w:pPr>
      <w:r>
        <w:lastRenderedPageBreak/>
        <w:t>Instrument Calibration</w:t>
      </w:r>
    </w:p>
    <w:p w14:paraId="40D47907" w14:textId="21710305" w:rsidR="001E371A" w:rsidRDefault="00E73649" w:rsidP="0099275B">
      <w:pPr>
        <w:pStyle w:val="ListParagraph"/>
        <w:numPr>
          <w:ilvl w:val="3"/>
          <w:numId w:val="1"/>
        </w:numPr>
        <w:spacing w:after="120"/>
        <w:ind w:left="1800"/>
        <w:contextualSpacing w:val="0"/>
      </w:pPr>
      <w:r>
        <w:t xml:space="preserve">To calibrate the </w:t>
      </w:r>
      <w:r w:rsidR="007640CD">
        <w:t xml:space="preserve">HPLC </w:t>
      </w:r>
      <w:r>
        <w:t xml:space="preserve">instrument, </w:t>
      </w:r>
      <w:r w:rsidR="001E371A">
        <w:t xml:space="preserve">a suite of calibration standard solutions containing the target </w:t>
      </w:r>
      <w:r w:rsidR="00F11476">
        <w:t>carbonyl</w:t>
      </w:r>
      <w:r w:rsidR="007640CD">
        <w:t>-</w:t>
      </w:r>
      <w:r w:rsidR="00F11476">
        <w:t>hydrazone</w:t>
      </w:r>
      <w:r w:rsidR="007640CD">
        <w:t>s</w:t>
      </w:r>
      <w:r w:rsidR="00F11476">
        <w:t xml:space="preserve"> </w:t>
      </w:r>
      <w:r w:rsidR="001E371A">
        <w:t xml:space="preserve">of interest covering the desired </w:t>
      </w:r>
      <w:r w:rsidR="007640CD">
        <w:t xml:space="preserve">concentration </w:t>
      </w:r>
      <w:r w:rsidR="001E371A">
        <w:t xml:space="preserve">range </w:t>
      </w:r>
      <w:r w:rsidR="007640CD">
        <w:t xml:space="preserve">is </w:t>
      </w:r>
      <w:r w:rsidR="001E371A">
        <w:t xml:space="preserve">analyzed.  A minimum of five concentration levels </w:t>
      </w:r>
      <w:r w:rsidR="007640CD">
        <w:t xml:space="preserve">is </w:t>
      </w:r>
      <w:r w:rsidR="00A74CEB">
        <w:t>required</w:t>
      </w:r>
      <w:r w:rsidR="001E371A">
        <w:t xml:space="preserve">, typically covering a range of 0.01 to 3.0 µg/mL of </w:t>
      </w:r>
      <w:r w:rsidR="007640CD">
        <w:t xml:space="preserve">each </w:t>
      </w:r>
      <w:r w:rsidR="001E371A">
        <w:t>free (underivatized) carbonyl.</w:t>
      </w:r>
      <w:r w:rsidR="000D4675">
        <w:t xml:space="preserve">  </w:t>
      </w:r>
      <w:r w:rsidR="006E1155">
        <w:t>To avoid confusion, all concentration</w:t>
      </w:r>
      <w:r w:rsidR="007640CD">
        <w:t xml:space="preserve"> values</w:t>
      </w:r>
      <w:r w:rsidR="006E1155">
        <w:t xml:space="preserve"> should be determined in relation to the free (underivatized) carbonyl, and not the carbonyl</w:t>
      </w:r>
      <w:r w:rsidR="007640CD">
        <w:t>-</w:t>
      </w:r>
      <w:r w:rsidR="006E1155">
        <w:t>hydr</w:t>
      </w:r>
      <w:r w:rsidR="007640CD">
        <w:t>a</w:t>
      </w:r>
      <w:r w:rsidR="006E1155">
        <w:t xml:space="preserve">zone.  </w:t>
      </w:r>
      <w:r w:rsidR="000D4675">
        <w:t>Standards are to be at room temperature prior to analysis.</w:t>
      </w:r>
      <w:r w:rsidR="00D84A0F">
        <w:t xml:space="preserve">  Prior to calibration, ensure the chromatograph baseline is stable and analyze a solvent blank (SB) to demonstrate the instrument is sufficiently clean.</w:t>
      </w:r>
      <w:r w:rsidR="007640CD">
        <w:t xml:space="preserve">  The SB will ideally show </w:t>
      </w:r>
      <w:proofErr w:type="gramStart"/>
      <w:r w:rsidR="007640CD">
        <w:t>no</w:t>
      </w:r>
      <w:proofErr w:type="gramEnd"/>
      <w:r w:rsidR="007640CD">
        <w:t xml:space="preserve"> or min</w:t>
      </w:r>
      <w:r w:rsidR="007C24C1">
        <w:t>or</w:t>
      </w:r>
      <w:r w:rsidR="007640CD">
        <w:t xml:space="preserve"> chromatographic peaks or </w:t>
      </w:r>
      <w:r w:rsidR="0016522D">
        <w:t xml:space="preserve">baseline </w:t>
      </w:r>
      <w:r w:rsidR="007640CD">
        <w:t xml:space="preserve">artifacts and all target analyte concentrations should be ≤ </w:t>
      </w:r>
      <w:proofErr w:type="spellStart"/>
      <w:r w:rsidR="007640CD">
        <w:t>MDL</w:t>
      </w:r>
      <w:r w:rsidR="007640CD" w:rsidRPr="0099275B">
        <w:rPr>
          <w:vertAlign w:val="subscript"/>
        </w:rPr>
        <w:t>sp</w:t>
      </w:r>
      <w:proofErr w:type="spellEnd"/>
      <w:r w:rsidR="007640CD">
        <w:t>.</w:t>
      </w:r>
    </w:p>
    <w:p w14:paraId="3233E08E" w14:textId="182A775C" w:rsidR="00671A84" w:rsidRDefault="000D4675" w:rsidP="0099275B">
      <w:pPr>
        <w:pStyle w:val="ListParagraph"/>
        <w:numPr>
          <w:ilvl w:val="3"/>
          <w:numId w:val="1"/>
        </w:numPr>
        <w:spacing w:after="120"/>
        <w:ind w:left="1800"/>
        <w:contextualSpacing w:val="0"/>
      </w:pPr>
      <w:r>
        <w:t>P</w:t>
      </w:r>
      <w:r w:rsidR="00671A84">
        <w:t>repare calibration standard</w:t>
      </w:r>
      <w:r w:rsidR="007640CD">
        <w:t xml:space="preserve"> solutions</w:t>
      </w:r>
      <w:r w:rsidR="00671A84">
        <w:t xml:space="preserve"> </w:t>
      </w:r>
      <w:r w:rsidR="00F61EC5">
        <w:t xml:space="preserve">of target carbonyl-hydrazones </w:t>
      </w:r>
      <w:r w:rsidR="00671A84">
        <w:t>at concentrations covering the desir</w:t>
      </w:r>
      <w:r w:rsidR="001E371A">
        <w:t xml:space="preserve">ed </w:t>
      </w:r>
      <w:r w:rsidR="00F61EC5">
        <w:t xml:space="preserve">calibration </w:t>
      </w:r>
      <w:r w:rsidR="001E371A">
        <w:t>concentration range</w:t>
      </w:r>
      <w:r>
        <w:t xml:space="preserve"> by </w:t>
      </w:r>
      <w:r w:rsidR="001E371A">
        <w:t xml:space="preserve">diluting known volumes of stock </w:t>
      </w:r>
      <w:r w:rsidR="00F61EC5">
        <w:t xml:space="preserve">and/or intermediate </w:t>
      </w:r>
      <w:r w:rsidR="001E371A">
        <w:t xml:space="preserve">standard solutions in ACN </w:t>
      </w:r>
      <w:r w:rsidR="00F61EC5">
        <w:t xml:space="preserve">to known volumes.  Such dilutions are recommended to be performed by transferring stock standard volumes with calibrated mechanical pipettes or gastight syringes into Class A volumetric flasks and diluting to the desired final volume.  </w:t>
      </w:r>
      <w:r w:rsidR="001E371A">
        <w:t xml:space="preserve">An example calibration solution preparation scheme </w:t>
      </w:r>
      <w:r w:rsidR="00F61EC5">
        <w:t xml:space="preserve">whereby stock standard solutions at 15 µg/mL are diluted in 2-mL Class A volumetric flasks </w:t>
      </w:r>
      <w:r w:rsidR="001E371A">
        <w:t xml:space="preserve">is </w:t>
      </w:r>
      <w:r w:rsidR="00F61EC5">
        <w:t>shown</w:t>
      </w:r>
      <w:r w:rsidR="00561D1E">
        <w:t xml:space="preserve"> in Table 2</w:t>
      </w:r>
      <w:r w:rsidR="00F61EC5">
        <w:t>.</w:t>
      </w:r>
    </w:p>
    <w:p w14:paraId="7884CFC3" w14:textId="7FDEEE17" w:rsidR="00F61EC5" w:rsidRPr="0099275B" w:rsidRDefault="00F61EC5" w:rsidP="0099275B">
      <w:pPr>
        <w:pStyle w:val="ListParagraph"/>
        <w:spacing w:after="120"/>
        <w:ind w:left="1800"/>
        <w:contextualSpacing w:val="0"/>
        <w:rPr>
          <w:i/>
          <w:iCs/>
        </w:rPr>
      </w:pPr>
      <w:r>
        <w:rPr>
          <w:i/>
          <w:iCs/>
        </w:rPr>
        <w:t xml:space="preserve">Note:  Analysts are recommended to prepare two </w:t>
      </w:r>
      <w:r w:rsidR="007C24C1">
        <w:rPr>
          <w:i/>
          <w:iCs/>
        </w:rPr>
        <w:t xml:space="preserve">or more </w:t>
      </w:r>
      <w:r>
        <w:rPr>
          <w:i/>
          <w:iCs/>
        </w:rPr>
        <w:t xml:space="preserve">separate intermediate dilutions (e.g., the 3.0 and 1.125 µg/mL standards in Table </w:t>
      </w:r>
      <w:r w:rsidR="0074630C">
        <w:rPr>
          <w:i/>
          <w:iCs/>
        </w:rPr>
        <w:t>3</w:t>
      </w:r>
      <w:r>
        <w:rPr>
          <w:i/>
          <w:iCs/>
        </w:rPr>
        <w:t>) directly from a stock standard solution to ensure that dilution errors are noticed. Dilution errors for serial dilutions prepared from a single intermediate dilution will propagate to the subsequent dilutions and may not be discovered.</w:t>
      </w:r>
    </w:p>
    <w:p w14:paraId="0B3A675A" w14:textId="77777777" w:rsidR="001E371A" w:rsidRDefault="001E371A" w:rsidP="001E371A">
      <w:pPr>
        <w:pStyle w:val="ListParagraph"/>
        <w:ind w:left="2880"/>
      </w:pPr>
    </w:p>
    <w:p w14:paraId="5A9BB146" w14:textId="7D439CEA" w:rsidR="001E371A" w:rsidRPr="0099275B" w:rsidRDefault="00561D1E" w:rsidP="001E371A">
      <w:pPr>
        <w:pStyle w:val="BodyTextIndent3"/>
        <w:widowControl/>
        <w:tabs>
          <w:tab w:val="left" w:pos="1440"/>
        </w:tabs>
        <w:ind w:left="0" w:firstLine="0"/>
        <w:jc w:val="center"/>
        <w:rPr>
          <w:b/>
          <w:bCs/>
          <w:szCs w:val="24"/>
        </w:rPr>
      </w:pPr>
      <w:r w:rsidRPr="0099275B">
        <w:rPr>
          <w:b/>
          <w:bCs/>
          <w:szCs w:val="24"/>
        </w:rPr>
        <w:t xml:space="preserve">Table </w:t>
      </w:r>
      <w:r w:rsidR="0074630C">
        <w:rPr>
          <w:b/>
          <w:bCs/>
          <w:szCs w:val="24"/>
        </w:rPr>
        <w:t>3</w:t>
      </w:r>
      <w:r w:rsidR="001E371A" w:rsidRPr="0099275B">
        <w:rPr>
          <w:b/>
          <w:bCs/>
          <w:szCs w:val="24"/>
        </w:rPr>
        <w:t>.  Example Scheme for Preparation of Calibration Standards</w:t>
      </w:r>
    </w:p>
    <w:tbl>
      <w:tblPr>
        <w:tblStyle w:val="TableGrid"/>
        <w:tblW w:w="5000" w:type="pct"/>
        <w:tblLook w:val="04A0" w:firstRow="1" w:lastRow="0" w:firstColumn="1" w:lastColumn="0" w:noHBand="0" w:noVBand="1"/>
      </w:tblPr>
      <w:tblGrid>
        <w:gridCol w:w="2431"/>
        <w:gridCol w:w="2431"/>
        <w:gridCol w:w="2251"/>
        <w:gridCol w:w="2237"/>
      </w:tblGrid>
      <w:tr w:rsidR="001E371A" w:rsidRPr="0032180B" w14:paraId="171E064B" w14:textId="77777777" w:rsidTr="00BA1FA5">
        <w:tc>
          <w:tcPr>
            <w:tcW w:w="1300" w:type="pct"/>
            <w:vAlign w:val="bottom"/>
          </w:tcPr>
          <w:p w14:paraId="21ECB282" w14:textId="77777777" w:rsidR="001E371A" w:rsidRPr="001C2F52" w:rsidRDefault="001E371A" w:rsidP="00BA1FA5">
            <w:pPr>
              <w:pStyle w:val="Heading4"/>
              <w:numPr>
                <w:ilvl w:val="0"/>
                <w:numId w:val="0"/>
              </w:numPr>
              <w:spacing w:before="0"/>
              <w:jc w:val="center"/>
              <w:outlineLvl w:val="3"/>
              <w:rPr>
                <w:b/>
              </w:rPr>
            </w:pPr>
            <w:r w:rsidRPr="001C2F52">
              <w:rPr>
                <w:b/>
              </w:rPr>
              <w:t>Calibration Standard Target Concentration (µg/mL)</w:t>
            </w:r>
            <w:r>
              <w:rPr>
                <w:b/>
              </w:rPr>
              <w:t xml:space="preserve"> *</w:t>
            </w:r>
          </w:p>
        </w:tc>
        <w:tc>
          <w:tcPr>
            <w:tcW w:w="1300" w:type="pct"/>
            <w:vAlign w:val="bottom"/>
          </w:tcPr>
          <w:p w14:paraId="1088E42B" w14:textId="77777777" w:rsidR="001E371A" w:rsidRPr="001C2F52" w:rsidRDefault="001E371A" w:rsidP="00BA1FA5">
            <w:pPr>
              <w:pStyle w:val="Heading4"/>
              <w:numPr>
                <w:ilvl w:val="0"/>
                <w:numId w:val="0"/>
              </w:numPr>
              <w:spacing w:before="0"/>
              <w:jc w:val="center"/>
              <w:outlineLvl w:val="3"/>
              <w:rPr>
                <w:b/>
              </w:rPr>
            </w:pPr>
            <w:r>
              <w:rPr>
                <w:b/>
              </w:rPr>
              <w:t>Source Solution Concentration</w:t>
            </w:r>
            <w:r w:rsidRPr="001C2F52">
              <w:rPr>
                <w:b/>
              </w:rPr>
              <w:br/>
              <w:t>(µg/mL)</w:t>
            </w:r>
            <w:r>
              <w:rPr>
                <w:b/>
              </w:rPr>
              <w:t xml:space="preserve"> *</w:t>
            </w:r>
          </w:p>
        </w:tc>
        <w:tc>
          <w:tcPr>
            <w:tcW w:w="1204" w:type="pct"/>
            <w:vAlign w:val="bottom"/>
          </w:tcPr>
          <w:p w14:paraId="6EA60F46" w14:textId="77777777" w:rsidR="001E371A" w:rsidRPr="001C2F52" w:rsidRDefault="001E371A" w:rsidP="00BA1FA5">
            <w:pPr>
              <w:pStyle w:val="Heading4"/>
              <w:numPr>
                <w:ilvl w:val="0"/>
                <w:numId w:val="0"/>
              </w:numPr>
              <w:spacing w:before="0"/>
              <w:jc w:val="center"/>
              <w:outlineLvl w:val="3"/>
              <w:rPr>
                <w:b/>
              </w:rPr>
            </w:pPr>
            <w:r w:rsidRPr="001C2F52">
              <w:rPr>
                <w:b/>
              </w:rPr>
              <w:t>Volume of Source Solution (mL)</w:t>
            </w:r>
          </w:p>
        </w:tc>
        <w:tc>
          <w:tcPr>
            <w:tcW w:w="1196" w:type="pct"/>
            <w:vAlign w:val="bottom"/>
          </w:tcPr>
          <w:p w14:paraId="73A4DF78" w14:textId="77777777" w:rsidR="001E371A" w:rsidRPr="001C2F52" w:rsidRDefault="001E371A" w:rsidP="00BA1FA5">
            <w:pPr>
              <w:pStyle w:val="Heading4"/>
              <w:numPr>
                <w:ilvl w:val="0"/>
                <w:numId w:val="0"/>
              </w:numPr>
              <w:spacing w:before="0"/>
              <w:jc w:val="center"/>
              <w:outlineLvl w:val="3"/>
              <w:rPr>
                <w:b/>
              </w:rPr>
            </w:pPr>
            <w:r w:rsidRPr="001C2F52">
              <w:rPr>
                <w:b/>
              </w:rPr>
              <w:t>Final Volume (mL)</w:t>
            </w:r>
          </w:p>
        </w:tc>
      </w:tr>
      <w:tr w:rsidR="001E371A" w:rsidRPr="0032180B" w14:paraId="710675A8" w14:textId="77777777" w:rsidTr="00BA1FA5">
        <w:tc>
          <w:tcPr>
            <w:tcW w:w="1300" w:type="pct"/>
            <w:vAlign w:val="center"/>
          </w:tcPr>
          <w:p w14:paraId="75E41CEC" w14:textId="77777777" w:rsidR="001E371A" w:rsidRPr="0032180B" w:rsidRDefault="001E371A" w:rsidP="00BA1FA5">
            <w:pPr>
              <w:pStyle w:val="Heading4"/>
              <w:numPr>
                <w:ilvl w:val="0"/>
                <w:numId w:val="0"/>
              </w:numPr>
              <w:spacing w:before="60"/>
              <w:jc w:val="center"/>
              <w:outlineLvl w:val="3"/>
            </w:pPr>
            <w:r w:rsidRPr="0032180B">
              <w:t>3.0</w:t>
            </w:r>
          </w:p>
        </w:tc>
        <w:tc>
          <w:tcPr>
            <w:tcW w:w="1300" w:type="pct"/>
            <w:vAlign w:val="center"/>
          </w:tcPr>
          <w:p w14:paraId="4B3673FB" w14:textId="77777777" w:rsidR="001E371A" w:rsidRPr="0032180B" w:rsidRDefault="001E371A" w:rsidP="00BA1FA5">
            <w:pPr>
              <w:pStyle w:val="Heading4"/>
              <w:numPr>
                <w:ilvl w:val="0"/>
                <w:numId w:val="0"/>
              </w:numPr>
              <w:spacing w:before="60"/>
              <w:jc w:val="center"/>
              <w:outlineLvl w:val="3"/>
            </w:pPr>
            <w:r w:rsidRPr="0032180B">
              <w:t>15.0</w:t>
            </w:r>
          </w:p>
        </w:tc>
        <w:tc>
          <w:tcPr>
            <w:tcW w:w="1204" w:type="pct"/>
            <w:vAlign w:val="center"/>
          </w:tcPr>
          <w:p w14:paraId="030C53E8" w14:textId="77777777" w:rsidR="001E371A" w:rsidRPr="0032180B" w:rsidRDefault="001E371A" w:rsidP="00BA1FA5">
            <w:pPr>
              <w:pStyle w:val="Heading4"/>
              <w:numPr>
                <w:ilvl w:val="0"/>
                <w:numId w:val="0"/>
              </w:numPr>
              <w:spacing w:before="60"/>
              <w:jc w:val="center"/>
              <w:outlineLvl w:val="3"/>
            </w:pPr>
            <w:r w:rsidRPr="0032180B">
              <w:t>0.400</w:t>
            </w:r>
          </w:p>
        </w:tc>
        <w:tc>
          <w:tcPr>
            <w:tcW w:w="1196" w:type="pct"/>
            <w:vAlign w:val="center"/>
          </w:tcPr>
          <w:p w14:paraId="0AFB9818" w14:textId="77777777" w:rsidR="001E371A" w:rsidRPr="0032180B" w:rsidRDefault="001E371A" w:rsidP="00BA1FA5">
            <w:pPr>
              <w:pStyle w:val="Heading4"/>
              <w:numPr>
                <w:ilvl w:val="0"/>
                <w:numId w:val="0"/>
              </w:numPr>
              <w:spacing w:before="60"/>
              <w:jc w:val="center"/>
              <w:outlineLvl w:val="3"/>
            </w:pPr>
            <w:r w:rsidRPr="0032180B">
              <w:t>2.0</w:t>
            </w:r>
          </w:p>
        </w:tc>
      </w:tr>
      <w:tr w:rsidR="001E371A" w:rsidRPr="0032180B" w14:paraId="1C19F8AD" w14:textId="77777777" w:rsidTr="00BA1FA5">
        <w:tc>
          <w:tcPr>
            <w:tcW w:w="1300" w:type="pct"/>
            <w:vAlign w:val="center"/>
          </w:tcPr>
          <w:p w14:paraId="1FDCB3EC" w14:textId="77777777" w:rsidR="001E371A" w:rsidRPr="0032180B" w:rsidRDefault="00D84A0F" w:rsidP="00BA1FA5">
            <w:pPr>
              <w:pStyle w:val="Heading4"/>
              <w:numPr>
                <w:ilvl w:val="0"/>
                <w:numId w:val="0"/>
              </w:numPr>
              <w:spacing w:before="60"/>
              <w:jc w:val="center"/>
              <w:outlineLvl w:val="3"/>
            </w:pPr>
            <w:r>
              <w:t>1.125</w:t>
            </w:r>
          </w:p>
        </w:tc>
        <w:tc>
          <w:tcPr>
            <w:tcW w:w="1300" w:type="pct"/>
            <w:vAlign w:val="center"/>
          </w:tcPr>
          <w:p w14:paraId="70EF1FB3" w14:textId="77777777" w:rsidR="001E371A" w:rsidRPr="0032180B" w:rsidRDefault="001E371A" w:rsidP="00BA1FA5">
            <w:pPr>
              <w:pStyle w:val="Heading4"/>
              <w:numPr>
                <w:ilvl w:val="0"/>
                <w:numId w:val="0"/>
              </w:numPr>
              <w:spacing w:before="60"/>
              <w:jc w:val="center"/>
              <w:outlineLvl w:val="3"/>
            </w:pPr>
            <w:r w:rsidRPr="0032180B">
              <w:t>15.0</w:t>
            </w:r>
          </w:p>
        </w:tc>
        <w:tc>
          <w:tcPr>
            <w:tcW w:w="1204" w:type="pct"/>
            <w:vAlign w:val="center"/>
          </w:tcPr>
          <w:p w14:paraId="20A0145C" w14:textId="77777777" w:rsidR="001E371A" w:rsidRPr="0032180B" w:rsidRDefault="00D84A0F" w:rsidP="00BA1FA5">
            <w:pPr>
              <w:pStyle w:val="Heading4"/>
              <w:numPr>
                <w:ilvl w:val="0"/>
                <w:numId w:val="0"/>
              </w:numPr>
              <w:spacing w:before="60"/>
              <w:jc w:val="center"/>
              <w:outlineLvl w:val="3"/>
            </w:pPr>
            <w:r>
              <w:t>0.150</w:t>
            </w:r>
          </w:p>
        </w:tc>
        <w:tc>
          <w:tcPr>
            <w:tcW w:w="1196" w:type="pct"/>
            <w:vAlign w:val="center"/>
          </w:tcPr>
          <w:p w14:paraId="3839CA7D" w14:textId="77777777" w:rsidR="001E371A" w:rsidRPr="0032180B" w:rsidRDefault="001E371A" w:rsidP="00BA1FA5">
            <w:pPr>
              <w:pStyle w:val="Heading4"/>
              <w:numPr>
                <w:ilvl w:val="0"/>
                <w:numId w:val="0"/>
              </w:numPr>
              <w:spacing w:before="60"/>
              <w:jc w:val="center"/>
              <w:outlineLvl w:val="3"/>
            </w:pPr>
            <w:r w:rsidRPr="0032180B">
              <w:t>2.0</w:t>
            </w:r>
          </w:p>
        </w:tc>
      </w:tr>
      <w:tr w:rsidR="001E371A" w:rsidRPr="0032180B" w14:paraId="2012B25A" w14:textId="77777777" w:rsidTr="00BA1FA5">
        <w:tc>
          <w:tcPr>
            <w:tcW w:w="1300" w:type="pct"/>
            <w:vAlign w:val="center"/>
          </w:tcPr>
          <w:p w14:paraId="2B65C177" w14:textId="77777777" w:rsidR="001E371A" w:rsidRPr="0032180B" w:rsidRDefault="001E371A" w:rsidP="00BA1FA5">
            <w:pPr>
              <w:pStyle w:val="Heading4"/>
              <w:numPr>
                <w:ilvl w:val="0"/>
                <w:numId w:val="0"/>
              </w:numPr>
              <w:spacing w:before="60"/>
              <w:jc w:val="center"/>
              <w:outlineLvl w:val="3"/>
            </w:pPr>
            <w:r w:rsidRPr="0032180B">
              <w:t>0.30</w:t>
            </w:r>
          </w:p>
        </w:tc>
        <w:tc>
          <w:tcPr>
            <w:tcW w:w="1300" w:type="pct"/>
            <w:vAlign w:val="center"/>
          </w:tcPr>
          <w:p w14:paraId="79BBCA0B" w14:textId="77777777" w:rsidR="001E371A" w:rsidRPr="0032180B" w:rsidRDefault="001E371A" w:rsidP="00BA1FA5">
            <w:pPr>
              <w:pStyle w:val="Heading4"/>
              <w:numPr>
                <w:ilvl w:val="0"/>
                <w:numId w:val="0"/>
              </w:numPr>
              <w:spacing w:before="60"/>
              <w:jc w:val="center"/>
              <w:outlineLvl w:val="3"/>
            </w:pPr>
            <w:r w:rsidRPr="0032180B">
              <w:t>3.0</w:t>
            </w:r>
          </w:p>
        </w:tc>
        <w:tc>
          <w:tcPr>
            <w:tcW w:w="1204" w:type="pct"/>
            <w:vAlign w:val="center"/>
          </w:tcPr>
          <w:p w14:paraId="344303B4" w14:textId="77777777" w:rsidR="001E371A" w:rsidRPr="0032180B" w:rsidRDefault="001E371A" w:rsidP="00BA1FA5">
            <w:pPr>
              <w:pStyle w:val="Heading4"/>
              <w:numPr>
                <w:ilvl w:val="0"/>
                <w:numId w:val="0"/>
              </w:numPr>
              <w:spacing w:before="60"/>
              <w:jc w:val="center"/>
              <w:outlineLvl w:val="3"/>
            </w:pPr>
            <w:r w:rsidRPr="0032180B">
              <w:t>0.200</w:t>
            </w:r>
          </w:p>
        </w:tc>
        <w:tc>
          <w:tcPr>
            <w:tcW w:w="1196" w:type="pct"/>
            <w:vAlign w:val="center"/>
          </w:tcPr>
          <w:p w14:paraId="09F1E60A" w14:textId="77777777" w:rsidR="001E371A" w:rsidRPr="0032180B" w:rsidRDefault="001E371A" w:rsidP="00BA1FA5">
            <w:pPr>
              <w:pStyle w:val="Heading4"/>
              <w:numPr>
                <w:ilvl w:val="0"/>
                <w:numId w:val="0"/>
              </w:numPr>
              <w:spacing w:before="60"/>
              <w:jc w:val="center"/>
              <w:outlineLvl w:val="3"/>
            </w:pPr>
            <w:r w:rsidRPr="0032180B">
              <w:t>2.0</w:t>
            </w:r>
          </w:p>
        </w:tc>
      </w:tr>
      <w:tr w:rsidR="001E371A" w:rsidRPr="0032180B" w14:paraId="7ADFCF5B" w14:textId="77777777" w:rsidTr="00BA1FA5">
        <w:tc>
          <w:tcPr>
            <w:tcW w:w="1300" w:type="pct"/>
            <w:vAlign w:val="center"/>
          </w:tcPr>
          <w:p w14:paraId="0850DA53" w14:textId="77777777" w:rsidR="001E371A" w:rsidRPr="0032180B" w:rsidRDefault="001E371A" w:rsidP="00BA1FA5">
            <w:pPr>
              <w:pStyle w:val="Heading4"/>
              <w:numPr>
                <w:ilvl w:val="0"/>
                <w:numId w:val="0"/>
              </w:numPr>
              <w:spacing w:before="60"/>
              <w:jc w:val="center"/>
              <w:outlineLvl w:val="3"/>
            </w:pPr>
            <w:r w:rsidRPr="0032180B">
              <w:t>0.10</w:t>
            </w:r>
          </w:p>
        </w:tc>
        <w:tc>
          <w:tcPr>
            <w:tcW w:w="1300" w:type="pct"/>
            <w:vAlign w:val="center"/>
          </w:tcPr>
          <w:p w14:paraId="20D45B66" w14:textId="77777777" w:rsidR="001E371A" w:rsidRPr="0032180B" w:rsidRDefault="001E371A" w:rsidP="00BA1FA5">
            <w:pPr>
              <w:pStyle w:val="Heading4"/>
              <w:numPr>
                <w:ilvl w:val="0"/>
                <w:numId w:val="0"/>
              </w:numPr>
              <w:spacing w:before="60"/>
              <w:jc w:val="center"/>
              <w:outlineLvl w:val="3"/>
            </w:pPr>
            <w:r w:rsidRPr="0032180B">
              <w:t>1.0</w:t>
            </w:r>
          </w:p>
        </w:tc>
        <w:tc>
          <w:tcPr>
            <w:tcW w:w="1204" w:type="pct"/>
            <w:vAlign w:val="center"/>
          </w:tcPr>
          <w:p w14:paraId="0DC32935" w14:textId="77777777" w:rsidR="001E371A" w:rsidRPr="0032180B" w:rsidRDefault="001E371A" w:rsidP="00BA1FA5">
            <w:pPr>
              <w:pStyle w:val="Heading4"/>
              <w:numPr>
                <w:ilvl w:val="0"/>
                <w:numId w:val="0"/>
              </w:numPr>
              <w:spacing w:before="60"/>
              <w:jc w:val="center"/>
              <w:outlineLvl w:val="3"/>
            </w:pPr>
            <w:r w:rsidRPr="0032180B">
              <w:t>0.200</w:t>
            </w:r>
          </w:p>
        </w:tc>
        <w:tc>
          <w:tcPr>
            <w:tcW w:w="1196" w:type="pct"/>
            <w:vAlign w:val="center"/>
          </w:tcPr>
          <w:p w14:paraId="13107EDE" w14:textId="77777777" w:rsidR="001E371A" w:rsidRPr="0032180B" w:rsidRDefault="001E371A" w:rsidP="00BA1FA5">
            <w:pPr>
              <w:pStyle w:val="Heading4"/>
              <w:numPr>
                <w:ilvl w:val="0"/>
                <w:numId w:val="0"/>
              </w:numPr>
              <w:spacing w:before="60"/>
              <w:jc w:val="center"/>
              <w:outlineLvl w:val="3"/>
            </w:pPr>
            <w:r w:rsidRPr="0032180B">
              <w:t>2.0</w:t>
            </w:r>
          </w:p>
        </w:tc>
      </w:tr>
      <w:tr w:rsidR="001E371A" w:rsidRPr="0032180B" w14:paraId="4204FF00" w14:textId="77777777" w:rsidTr="00BA1FA5">
        <w:tc>
          <w:tcPr>
            <w:tcW w:w="1300" w:type="pct"/>
            <w:vAlign w:val="center"/>
          </w:tcPr>
          <w:p w14:paraId="7722C58D" w14:textId="5D248268" w:rsidR="001E371A" w:rsidRPr="0032180B" w:rsidRDefault="001E371A" w:rsidP="00BA1FA5">
            <w:pPr>
              <w:pStyle w:val="Heading4"/>
              <w:keepNext/>
              <w:keepLines/>
              <w:numPr>
                <w:ilvl w:val="0"/>
                <w:numId w:val="0"/>
              </w:numPr>
              <w:spacing w:before="60"/>
              <w:jc w:val="center"/>
              <w:outlineLvl w:val="3"/>
            </w:pPr>
            <w:r>
              <w:t>0.01</w:t>
            </w:r>
            <w:r w:rsidR="00F61EC5">
              <w:t>0</w:t>
            </w:r>
          </w:p>
        </w:tc>
        <w:tc>
          <w:tcPr>
            <w:tcW w:w="1300" w:type="pct"/>
            <w:vAlign w:val="center"/>
          </w:tcPr>
          <w:p w14:paraId="0C0196DB" w14:textId="77777777" w:rsidR="001E371A" w:rsidRPr="0032180B" w:rsidRDefault="001E371A" w:rsidP="00BA1FA5">
            <w:pPr>
              <w:pStyle w:val="Heading4"/>
              <w:keepNext/>
              <w:keepLines/>
              <w:numPr>
                <w:ilvl w:val="0"/>
                <w:numId w:val="0"/>
              </w:numPr>
              <w:spacing w:before="60"/>
              <w:jc w:val="center"/>
              <w:outlineLvl w:val="3"/>
            </w:pPr>
            <w:r>
              <w:t>1</w:t>
            </w:r>
            <w:r w:rsidRPr="0032180B">
              <w:t>.0</w:t>
            </w:r>
          </w:p>
        </w:tc>
        <w:tc>
          <w:tcPr>
            <w:tcW w:w="1204" w:type="pct"/>
            <w:vAlign w:val="center"/>
          </w:tcPr>
          <w:p w14:paraId="340500F0" w14:textId="77777777" w:rsidR="001E371A" w:rsidRPr="0032180B" w:rsidRDefault="001E371A" w:rsidP="00BA1FA5">
            <w:pPr>
              <w:pStyle w:val="Heading4"/>
              <w:keepNext/>
              <w:keepLines/>
              <w:numPr>
                <w:ilvl w:val="0"/>
                <w:numId w:val="0"/>
              </w:numPr>
              <w:spacing w:before="60"/>
              <w:jc w:val="center"/>
              <w:outlineLvl w:val="3"/>
            </w:pPr>
            <w:r w:rsidRPr="0032180B">
              <w:t>0.020</w:t>
            </w:r>
          </w:p>
        </w:tc>
        <w:tc>
          <w:tcPr>
            <w:tcW w:w="1196" w:type="pct"/>
            <w:vAlign w:val="center"/>
          </w:tcPr>
          <w:p w14:paraId="3F01C590" w14:textId="77777777" w:rsidR="001E371A" w:rsidRPr="0032180B" w:rsidRDefault="001E371A" w:rsidP="00BA1FA5">
            <w:pPr>
              <w:pStyle w:val="Heading4"/>
              <w:keepNext/>
              <w:keepLines/>
              <w:numPr>
                <w:ilvl w:val="0"/>
                <w:numId w:val="0"/>
              </w:numPr>
              <w:spacing w:before="60"/>
              <w:jc w:val="center"/>
              <w:outlineLvl w:val="3"/>
            </w:pPr>
            <w:r w:rsidRPr="0032180B">
              <w:t>2.0</w:t>
            </w:r>
          </w:p>
        </w:tc>
      </w:tr>
    </w:tbl>
    <w:p w14:paraId="54B78D19" w14:textId="77777777" w:rsidR="001E371A" w:rsidRPr="001E371A" w:rsidRDefault="001E371A" w:rsidP="001E371A">
      <w:pPr>
        <w:pStyle w:val="ListParagraph"/>
        <w:ind w:left="540"/>
        <w:rPr>
          <w:sz w:val="18"/>
          <w:szCs w:val="18"/>
        </w:rPr>
      </w:pPr>
      <w:r w:rsidRPr="001E371A">
        <w:rPr>
          <w:sz w:val="18"/>
          <w:szCs w:val="18"/>
        </w:rPr>
        <w:t>* Concentration reflects free-carbonyl (underivatized).</w:t>
      </w:r>
      <w:r w:rsidR="00BB71EC">
        <w:rPr>
          <w:sz w:val="18"/>
          <w:szCs w:val="18"/>
        </w:rPr>
        <w:br/>
      </w:r>
    </w:p>
    <w:p w14:paraId="20ACD9B7" w14:textId="25E7C9C3" w:rsidR="004D5D13" w:rsidRDefault="004D5D13" w:rsidP="0099275B">
      <w:pPr>
        <w:pStyle w:val="ListParagraph"/>
        <w:numPr>
          <w:ilvl w:val="3"/>
          <w:numId w:val="1"/>
        </w:numPr>
        <w:spacing w:after="120"/>
        <w:ind w:left="1800"/>
        <w:contextualSpacing w:val="0"/>
      </w:pPr>
      <w:r>
        <w:t xml:space="preserve">Prepare a SSCV standard </w:t>
      </w:r>
      <w:r w:rsidR="00F61EC5">
        <w:t xml:space="preserve">with target carbonyls </w:t>
      </w:r>
      <w:r>
        <w:t>at concentration</w:t>
      </w:r>
      <w:r w:rsidR="00F61EC5">
        <w:t>s</w:t>
      </w:r>
      <w:r>
        <w:t xml:space="preserve"> in the lower third of the calibration range by diluting a stock standard from </w:t>
      </w:r>
      <w:r w:rsidR="00F61EC5">
        <w:t xml:space="preserve">the second </w:t>
      </w:r>
      <w:r w:rsidR="00F61EC5">
        <w:lastRenderedPageBreak/>
        <w:t>source stock standard (</w:t>
      </w:r>
      <w:r>
        <w:t>a supplier different than the primary stock supplier</w:t>
      </w:r>
      <w:r w:rsidR="00F61EC5">
        <w:t>)</w:t>
      </w:r>
      <w:r>
        <w:t xml:space="preserve"> by following a dilution scheme similar to step 2 above.</w:t>
      </w:r>
    </w:p>
    <w:p w14:paraId="22290EF5" w14:textId="3C95E465" w:rsidR="000D4675" w:rsidRDefault="00F61EC5" w:rsidP="0099275B">
      <w:pPr>
        <w:pStyle w:val="ListParagraph"/>
        <w:numPr>
          <w:ilvl w:val="3"/>
          <w:numId w:val="1"/>
        </w:numPr>
        <w:spacing w:after="120"/>
        <w:ind w:left="1800"/>
        <w:contextualSpacing w:val="0"/>
      </w:pPr>
      <w:r>
        <w:t xml:space="preserve">Calculate the theoretical concentrations of the calibration standard solutions according to the formulas in Section </w:t>
      </w:r>
      <w:r w:rsidR="00101D9A">
        <w:t>L</w:t>
      </w:r>
      <w:r>
        <w:t xml:space="preserve"> </w:t>
      </w:r>
      <w:r w:rsidR="00A85240">
        <w:t>corrected for purity and the analytical concentration listed on the certificate of analysis (COA)</w:t>
      </w:r>
      <w:r w:rsidR="00067643">
        <w:t>, as appropriate</w:t>
      </w:r>
      <w:r w:rsidR="00A85240">
        <w:t>.  E</w:t>
      </w:r>
      <w:r w:rsidR="000D4675">
        <w:t>nter the</w:t>
      </w:r>
      <w:r w:rsidR="00A85240">
        <w:t>se</w:t>
      </w:r>
      <w:r w:rsidR="000D4675">
        <w:t xml:space="preserve"> </w:t>
      </w:r>
      <w:r>
        <w:t xml:space="preserve">theoretical </w:t>
      </w:r>
      <w:r w:rsidR="001E371A">
        <w:t>concentrations of the calibration standards</w:t>
      </w:r>
      <w:r w:rsidR="000D4675">
        <w:t xml:space="preserve"> into the CDS calibration table.</w:t>
      </w:r>
    </w:p>
    <w:p w14:paraId="3258D45E" w14:textId="6EE0A71F" w:rsidR="002A38E4" w:rsidRPr="0099275B" w:rsidRDefault="002A38E4" w:rsidP="0099275B">
      <w:pPr>
        <w:pStyle w:val="ListParagraph"/>
        <w:spacing w:after="120"/>
        <w:ind w:left="1800"/>
        <w:contextualSpacing w:val="0"/>
        <w:rPr>
          <w:i/>
          <w:iCs/>
        </w:rPr>
      </w:pPr>
      <w:r>
        <w:rPr>
          <w:i/>
          <w:iCs/>
        </w:rPr>
        <w:t>Note:  The stock standard COAs typically list a target, or nominal concentration; however, the analytical concentration, and not th</w:t>
      </w:r>
      <w:r w:rsidR="0016522D">
        <w:rPr>
          <w:i/>
          <w:iCs/>
        </w:rPr>
        <w:t>e target</w:t>
      </w:r>
      <w:r>
        <w:rPr>
          <w:i/>
          <w:iCs/>
        </w:rPr>
        <w:t xml:space="preserve"> value, should be the source value for determining the theoretical concentration of each calibration standard solution.</w:t>
      </w:r>
    </w:p>
    <w:p w14:paraId="0A305389" w14:textId="334E4A3E" w:rsidR="002A38E4" w:rsidRDefault="002A38E4" w:rsidP="0099275B">
      <w:pPr>
        <w:pStyle w:val="ListParagraph"/>
        <w:numPr>
          <w:ilvl w:val="3"/>
          <w:numId w:val="1"/>
        </w:numPr>
        <w:spacing w:after="120"/>
        <w:ind w:left="1800"/>
        <w:contextualSpacing w:val="0"/>
      </w:pPr>
      <w:r>
        <w:t>Analyze each calibration standard solution minimally once (i</w:t>
      </w:r>
      <w:r w:rsidR="000D4675">
        <w:t>t is recommended to analyze each calibration level in triplicate</w:t>
      </w:r>
      <w:r>
        <w:t>)</w:t>
      </w:r>
      <w:r w:rsidR="000D4675">
        <w:t xml:space="preserve"> to generate the calibration curve.</w:t>
      </w:r>
    </w:p>
    <w:p w14:paraId="5C7A14CD" w14:textId="4375B7FC" w:rsidR="002A38E4" w:rsidRDefault="002A38E4" w:rsidP="0099275B">
      <w:pPr>
        <w:pStyle w:val="ListParagraph"/>
        <w:numPr>
          <w:ilvl w:val="3"/>
          <w:numId w:val="1"/>
        </w:numPr>
        <w:spacing w:after="120"/>
        <w:ind w:left="1800"/>
        <w:contextualSpacing w:val="0"/>
      </w:pPr>
      <w:r>
        <w:t xml:space="preserve">Ensure the CDS has properly identified each target analyte peak and that the peak integration is appropriate and consistent for each concentration level and target analyte.  Adjust CDS parameters for target analyte identification and for peak integration as needed. </w:t>
      </w:r>
    </w:p>
    <w:p w14:paraId="6A124A4C" w14:textId="5D83011E" w:rsidR="000D4675" w:rsidRDefault="000D4675" w:rsidP="0099275B">
      <w:pPr>
        <w:pStyle w:val="ListParagraph"/>
        <w:numPr>
          <w:ilvl w:val="3"/>
          <w:numId w:val="1"/>
        </w:numPr>
        <w:spacing w:after="120"/>
        <w:ind w:left="1800"/>
        <w:contextualSpacing w:val="0"/>
      </w:pPr>
      <w:r>
        <w:t xml:space="preserve">Establish the calibration curve for each target analyte using the CDS calibration linear regression function to plot the instrument response (area </w:t>
      </w:r>
      <w:r w:rsidR="002A38E4">
        <w:t xml:space="preserve">response </w:t>
      </w:r>
      <w:r>
        <w:t>units</w:t>
      </w:r>
      <w:r w:rsidR="002A38E4">
        <w:t xml:space="preserve"> for each target analyte chromatographic peak</w:t>
      </w:r>
      <w:r>
        <w:t xml:space="preserve">) on the y-axis and the nominal concentration on the x-axis.  </w:t>
      </w:r>
      <w:r w:rsidRPr="000D4675">
        <w:t xml:space="preserve">The calibration curve correlation coefficient (r) </w:t>
      </w:r>
      <w:r w:rsidR="002A38E4">
        <w:t xml:space="preserve">for each target analyte </w:t>
      </w:r>
      <w:r w:rsidRPr="000D4675">
        <w:t xml:space="preserve">must be ≥ 0.999 for linear fit and the curve must not be forced through the origin.  </w:t>
      </w:r>
      <w:r>
        <w:t xml:space="preserve">Once the calibration curves are established, re-evaluate each calibration level against the curve </w:t>
      </w:r>
      <w:r w:rsidR="007C24C1">
        <w:t xml:space="preserve">(plug the area response into the regression equation) </w:t>
      </w:r>
      <w:r>
        <w:t>to ensure that t</w:t>
      </w:r>
      <w:r w:rsidRPr="000D4675">
        <w:t xml:space="preserve">he calculated concentration of each calibration solution </w:t>
      </w:r>
      <w:r>
        <w:t>is</w:t>
      </w:r>
      <w:r w:rsidRPr="000D4675">
        <w:t xml:space="preserve"> within </w:t>
      </w:r>
      <w:r w:rsidR="002A38E4">
        <w:t>±</w:t>
      </w:r>
      <w:r w:rsidRPr="000D4675">
        <w:t xml:space="preserve">20% of </w:t>
      </w:r>
      <w:r w:rsidR="002A38E4">
        <w:t>its theoretical</w:t>
      </w:r>
      <w:r w:rsidRPr="000D4675">
        <w:t xml:space="preserve"> concentration.</w:t>
      </w:r>
      <w:r w:rsidR="00227910">
        <w:br/>
      </w:r>
      <w:r w:rsidR="00227910">
        <w:br/>
      </w:r>
      <w:r w:rsidR="00A74CEB" w:rsidRPr="0099275B">
        <w:rPr>
          <w:i/>
          <w:iCs/>
        </w:rPr>
        <w:t>C</w:t>
      </w:r>
      <w:r w:rsidR="00227910" w:rsidRPr="0099275B">
        <w:rPr>
          <w:i/>
          <w:iCs/>
        </w:rPr>
        <w:t>alibration curve</w:t>
      </w:r>
      <w:r w:rsidR="00A74CEB" w:rsidRPr="0099275B">
        <w:rPr>
          <w:i/>
          <w:iCs/>
        </w:rPr>
        <w:t>s</w:t>
      </w:r>
      <w:r w:rsidR="00227910" w:rsidRPr="0099275B">
        <w:rPr>
          <w:i/>
          <w:iCs/>
        </w:rPr>
        <w:t xml:space="preserve"> must include a minimum of five (5) calibration standard levels</w:t>
      </w:r>
      <w:r w:rsidR="00A74CEB" w:rsidRPr="0099275B">
        <w:rPr>
          <w:i/>
          <w:iCs/>
        </w:rPr>
        <w:t>.  Individual calibration standard levels may not be excluded from the calibration curve to improve the regression arbitrarily; a valid technical reason must be documented to justify the removal of a calibration standard level (e.g., known injection error, chromatographic interference with integration or identification, etc.).</w:t>
      </w:r>
    </w:p>
    <w:p w14:paraId="5AB922BE" w14:textId="05CEB884" w:rsidR="000D4675" w:rsidRDefault="000D4675" w:rsidP="0099275B">
      <w:pPr>
        <w:pStyle w:val="ListParagraph"/>
        <w:numPr>
          <w:ilvl w:val="3"/>
          <w:numId w:val="1"/>
        </w:numPr>
        <w:spacing w:after="120"/>
        <w:ind w:left="1800"/>
        <w:contextualSpacing w:val="0"/>
      </w:pPr>
      <w:r>
        <w:t xml:space="preserve">Examine the linear regression intercept to ensure the absolute value of the concentration equivalent </w:t>
      </w:r>
      <w:r w:rsidRPr="000D4675">
        <w:t xml:space="preserve">(|intercept/slope|) </w:t>
      </w:r>
      <w:r>
        <w:t>is</w:t>
      </w:r>
      <w:r w:rsidRPr="000D4675">
        <w:t xml:space="preserve"> less than the laboratory </w:t>
      </w:r>
      <w:proofErr w:type="spellStart"/>
      <w:r w:rsidRPr="000D4675">
        <w:t>MDL</w:t>
      </w:r>
      <w:r w:rsidRPr="000D4675">
        <w:rPr>
          <w:vertAlign w:val="subscript"/>
        </w:rPr>
        <w:t>sp</w:t>
      </w:r>
      <w:proofErr w:type="spellEnd"/>
      <w:r w:rsidRPr="000D4675">
        <w:t xml:space="preserve">.  When this specification is not met, </w:t>
      </w:r>
      <w:r w:rsidR="002A38E4">
        <w:t>the analyst may establish the regression using weighted regression such as concentration</w:t>
      </w:r>
      <w:r w:rsidR="002A38E4" w:rsidRPr="0099275B">
        <w:rPr>
          <w:vertAlign w:val="superscript"/>
        </w:rPr>
        <w:t>-1</w:t>
      </w:r>
      <w:r w:rsidR="002A38E4">
        <w:t xml:space="preserve"> or concentration</w:t>
      </w:r>
      <w:r w:rsidR="002A38E4" w:rsidRPr="0099275B">
        <w:rPr>
          <w:vertAlign w:val="superscript"/>
        </w:rPr>
        <w:t>-2</w:t>
      </w:r>
      <w:r w:rsidR="002A38E4">
        <w:t>, which increase</w:t>
      </w:r>
      <w:r w:rsidR="008250F8">
        <w:t>s</w:t>
      </w:r>
      <w:r w:rsidR="002A38E4">
        <w:t xml:space="preserve"> the influence of the lower concentration standards in the regression.  If the intercept still does not meet the acceptance criterion, </w:t>
      </w:r>
      <w:r w:rsidRPr="000D4675">
        <w:t xml:space="preserve">the source of </w:t>
      </w:r>
      <w:r w:rsidR="002A38E4">
        <w:t>the error</w:t>
      </w:r>
      <w:r w:rsidR="008250F8">
        <w:t>,</w:t>
      </w:r>
      <w:r w:rsidR="002A38E4">
        <w:t xml:space="preserve"> such as may occur from inaccurate dilution, </w:t>
      </w:r>
      <w:r w:rsidRPr="000D4675">
        <w:t>contamination</w:t>
      </w:r>
      <w:r w:rsidR="002A38E4">
        <w:t>,</w:t>
      </w:r>
      <w:r w:rsidRPr="000D4675">
        <w:t xml:space="preserve"> or </w:t>
      </w:r>
      <w:r w:rsidR="008250F8">
        <w:lastRenderedPageBreak/>
        <w:t>suppression,</w:t>
      </w:r>
      <w:r w:rsidRPr="000D4675">
        <w:t xml:space="preserve"> must be corrected and the calibration curve re</w:t>
      </w:r>
      <w:r w:rsidR="008250F8">
        <w:t>-</w:t>
      </w:r>
      <w:r w:rsidRPr="000D4675">
        <w:t>established before sample analysis may commence.</w:t>
      </w:r>
    </w:p>
    <w:p w14:paraId="0B76CAC3" w14:textId="3A7E1539" w:rsidR="000D4675" w:rsidRDefault="000D4675" w:rsidP="0099275B">
      <w:pPr>
        <w:pStyle w:val="ListParagraph"/>
        <w:numPr>
          <w:ilvl w:val="3"/>
          <w:numId w:val="1"/>
        </w:numPr>
        <w:spacing w:after="120"/>
        <w:ind w:left="1800"/>
        <w:contextualSpacing w:val="0"/>
      </w:pPr>
      <w:r>
        <w:t xml:space="preserve">Update the retention time (RT) </w:t>
      </w:r>
      <w:r w:rsidRPr="000D4675">
        <w:t xml:space="preserve">windows </w:t>
      </w:r>
      <w:r>
        <w:t xml:space="preserve">in the CDS as the </w:t>
      </w:r>
      <w:r w:rsidRPr="000D4675">
        <w:t xml:space="preserve">mean RT </w:t>
      </w:r>
      <w:r>
        <w:t xml:space="preserve">from the ICAL </w:t>
      </w:r>
      <w:r w:rsidRPr="000D4675">
        <w:t xml:space="preserve">for each target </w:t>
      </w:r>
      <w:r w:rsidR="008250F8">
        <w:t>analyte</w:t>
      </w:r>
      <w:r w:rsidRPr="000D4675">
        <w:t>.  For positive identification</w:t>
      </w:r>
      <w:r w:rsidR="008250F8">
        <w:t>,</w:t>
      </w:r>
      <w:r w:rsidRPr="000D4675">
        <w:t xml:space="preserve"> the RT of a </w:t>
      </w:r>
      <w:r w:rsidR="008250F8">
        <w:t>target analyte</w:t>
      </w:r>
      <w:r w:rsidRPr="000D4675">
        <w:t xml:space="preserve"> must be within three standard deviations (3</w:t>
      </w:r>
      <w:r w:rsidRPr="0099275B">
        <w:rPr>
          <w:i/>
          <w:iCs/>
        </w:rPr>
        <w:t>s</w:t>
      </w:r>
      <w:r w:rsidRPr="000D4675">
        <w:t>) or ± 2%, whichever is smaller,</w:t>
      </w:r>
      <w:r w:rsidR="004D5D13">
        <w:t xml:space="preserve"> of its mean RT from the ICAL.</w:t>
      </w:r>
    </w:p>
    <w:p w14:paraId="674D585B" w14:textId="1ABE6711" w:rsidR="004D5D13" w:rsidRDefault="004D5D13" w:rsidP="0099275B">
      <w:pPr>
        <w:pStyle w:val="ListParagraph"/>
        <w:numPr>
          <w:ilvl w:val="3"/>
          <w:numId w:val="1"/>
        </w:numPr>
        <w:spacing w:after="120"/>
        <w:ind w:left="1800"/>
        <w:contextualSpacing w:val="0"/>
      </w:pPr>
      <w:r>
        <w:t xml:space="preserve">Once the calibration criteria listed in steps 5 </w:t>
      </w:r>
      <w:r w:rsidR="008250F8">
        <w:t>through 9</w:t>
      </w:r>
      <w:r>
        <w:t xml:space="preserve"> above are met, analyze a</w:t>
      </w:r>
      <w:r w:rsidR="006178AF">
        <w:t>n</w:t>
      </w:r>
      <w:r>
        <w:t xml:space="preserve"> SSCV to verify the calibration</w:t>
      </w:r>
      <w:r w:rsidR="008250F8">
        <w:t xml:space="preserve"> for each target analyte</w:t>
      </w:r>
      <w:r>
        <w:t xml:space="preserve">.  The SSCV measured concentration is to be within ± 15% of the </w:t>
      </w:r>
      <w:r w:rsidR="008250F8">
        <w:t xml:space="preserve">theoretical </w:t>
      </w:r>
      <w:r>
        <w:t>concentration</w:t>
      </w:r>
      <w:r w:rsidR="008250F8">
        <w:t xml:space="preserve"> for each target analyte</w:t>
      </w:r>
      <w:r>
        <w:t>.</w:t>
      </w:r>
      <w:r w:rsidR="00D84A0F">
        <w:t xml:space="preserve">  Once verified, these calibration curves will be </w:t>
      </w:r>
      <w:r w:rsidR="008250F8">
        <w:t xml:space="preserve">employed </w:t>
      </w:r>
      <w:r w:rsidR="00D84A0F">
        <w:t xml:space="preserve">for </w:t>
      </w:r>
      <w:r w:rsidR="008250F8">
        <w:t xml:space="preserve">determining the concentrations of all subsequent analyzed solutions </w:t>
      </w:r>
      <w:r w:rsidR="00D84A0F">
        <w:t>until a new calibration is established.  Depending on the instrument, the calibration curve may remain valid for six months or</w:t>
      </w:r>
      <w:r w:rsidR="006F4704">
        <w:t xml:space="preserve"> longer, as evidenced by analysis of a continuing calibration verification (CCV) standard.</w:t>
      </w:r>
    </w:p>
    <w:p w14:paraId="1D4379C5" w14:textId="77777777" w:rsidR="006F4704" w:rsidRDefault="006F4704" w:rsidP="0099275B">
      <w:pPr>
        <w:pStyle w:val="ListParagraph"/>
        <w:numPr>
          <w:ilvl w:val="2"/>
          <w:numId w:val="1"/>
        </w:numPr>
        <w:spacing w:after="120"/>
        <w:ind w:left="1440" w:hanging="187"/>
        <w:contextualSpacing w:val="0"/>
      </w:pPr>
      <w:r>
        <w:t>Sample Analysis</w:t>
      </w:r>
    </w:p>
    <w:p w14:paraId="40A344D2" w14:textId="5C034009" w:rsidR="006F4704" w:rsidRDefault="006F4704" w:rsidP="0099275B">
      <w:pPr>
        <w:pStyle w:val="ListParagraph"/>
        <w:numPr>
          <w:ilvl w:val="3"/>
          <w:numId w:val="1"/>
        </w:numPr>
        <w:spacing w:after="120"/>
        <w:ind w:left="1800"/>
        <w:contextualSpacing w:val="0"/>
      </w:pPr>
      <w:r>
        <w:t>Once calibration curves have been established for each target analyte and met the acceptance criteria a</w:t>
      </w:r>
      <w:r w:rsidR="006178AF">
        <w:t>s</w:t>
      </w:r>
      <w:r>
        <w:t xml:space="preserve"> verified by analysis of the SSCV, the calibration is verified minimally every 12 hours of analysis by </w:t>
      </w:r>
      <w:r w:rsidR="00A4552D">
        <w:t>analyzing</w:t>
      </w:r>
      <w:r>
        <w:t xml:space="preserve"> a CCV</w:t>
      </w:r>
      <w:r w:rsidR="008250F8">
        <w:t xml:space="preserve"> standard</w:t>
      </w:r>
      <w:r>
        <w:t xml:space="preserve">.  The CCV typically </w:t>
      </w:r>
      <w:r w:rsidR="008250F8">
        <w:t xml:space="preserve">consists of </w:t>
      </w:r>
      <w:r>
        <w:t xml:space="preserve">an analysis of a calibration standard with </w:t>
      </w:r>
      <w:r w:rsidR="008250F8">
        <w:t xml:space="preserve">all target analytes at </w:t>
      </w:r>
      <w:r>
        <w:t>concentration</w:t>
      </w:r>
      <w:r w:rsidR="008250F8">
        <w:t>s</w:t>
      </w:r>
      <w:r>
        <w:t xml:space="preserve"> in the lower third of the</w:t>
      </w:r>
      <w:r w:rsidR="008250F8">
        <w:t>ir</w:t>
      </w:r>
      <w:r>
        <w:t xml:space="preserve"> calibration range</w:t>
      </w:r>
      <w:r w:rsidR="008250F8">
        <w:t xml:space="preserve">.  A </w:t>
      </w:r>
      <w:r>
        <w:t xml:space="preserve">best practice is to analyze </w:t>
      </w:r>
      <w:r w:rsidR="008250F8">
        <w:t xml:space="preserve">two </w:t>
      </w:r>
      <w:r>
        <w:t xml:space="preserve">or more </w:t>
      </w:r>
      <w:r w:rsidR="008250F8">
        <w:t>standard</w:t>
      </w:r>
      <w:r w:rsidR="006178AF">
        <w:t xml:space="preserve"> levels</w:t>
      </w:r>
      <w:r w:rsidR="008250F8">
        <w:t xml:space="preserve"> with </w:t>
      </w:r>
      <w:r>
        <w:t xml:space="preserve">concentrations </w:t>
      </w:r>
      <w:r w:rsidR="008250F8">
        <w:t xml:space="preserve">representing different portions of the calibration curve range </w:t>
      </w:r>
      <w:r>
        <w:t>(e.g.</w:t>
      </w:r>
      <w:r w:rsidR="006178AF">
        <w:t>,</w:t>
      </w:r>
      <w:r>
        <w:t xml:space="preserve"> one each in the lower third and middle third of the concentration range).  The CCV may be diluted from the primary calibration stock material or the secondary source stock material.  CCVs are to be within ±15% of the </w:t>
      </w:r>
      <w:r w:rsidR="008250F8">
        <w:t xml:space="preserve">theoretical </w:t>
      </w:r>
      <w:r>
        <w:t xml:space="preserve">concentration and </w:t>
      </w:r>
      <w:r w:rsidR="008250F8">
        <w:t xml:space="preserve">will </w:t>
      </w:r>
      <w:r>
        <w:t>verify target analyte RTs are within the established RT windows.</w:t>
      </w:r>
    </w:p>
    <w:p w14:paraId="5294065A" w14:textId="4CCCF3C5" w:rsidR="006F4704" w:rsidRDefault="006F4704" w:rsidP="0099275B">
      <w:pPr>
        <w:pStyle w:val="ListParagraph"/>
        <w:numPr>
          <w:ilvl w:val="3"/>
          <w:numId w:val="1"/>
        </w:numPr>
        <w:spacing w:after="120"/>
        <w:ind w:left="1800"/>
        <w:contextualSpacing w:val="0"/>
      </w:pPr>
      <w:r>
        <w:t xml:space="preserve">On days when an ICAL is not performed, the analytical sequence should commence with an SB followed by a CCV.  Once these two </w:t>
      </w:r>
      <w:r w:rsidR="008250F8">
        <w:t xml:space="preserve">QC </w:t>
      </w:r>
      <w:r>
        <w:t xml:space="preserve">checks </w:t>
      </w:r>
      <w:r w:rsidR="008250F8">
        <w:t xml:space="preserve">demonstrate that </w:t>
      </w:r>
      <w:r>
        <w:t>the system is sufficiently clean and the calibration remains valid</w:t>
      </w:r>
      <w:r w:rsidR="008250F8">
        <w:t xml:space="preserve"> (and RTs are stable)</w:t>
      </w:r>
      <w:r w:rsidR="006B619F">
        <w:t>, analyze laboratory QC samples, field QC samples, and field samples.  The CCV, followed by a</w:t>
      </w:r>
      <w:r w:rsidR="008250F8">
        <w:t>n</w:t>
      </w:r>
      <w:r w:rsidR="006B619F">
        <w:t xml:space="preserve"> SB, is analyzed every 12 hours of analysis and at the conclusion of the analytical sequence.  Analysts should verify the </w:t>
      </w:r>
      <w:r w:rsidR="008250F8">
        <w:t>sample identifiers were</w:t>
      </w:r>
      <w:r w:rsidR="006B619F">
        <w:t xml:space="preserve"> entered </w:t>
      </w:r>
      <w:r w:rsidR="008250F8">
        <w:t xml:space="preserve">correctly </w:t>
      </w:r>
      <w:r w:rsidR="006B619F">
        <w:t xml:space="preserve">into the CDS </w:t>
      </w:r>
      <w:r w:rsidR="008250F8">
        <w:t xml:space="preserve">sequence table </w:t>
      </w:r>
      <w:r w:rsidR="006B619F">
        <w:t xml:space="preserve">prior to beginning the </w:t>
      </w:r>
      <w:r w:rsidR="008250F8">
        <w:t xml:space="preserve">analysis </w:t>
      </w:r>
      <w:r w:rsidR="006B619F">
        <w:t>sequence.</w:t>
      </w:r>
    </w:p>
    <w:p w14:paraId="13C49146" w14:textId="780227B8" w:rsidR="006B619F" w:rsidRDefault="006B619F" w:rsidP="0099275B">
      <w:pPr>
        <w:pStyle w:val="ListParagraph"/>
        <w:numPr>
          <w:ilvl w:val="3"/>
          <w:numId w:val="1"/>
        </w:numPr>
        <w:spacing w:after="120"/>
        <w:ind w:left="1800"/>
        <w:contextualSpacing w:val="0"/>
      </w:pPr>
      <w:r>
        <w:t xml:space="preserve">With each analysis sequence of 20 or fewer field-collected samples, at least one field-collected sample extract should be selected for replicate analysis.  </w:t>
      </w:r>
      <w:r w:rsidRPr="006B619F">
        <w:t xml:space="preserve">For sequences containing more than 20 field-collected samples, </w:t>
      </w:r>
      <w:r w:rsidRPr="006B619F">
        <w:rPr>
          <w:i/>
        </w:rPr>
        <w:t>n</w:t>
      </w:r>
      <w:r w:rsidRPr="006B619F">
        <w:t xml:space="preserve"> such replicates must be analyzed, where </w:t>
      </w:r>
      <w:r w:rsidRPr="006B619F">
        <w:rPr>
          <w:i/>
        </w:rPr>
        <w:t>n</w:t>
      </w:r>
      <w:r w:rsidRPr="006B619F">
        <w:t xml:space="preserve"> = batch size/20, and where </w:t>
      </w:r>
      <w:r w:rsidRPr="006B619F">
        <w:rPr>
          <w:i/>
        </w:rPr>
        <w:t>n</w:t>
      </w:r>
      <w:r w:rsidRPr="006B619F">
        <w:t xml:space="preserve"> is rounded to the next highest integer.  Thus, for </w:t>
      </w:r>
      <w:r w:rsidR="008250F8">
        <w:t>analytical sequences including</w:t>
      </w:r>
      <w:r w:rsidRPr="006B619F">
        <w:t xml:space="preserve"> 30</w:t>
      </w:r>
      <w:r w:rsidR="008250F8">
        <w:t xml:space="preserve"> field-collected samples</w:t>
      </w:r>
      <w:r w:rsidRPr="006B619F">
        <w:t xml:space="preserve">, </w:t>
      </w:r>
      <w:r w:rsidR="008250F8">
        <w:t xml:space="preserve">two different field-collected samples </w:t>
      </w:r>
      <w:r w:rsidRPr="006B619F">
        <w:t xml:space="preserve">would be </w:t>
      </w:r>
      <w:r w:rsidR="00CF7A21">
        <w:t>analyzed in replicate</w:t>
      </w:r>
      <w:r w:rsidRPr="006B619F">
        <w:t xml:space="preserve">.  Replicate analysis precision </w:t>
      </w:r>
      <w:r>
        <w:t xml:space="preserve">should be </w:t>
      </w:r>
      <w:r w:rsidRPr="006B619F">
        <w:t xml:space="preserve">≤ </w:t>
      </w:r>
      <w:r w:rsidR="001D5DCB">
        <w:t>2</w:t>
      </w:r>
      <w:r w:rsidRPr="006B619F">
        <w:t>0% RPD for concentrations ≥ 0.5 µg/cartridge.</w:t>
      </w:r>
    </w:p>
    <w:p w14:paraId="7705F774" w14:textId="6FD9349C" w:rsidR="00540D69" w:rsidRDefault="006B619F" w:rsidP="0099275B">
      <w:pPr>
        <w:pStyle w:val="ListParagraph"/>
        <w:numPr>
          <w:ilvl w:val="3"/>
          <w:numId w:val="1"/>
        </w:numPr>
        <w:spacing w:after="120"/>
        <w:ind w:left="1800"/>
        <w:contextualSpacing w:val="0"/>
      </w:pPr>
      <w:r>
        <w:lastRenderedPageBreak/>
        <w:t xml:space="preserve">Target analytes are identified by their RT and </w:t>
      </w:r>
      <w:r w:rsidR="006178AF">
        <w:t>will</w:t>
      </w:r>
      <w:r>
        <w:t xml:space="preserve"> have a signal-to-noise ratio of &gt; 3:1, preferably &gt; 5:1. </w:t>
      </w:r>
      <w:r w:rsidR="0016522D" w:rsidRPr="0099275B">
        <w:rPr>
          <w:vertAlign w:val="superscript"/>
        </w:rPr>
        <w:t>8</w:t>
      </w:r>
    </w:p>
    <w:p w14:paraId="3AF312DB" w14:textId="56CC9489" w:rsidR="00540D69" w:rsidRPr="00540D69" w:rsidRDefault="00540D69" w:rsidP="0099275B">
      <w:pPr>
        <w:pStyle w:val="ListParagraph"/>
        <w:numPr>
          <w:ilvl w:val="3"/>
          <w:numId w:val="1"/>
        </w:numPr>
        <w:spacing w:after="120"/>
        <w:ind w:left="1800"/>
        <w:contextualSpacing w:val="0"/>
      </w:pPr>
      <w:r>
        <w:t>E</w:t>
      </w:r>
      <w:r w:rsidRPr="00540D69">
        <w:t>xtract</w:t>
      </w:r>
      <w:r w:rsidR="00CF7A21">
        <w:t xml:space="preserve">s of samples from </w:t>
      </w:r>
      <w:r w:rsidRPr="00540D69">
        <w:t xml:space="preserve">DNPH cartridges </w:t>
      </w:r>
      <w:r w:rsidR="00CF7A21">
        <w:t>(e.g., ambient field samples, field QC samples, MB, LCS, and LCSD) must</w:t>
      </w:r>
      <w:r w:rsidRPr="00540D69">
        <w:t xml:space="preserve"> have a DNPH peak present in the chromatogram.  For DNPH cartridge extracts that do not contain a DNPH peak in the chromatogram, </w:t>
      </w:r>
      <w:r>
        <w:t xml:space="preserve">the sample sequence should be verified to ensure vials were not switched.  </w:t>
      </w:r>
      <w:r w:rsidRPr="00540D69">
        <w:t xml:space="preserve">Lack of a DNPH peak in the chromatogram indicates the depletion of the DNPH derivatizing agent for the associated cartridge (and potentially a negative bias in the reported carbonyls’ concentrations) or that the extract </w:t>
      </w:r>
      <w:r>
        <w:t xml:space="preserve">vial </w:t>
      </w:r>
      <w:r w:rsidRPr="00540D69">
        <w:t>was mislabeled.</w:t>
      </w:r>
      <w:r w:rsidR="006178AF">
        <w:t xml:space="preserve">  DNPH elutes prior to target analytes and is typically the largest peak in the chromatogram for cartridge extracts.</w:t>
      </w:r>
    </w:p>
    <w:p w14:paraId="57E8B2F6" w14:textId="06B121CC" w:rsidR="00F445AF" w:rsidRPr="001E2BB4" w:rsidRDefault="00540D69" w:rsidP="002E2F67">
      <w:pPr>
        <w:pStyle w:val="ListParagraph"/>
        <w:numPr>
          <w:ilvl w:val="3"/>
          <w:numId w:val="1"/>
        </w:numPr>
        <w:spacing w:after="120"/>
        <w:ind w:left="1800"/>
        <w:contextualSpacing w:val="0"/>
      </w:pPr>
      <w:r>
        <w:t>It is recommended that an SB be analyzed following a</w:t>
      </w:r>
      <w:r w:rsidRPr="00540D69">
        <w:t xml:space="preserve">nalysis of </w:t>
      </w:r>
      <w:r>
        <w:t xml:space="preserve">a suspected high concentration sample </w:t>
      </w:r>
      <w:r w:rsidR="00CF7A21">
        <w:t xml:space="preserve">or a high concentration standard </w:t>
      </w:r>
      <w:r>
        <w:t>to avoid carryover to the next sample</w:t>
      </w:r>
      <w:r w:rsidR="00CF7A21">
        <w:t xml:space="preserve"> extract</w:t>
      </w:r>
      <w:r>
        <w:t xml:space="preserve"> in the sequence.  These “cleanout” blanks should be labeled appropriately in the sequence and </w:t>
      </w:r>
      <w:r w:rsidR="00CF7A21">
        <w:t>are</w:t>
      </w:r>
      <w:r>
        <w:t xml:space="preserve"> required to meet blank </w:t>
      </w:r>
      <w:r w:rsidRPr="001E2BB4">
        <w:t>acceptance criteria.</w:t>
      </w:r>
    </w:p>
    <w:p w14:paraId="3808C132" w14:textId="6512E28C" w:rsidR="0016522D" w:rsidRPr="0099275B" w:rsidRDefault="000C2A05" w:rsidP="002E2F67">
      <w:pPr>
        <w:pStyle w:val="ListParagraph"/>
        <w:numPr>
          <w:ilvl w:val="3"/>
          <w:numId w:val="1"/>
        </w:numPr>
        <w:spacing w:after="120"/>
        <w:ind w:left="1800"/>
        <w:contextualSpacing w:val="0"/>
      </w:pPr>
      <w:r w:rsidRPr="001E2BB4">
        <w:t xml:space="preserve">Field QC </w:t>
      </w:r>
      <w:r w:rsidR="0016522D" w:rsidRPr="0099275B">
        <w:t>Sample A</w:t>
      </w:r>
      <w:r w:rsidRPr="001E2BB4">
        <w:t xml:space="preserve">cceptance </w:t>
      </w:r>
      <w:r w:rsidR="0016522D" w:rsidRPr="0099275B">
        <w:t>C</w:t>
      </w:r>
      <w:r w:rsidRPr="001E2BB4">
        <w:t>riteria</w:t>
      </w:r>
    </w:p>
    <w:p w14:paraId="208A010F" w14:textId="7053BA18" w:rsidR="0016522D" w:rsidRPr="0099275B" w:rsidRDefault="0016522D" w:rsidP="0099275B">
      <w:pPr>
        <w:pStyle w:val="ListParagraph"/>
        <w:spacing w:after="120"/>
        <w:ind w:left="1800"/>
        <w:contextualSpacing w:val="0"/>
      </w:pPr>
      <w:r w:rsidRPr="0099275B">
        <w:t xml:space="preserve">Analysts should review field QC sample results for </w:t>
      </w:r>
      <w:r w:rsidR="008D58C2" w:rsidRPr="0099275B">
        <w:t>compliance with the following criteria.  Note that failure of these criteria does not necessarily indicate a problem with the extraction and analysis; however, implies an issue with the field collection and/or sample handling and should prompt the laboratory to notify field staff of the criteria failure(s) immediately.</w:t>
      </w:r>
    </w:p>
    <w:p w14:paraId="519F2082" w14:textId="412354B1" w:rsidR="008D58C2" w:rsidRPr="0099275B" w:rsidRDefault="008D58C2" w:rsidP="0099275B">
      <w:pPr>
        <w:pStyle w:val="ListParagraph"/>
        <w:numPr>
          <w:ilvl w:val="4"/>
          <w:numId w:val="1"/>
        </w:numPr>
        <w:spacing w:after="120"/>
        <w:ind w:left="2160"/>
        <w:contextualSpacing w:val="0"/>
      </w:pPr>
      <w:r w:rsidRPr="0099275B">
        <w:t xml:space="preserve">Trip blanks (TB) will meet the </w:t>
      </w:r>
      <w:r>
        <w:t xml:space="preserve">lot blank acceptance </w:t>
      </w:r>
      <w:r w:rsidRPr="0099275B">
        <w:t xml:space="preserve">criteria listed in </w:t>
      </w:r>
      <w:r>
        <w:br/>
      </w:r>
      <w:r w:rsidRPr="0099275B">
        <w:t xml:space="preserve">Table </w:t>
      </w:r>
      <w:r>
        <w:t>2</w:t>
      </w:r>
      <w:r w:rsidRPr="0099275B">
        <w:t>.</w:t>
      </w:r>
    </w:p>
    <w:p w14:paraId="0804FCD3" w14:textId="1B5400C4" w:rsidR="008D58C2" w:rsidRDefault="008D58C2" w:rsidP="0099275B">
      <w:pPr>
        <w:pStyle w:val="ListParagraph"/>
        <w:numPr>
          <w:ilvl w:val="4"/>
          <w:numId w:val="1"/>
        </w:numPr>
        <w:spacing w:after="120"/>
        <w:ind w:left="2160"/>
        <w:contextualSpacing w:val="0"/>
      </w:pPr>
      <w:r w:rsidRPr="0099275B">
        <w:t xml:space="preserve">Field blank (FB) and exposure blanks </w:t>
      </w:r>
      <w:r w:rsidR="006178AF">
        <w:t xml:space="preserve">(EB) </w:t>
      </w:r>
      <w:r w:rsidRPr="0099275B">
        <w:t xml:space="preserve">will meet the following criteria in Table </w:t>
      </w:r>
      <w:r w:rsidR="0074630C">
        <w:t>4</w:t>
      </w:r>
      <w:r w:rsidRPr="0099275B">
        <w:t>:</w:t>
      </w:r>
    </w:p>
    <w:p w14:paraId="373C8A20" w14:textId="30F23513" w:rsidR="008D58C2" w:rsidRPr="00AC7B2D" w:rsidRDefault="008D58C2" w:rsidP="0099275B">
      <w:pPr>
        <w:pStyle w:val="ListParagraph"/>
        <w:jc w:val="center"/>
        <w:rPr>
          <w:b/>
        </w:rPr>
      </w:pPr>
      <w:r>
        <w:rPr>
          <w:b/>
        </w:rPr>
        <w:t xml:space="preserve">Table </w:t>
      </w:r>
      <w:r w:rsidR="0074630C">
        <w:rPr>
          <w:b/>
        </w:rPr>
        <w:t>4</w:t>
      </w:r>
      <w:r w:rsidRPr="00AC7B2D">
        <w:rPr>
          <w:b/>
        </w:rPr>
        <w:t xml:space="preserve">.  </w:t>
      </w:r>
      <w:r>
        <w:rPr>
          <w:b/>
        </w:rPr>
        <w:t xml:space="preserve">Field </w:t>
      </w:r>
      <w:r w:rsidR="001D235E">
        <w:rPr>
          <w:b/>
        </w:rPr>
        <w:t xml:space="preserve">and Exposure </w:t>
      </w:r>
      <w:r>
        <w:rPr>
          <w:b/>
        </w:rPr>
        <w:t>Blank Acceptance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3955"/>
      </w:tblGrid>
      <w:tr w:rsidR="008D58C2" w14:paraId="5385457E" w14:textId="77777777" w:rsidTr="000814A5">
        <w:trPr>
          <w:jc w:val="center"/>
        </w:trPr>
        <w:tc>
          <w:tcPr>
            <w:tcW w:w="4675" w:type="dxa"/>
            <w:hideMark/>
          </w:tcPr>
          <w:p w14:paraId="288BC12C" w14:textId="77777777" w:rsidR="008D58C2" w:rsidRPr="00D41747" w:rsidRDefault="008D58C2" w:rsidP="000814A5">
            <w:pPr>
              <w:tabs>
                <w:tab w:val="left" w:pos="1080"/>
              </w:tabs>
              <w:spacing w:after="120"/>
              <w:ind w:left="-120"/>
              <w:contextualSpacing/>
              <w:jc w:val="center"/>
              <w:rPr>
                <w:b/>
              </w:rPr>
            </w:pPr>
            <w:r w:rsidRPr="00D41747">
              <w:rPr>
                <w:b/>
              </w:rPr>
              <w:t>Carbonyl Compound</w:t>
            </w:r>
          </w:p>
        </w:tc>
        <w:tc>
          <w:tcPr>
            <w:tcW w:w="3955" w:type="dxa"/>
            <w:hideMark/>
          </w:tcPr>
          <w:p w14:paraId="147E7CC5" w14:textId="77777777" w:rsidR="008D58C2" w:rsidRPr="00D41747" w:rsidRDefault="008D58C2" w:rsidP="000814A5">
            <w:pPr>
              <w:tabs>
                <w:tab w:val="left" w:pos="1080"/>
              </w:tabs>
              <w:spacing w:after="120"/>
              <w:ind w:left="-120"/>
              <w:contextualSpacing/>
              <w:jc w:val="center"/>
              <w:rPr>
                <w:b/>
              </w:rPr>
            </w:pPr>
            <w:r w:rsidRPr="00D41747">
              <w:rPr>
                <w:b/>
              </w:rPr>
              <w:t>Acceptance Limit (µg/cartridge)</w:t>
            </w:r>
          </w:p>
        </w:tc>
      </w:tr>
      <w:tr w:rsidR="008D58C2" w14:paraId="15930E09" w14:textId="77777777" w:rsidTr="000814A5">
        <w:trPr>
          <w:jc w:val="center"/>
        </w:trPr>
        <w:tc>
          <w:tcPr>
            <w:tcW w:w="4675" w:type="dxa"/>
            <w:hideMark/>
          </w:tcPr>
          <w:p w14:paraId="3AC7C7E5" w14:textId="77777777" w:rsidR="008D58C2" w:rsidRPr="00D41747" w:rsidRDefault="008D58C2" w:rsidP="000814A5">
            <w:pPr>
              <w:tabs>
                <w:tab w:val="left" w:pos="1080"/>
              </w:tabs>
              <w:spacing w:after="120"/>
              <w:ind w:left="-120"/>
              <w:contextualSpacing/>
              <w:jc w:val="center"/>
            </w:pPr>
            <w:r w:rsidRPr="00D41747">
              <w:t>Acetaldehyde</w:t>
            </w:r>
          </w:p>
        </w:tc>
        <w:tc>
          <w:tcPr>
            <w:tcW w:w="3955" w:type="dxa"/>
            <w:hideMark/>
          </w:tcPr>
          <w:p w14:paraId="1D4C5CDB" w14:textId="2CB0CD40" w:rsidR="008D58C2" w:rsidRPr="00D41747" w:rsidRDefault="008D58C2" w:rsidP="000814A5">
            <w:pPr>
              <w:tabs>
                <w:tab w:val="left" w:pos="1080"/>
              </w:tabs>
              <w:spacing w:after="120"/>
              <w:ind w:left="-120"/>
              <w:contextualSpacing/>
              <w:jc w:val="center"/>
            </w:pPr>
            <w:r w:rsidRPr="00D41747">
              <w:t>&lt; 0.</w:t>
            </w:r>
            <w:r>
              <w:t>4</w:t>
            </w:r>
            <w:r w:rsidRPr="00D41747">
              <w:t>0</w:t>
            </w:r>
          </w:p>
        </w:tc>
      </w:tr>
      <w:tr w:rsidR="008D58C2" w14:paraId="21233740" w14:textId="77777777" w:rsidTr="000814A5">
        <w:trPr>
          <w:jc w:val="center"/>
        </w:trPr>
        <w:tc>
          <w:tcPr>
            <w:tcW w:w="4675" w:type="dxa"/>
            <w:hideMark/>
          </w:tcPr>
          <w:p w14:paraId="458E25E4" w14:textId="77777777" w:rsidR="008D58C2" w:rsidRPr="00D41747" w:rsidRDefault="008D58C2" w:rsidP="000814A5">
            <w:pPr>
              <w:tabs>
                <w:tab w:val="left" w:pos="1080"/>
              </w:tabs>
              <w:spacing w:after="120"/>
              <w:ind w:left="-120"/>
              <w:contextualSpacing/>
              <w:jc w:val="center"/>
            </w:pPr>
            <w:r w:rsidRPr="00D41747">
              <w:t>Formaldehyde</w:t>
            </w:r>
          </w:p>
        </w:tc>
        <w:tc>
          <w:tcPr>
            <w:tcW w:w="3955" w:type="dxa"/>
            <w:hideMark/>
          </w:tcPr>
          <w:p w14:paraId="795085A0" w14:textId="3B90A3F3" w:rsidR="008D58C2" w:rsidRPr="00D41747" w:rsidRDefault="008D58C2" w:rsidP="000814A5">
            <w:pPr>
              <w:tabs>
                <w:tab w:val="left" w:pos="1080"/>
              </w:tabs>
              <w:spacing w:after="120"/>
              <w:ind w:left="-120"/>
              <w:contextualSpacing/>
              <w:jc w:val="center"/>
            </w:pPr>
            <w:r w:rsidRPr="00D41747">
              <w:t>&lt; 0.</w:t>
            </w:r>
            <w:r>
              <w:t>30</w:t>
            </w:r>
          </w:p>
        </w:tc>
      </w:tr>
      <w:tr w:rsidR="008D58C2" w14:paraId="0F55C7CB" w14:textId="77777777" w:rsidTr="000814A5">
        <w:trPr>
          <w:jc w:val="center"/>
        </w:trPr>
        <w:tc>
          <w:tcPr>
            <w:tcW w:w="4675" w:type="dxa"/>
            <w:hideMark/>
          </w:tcPr>
          <w:p w14:paraId="5F0B49EC" w14:textId="77777777" w:rsidR="008D58C2" w:rsidRPr="00D41747" w:rsidRDefault="008D58C2" w:rsidP="000814A5">
            <w:pPr>
              <w:tabs>
                <w:tab w:val="left" w:pos="1080"/>
              </w:tabs>
              <w:spacing w:after="120"/>
              <w:ind w:left="-120"/>
              <w:contextualSpacing/>
              <w:jc w:val="center"/>
            </w:pPr>
            <w:r w:rsidRPr="00D41747">
              <w:t>Acetone</w:t>
            </w:r>
          </w:p>
        </w:tc>
        <w:tc>
          <w:tcPr>
            <w:tcW w:w="3955" w:type="dxa"/>
            <w:hideMark/>
          </w:tcPr>
          <w:p w14:paraId="4F1FBB00" w14:textId="31604570" w:rsidR="008D58C2" w:rsidRPr="00D41747" w:rsidRDefault="008D58C2" w:rsidP="000814A5">
            <w:pPr>
              <w:tabs>
                <w:tab w:val="left" w:pos="1080"/>
              </w:tabs>
              <w:spacing w:after="120"/>
              <w:ind w:left="-120"/>
              <w:contextualSpacing/>
              <w:jc w:val="center"/>
            </w:pPr>
            <w:r w:rsidRPr="00D41747">
              <w:t>&lt; 0.</w:t>
            </w:r>
            <w:r>
              <w:t>75</w:t>
            </w:r>
          </w:p>
        </w:tc>
      </w:tr>
      <w:tr w:rsidR="008D58C2" w14:paraId="16CABCF7" w14:textId="77777777" w:rsidTr="000814A5">
        <w:trPr>
          <w:jc w:val="center"/>
        </w:trPr>
        <w:tc>
          <w:tcPr>
            <w:tcW w:w="4675" w:type="dxa"/>
            <w:hideMark/>
          </w:tcPr>
          <w:p w14:paraId="68DE7396" w14:textId="10CEC12D" w:rsidR="008D58C2" w:rsidRPr="00D41747" w:rsidRDefault="008D58C2" w:rsidP="000814A5">
            <w:pPr>
              <w:tabs>
                <w:tab w:val="left" w:pos="1080"/>
              </w:tabs>
              <w:spacing w:after="120"/>
              <w:ind w:left="-120"/>
              <w:contextualSpacing/>
              <w:jc w:val="center"/>
            </w:pPr>
            <w:r>
              <w:t>Sum of Other</w:t>
            </w:r>
            <w:r w:rsidRPr="00D41747">
              <w:t xml:space="preserve"> Target Carbonyl Compounds</w:t>
            </w:r>
          </w:p>
        </w:tc>
        <w:tc>
          <w:tcPr>
            <w:tcW w:w="3955" w:type="dxa"/>
            <w:hideMark/>
          </w:tcPr>
          <w:p w14:paraId="39052E37" w14:textId="7EDC5DAC" w:rsidR="008D58C2" w:rsidRPr="00D41747" w:rsidRDefault="008D58C2" w:rsidP="000814A5">
            <w:pPr>
              <w:tabs>
                <w:tab w:val="left" w:pos="1080"/>
              </w:tabs>
              <w:spacing w:after="120"/>
              <w:ind w:left="-120"/>
              <w:contextualSpacing/>
              <w:jc w:val="center"/>
            </w:pPr>
            <w:r w:rsidRPr="00D41747">
              <w:t xml:space="preserve">&lt; </w:t>
            </w:r>
            <w:r>
              <w:t>7.0</w:t>
            </w:r>
          </w:p>
        </w:tc>
      </w:tr>
    </w:tbl>
    <w:p w14:paraId="2D0CDE9C" w14:textId="05BAA5B3" w:rsidR="008D58C2" w:rsidRPr="0099275B" w:rsidRDefault="008D58C2" w:rsidP="0099275B">
      <w:pPr>
        <w:pStyle w:val="ListParagraph"/>
        <w:numPr>
          <w:ilvl w:val="4"/>
          <w:numId w:val="1"/>
        </w:numPr>
        <w:spacing w:before="120" w:after="120"/>
        <w:ind w:left="2160"/>
        <w:contextualSpacing w:val="0"/>
      </w:pPr>
      <w:r w:rsidRPr="0099275B">
        <w:t xml:space="preserve">Duplicate samples will show precision of the in-air concentrations of </w:t>
      </w:r>
      <w:r w:rsidR="001D5DCB">
        <w:br/>
      </w:r>
      <w:r w:rsidRPr="0099275B">
        <w:t>≤</w:t>
      </w:r>
      <w:r w:rsidR="001D5DCB">
        <w:t xml:space="preserve"> 2</w:t>
      </w:r>
      <w:r w:rsidRPr="0099275B">
        <w:t>0% RPD for samples with target analytes ≥ 0.5 µg/cartridge.</w:t>
      </w:r>
    </w:p>
    <w:p w14:paraId="15F5353A" w14:textId="64736E36" w:rsidR="008D58C2" w:rsidRPr="0099275B" w:rsidRDefault="008D58C2" w:rsidP="0099275B">
      <w:pPr>
        <w:pStyle w:val="ListParagraph"/>
        <w:numPr>
          <w:ilvl w:val="4"/>
          <w:numId w:val="1"/>
        </w:numPr>
        <w:spacing w:after="120"/>
        <w:ind w:left="2160"/>
        <w:contextualSpacing w:val="0"/>
      </w:pPr>
      <w:r w:rsidRPr="0099275B">
        <w:t xml:space="preserve">Collocated samples will show precision of the in-air concentrations of </w:t>
      </w:r>
      <w:r w:rsidR="001D5DCB">
        <w:br/>
      </w:r>
      <w:r w:rsidRPr="0099275B">
        <w:t>≤</w:t>
      </w:r>
      <w:r w:rsidR="001D5DCB">
        <w:t xml:space="preserve"> 2</w:t>
      </w:r>
      <w:r w:rsidRPr="0099275B">
        <w:t>0% RPD for samples with target analytes ≥ 0.5 µg/cartridge.</w:t>
      </w:r>
    </w:p>
    <w:p w14:paraId="1348000A" w14:textId="1A417E01" w:rsidR="00F445AF" w:rsidRDefault="00F445AF" w:rsidP="00F445AF">
      <w:pPr>
        <w:pStyle w:val="ListParagraph"/>
        <w:numPr>
          <w:ilvl w:val="2"/>
          <w:numId w:val="1"/>
        </w:numPr>
        <w:ind w:left="1440"/>
      </w:pPr>
      <w:r>
        <w:t>Method Detection Limits (MDLs)</w:t>
      </w:r>
    </w:p>
    <w:p w14:paraId="37F643BD" w14:textId="77777777" w:rsidR="00F445AF" w:rsidRDefault="00F445AF" w:rsidP="00F445AF">
      <w:pPr>
        <w:pStyle w:val="ListParagraph"/>
        <w:ind w:left="1440"/>
      </w:pPr>
    </w:p>
    <w:p w14:paraId="0FAE5E0C" w14:textId="77777777" w:rsidR="00CE58D3" w:rsidRDefault="00F445AF" w:rsidP="0099275B">
      <w:pPr>
        <w:pStyle w:val="ListParagraph"/>
        <w:ind w:left="1440"/>
      </w:pPr>
      <w:r>
        <w:t xml:space="preserve">Prior to use of the extraction and analysis method to report ambient sample carbonyls measurement concentration data, the laboratory will determine the MDL for each target analyte to be reported.  </w:t>
      </w:r>
      <w:r w:rsidR="00CE58D3">
        <w:t>An in-depth description of MDLs</w:t>
      </w:r>
      <w:r>
        <w:t xml:space="preserve"> </w:t>
      </w:r>
      <w:r w:rsidR="00CE58D3">
        <w:t>is</w:t>
      </w:r>
      <w:r>
        <w:t xml:space="preserve"> </w:t>
      </w:r>
      <w:r>
        <w:lastRenderedPageBreak/>
        <w:t>detail</w:t>
      </w:r>
      <w:r w:rsidR="00CE58D3">
        <w:t>ed</w:t>
      </w:r>
      <w:r>
        <w:t xml:space="preserve"> in </w:t>
      </w:r>
      <w:r w:rsidR="00CE58D3">
        <w:t xml:space="preserve">Sections 3.3.5.1 and 5.6 of Revision 2 of the </w:t>
      </w:r>
      <w:r>
        <w:t>PAMS Technical Assistance Document (TAD</w:t>
      </w:r>
      <w:r w:rsidR="00CE58D3">
        <w:t>).</w:t>
      </w:r>
      <w:r w:rsidR="00CE58D3">
        <w:rPr>
          <w:vertAlign w:val="superscript"/>
        </w:rPr>
        <w:t xml:space="preserve"> 8</w:t>
      </w:r>
      <w:r>
        <w:t xml:space="preserve">  </w:t>
      </w:r>
    </w:p>
    <w:p w14:paraId="69898625" w14:textId="77777777" w:rsidR="006F4704" w:rsidRDefault="006F4704" w:rsidP="0099275B"/>
    <w:p w14:paraId="5BEC1BD2" w14:textId="77777777" w:rsidR="004D5D13" w:rsidRPr="002337DE" w:rsidRDefault="0043481C" w:rsidP="0099275B">
      <w:pPr>
        <w:pStyle w:val="ListParagraph"/>
        <w:numPr>
          <w:ilvl w:val="0"/>
          <w:numId w:val="1"/>
        </w:numPr>
        <w:ind w:left="360"/>
        <w:rPr>
          <w:b/>
        </w:rPr>
      </w:pPr>
      <w:r w:rsidRPr="002337DE">
        <w:rPr>
          <w:b/>
        </w:rPr>
        <w:t>CALCULATIONS AND DATA REPORTING</w:t>
      </w:r>
    </w:p>
    <w:p w14:paraId="0BF43417" w14:textId="506B547A" w:rsidR="00BB71EC" w:rsidRDefault="00BB71EC" w:rsidP="0099275B">
      <w:pPr>
        <w:pStyle w:val="Heading4"/>
        <w:keepNext/>
        <w:keepLines/>
        <w:numPr>
          <w:ilvl w:val="1"/>
          <w:numId w:val="1"/>
        </w:numPr>
        <w:spacing w:before="120" w:after="120"/>
        <w:ind w:left="720"/>
      </w:pPr>
      <w:r>
        <w:t>Calculation of Free Carbonyl Concentration</w:t>
      </w:r>
      <w:r w:rsidR="00067643">
        <w:t xml:space="preserve"> in Solution</w:t>
      </w:r>
    </w:p>
    <w:p w14:paraId="327EFFF1" w14:textId="6386DDAD" w:rsidR="00486BA6" w:rsidRDefault="00486BA6" w:rsidP="0099275B">
      <w:pPr>
        <w:ind w:left="720"/>
      </w:pPr>
      <w:r>
        <w:t>The concentration of the free carbonyl portion of a carbonyl</w:t>
      </w:r>
      <w:r w:rsidR="00CF7A21">
        <w:t>-</w:t>
      </w:r>
      <w:r>
        <w:t xml:space="preserve">hydrazone </w:t>
      </w:r>
      <w:r w:rsidR="00067643">
        <w:t xml:space="preserve">in solution </w:t>
      </w:r>
      <w:r>
        <w:t>is calculated based on the ratio of molecular weights of the free carbonyl to the carbonyl</w:t>
      </w:r>
      <w:r w:rsidR="00067643">
        <w:t>-</w:t>
      </w:r>
      <w:r w:rsidR="008B61B0">
        <w:t xml:space="preserve"> </w:t>
      </w:r>
      <w:r w:rsidR="00294783">
        <w:t>hydraz</w:t>
      </w:r>
      <w:r w:rsidR="00067643">
        <w:t>o</w:t>
      </w:r>
      <w:r w:rsidR="00294783">
        <w:t>ne per the following formula:</w:t>
      </w:r>
    </w:p>
    <w:p w14:paraId="4D2D931F" w14:textId="77777777" w:rsidR="00486BA6" w:rsidRDefault="00486BA6" w:rsidP="0099275B">
      <w:pPr>
        <w:ind w:left="720"/>
      </w:pPr>
    </w:p>
    <w:p w14:paraId="6871EC8B" w14:textId="292A7F7F" w:rsidR="00486BA6" w:rsidRPr="00486BA6" w:rsidRDefault="00F12E03" w:rsidP="0099275B">
      <w:pPr>
        <w:ind w:left="720" w:firstLine="720"/>
        <w:jc w:val="center"/>
      </w:pPr>
      <m:oMathPara>
        <m:oMath>
          <m:sSub>
            <m:sSubPr>
              <m:ctrlPr>
                <w:rPr>
                  <w:rFonts w:ascii="Cambria Math" w:hAnsi="Cambria Math"/>
                  <w:i/>
                </w:rPr>
              </m:ctrlPr>
            </m:sSubPr>
            <m:e>
              <m:r>
                <w:rPr>
                  <w:rFonts w:ascii="Cambria Math" w:hAnsi="Cambria Math"/>
                </w:rPr>
                <m:t>C</m:t>
              </m:r>
            </m:e>
            <m:sub>
              <m:r>
                <w:rPr>
                  <w:rFonts w:ascii="Cambria Math" w:hAnsi="Cambria Math"/>
                </w:rPr>
                <m:t>free</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ch</m:t>
              </m:r>
            </m:sub>
          </m:sSub>
          <m:f>
            <m:fPr>
              <m:ctrlPr>
                <w:rPr>
                  <w:rFonts w:ascii="Cambria Math" w:hAnsi="Cambria Math"/>
                  <w:i/>
                </w:rPr>
              </m:ctrlPr>
            </m:fPr>
            <m:num>
              <m:sSub>
                <m:sSubPr>
                  <m:ctrlPr>
                    <w:rPr>
                      <w:rFonts w:ascii="Cambria Math" w:hAnsi="Cambria Math"/>
                      <w:i/>
                    </w:rPr>
                  </m:ctrlPr>
                </m:sSubPr>
                <m:e>
                  <m:r>
                    <w:rPr>
                      <w:rFonts w:ascii="Cambria Math" w:hAnsi="Cambria Math"/>
                    </w:rPr>
                    <m:t>MW</m:t>
                  </m:r>
                </m:e>
                <m:sub>
                  <m:r>
                    <w:rPr>
                      <w:rFonts w:ascii="Cambria Math" w:hAnsi="Cambria Math"/>
                    </w:rPr>
                    <m:t>free</m:t>
                  </m:r>
                </m:sub>
              </m:sSub>
            </m:num>
            <m:den>
              <m:sSub>
                <m:sSubPr>
                  <m:ctrlPr>
                    <w:rPr>
                      <w:rFonts w:ascii="Cambria Math" w:hAnsi="Cambria Math"/>
                      <w:i/>
                    </w:rPr>
                  </m:ctrlPr>
                </m:sSubPr>
                <m:e>
                  <m:r>
                    <w:rPr>
                      <w:rFonts w:ascii="Cambria Math" w:hAnsi="Cambria Math"/>
                    </w:rPr>
                    <m:t>MW</m:t>
                  </m:r>
                </m:e>
                <m:sub>
                  <m:r>
                    <w:rPr>
                      <w:rFonts w:ascii="Cambria Math" w:hAnsi="Cambria Math"/>
                    </w:rPr>
                    <m:t>ch</m:t>
                  </m:r>
                </m:sub>
              </m:sSub>
            </m:den>
          </m:f>
        </m:oMath>
      </m:oMathPara>
    </w:p>
    <w:p w14:paraId="758C79FE" w14:textId="77777777" w:rsidR="00BB71EC" w:rsidRDefault="00BB71EC" w:rsidP="0099275B">
      <w:pPr>
        <w:ind w:left="720"/>
      </w:pPr>
    </w:p>
    <w:p w14:paraId="2930FBE3" w14:textId="77777777" w:rsidR="00486BA6" w:rsidRDefault="00486BA6" w:rsidP="0099275B">
      <w:pPr>
        <w:ind w:left="720"/>
      </w:pPr>
      <w:r>
        <w:t>Where:</w:t>
      </w:r>
    </w:p>
    <w:p w14:paraId="573BFB9F" w14:textId="77777777" w:rsidR="00486BA6" w:rsidRDefault="00486BA6" w:rsidP="00BB71EC">
      <w:pPr>
        <w:ind w:left="1440"/>
      </w:pPr>
    </w:p>
    <w:p w14:paraId="3330D988" w14:textId="77777777" w:rsidR="00486BA6" w:rsidRDefault="00486BA6" w:rsidP="0099275B">
      <w:pPr>
        <w:ind w:left="1440"/>
      </w:pPr>
      <w:proofErr w:type="spellStart"/>
      <w:r w:rsidRPr="00281D1E">
        <w:rPr>
          <w:i/>
        </w:rPr>
        <w:t>C</w:t>
      </w:r>
      <w:r w:rsidRPr="00281D1E">
        <w:rPr>
          <w:i/>
          <w:vertAlign w:val="subscript"/>
        </w:rPr>
        <w:t>free</w:t>
      </w:r>
      <w:proofErr w:type="spellEnd"/>
      <w:r>
        <w:t xml:space="preserve"> =</w:t>
      </w:r>
      <w:r>
        <w:tab/>
      </w:r>
      <w:r w:rsidR="00281D1E">
        <w:tab/>
      </w:r>
      <w:r>
        <w:t>concentration of free carbonyl (µg/mL)</w:t>
      </w:r>
    </w:p>
    <w:p w14:paraId="7415F6EB" w14:textId="57BB2A69" w:rsidR="00486BA6" w:rsidRDefault="00486BA6" w:rsidP="0099275B">
      <w:pPr>
        <w:ind w:left="1440"/>
      </w:pPr>
      <w:proofErr w:type="spellStart"/>
      <w:r w:rsidRPr="00281D1E">
        <w:rPr>
          <w:i/>
        </w:rPr>
        <w:t>C</w:t>
      </w:r>
      <w:r w:rsidRPr="00281D1E">
        <w:rPr>
          <w:i/>
          <w:vertAlign w:val="subscript"/>
        </w:rPr>
        <w:t>ch</w:t>
      </w:r>
      <w:proofErr w:type="spellEnd"/>
      <w:r>
        <w:t xml:space="preserve"> =</w:t>
      </w:r>
      <w:r>
        <w:tab/>
      </w:r>
      <w:r>
        <w:tab/>
      </w:r>
      <w:r w:rsidR="00CF7A21">
        <w:t xml:space="preserve">measured </w:t>
      </w:r>
      <w:r>
        <w:t>concentration of carbonyl</w:t>
      </w:r>
      <w:r w:rsidR="00CF7A21">
        <w:t>-</w:t>
      </w:r>
      <w:r>
        <w:t>hydrazone (µg/mL)</w:t>
      </w:r>
    </w:p>
    <w:p w14:paraId="09AE7E46" w14:textId="77777777" w:rsidR="00486BA6" w:rsidRDefault="00486BA6" w:rsidP="0099275B">
      <w:pPr>
        <w:ind w:left="1440"/>
      </w:pPr>
      <w:proofErr w:type="spellStart"/>
      <w:r w:rsidRPr="00281D1E">
        <w:rPr>
          <w:i/>
        </w:rPr>
        <w:t>MW</w:t>
      </w:r>
      <w:r w:rsidRPr="00281D1E">
        <w:rPr>
          <w:i/>
          <w:vertAlign w:val="subscript"/>
        </w:rPr>
        <w:t>free</w:t>
      </w:r>
      <w:proofErr w:type="spellEnd"/>
      <w:r>
        <w:t xml:space="preserve"> = </w:t>
      </w:r>
      <w:r>
        <w:tab/>
        <w:t>molecular weight of free carbonyl (g/mol)</w:t>
      </w:r>
    </w:p>
    <w:p w14:paraId="062F024C" w14:textId="1DCE8170" w:rsidR="00486BA6" w:rsidRDefault="00486BA6" w:rsidP="002E2F67">
      <w:pPr>
        <w:ind w:left="1440"/>
      </w:pPr>
      <w:proofErr w:type="spellStart"/>
      <w:r w:rsidRPr="00281D1E">
        <w:rPr>
          <w:i/>
        </w:rPr>
        <w:t>MW</w:t>
      </w:r>
      <w:r w:rsidRPr="00281D1E">
        <w:rPr>
          <w:i/>
          <w:vertAlign w:val="subscript"/>
        </w:rPr>
        <w:t>ch</w:t>
      </w:r>
      <w:proofErr w:type="spellEnd"/>
      <w:r>
        <w:t xml:space="preserve"> = </w:t>
      </w:r>
      <w:r>
        <w:tab/>
        <w:t>molecular weight of carbonyl</w:t>
      </w:r>
      <w:r w:rsidR="00CF7A21">
        <w:t>-</w:t>
      </w:r>
      <w:r>
        <w:t>hydrazone (g/mol)</w:t>
      </w:r>
    </w:p>
    <w:p w14:paraId="61E1FB2E" w14:textId="77777777" w:rsidR="00AF38FF" w:rsidRPr="00995D9B" w:rsidRDefault="00AF38FF" w:rsidP="0099275B">
      <w:pPr>
        <w:ind w:left="1440"/>
        <w:rPr>
          <w:iCs/>
        </w:rPr>
      </w:pPr>
    </w:p>
    <w:p w14:paraId="469E88CC" w14:textId="10D29103" w:rsidR="008F7952" w:rsidRDefault="00AF38FF" w:rsidP="008F7952">
      <w:pPr>
        <w:pStyle w:val="ListParagraph"/>
        <w:numPr>
          <w:ilvl w:val="1"/>
          <w:numId w:val="1"/>
        </w:numPr>
        <w:tabs>
          <w:tab w:val="left" w:pos="720"/>
        </w:tabs>
        <w:spacing w:before="120"/>
        <w:ind w:left="720"/>
      </w:pPr>
      <w:r>
        <w:t xml:space="preserve">The </w:t>
      </w:r>
      <w:r w:rsidR="00067643">
        <w:t xml:space="preserve">free carbonyl </w:t>
      </w:r>
      <w:r w:rsidR="008F7952">
        <w:t>concentration of each target carbonyl when preparing stock standard solutions from neat solid standard</w:t>
      </w:r>
      <w:r>
        <w:t xml:space="preserve"> materials </w:t>
      </w:r>
      <w:r w:rsidR="008F7952">
        <w:t xml:space="preserve">is determined </w:t>
      </w:r>
      <w:r>
        <w:t>according to the following formula</w:t>
      </w:r>
      <w:r w:rsidR="008F7952">
        <w:t>:</w:t>
      </w:r>
    </w:p>
    <w:p w14:paraId="62F5DCFA" w14:textId="77777777" w:rsidR="008F7952" w:rsidRDefault="008F7952" w:rsidP="0099275B">
      <w:pPr>
        <w:pStyle w:val="ListParagraph"/>
        <w:tabs>
          <w:tab w:val="left" w:pos="720"/>
        </w:tabs>
        <w:spacing w:before="120"/>
      </w:pPr>
    </w:p>
    <w:p w14:paraId="448FA9E2" w14:textId="289CE21E" w:rsidR="008F7952" w:rsidRPr="0099275B" w:rsidRDefault="00F12E03" w:rsidP="0099275B">
      <w:pPr>
        <w:spacing w:before="120"/>
        <w:contextualSpacing/>
        <w:rPr>
          <w:iCs/>
        </w:rPr>
      </w:pPr>
      <m:oMathPara>
        <m:oMath>
          <m:sSub>
            <m:sSubPr>
              <m:ctrlPr>
                <w:rPr>
                  <w:rFonts w:ascii="Cambria Math" w:hAnsi="Cambria Math"/>
                  <w:i/>
                  <w:iCs/>
                </w:rPr>
              </m:ctrlPr>
            </m:sSubPr>
            <m:e>
              <m:r>
                <w:rPr>
                  <w:rFonts w:ascii="Cambria Math"/>
                </w:rPr>
                <m:t>C</m:t>
              </m:r>
            </m:e>
            <m:sub>
              <m:r>
                <w:rPr>
                  <w:rFonts w:ascii="Cambria Math"/>
                </w:rPr>
                <m:t>ssfree</m:t>
              </m:r>
            </m:sub>
          </m:sSub>
          <m:r>
            <w:rPr>
              <w:rFonts w:ascii="Cambria Math"/>
            </w:rPr>
            <m:t>=</m:t>
          </m:r>
          <m:r>
            <w:rPr>
              <w:rFonts w:ascii="Cambria Math"/>
            </w:rPr>
            <m:t> </m:t>
          </m:r>
          <m:f>
            <m:fPr>
              <m:ctrlPr>
                <w:rPr>
                  <w:rFonts w:ascii="Cambria Math" w:hAnsi="Cambria Math"/>
                  <w:i/>
                  <w:iCs/>
                </w:rPr>
              </m:ctrlPr>
            </m:fPr>
            <m:num>
              <m:sSub>
                <m:sSubPr>
                  <m:ctrlPr>
                    <w:rPr>
                      <w:rFonts w:ascii="Cambria Math" w:hAnsi="Cambria Math"/>
                      <w:i/>
                      <w:iCs/>
                    </w:rPr>
                  </m:ctrlPr>
                </m:sSubPr>
                <m:e>
                  <m:r>
                    <w:rPr>
                      <w:rFonts w:ascii="Cambria Math" w:hAnsi="Cambria Math"/>
                    </w:rPr>
                    <m:t>M</m:t>
                  </m:r>
                </m:e>
                <m:sub>
                  <m:r>
                    <w:rPr>
                      <w:rFonts w:ascii="Cambria Math" w:hAnsi="Cambria Math"/>
                    </w:rPr>
                    <m:t>neat</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neat</m:t>
                  </m:r>
                </m:sub>
              </m:sSub>
              <m:r>
                <w:rPr>
                  <w:rFonts w:ascii="Cambria Math" w:hAnsi="Cambria Math"/>
                </w:rPr>
                <m:t>∙</m:t>
              </m:r>
              <m:sSub>
                <m:sSubPr>
                  <m:ctrlPr>
                    <w:rPr>
                      <w:rFonts w:ascii="Cambria Math" w:hAnsi="Cambria Math"/>
                      <w:i/>
                      <w:iCs/>
                    </w:rPr>
                  </m:ctrlPr>
                </m:sSubPr>
                <m:e>
                  <m:r>
                    <w:rPr>
                      <w:rFonts w:ascii="Cambria Math" w:hAnsi="Cambria Math"/>
                    </w:rPr>
                    <m:t>MW</m:t>
                  </m:r>
                </m:e>
                <m:sub>
                  <m:r>
                    <w:rPr>
                      <w:rFonts w:ascii="Cambria Math" w:hAnsi="Cambria Math"/>
                    </w:rPr>
                    <m:t>free</m:t>
                  </m:r>
                </m:sub>
              </m:sSub>
            </m:num>
            <m:den>
              <m:sSub>
                <m:sSubPr>
                  <m:ctrlPr>
                    <w:rPr>
                      <w:rFonts w:ascii="Cambria Math" w:hAnsi="Cambria Math"/>
                      <w:i/>
                      <w:iCs/>
                    </w:rPr>
                  </m:ctrlPr>
                </m:sSubPr>
                <m:e>
                  <m:r>
                    <w:rPr>
                      <w:rFonts w:ascii="Cambria Math" w:hAnsi="Cambria Math"/>
                    </w:rPr>
                    <m:t>V</m:t>
                  </m:r>
                </m:e>
                <m:sub>
                  <m:r>
                    <w:rPr>
                      <w:rFonts w:ascii="Cambria Math" w:hAnsi="Cambria Math"/>
                    </w:rPr>
                    <m:t>stock</m:t>
                  </m:r>
                </m:sub>
              </m:sSub>
              <m:r>
                <w:rPr>
                  <w:rFonts w:ascii="Cambria Math" w:hAnsi="Cambria Math"/>
                </w:rPr>
                <m:t>∙</m:t>
              </m:r>
              <m:sSub>
                <m:sSubPr>
                  <m:ctrlPr>
                    <w:rPr>
                      <w:rFonts w:ascii="Cambria Math" w:hAnsi="Cambria Math"/>
                      <w:i/>
                      <w:iCs/>
                    </w:rPr>
                  </m:ctrlPr>
                </m:sSubPr>
                <m:e>
                  <m:r>
                    <w:rPr>
                      <w:rFonts w:ascii="Cambria Math" w:hAnsi="Cambria Math"/>
                    </w:rPr>
                    <m:t>MW</m:t>
                  </m:r>
                </m:e>
                <m:sub>
                  <m:r>
                    <w:rPr>
                      <w:rFonts w:ascii="Cambria Math" w:hAnsi="Cambria Math"/>
                    </w:rPr>
                    <m:t>ch</m:t>
                  </m:r>
                </m:sub>
              </m:sSub>
            </m:den>
          </m:f>
        </m:oMath>
      </m:oMathPara>
    </w:p>
    <w:p w14:paraId="3D565787" w14:textId="77777777" w:rsidR="00AF38FF" w:rsidRDefault="00AF38FF" w:rsidP="00AF38FF">
      <w:pPr>
        <w:spacing w:after="120"/>
        <w:ind w:left="2160" w:hanging="1440"/>
      </w:pPr>
    </w:p>
    <w:p w14:paraId="48809C35" w14:textId="155D74CB" w:rsidR="00AF38FF" w:rsidRDefault="008F7952" w:rsidP="0099275B">
      <w:pPr>
        <w:spacing w:after="120"/>
        <w:ind w:left="2160" w:hanging="1440"/>
      </w:pPr>
      <w:r>
        <w:t xml:space="preserve">Where: </w:t>
      </w:r>
    </w:p>
    <w:p w14:paraId="5F35AEA2" w14:textId="5F741C24" w:rsidR="00AF38FF" w:rsidRDefault="008F7952" w:rsidP="00AF38FF">
      <w:pPr>
        <w:spacing w:before="120"/>
        <w:ind w:left="2880" w:hanging="1440"/>
        <w:contextualSpacing/>
      </w:pPr>
      <w:proofErr w:type="spellStart"/>
      <w:r w:rsidRPr="0099275B">
        <w:rPr>
          <w:i/>
          <w:iCs/>
        </w:rPr>
        <w:t>C</w:t>
      </w:r>
      <w:r w:rsidR="00294783" w:rsidRPr="0099275B">
        <w:rPr>
          <w:i/>
          <w:iCs/>
          <w:vertAlign w:val="subscript"/>
        </w:rPr>
        <w:t>ss</w:t>
      </w:r>
      <w:r w:rsidR="00067643">
        <w:rPr>
          <w:i/>
          <w:iCs/>
          <w:vertAlign w:val="subscript"/>
        </w:rPr>
        <w:t>free</w:t>
      </w:r>
      <w:proofErr w:type="spellEnd"/>
      <w:r w:rsidR="00AF38FF">
        <w:t xml:space="preserve"> </w:t>
      </w:r>
      <w:r>
        <w:t xml:space="preserve">=  </w:t>
      </w:r>
      <w:r w:rsidR="00AF38FF">
        <w:tab/>
      </w:r>
      <w:r w:rsidR="00294783">
        <w:t xml:space="preserve">free carbonyl </w:t>
      </w:r>
      <w:r>
        <w:t xml:space="preserve">concentration in stock </w:t>
      </w:r>
      <w:r w:rsidR="00294783">
        <w:t xml:space="preserve">solution </w:t>
      </w:r>
      <w:r>
        <w:t>(µg/mL)</w:t>
      </w:r>
    </w:p>
    <w:p w14:paraId="3386D38E" w14:textId="33406CB8" w:rsidR="008F7952" w:rsidRPr="009A6975" w:rsidRDefault="008F7952" w:rsidP="0099275B">
      <w:pPr>
        <w:spacing w:before="120"/>
        <w:ind w:left="2880" w:hanging="1440"/>
        <w:contextualSpacing/>
      </w:pPr>
      <w:proofErr w:type="spellStart"/>
      <w:r w:rsidRPr="0099275B">
        <w:rPr>
          <w:i/>
          <w:iCs/>
        </w:rPr>
        <w:t>M</w:t>
      </w:r>
      <w:r w:rsidRPr="0099275B">
        <w:rPr>
          <w:i/>
          <w:iCs/>
          <w:vertAlign w:val="subscript"/>
        </w:rPr>
        <w:t>neat</w:t>
      </w:r>
      <w:proofErr w:type="spellEnd"/>
      <w:r w:rsidR="00AF38FF" w:rsidRPr="0099275B">
        <w:rPr>
          <w:i/>
          <w:iCs/>
          <w:vertAlign w:val="subscript"/>
        </w:rPr>
        <w:t xml:space="preserve"> </w:t>
      </w:r>
      <w:r>
        <w:t xml:space="preserve">=  </w:t>
      </w:r>
      <w:r w:rsidR="00AF38FF">
        <w:tab/>
      </w:r>
      <w:r>
        <w:t xml:space="preserve">mass of neat </w:t>
      </w:r>
      <w:r w:rsidR="00294783">
        <w:t>carbonyl</w:t>
      </w:r>
      <w:r w:rsidR="00AF38FF">
        <w:t xml:space="preserve">-hydrazone material </w:t>
      </w:r>
      <w:r>
        <w:t>(µg)</w:t>
      </w:r>
    </w:p>
    <w:p w14:paraId="566EC13B" w14:textId="671BDED5" w:rsidR="008F7952" w:rsidRDefault="008F7952" w:rsidP="0099275B">
      <w:pPr>
        <w:tabs>
          <w:tab w:val="left" w:pos="1080"/>
          <w:tab w:val="left" w:pos="3240"/>
        </w:tabs>
        <w:spacing w:before="120"/>
        <w:ind w:left="2880" w:hanging="1440"/>
        <w:contextualSpacing/>
      </w:pPr>
      <w:proofErr w:type="spellStart"/>
      <w:r w:rsidRPr="0099275B">
        <w:rPr>
          <w:i/>
          <w:iCs/>
        </w:rPr>
        <w:t>P</w:t>
      </w:r>
      <w:r w:rsidRPr="0099275B">
        <w:rPr>
          <w:i/>
          <w:iCs/>
          <w:vertAlign w:val="subscript"/>
        </w:rPr>
        <w:t>neat</w:t>
      </w:r>
      <w:proofErr w:type="spellEnd"/>
      <w:r w:rsidR="00AF38FF" w:rsidRPr="0099275B">
        <w:rPr>
          <w:i/>
          <w:iCs/>
          <w:vertAlign w:val="subscript"/>
        </w:rPr>
        <w:t xml:space="preserve"> </w:t>
      </w:r>
      <w:r>
        <w:t xml:space="preserve">=  </w:t>
      </w:r>
      <w:r w:rsidR="00AF38FF">
        <w:tab/>
      </w:r>
      <w:r>
        <w:t xml:space="preserve">purity of </w:t>
      </w:r>
      <w:r w:rsidR="00AF38FF">
        <w:t>carbonyl-hydrazone</w:t>
      </w:r>
      <w:r>
        <w:t xml:space="preserve"> compound in neat material, as a decimal</w:t>
      </w:r>
    </w:p>
    <w:p w14:paraId="1B71F32A" w14:textId="77777777" w:rsidR="00AF38FF" w:rsidRDefault="00AF38FF" w:rsidP="0099275B">
      <w:pPr>
        <w:ind w:left="2880" w:hanging="1440"/>
      </w:pPr>
      <w:proofErr w:type="spellStart"/>
      <w:r w:rsidRPr="00281D1E">
        <w:rPr>
          <w:i/>
        </w:rPr>
        <w:t>MW</w:t>
      </w:r>
      <w:r w:rsidRPr="00281D1E">
        <w:rPr>
          <w:i/>
          <w:vertAlign w:val="subscript"/>
        </w:rPr>
        <w:t>free</w:t>
      </w:r>
      <w:proofErr w:type="spellEnd"/>
      <w:r>
        <w:t xml:space="preserve"> = </w:t>
      </w:r>
      <w:r>
        <w:tab/>
        <w:t>molecular weight of free carbonyl (g/mol)</w:t>
      </w:r>
    </w:p>
    <w:p w14:paraId="6ACB7C71" w14:textId="3D9F0397" w:rsidR="00AF38FF" w:rsidRPr="009A6975" w:rsidRDefault="00AF38FF" w:rsidP="0099275B">
      <w:pPr>
        <w:ind w:left="2880" w:hanging="1440"/>
      </w:pPr>
      <w:proofErr w:type="spellStart"/>
      <w:r w:rsidRPr="00281D1E">
        <w:rPr>
          <w:i/>
        </w:rPr>
        <w:t>MW</w:t>
      </w:r>
      <w:r w:rsidRPr="00281D1E">
        <w:rPr>
          <w:i/>
          <w:vertAlign w:val="subscript"/>
        </w:rPr>
        <w:t>ch</w:t>
      </w:r>
      <w:proofErr w:type="spellEnd"/>
      <w:r>
        <w:t xml:space="preserve"> = </w:t>
      </w:r>
      <w:r>
        <w:tab/>
        <w:t>molecular weight of carbonyl-hydrazone (g/mol)</w:t>
      </w:r>
    </w:p>
    <w:p w14:paraId="71F7DBAF" w14:textId="4D94E092" w:rsidR="008F7952" w:rsidRPr="00651BF9" w:rsidRDefault="008F7952" w:rsidP="0099275B">
      <w:pPr>
        <w:tabs>
          <w:tab w:val="left" w:pos="1080"/>
          <w:tab w:val="left" w:pos="3240"/>
        </w:tabs>
        <w:spacing w:before="120"/>
        <w:ind w:left="2880" w:hanging="1440"/>
        <w:contextualSpacing/>
      </w:pPr>
      <w:proofErr w:type="spellStart"/>
      <w:r w:rsidRPr="0099275B">
        <w:rPr>
          <w:i/>
          <w:iCs/>
        </w:rPr>
        <w:t>V</w:t>
      </w:r>
      <w:r w:rsidRPr="0099275B">
        <w:rPr>
          <w:i/>
          <w:iCs/>
          <w:vertAlign w:val="subscript"/>
        </w:rPr>
        <w:t>stock</w:t>
      </w:r>
      <w:proofErr w:type="spellEnd"/>
      <w:r w:rsidR="00AF38FF">
        <w:rPr>
          <w:vertAlign w:val="subscript"/>
        </w:rPr>
        <w:t xml:space="preserve"> </w:t>
      </w:r>
      <w:r w:rsidR="00AF38FF">
        <w:t xml:space="preserve"> </w:t>
      </w:r>
      <w:r>
        <w:t xml:space="preserve">=  </w:t>
      </w:r>
      <w:r w:rsidR="00AF38FF">
        <w:tab/>
      </w:r>
      <w:r>
        <w:t>final volume of stock solution (mL)</w:t>
      </w:r>
    </w:p>
    <w:p w14:paraId="4CB3ADF4" w14:textId="77777777" w:rsidR="008F7952" w:rsidRDefault="008F7952" w:rsidP="008F7952">
      <w:pPr>
        <w:tabs>
          <w:tab w:val="left" w:pos="720"/>
        </w:tabs>
        <w:spacing w:before="120"/>
        <w:ind w:left="1800" w:hanging="1080"/>
        <w:contextualSpacing/>
      </w:pPr>
    </w:p>
    <w:p w14:paraId="24253A57" w14:textId="171862FD" w:rsidR="008F7952" w:rsidRDefault="008F7952" w:rsidP="00A72728">
      <w:pPr>
        <w:pStyle w:val="ListParagraph"/>
        <w:numPr>
          <w:ilvl w:val="1"/>
          <w:numId w:val="1"/>
        </w:numPr>
        <w:spacing w:before="120"/>
        <w:ind w:left="720"/>
      </w:pPr>
      <w:r w:rsidRPr="00A72728">
        <w:t>The</w:t>
      </w:r>
      <w:r w:rsidR="00067643">
        <w:t xml:space="preserve"> free carbonyl</w:t>
      </w:r>
      <w:r w:rsidRPr="00A72728">
        <w:t xml:space="preserve"> concentration of each </w:t>
      </w:r>
      <w:r w:rsidR="00A72728" w:rsidRPr="0099275B">
        <w:t>target carbonyl</w:t>
      </w:r>
      <w:r w:rsidRPr="00A72728">
        <w:t xml:space="preserve"> in </w:t>
      </w:r>
      <w:r w:rsidR="00A72728" w:rsidRPr="0099275B">
        <w:t>a</w:t>
      </w:r>
      <w:r w:rsidRPr="00A72728">
        <w:t xml:space="preserve"> </w:t>
      </w:r>
      <w:r w:rsidR="00A72728" w:rsidRPr="0099275B">
        <w:t xml:space="preserve">working level standard solution prepared by dilution of a stock standard solution is </w:t>
      </w:r>
      <w:r w:rsidRPr="00A72728">
        <w:t>determined as:</w:t>
      </w:r>
    </w:p>
    <w:p w14:paraId="18B291E9" w14:textId="77777777" w:rsidR="00A72728" w:rsidRPr="00A72728" w:rsidRDefault="00A72728" w:rsidP="0099275B">
      <w:pPr>
        <w:pStyle w:val="ListParagraph"/>
        <w:spacing w:before="120"/>
      </w:pPr>
    </w:p>
    <w:p w14:paraId="3AD6F53F" w14:textId="71640F7E" w:rsidR="00A72728" w:rsidRPr="00A72728" w:rsidRDefault="00F12E03" w:rsidP="0099275B">
      <w:pPr>
        <w:pStyle w:val="ListParagraph"/>
        <w:spacing w:before="120"/>
        <w:rPr>
          <w:iCs/>
        </w:rPr>
      </w:pPr>
      <m:oMathPara>
        <m:oMath>
          <m:sSub>
            <m:sSubPr>
              <m:ctrlPr>
                <w:rPr>
                  <w:rFonts w:ascii="Cambria Math" w:hAnsi="Cambria Math"/>
                  <w:i/>
                  <w:iCs/>
                </w:rPr>
              </m:ctrlPr>
            </m:sSubPr>
            <m:e>
              <m:r>
                <w:rPr>
                  <w:rFonts w:ascii="Cambria Math"/>
                </w:rPr>
                <m:t>C</m:t>
              </m:r>
            </m:e>
            <m:sub>
              <m:r>
                <w:rPr>
                  <w:rFonts w:ascii="Cambria Math"/>
                </w:rPr>
                <m:t>ws</m:t>
              </m:r>
            </m:sub>
          </m:sSub>
          <m:r>
            <w:rPr>
              <w:rFonts w:ascii="Cambria Math"/>
            </w:rPr>
            <m:t>=</m:t>
          </m:r>
          <m:r>
            <w:rPr>
              <w:rFonts w:ascii="Cambria Math"/>
            </w:rPr>
            <m:t> </m:t>
          </m:r>
          <m:f>
            <m:fPr>
              <m:ctrlPr>
                <w:rPr>
                  <w:rFonts w:ascii="Cambria Math" w:hAnsi="Cambria Math"/>
                  <w:i/>
                  <w:iCs/>
                </w:rPr>
              </m:ctrlPr>
            </m:fPr>
            <m:num>
              <m:sSub>
                <m:sSubPr>
                  <m:ctrlPr>
                    <w:rPr>
                      <w:rFonts w:ascii="Cambria Math" w:hAnsi="Cambria Math"/>
                      <w:i/>
                      <w:iCs/>
                    </w:rPr>
                  </m:ctrlPr>
                </m:sSubPr>
                <m:e>
                  <m:r>
                    <w:rPr>
                      <w:rFonts w:ascii="Cambria Math" w:hAnsi="Cambria Math"/>
                    </w:rPr>
                    <m:t>C</m:t>
                  </m:r>
                </m:e>
                <m:sub>
                  <m:r>
                    <w:rPr>
                      <w:rFonts w:ascii="Cambria Math" w:hAnsi="Cambria Math"/>
                    </w:rPr>
                    <m:t>ss</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ss</m:t>
                  </m:r>
                </m:sub>
              </m:sSub>
              <m:r>
                <w:rPr>
                  <w:rFonts w:ascii="Cambria Math" w:hAnsi="Cambria Math"/>
                </w:rPr>
                <m:t>∙</m:t>
              </m:r>
              <m:sSub>
                <m:sSubPr>
                  <m:ctrlPr>
                    <w:rPr>
                      <w:rFonts w:ascii="Cambria Math" w:hAnsi="Cambria Math"/>
                      <w:i/>
                      <w:iCs/>
                    </w:rPr>
                  </m:ctrlPr>
                </m:sSubPr>
                <m:e>
                  <m:r>
                    <w:rPr>
                      <w:rFonts w:ascii="Cambria Math" w:hAnsi="Cambria Math"/>
                    </w:rPr>
                    <m:t>MW</m:t>
                  </m:r>
                </m:e>
                <m:sub>
                  <m:r>
                    <w:rPr>
                      <w:rFonts w:ascii="Cambria Math" w:hAnsi="Cambria Math"/>
                    </w:rPr>
                    <m:t>free</m:t>
                  </m:r>
                </m:sub>
              </m:sSub>
            </m:num>
            <m:den>
              <m:sSub>
                <m:sSubPr>
                  <m:ctrlPr>
                    <w:rPr>
                      <w:rFonts w:ascii="Cambria Math" w:hAnsi="Cambria Math"/>
                      <w:i/>
                      <w:iCs/>
                    </w:rPr>
                  </m:ctrlPr>
                </m:sSubPr>
                <m:e>
                  <m:r>
                    <w:rPr>
                      <w:rFonts w:ascii="Cambria Math" w:hAnsi="Cambria Math"/>
                    </w:rPr>
                    <m:t>V</m:t>
                  </m:r>
                </m:e>
                <m:sub>
                  <m:r>
                    <w:rPr>
                      <w:rFonts w:ascii="Cambria Math" w:hAnsi="Cambria Math"/>
                    </w:rPr>
                    <m:t>ws</m:t>
                  </m:r>
                </m:sub>
              </m:sSub>
              <m:r>
                <w:rPr>
                  <w:rFonts w:ascii="Cambria Math" w:hAnsi="Cambria Math"/>
                </w:rPr>
                <m:t>∙</m:t>
              </m:r>
              <m:sSub>
                <m:sSubPr>
                  <m:ctrlPr>
                    <w:rPr>
                      <w:rFonts w:ascii="Cambria Math" w:hAnsi="Cambria Math"/>
                      <w:i/>
                      <w:iCs/>
                    </w:rPr>
                  </m:ctrlPr>
                </m:sSubPr>
                <m:e>
                  <m:r>
                    <w:rPr>
                      <w:rFonts w:ascii="Cambria Math" w:hAnsi="Cambria Math"/>
                    </w:rPr>
                    <m:t>MW</m:t>
                  </m:r>
                </m:e>
                <m:sub>
                  <m:r>
                    <w:rPr>
                      <w:rFonts w:ascii="Cambria Math" w:hAnsi="Cambria Math"/>
                    </w:rPr>
                    <m:t>ch</m:t>
                  </m:r>
                </m:sub>
              </m:sSub>
            </m:den>
          </m:f>
        </m:oMath>
      </m:oMathPara>
    </w:p>
    <w:p w14:paraId="77451142" w14:textId="77777777" w:rsidR="00067643" w:rsidRPr="0099275B" w:rsidRDefault="00067643" w:rsidP="00067643">
      <w:pPr>
        <w:tabs>
          <w:tab w:val="left" w:pos="720"/>
          <w:tab w:val="left" w:pos="2340"/>
          <w:tab w:val="left" w:pos="2880"/>
          <w:tab w:val="left" w:pos="3240"/>
          <w:tab w:val="left" w:pos="3510"/>
        </w:tabs>
        <w:spacing w:after="120"/>
        <w:ind w:left="720"/>
      </w:pPr>
    </w:p>
    <w:p w14:paraId="6C1EE0C9" w14:textId="484736DF" w:rsidR="008F7952" w:rsidRPr="001E2BB4" w:rsidRDefault="006178AF" w:rsidP="0099275B">
      <w:pPr>
        <w:tabs>
          <w:tab w:val="left" w:pos="720"/>
          <w:tab w:val="left" w:pos="2340"/>
          <w:tab w:val="left" w:pos="2880"/>
          <w:tab w:val="left" w:pos="3240"/>
          <w:tab w:val="left" w:pos="3510"/>
        </w:tabs>
        <w:spacing w:after="120"/>
        <w:ind w:left="720"/>
      </w:pPr>
      <w:r>
        <w:lastRenderedPageBreak/>
        <w:br/>
      </w:r>
      <w:r w:rsidR="008F7952" w:rsidRPr="001E2BB4">
        <w:t>Where:</w:t>
      </w:r>
    </w:p>
    <w:p w14:paraId="289A31AA" w14:textId="08CF1B09" w:rsidR="00A72728" w:rsidRDefault="00A72728" w:rsidP="00A72728">
      <w:pPr>
        <w:spacing w:before="120"/>
        <w:ind w:left="2880" w:hanging="1440"/>
        <w:contextualSpacing/>
      </w:pPr>
      <w:proofErr w:type="spellStart"/>
      <w:r w:rsidRPr="00D41747">
        <w:rPr>
          <w:i/>
          <w:iCs/>
        </w:rPr>
        <w:t>C</w:t>
      </w:r>
      <w:r>
        <w:rPr>
          <w:i/>
          <w:iCs/>
          <w:vertAlign w:val="subscript"/>
        </w:rPr>
        <w:t>w</w:t>
      </w:r>
      <w:r w:rsidRPr="00D41747">
        <w:rPr>
          <w:i/>
          <w:iCs/>
          <w:vertAlign w:val="subscript"/>
        </w:rPr>
        <w:t>s</w:t>
      </w:r>
      <w:proofErr w:type="spellEnd"/>
      <w:r>
        <w:t xml:space="preserve"> =  </w:t>
      </w:r>
      <w:r>
        <w:tab/>
        <w:t>free carbonyl concentration in working solution (µg/mL)</w:t>
      </w:r>
    </w:p>
    <w:p w14:paraId="3E70107D" w14:textId="044E01BC" w:rsidR="00A72728" w:rsidRPr="009A6975" w:rsidRDefault="00A72728" w:rsidP="00A72728">
      <w:pPr>
        <w:spacing w:before="120"/>
        <w:ind w:left="2880" w:hanging="1440"/>
        <w:contextualSpacing/>
      </w:pPr>
      <w:proofErr w:type="spellStart"/>
      <w:r>
        <w:rPr>
          <w:i/>
          <w:iCs/>
        </w:rPr>
        <w:t>C</w:t>
      </w:r>
      <w:r>
        <w:rPr>
          <w:i/>
          <w:iCs/>
          <w:vertAlign w:val="subscript"/>
        </w:rPr>
        <w:t>ss</w:t>
      </w:r>
      <w:proofErr w:type="spellEnd"/>
      <w:r w:rsidRPr="00D41747">
        <w:rPr>
          <w:i/>
          <w:iCs/>
          <w:vertAlign w:val="subscript"/>
        </w:rPr>
        <w:t xml:space="preserve"> </w:t>
      </w:r>
      <w:r>
        <w:t xml:space="preserve">=  </w:t>
      </w:r>
      <w:r>
        <w:tab/>
        <w:t xml:space="preserve">stock standard solution carbonyl-hydrazone analytical concentration from </w:t>
      </w:r>
      <w:r w:rsidR="00CE58D3">
        <w:t xml:space="preserve">the </w:t>
      </w:r>
      <w:r>
        <w:t>certificate of analysis (µg/mL)</w:t>
      </w:r>
    </w:p>
    <w:p w14:paraId="6C355B0E" w14:textId="775FFC6F" w:rsidR="00A72728" w:rsidRDefault="00A72728" w:rsidP="00A72728">
      <w:pPr>
        <w:tabs>
          <w:tab w:val="left" w:pos="1080"/>
          <w:tab w:val="left" w:pos="3240"/>
        </w:tabs>
        <w:spacing w:before="120"/>
        <w:ind w:left="2880" w:hanging="1440"/>
        <w:contextualSpacing/>
      </w:pPr>
      <w:proofErr w:type="spellStart"/>
      <w:r>
        <w:rPr>
          <w:i/>
          <w:iCs/>
        </w:rPr>
        <w:t>V</w:t>
      </w:r>
      <w:r>
        <w:rPr>
          <w:i/>
          <w:iCs/>
          <w:vertAlign w:val="subscript"/>
        </w:rPr>
        <w:t>ss</w:t>
      </w:r>
      <w:proofErr w:type="spellEnd"/>
      <w:r w:rsidRPr="00D41747">
        <w:rPr>
          <w:i/>
          <w:iCs/>
          <w:vertAlign w:val="subscript"/>
        </w:rPr>
        <w:t xml:space="preserve"> </w:t>
      </w:r>
      <w:r>
        <w:t xml:space="preserve">=  </w:t>
      </w:r>
      <w:r>
        <w:tab/>
        <w:t>volume of stock standard solution added (mL)</w:t>
      </w:r>
    </w:p>
    <w:p w14:paraId="593DD43E" w14:textId="26ADE2A1" w:rsidR="00A72728" w:rsidRDefault="00A72728" w:rsidP="00A72728">
      <w:pPr>
        <w:tabs>
          <w:tab w:val="left" w:pos="1080"/>
          <w:tab w:val="left" w:pos="3240"/>
        </w:tabs>
        <w:spacing w:before="120"/>
        <w:ind w:left="2880" w:hanging="1440"/>
        <w:contextualSpacing/>
      </w:pPr>
      <w:proofErr w:type="spellStart"/>
      <w:r w:rsidRPr="00D41747">
        <w:rPr>
          <w:i/>
          <w:iCs/>
        </w:rPr>
        <w:t>V</w:t>
      </w:r>
      <w:r>
        <w:rPr>
          <w:i/>
          <w:iCs/>
          <w:vertAlign w:val="subscript"/>
        </w:rPr>
        <w:t>ws</w:t>
      </w:r>
      <w:proofErr w:type="spellEnd"/>
      <w:r>
        <w:t xml:space="preserve"> =  </w:t>
      </w:r>
      <w:r>
        <w:tab/>
        <w:t>final volume of working standard solution (mL)</w:t>
      </w:r>
    </w:p>
    <w:p w14:paraId="55F32B82" w14:textId="77777777" w:rsidR="00A72728" w:rsidRDefault="00A72728" w:rsidP="00A72728">
      <w:pPr>
        <w:ind w:left="2880" w:hanging="1440"/>
      </w:pPr>
      <w:proofErr w:type="spellStart"/>
      <w:r w:rsidRPr="00281D1E">
        <w:rPr>
          <w:i/>
        </w:rPr>
        <w:t>MW</w:t>
      </w:r>
      <w:r w:rsidRPr="00281D1E">
        <w:rPr>
          <w:i/>
          <w:vertAlign w:val="subscript"/>
        </w:rPr>
        <w:t>free</w:t>
      </w:r>
      <w:proofErr w:type="spellEnd"/>
      <w:r>
        <w:t xml:space="preserve"> = </w:t>
      </w:r>
      <w:r>
        <w:tab/>
        <w:t>molecular weight of free carbonyl (g/mol)</w:t>
      </w:r>
    </w:p>
    <w:p w14:paraId="6CD90B24" w14:textId="77777777" w:rsidR="00A72728" w:rsidRPr="009A6975" w:rsidRDefault="00A72728" w:rsidP="00A72728">
      <w:pPr>
        <w:ind w:left="2880" w:hanging="1440"/>
      </w:pPr>
      <w:proofErr w:type="spellStart"/>
      <w:r w:rsidRPr="00281D1E">
        <w:rPr>
          <w:i/>
        </w:rPr>
        <w:t>MW</w:t>
      </w:r>
      <w:r w:rsidRPr="00281D1E">
        <w:rPr>
          <w:i/>
          <w:vertAlign w:val="subscript"/>
        </w:rPr>
        <w:t>ch</w:t>
      </w:r>
      <w:proofErr w:type="spellEnd"/>
      <w:r>
        <w:t xml:space="preserve"> = </w:t>
      </w:r>
      <w:r>
        <w:tab/>
        <w:t>molecular weight of carbonyl-hydrazone (g/mol)</w:t>
      </w:r>
    </w:p>
    <w:p w14:paraId="0A6E5AD0" w14:textId="77777777" w:rsidR="008F7952" w:rsidRDefault="008F7952" w:rsidP="0099275B">
      <w:pPr>
        <w:pStyle w:val="Heading4"/>
        <w:keepNext/>
        <w:keepLines/>
        <w:numPr>
          <w:ilvl w:val="0"/>
          <w:numId w:val="0"/>
        </w:numPr>
        <w:spacing w:before="120" w:after="120"/>
      </w:pPr>
    </w:p>
    <w:p w14:paraId="3ACE9591" w14:textId="4A10AB4A" w:rsidR="00067643" w:rsidRDefault="006178AF" w:rsidP="0099275B">
      <w:pPr>
        <w:pStyle w:val="Heading4"/>
        <w:keepNext/>
        <w:keepLines/>
        <w:numPr>
          <w:ilvl w:val="1"/>
          <w:numId w:val="1"/>
        </w:numPr>
        <w:spacing w:before="120" w:after="120"/>
        <w:ind w:left="720"/>
      </w:pPr>
      <w:r>
        <w:t>T</w:t>
      </w:r>
      <w:r w:rsidR="00067643">
        <w:t xml:space="preserve">he concentration of </w:t>
      </w:r>
      <w:r>
        <w:t xml:space="preserve">the target analyte in </w:t>
      </w:r>
      <w:r w:rsidR="00067643">
        <w:t xml:space="preserve">the measured solution </w:t>
      </w:r>
      <w:r>
        <w:t xml:space="preserve">is calculated </w:t>
      </w:r>
      <w:r w:rsidR="00067643">
        <w:t>according to the following formula</w:t>
      </w:r>
      <w:r w:rsidR="00CE58D3">
        <w:t xml:space="preserve"> based on the established linear regression</w:t>
      </w:r>
      <w:r w:rsidR="00067643">
        <w:t>:</w:t>
      </w:r>
    </w:p>
    <w:p w14:paraId="651D4C6A" w14:textId="77777777" w:rsidR="00067643" w:rsidRPr="00995D9B" w:rsidRDefault="00067643" w:rsidP="0099275B">
      <w:pPr>
        <w:ind w:left="720"/>
      </w:pPr>
    </w:p>
    <w:p w14:paraId="15E4906A" w14:textId="7C881291" w:rsidR="00420C7F" w:rsidRPr="0099275B" w:rsidRDefault="000A15E9" w:rsidP="0099275B">
      <w:pPr>
        <w:keepNext/>
        <w:keepLines/>
        <w:tabs>
          <w:tab w:val="left" w:pos="1170"/>
          <w:tab w:val="left" w:pos="1620"/>
          <w:tab w:val="left" w:pos="1890"/>
          <w:tab w:val="left" w:pos="2070"/>
        </w:tabs>
        <w:ind w:left="720"/>
        <w:jc w:val="center"/>
        <w:rPr>
          <w:snapToGrid w:val="0"/>
        </w:rPr>
      </w:pPr>
      <w:bookmarkStart w:id="4" w:name="_Hlk28865457"/>
      <m:oMathPara>
        <m:oMath>
          <m:r>
            <w:rPr>
              <w:rFonts w:ascii="Cambria Math"/>
            </w:rPr>
            <m:t>C=</m:t>
          </m:r>
          <m:r>
            <w:rPr>
              <w:rFonts w:ascii="Cambria Math"/>
            </w:rPr>
            <m:t> </m:t>
          </m:r>
          <m:d>
            <m:dPr>
              <m:begChr m:val="["/>
              <m:endChr m:val="]"/>
              <m:ctrlPr>
                <w:rPr>
                  <w:rFonts w:ascii="Cambria Math" w:hAnsi="Cambria Math"/>
                  <w:i/>
                  <w:iCs/>
                </w:rPr>
              </m:ctrlPr>
            </m:dPr>
            <m:e>
              <m:r>
                <w:rPr>
                  <w:rFonts w:ascii="Cambria Math"/>
                </w:rPr>
                <m:t>A</m:t>
              </m:r>
              <m:r>
                <w:rPr>
                  <w:rFonts w:ascii="Cambria Math"/>
                </w:rPr>
                <m:t>-</m:t>
              </m:r>
              <m:r>
                <w:rPr>
                  <w:rFonts w:ascii="Cambria Math"/>
                </w:rPr>
                <m:t>b</m:t>
              </m:r>
            </m:e>
          </m:d>
          <m:r>
            <w:rPr>
              <w:rFonts w:ascii="Cambria Math"/>
            </w:rPr>
            <m:t>/m</m:t>
          </m:r>
        </m:oMath>
      </m:oMathPara>
    </w:p>
    <w:p w14:paraId="7C84ECF3" w14:textId="3F86AE0D" w:rsidR="00420C7F" w:rsidRDefault="00420C7F" w:rsidP="002E2F67">
      <w:pPr>
        <w:pStyle w:val="BodyText"/>
        <w:keepNext/>
        <w:keepLines/>
        <w:spacing w:line="360" w:lineRule="auto"/>
        <w:ind w:left="720"/>
        <w:contextualSpacing/>
        <w:rPr>
          <w:snapToGrid w:val="0"/>
        </w:rPr>
      </w:pPr>
      <w:r w:rsidRPr="0099275B">
        <w:rPr>
          <w:snapToGrid w:val="0"/>
        </w:rPr>
        <w:t>Where:</w:t>
      </w:r>
    </w:p>
    <w:p w14:paraId="4732ED68" w14:textId="461F3852" w:rsidR="002E2F67" w:rsidRDefault="002E2F67" w:rsidP="002E2F67">
      <w:pPr>
        <w:pStyle w:val="BodyText"/>
        <w:keepNext/>
        <w:keepLines/>
        <w:spacing w:after="0"/>
        <w:ind w:left="1440"/>
        <w:rPr>
          <w:i/>
          <w:iCs/>
          <w:snapToGrid w:val="0"/>
        </w:rPr>
      </w:pPr>
      <w:r>
        <w:rPr>
          <w:i/>
          <w:iCs/>
          <w:snapToGrid w:val="0"/>
        </w:rPr>
        <w:t>C  =</w:t>
      </w:r>
      <w:r>
        <w:rPr>
          <w:i/>
          <w:iCs/>
          <w:snapToGrid w:val="0"/>
        </w:rPr>
        <w:tab/>
      </w:r>
      <w:r w:rsidRPr="0099275B">
        <w:rPr>
          <w:snapToGrid w:val="0"/>
        </w:rPr>
        <w:t>Concentration of target analyte in sample (</w:t>
      </w:r>
      <w:r>
        <w:rPr>
          <w:snapToGrid w:val="0"/>
        </w:rPr>
        <w:t>µ</w:t>
      </w:r>
      <w:r w:rsidRPr="0099275B">
        <w:rPr>
          <w:snapToGrid w:val="0"/>
        </w:rPr>
        <w:t>g/mL)</w:t>
      </w:r>
    </w:p>
    <w:p w14:paraId="63A4EEAB" w14:textId="5E8CD00E" w:rsidR="002E2F67" w:rsidRDefault="002E2F67" w:rsidP="0099275B">
      <w:pPr>
        <w:pStyle w:val="BodyText"/>
        <w:keepNext/>
        <w:keepLines/>
        <w:spacing w:after="0"/>
        <w:ind w:left="2160" w:hanging="720"/>
        <w:rPr>
          <w:i/>
          <w:iCs/>
          <w:snapToGrid w:val="0"/>
        </w:rPr>
      </w:pPr>
      <w:r>
        <w:rPr>
          <w:i/>
          <w:iCs/>
          <w:snapToGrid w:val="0"/>
        </w:rPr>
        <w:t>A  =</w:t>
      </w:r>
      <w:r>
        <w:rPr>
          <w:i/>
          <w:iCs/>
          <w:snapToGrid w:val="0"/>
        </w:rPr>
        <w:tab/>
      </w:r>
      <w:r w:rsidRPr="0099275B">
        <w:rPr>
          <w:snapToGrid w:val="0"/>
        </w:rPr>
        <w:t>Integrated peak area of the target analyte in the sample extract (area counts)</w:t>
      </w:r>
    </w:p>
    <w:p w14:paraId="0F548CBE" w14:textId="07A4EE8F" w:rsidR="002E2F67" w:rsidRDefault="002E2F67" w:rsidP="002E2F67">
      <w:pPr>
        <w:pStyle w:val="BodyText"/>
        <w:keepNext/>
        <w:keepLines/>
        <w:spacing w:after="0"/>
        <w:ind w:left="1440"/>
        <w:rPr>
          <w:i/>
          <w:iCs/>
          <w:snapToGrid w:val="0"/>
        </w:rPr>
      </w:pPr>
      <w:r>
        <w:rPr>
          <w:i/>
          <w:iCs/>
          <w:snapToGrid w:val="0"/>
        </w:rPr>
        <w:t>b  =</w:t>
      </w:r>
      <w:r>
        <w:rPr>
          <w:i/>
          <w:iCs/>
          <w:snapToGrid w:val="0"/>
        </w:rPr>
        <w:tab/>
      </w:r>
      <w:r w:rsidRPr="0099275B">
        <w:rPr>
          <w:snapToGrid w:val="0"/>
        </w:rPr>
        <w:t>Intercept of the calibration curve (area counts)</w:t>
      </w:r>
    </w:p>
    <w:p w14:paraId="2BC44C93" w14:textId="7124E083" w:rsidR="002E2F67" w:rsidRPr="0099275B" w:rsidRDefault="002E2F67" w:rsidP="0099275B">
      <w:pPr>
        <w:pStyle w:val="BodyText"/>
        <w:keepNext/>
        <w:keepLines/>
        <w:spacing w:after="0"/>
        <w:ind w:left="1440"/>
        <w:rPr>
          <w:i/>
          <w:iCs/>
          <w:snapToGrid w:val="0"/>
        </w:rPr>
      </w:pPr>
      <w:r>
        <w:rPr>
          <w:i/>
          <w:iCs/>
          <w:snapToGrid w:val="0"/>
        </w:rPr>
        <w:t>m  =</w:t>
      </w:r>
      <w:r w:rsidRPr="002E2F67">
        <w:t xml:space="preserve"> </w:t>
      </w:r>
      <w:r>
        <w:tab/>
      </w:r>
      <w:r w:rsidRPr="0099275B">
        <w:rPr>
          <w:snapToGrid w:val="0"/>
        </w:rPr>
        <w:t>Slope of the calibration curve (</w:t>
      </w:r>
      <w:proofErr w:type="spellStart"/>
      <w:r w:rsidRPr="0099275B">
        <w:rPr>
          <w:snapToGrid w:val="0"/>
        </w:rPr>
        <w:t>area·mL</w:t>
      </w:r>
      <w:proofErr w:type="spellEnd"/>
      <w:r w:rsidRPr="0099275B">
        <w:rPr>
          <w:snapToGrid w:val="0"/>
        </w:rPr>
        <w:t>·µg</w:t>
      </w:r>
      <w:r w:rsidRPr="0099275B">
        <w:rPr>
          <w:snapToGrid w:val="0"/>
          <w:vertAlign w:val="superscript"/>
        </w:rPr>
        <w:t>-1</w:t>
      </w:r>
      <w:r w:rsidRPr="0099275B">
        <w:rPr>
          <w:snapToGrid w:val="0"/>
        </w:rPr>
        <w:t>)</w:t>
      </w:r>
    </w:p>
    <w:bookmarkEnd w:id="4"/>
    <w:p w14:paraId="7422F681" w14:textId="77777777" w:rsidR="003C6846" w:rsidRDefault="003C6846" w:rsidP="00BB71EC">
      <w:pPr>
        <w:pStyle w:val="ListParagraph"/>
        <w:ind w:left="1440"/>
      </w:pPr>
    </w:p>
    <w:p w14:paraId="5F0F57B1" w14:textId="7ACA4DB7" w:rsidR="006178AF" w:rsidRDefault="00CE58D3" w:rsidP="0099275B">
      <w:pPr>
        <w:pStyle w:val="ListParagraph"/>
        <w:numPr>
          <w:ilvl w:val="1"/>
          <w:numId w:val="1"/>
        </w:numPr>
        <w:ind w:left="720"/>
      </w:pPr>
      <w:r>
        <w:t>Target c</w:t>
      </w:r>
      <w:r w:rsidR="00486BA6">
        <w:t>arbonyl concentrations measured in extracts</w:t>
      </w:r>
      <w:r w:rsidR="004D5D13">
        <w:t xml:space="preserve"> are normalized to the total collected sample volume</w:t>
      </w:r>
      <w:r w:rsidR="000A15E9">
        <w:t xml:space="preserve"> for </w:t>
      </w:r>
      <w:r w:rsidR="004D5D13">
        <w:t>report</w:t>
      </w:r>
      <w:r w:rsidR="000A15E9">
        <w:t>ing</w:t>
      </w:r>
      <w:r w:rsidR="004D5D13">
        <w:t xml:space="preserve"> as </w:t>
      </w:r>
      <w:r w:rsidR="000A15E9">
        <w:t xml:space="preserve">the </w:t>
      </w:r>
      <w:r w:rsidR="00486BA6">
        <w:t xml:space="preserve">mass per sampled volume (e.g. </w:t>
      </w:r>
      <w:r w:rsidR="004D5D13">
        <w:t>µg/m</w:t>
      </w:r>
      <w:r w:rsidR="004D5D13" w:rsidRPr="001E2BB4">
        <w:rPr>
          <w:vertAlign w:val="superscript"/>
        </w:rPr>
        <w:t>3</w:t>
      </w:r>
      <w:r w:rsidR="00486BA6">
        <w:t>)</w:t>
      </w:r>
      <w:r w:rsidR="000A15E9">
        <w:t xml:space="preserve"> per the following formula:</w:t>
      </w:r>
    </w:p>
    <w:p w14:paraId="29B454C6" w14:textId="2FC739BC" w:rsidR="006178AF" w:rsidRDefault="006178AF" w:rsidP="0099275B">
      <w:pPr>
        <w:pStyle w:val="ListParagraph"/>
        <w:jc w:val="center"/>
      </w:pPr>
      <w:r>
        <w:br/>
      </w:r>
      <m:oMathPara>
        <m:oMath>
          <m:sSub>
            <m:sSubPr>
              <m:ctrlPr>
                <w:rPr>
                  <w:rFonts w:ascii="Cambria Math" w:hAnsi="Cambria Math"/>
                  <w:i/>
                  <w:iCs/>
                </w:rPr>
              </m:ctrlPr>
            </m:sSubPr>
            <m:e>
              <m:r>
                <w:rPr>
                  <w:rFonts w:ascii="Cambria Math"/>
                </w:rPr>
                <m:t>C</m:t>
              </m:r>
            </m:e>
            <m:sub>
              <m:r>
                <w:rPr>
                  <w:rFonts w:ascii="Cambria Math"/>
                </w:rPr>
                <m:t>air</m:t>
              </m:r>
            </m:sub>
          </m:sSub>
          <m:r>
            <w:rPr>
              <w:rFonts w:ascii="Cambria Math"/>
            </w:rPr>
            <m:t>=</m:t>
          </m:r>
          <m:r>
            <w:rPr>
              <w:rFonts w:ascii="Cambria Math"/>
            </w:rPr>
            <m:t> </m:t>
          </m:r>
          <m:f>
            <m:fPr>
              <m:ctrlPr>
                <w:rPr>
                  <w:rFonts w:ascii="Cambria Math" w:hAnsi="Cambria Math"/>
                  <w:i/>
                  <w:iCs/>
                </w:rPr>
              </m:ctrlPr>
            </m:fPr>
            <m:num>
              <m:sSub>
                <m:sSubPr>
                  <m:ctrlPr>
                    <w:rPr>
                      <w:rFonts w:ascii="Cambria Math" w:hAnsi="Cambria Math"/>
                      <w:i/>
                      <w:iCs/>
                    </w:rPr>
                  </m:ctrlPr>
                </m:sSubPr>
                <m:e>
                  <m:r>
                    <w:rPr>
                      <w:rFonts w:ascii="Cambria Math" w:hAnsi="Cambria Math"/>
                    </w:rPr>
                    <m:t>C</m:t>
                  </m:r>
                </m:e>
                <m:sub>
                  <m:r>
                    <w:rPr>
                      <w:rFonts w:ascii="Cambria Math" w:hAnsi="Cambria Math"/>
                    </w:rPr>
                    <m:t>extract</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extract</m:t>
                  </m:r>
                </m:sub>
              </m:sSub>
              <m:r>
                <w:rPr>
                  <w:rFonts w:ascii="Cambria Math" w:hAnsi="Cambria Math"/>
                </w:rPr>
                <m:t>∙DF</m:t>
              </m:r>
            </m:num>
            <m:den>
              <m:sSub>
                <m:sSubPr>
                  <m:ctrlPr>
                    <w:rPr>
                      <w:rFonts w:ascii="Cambria Math" w:hAnsi="Cambria Math"/>
                      <w:i/>
                      <w:iCs/>
                    </w:rPr>
                  </m:ctrlPr>
                </m:sSubPr>
                <m:e>
                  <m:r>
                    <w:rPr>
                      <w:rFonts w:ascii="Cambria Math" w:hAnsi="Cambria Math"/>
                    </w:rPr>
                    <m:t>V</m:t>
                  </m:r>
                </m:e>
                <m:sub>
                  <m:r>
                    <w:rPr>
                      <w:rFonts w:ascii="Cambria Math" w:hAnsi="Cambria Math"/>
                    </w:rPr>
                    <m:t>air</m:t>
                  </m:r>
                </m:sub>
              </m:sSub>
            </m:den>
          </m:f>
        </m:oMath>
      </m:oMathPara>
    </w:p>
    <w:p w14:paraId="692A32E3" w14:textId="77777777" w:rsidR="006178AF" w:rsidRDefault="006178AF" w:rsidP="0099275B">
      <w:pPr>
        <w:pStyle w:val="ListParagraph"/>
      </w:pPr>
    </w:p>
    <w:p w14:paraId="1E24F7C1" w14:textId="37DB53B8" w:rsidR="00B23E27" w:rsidRDefault="00CF4748" w:rsidP="0099275B">
      <w:pPr>
        <w:pStyle w:val="ListParagraph"/>
        <w:rPr>
          <w:snapToGrid w:val="0"/>
        </w:rPr>
      </w:pPr>
      <w:r w:rsidRPr="00D41747">
        <w:rPr>
          <w:snapToGrid w:val="0"/>
        </w:rPr>
        <w:t>Where:</w:t>
      </w:r>
    </w:p>
    <w:p w14:paraId="27F3C903" w14:textId="77777777" w:rsidR="006178AF" w:rsidRDefault="006178AF" w:rsidP="009B067F">
      <w:pPr>
        <w:pStyle w:val="ListParagraph"/>
        <w:ind w:left="2430" w:hanging="990"/>
        <w:rPr>
          <w:i/>
          <w:iCs/>
          <w:snapToGrid w:val="0"/>
        </w:rPr>
      </w:pPr>
      <w:r>
        <w:rPr>
          <w:i/>
          <w:iCs/>
          <w:snapToGrid w:val="0"/>
        </w:rPr>
        <w:t>C</w:t>
      </w:r>
      <w:r w:rsidRPr="00D41747">
        <w:rPr>
          <w:i/>
          <w:iCs/>
          <w:snapToGrid w:val="0"/>
          <w:vertAlign w:val="subscript"/>
        </w:rPr>
        <w:t>air</w:t>
      </w:r>
      <w:r>
        <w:rPr>
          <w:i/>
          <w:iCs/>
          <w:snapToGrid w:val="0"/>
        </w:rPr>
        <w:t xml:space="preserve"> =</w:t>
      </w:r>
      <w:r>
        <w:rPr>
          <w:i/>
          <w:iCs/>
          <w:snapToGrid w:val="0"/>
        </w:rPr>
        <w:tab/>
      </w:r>
      <w:r w:rsidR="004474B5">
        <w:rPr>
          <w:snapToGrid w:val="0"/>
        </w:rPr>
        <w:t>c</w:t>
      </w:r>
      <w:r w:rsidRPr="00D41747">
        <w:rPr>
          <w:snapToGrid w:val="0"/>
        </w:rPr>
        <w:t xml:space="preserve">oncentration of target analyte in </w:t>
      </w:r>
      <w:r>
        <w:rPr>
          <w:snapToGrid w:val="0"/>
        </w:rPr>
        <w:t>air</w:t>
      </w:r>
      <w:r w:rsidRPr="00D41747">
        <w:rPr>
          <w:snapToGrid w:val="0"/>
        </w:rPr>
        <w:t xml:space="preserve"> (</w:t>
      </w:r>
      <w:r>
        <w:rPr>
          <w:snapToGrid w:val="0"/>
        </w:rPr>
        <w:t>µ</w:t>
      </w:r>
      <w:r w:rsidRPr="00D41747">
        <w:rPr>
          <w:snapToGrid w:val="0"/>
        </w:rPr>
        <w:t>g/m</w:t>
      </w:r>
      <w:r w:rsidRPr="00D41747">
        <w:rPr>
          <w:snapToGrid w:val="0"/>
          <w:vertAlign w:val="superscript"/>
        </w:rPr>
        <w:t>3</w:t>
      </w:r>
      <w:r w:rsidRPr="00D41747">
        <w:rPr>
          <w:snapToGrid w:val="0"/>
        </w:rPr>
        <w:t>)</w:t>
      </w:r>
    </w:p>
    <w:p w14:paraId="4E7334DB" w14:textId="77777777" w:rsidR="006178AF" w:rsidRDefault="006178AF" w:rsidP="006178AF">
      <w:pPr>
        <w:pStyle w:val="BodyText"/>
        <w:keepNext/>
        <w:keepLines/>
        <w:spacing w:after="0"/>
        <w:ind w:left="2430" w:hanging="990"/>
        <w:rPr>
          <w:i/>
          <w:iCs/>
          <w:snapToGrid w:val="0"/>
        </w:rPr>
      </w:pPr>
      <w:proofErr w:type="spellStart"/>
      <w:r>
        <w:rPr>
          <w:i/>
          <w:iCs/>
          <w:snapToGrid w:val="0"/>
        </w:rPr>
        <w:t>C</w:t>
      </w:r>
      <w:r w:rsidRPr="00D41747">
        <w:rPr>
          <w:i/>
          <w:iCs/>
          <w:snapToGrid w:val="0"/>
          <w:vertAlign w:val="subscript"/>
        </w:rPr>
        <w:t>extract</w:t>
      </w:r>
      <w:proofErr w:type="spellEnd"/>
      <w:r>
        <w:rPr>
          <w:i/>
          <w:iCs/>
          <w:snapToGrid w:val="0"/>
        </w:rPr>
        <w:t xml:space="preserve"> =</w:t>
      </w:r>
      <w:r>
        <w:rPr>
          <w:i/>
          <w:iCs/>
          <w:snapToGrid w:val="0"/>
        </w:rPr>
        <w:tab/>
      </w:r>
      <w:r>
        <w:rPr>
          <w:snapToGrid w:val="0"/>
        </w:rPr>
        <w:t>concentration of target analyte</w:t>
      </w:r>
      <w:r w:rsidRPr="00D41747">
        <w:rPr>
          <w:snapToGrid w:val="0"/>
        </w:rPr>
        <w:t xml:space="preserve"> in the sample extract (</w:t>
      </w:r>
      <w:r>
        <w:rPr>
          <w:snapToGrid w:val="0"/>
        </w:rPr>
        <w:t>µg/mL</w:t>
      </w:r>
      <w:r w:rsidRPr="00D41747">
        <w:rPr>
          <w:snapToGrid w:val="0"/>
        </w:rPr>
        <w:t>)</w:t>
      </w:r>
    </w:p>
    <w:p w14:paraId="34BF9B50" w14:textId="77777777" w:rsidR="006178AF" w:rsidRDefault="006178AF" w:rsidP="006178AF">
      <w:pPr>
        <w:pStyle w:val="BodyText"/>
        <w:keepNext/>
        <w:keepLines/>
        <w:spacing w:after="0"/>
        <w:ind w:left="2430" w:hanging="990"/>
        <w:rPr>
          <w:i/>
          <w:iCs/>
          <w:snapToGrid w:val="0"/>
        </w:rPr>
      </w:pPr>
      <w:proofErr w:type="spellStart"/>
      <w:r>
        <w:rPr>
          <w:i/>
          <w:iCs/>
          <w:snapToGrid w:val="0"/>
        </w:rPr>
        <w:t>V</w:t>
      </w:r>
      <w:r w:rsidRPr="00D41747">
        <w:rPr>
          <w:i/>
          <w:iCs/>
          <w:snapToGrid w:val="0"/>
          <w:vertAlign w:val="subscript"/>
        </w:rPr>
        <w:t>extract</w:t>
      </w:r>
      <w:proofErr w:type="spellEnd"/>
      <w:r>
        <w:rPr>
          <w:i/>
          <w:iCs/>
          <w:snapToGrid w:val="0"/>
        </w:rPr>
        <w:t xml:space="preserve"> =</w:t>
      </w:r>
      <w:r>
        <w:rPr>
          <w:i/>
          <w:iCs/>
          <w:snapToGrid w:val="0"/>
        </w:rPr>
        <w:tab/>
      </w:r>
      <w:r>
        <w:rPr>
          <w:snapToGrid w:val="0"/>
        </w:rPr>
        <w:t>volume of sample extract</w:t>
      </w:r>
      <w:r w:rsidRPr="00D41747">
        <w:rPr>
          <w:snapToGrid w:val="0"/>
        </w:rPr>
        <w:t xml:space="preserve"> (</w:t>
      </w:r>
      <w:r>
        <w:rPr>
          <w:snapToGrid w:val="0"/>
        </w:rPr>
        <w:t>mL</w:t>
      </w:r>
      <w:r w:rsidRPr="00D41747">
        <w:rPr>
          <w:snapToGrid w:val="0"/>
        </w:rPr>
        <w:t>)</w:t>
      </w:r>
    </w:p>
    <w:p w14:paraId="35B6192A" w14:textId="77777777" w:rsidR="006178AF" w:rsidRDefault="006178AF" w:rsidP="006178AF">
      <w:pPr>
        <w:pStyle w:val="BodyText"/>
        <w:keepNext/>
        <w:keepLines/>
        <w:spacing w:after="0"/>
        <w:ind w:left="2430" w:hanging="990"/>
        <w:rPr>
          <w:snapToGrid w:val="0"/>
        </w:rPr>
      </w:pPr>
      <w:r>
        <w:rPr>
          <w:i/>
          <w:iCs/>
          <w:snapToGrid w:val="0"/>
        </w:rPr>
        <w:t>DF =</w:t>
      </w:r>
      <w:r w:rsidRPr="002E2F67">
        <w:t xml:space="preserve"> </w:t>
      </w:r>
      <w:r>
        <w:tab/>
      </w:r>
      <w:r>
        <w:rPr>
          <w:snapToGrid w:val="0"/>
        </w:rPr>
        <w:t>dilution factor (= 1 if no dilution performed on the extract)</w:t>
      </w:r>
    </w:p>
    <w:p w14:paraId="25F03694" w14:textId="77777777" w:rsidR="006178AF" w:rsidRDefault="006178AF" w:rsidP="006178AF">
      <w:pPr>
        <w:pStyle w:val="BodyText"/>
        <w:keepNext/>
        <w:keepLines/>
        <w:spacing w:after="0"/>
        <w:ind w:left="2430" w:hanging="990"/>
        <w:rPr>
          <w:snapToGrid w:val="0"/>
        </w:rPr>
      </w:pPr>
      <w:r>
        <w:rPr>
          <w:i/>
          <w:iCs/>
          <w:snapToGrid w:val="0"/>
        </w:rPr>
        <w:t>V</w:t>
      </w:r>
      <w:r w:rsidRPr="00D41747">
        <w:rPr>
          <w:i/>
          <w:iCs/>
          <w:snapToGrid w:val="0"/>
          <w:vertAlign w:val="subscript"/>
        </w:rPr>
        <w:t>air</w:t>
      </w:r>
      <w:r>
        <w:rPr>
          <w:i/>
          <w:iCs/>
          <w:snapToGrid w:val="0"/>
        </w:rPr>
        <w:t xml:space="preserve"> =</w:t>
      </w:r>
      <w:r w:rsidRPr="002E2F67">
        <w:t xml:space="preserve"> </w:t>
      </w:r>
      <w:r>
        <w:tab/>
      </w:r>
      <w:r>
        <w:rPr>
          <w:snapToGrid w:val="0"/>
        </w:rPr>
        <w:t>volume of standard conditions sampled air for the cartridge</w:t>
      </w:r>
      <w:r w:rsidRPr="00D41747">
        <w:rPr>
          <w:snapToGrid w:val="0"/>
        </w:rPr>
        <w:t xml:space="preserve"> (</w:t>
      </w:r>
      <w:r>
        <w:rPr>
          <w:snapToGrid w:val="0"/>
        </w:rPr>
        <w:t>m</w:t>
      </w:r>
      <w:r>
        <w:rPr>
          <w:snapToGrid w:val="0"/>
          <w:vertAlign w:val="superscript"/>
        </w:rPr>
        <w:t>3</w:t>
      </w:r>
      <w:r w:rsidRPr="00D41747">
        <w:rPr>
          <w:snapToGrid w:val="0"/>
        </w:rPr>
        <w:t>)</w:t>
      </w:r>
    </w:p>
    <w:p w14:paraId="0B6A88D6" w14:textId="77777777" w:rsidR="006178AF" w:rsidRDefault="006178AF" w:rsidP="006178AF">
      <w:pPr>
        <w:pStyle w:val="BodyText"/>
        <w:keepNext/>
        <w:keepLines/>
        <w:spacing w:after="0"/>
        <w:rPr>
          <w:i/>
          <w:iCs/>
          <w:snapToGrid w:val="0"/>
        </w:rPr>
      </w:pPr>
    </w:p>
    <w:p w14:paraId="11102EA5" w14:textId="77777777" w:rsidR="006178AF" w:rsidRDefault="006178AF" w:rsidP="006178AF">
      <w:pPr>
        <w:pStyle w:val="BodyText"/>
        <w:keepNext/>
        <w:keepLines/>
        <w:spacing w:after="0"/>
        <w:ind w:left="1800" w:hanging="1080"/>
        <w:rPr>
          <w:snapToGrid w:val="0"/>
        </w:rPr>
      </w:pPr>
      <w:r>
        <w:rPr>
          <w:snapToGrid w:val="0"/>
        </w:rPr>
        <w:t>Example:</w:t>
      </w:r>
      <w:r>
        <w:rPr>
          <w:snapToGrid w:val="0"/>
        </w:rPr>
        <w:tab/>
        <w:t>An ambient sample cartridge collected at 1.00 L/minute for 480 minutes (0.480 m</w:t>
      </w:r>
      <w:r w:rsidRPr="00D41747">
        <w:rPr>
          <w:snapToGrid w:val="0"/>
          <w:vertAlign w:val="superscript"/>
        </w:rPr>
        <w:t>3</w:t>
      </w:r>
      <w:r>
        <w:rPr>
          <w:snapToGrid w:val="0"/>
        </w:rPr>
        <w:t>) was extracted with 5.0 mL of ACN was diluted by a factor of 2 (e.g., 1 mL of extract was diluted to 2 mL final volume with ACN) measured 2.42 µg/mL of formaldehyde on the HPLC.</w:t>
      </w:r>
    </w:p>
    <w:p w14:paraId="34DA2C8F" w14:textId="77777777" w:rsidR="006178AF" w:rsidRDefault="006178AF" w:rsidP="006178AF">
      <w:pPr>
        <w:pStyle w:val="BodyText"/>
        <w:keepNext/>
        <w:keepLines/>
        <w:spacing w:after="0"/>
        <w:ind w:left="1800" w:hanging="1080"/>
        <w:rPr>
          <w:snapToGrid w:val="0"/>
        </w:rPr>
      </w:pPr>
    </w:p>
    <w:p w14:paraId="30EC41C4" w14:textId="77777777" w:rsidR="006178AF" w:rsidRDefault="006178AF" w:rsidP="006178AF">
      <w:pPr>
        <w:pStyle w:val="BodyText"/>
        <w:keepNext/>
        <w:keepLines/>
        <w:spacing w:after="0"/>
        <w:ind w:left="2430" w:firstLine="360"/>
        <w:rPr>
          <w:snapToGrid w:val="0"/>
        </w:rPr>
      </w:pPr>
      <w:r w:rsidRPr="00D41747">
        <w:rPr>
          <w:snapToGrid w:val="0"/>
          <w:u w:val="single"/>
        </w:rPr>
        <w:t>2.42 µg/mL · 5.0 mL · 2</w:t>
      </w:r>
      <w:r>
        <w:rPr>
          <w:snapToGrid w:val="0"/>
        </w:rPr>
        <w:t xml:space="preserve">  =  </w:t>
      </w:r>
      <w:r w:rsidRPr="00D41747">
        <w:rPr>
          <w:b/>
          <w:bCs/>
          <w:snapToGrid w:val="0"/>
          <w:u w:val="single"/>
        </w:rPr>
        <w:t>50.4 µg/m</w:t>
      </w:r>
      <w:r w:rsidRPr="00D41747">
        <w:rPr>
          <w:b/>
          <w:bCs/>
          <w:snapToGrid w:val="0"/>
          <w:u w:val="single"/>
          <w:vertAlign w:val="superscript"/>
        </w:rPr>
        <w:t>3</w:t>
      </w:r>
    </w:p>
    <w:p w14:paraId="72A3D18B" w14:textId="77777777" w:rsidR="006178AF" w:rsidRPr="00543222" w:rsidRDefault="006178AF" w:rsidP="006178AF">
      <w:pPr>
        <w:pStyle w:val="BodyText"/>
        <w:keepNext/>
        <w:keepLines/>
        <w:spacing w:after="0"/>
        <w:ind w:left="2430" w:firstLine="360"/>
        <w:rPr>
          <w:snapToGrid w:val="0"/>
        </w:rPr>
      </w:pPr>
      <w:r>
        <w:rPr>
          <w:snapToGrid w:val="0"/>
        </w:rPr>
        <w:tab/>
      </w:r>
      <w:r>
        <w:rPr>
          <w:snapToGrid w:val="0"/>
        </w:rPr>
        <w:tab/>
        <w:t>0.480 m</w:t>
      </w:r>
      <w:r>
        <w:rPr>
          <w:snapToGrid w:val="0"/>
          <w:vertAlign w:val="superscript"/>
        </w:rPr>
        <w:t>3</w:t>
      </w:r>
    </w:p>
    <w:p w14:paraId="1A6A524E" w14:textId="77777777" w:rsidR="006178AF" w:rsidRDefault="006178AF" w:rsidP="0099275B">
      <w:pPr>
        <w:pStyle w:val="ListParagraph"/>
        <w:rPr>
          <w:snapToGrid w:val="0"/>
        </w:rPr>
      </w:pPr>
    </w:p>
    <w:p w14:paraId="5C632C3E" w14:textId="08FEBBF7" w:rsidR="00080A6E" w:rsidRDefault="00CF4748" w:rsidP="0099275B">
      <w:pPr>
        <w:pStyle w:val="ListParagraph"/>
        <w:spacing w:after="120"/>
        <w:contextualSpacing w:val="0"/>
      </w:pPr>
      <w:r>
        <w:lastRenderedPageBreak/>
        <w:t xml:space="preserve">Measured concentrations of target carbonyls in field-collected samples (primary sequential 8-hour samples, duplicate </w:t>
      </w:r>
      <w:r w:rsidRPr="00543222">
        <w:t xml:space="preserve">samples, collocated samples) as well as </w:t>
      </w:r>
      <w:r w:rsidR="00080A6E">
        <w:t>FBs</w:t>
      </w:r>
      <w:r w:rsidRPr="00543222">
        <w:t xml:space="preserve"> are to be reported to AQS in µg/m</w:t>
      </w:r>
      <w:r w:rsidRPr="00543222">
        <w:rPr>
          <w:vertAlign w:val="superscript"/>
        </w:rPr>
        <w:t>3</w:t>
      </w:r>
      <w:r w:rsidRPr="00543222">
        <w:t xml:space="preserve"> at standard conditions of 25°C and 760 mmHg.  </w:t>
      </w:r>
    </w:p>
    <w:p w14:paraId="7EC60259" w14:textId="63A51C04" w:rsidR="00CF4748" w:rsidRDefault="00CF4748" w:rsidP="00080A6E">
      <w:pPr>
        <w:pStyle w:val="ListParagraph"/>
        <w:spacing w:after="120"/>
        <w:contextualSpacing w:val="0"/>
      </w:pPr>
      <w:r w:rsidRPr="00543222">
        <w:t xml:space="preserve">Target analyte concentrations in FBs </w:t>
      </w:r>
      <w:r w:rsidRPr="0099275B">
        <w:t>are to be normalized to the target standard conditions collected volume of an 8-hour sample at the typical designated flow rate.</w:t>
      </w:r>
    </w:p>
    <w:p w14:paraId="5030A8F5" w14:textId="3FAF0B94" w:rsidR="00080A6E" w:rsidRDefault="00080A6E" w:rsidP="0099275B">
      <w:pPr>
        <w:pStyle w:val="ListParagraph"/>
        <w:spacing w:after="120"/>
        <w:contextualSpacing w:val="0"/>
      </w:pPr>
      <w:r>
        <w:t>Target analyte concentrations for TBs may be reported as the total measured mass/cartridge or may be normalized to the target standard conditions collected volume of an 8-hour sample at the typical designated flow rate.</w:t>
      </w:r>
    </w:p>
    <w:p w14:paraId="77BC2EDD" w14:textId="648C5643" w:rsidR="004D5D13" w:rsidRDefault="00486BA6" w:rsidP="0099275B">
      <w:pPr>
        <w:pStyle w:val="ListParagraph"/>
        <w:numPr>
          <w:ilvl w:val="1"/>
          <w:numId w:val="1"/>
        </w:numPr>
        <w:spacing w:after="120"/>
        <w:ind w:left="720"/>
        <w:contextualSpacing w:val="0"/>
      </w:pPr>
      <w:r>
        <w:t>Mass</w:t>
      </w:r>
      <w:r w:rsidR="004474B5">
        <w:t>es</w:t>
      </w:r>
      <w:r>
        <w:t xml:space="preserve"> of </w:t>
      </w:r>
      <w:r w:rsidR="004474B5">
        <w:t xml:space="preserve">target </w:t>
      </w:r>
      <w:r>
        <w:t>carbonyl</w:t>
      </w:r>
      <w:r w:rsidR="004474B5">
        <w:t>s</w:t>
      </w:r>
      <w:r>
        <w:t xml:space="preserve"> per sampled </w:t>
      </w:r>
      <w:r w:rsidR="00CF7A21">
        <w:t xml:space="preserve">air </w:t>
      </w:r>
      <w:r>
        <w:t>volume units can be converted</w:t>
      </w:r>
      <w:r w:rsidR="004D5D13">
        <w:t xml:space="preserve"> </w:t>
      </w:r>
      <w:r w:rsidR="00CF7A21">
        <w:t xml:space="preserve">to </w:t>
      </w:r>
      <w:proofErr w:type="spellStart"/>
      <w:r w:rsidR="00CF7A21">
        <w:t>ppbv</w:t>
      </w:r>
      <w:proofErr w:type="spellEnd"/>
      <w:r w:rsidR="00CF7A21">
        <w:t xml:space="preserve"> </w:t>
      </w:r>
      <w:r w:rsidR="004D5D13">
        <w:t xml:space="preserve">through reports generated by AQS </w:t>
      </w:r>
      <w:r w:rsidR="00992DD2">
        <w:t xml:space="preserve">(e.g., AMP501 </w:t>
      </w:r>
      <w:r w:rsidR="004D5D13">
        <w:t>or by the following formula:</w:t>
      </w:r>
    </w:p>
    <w:p w14:paraId="095EC189" w14:textId="77777777" w:rsidR="004D5D13" w:rsidRDefault="004D5D13">
      <w:pPr>
        <w:pStyle w:val="ListParagraph"/>
      </w:pPr>
    </w:p>
    <w:p w14:paraId="133351F4" w14:textId="77777777" w:rsidR="004D5D13" w:rsidRDefault="00F12E03">
      <w:pPr>
        <w:pStyle w:val="ListParagraph"/>
      </w:pPr>
      <m:oMathPara>
        <m:oMath>
          <m:sSub>
            <m:sSubPr>
              <m:ctrlPr>
                <w:rPr>
                  <w:rFonts w:ascii="Cambria Math" w:hAnsi="Cambria Math"/>
                  <w:i/>
                </w:rPr>
              </m:ctrlPr>
            </m:sSubPr>
            <m:e>
              <m:r>
                <w:rPr>
                  <w:rFonts w:ascii="Cambria Math" w:hAnsi="Cambria Math"/>
                </w:rPr>
                <m:t>C</m:t>
              </m:r>
            </m:e>
            <m:sub>
              <m:r>
                <w:rPr>
                  <w:rFonts w:ascii="Cambria Math" w:hAnsi="Cambria Math"/>
                </w:rPr>
                <m:t>A ppbV</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 xml:space="preserve">A µg/m3 </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f</m:t>
              </m:r>
            </m:sub>
          </m:sSub>
        </m:oMath>
      </m:oMathPara>
    </w:p>
    <w:p w14:paraId="32DBC56C" w14:textId="77777777" w:rsidR="004D5D13" w:rsidRDefault="004D5D13">
      <w:pPr>
        <w:pStyle w:val="ListParagraph"/>
      </w:pPr>
    </w:p>
    <w:p w14:paraId="427884A8" w14:textId="77777777" w:rsidR="00CF7A21" w:rsidRDefault="004D5D13" w:rsidP="0099275B">
      <w:pPr>
        <w:pStyle w:val="ListParagraph"/>
        <w:spacing w:after="120"/>
        <w:contextualSpacing w:val="0"/>
      </w:pPr>
      <w:r>
        <w:t>Where:</w:t>
      </w:r>
    </w:p>
    <w:p w14:paraId="34319A86" w14:textId="7C5F6C54" w:rsidR="004D5D13" w:rsidRDefault="004D5D13" w:rsidP="0099275B">
      <w:pPr>
        <w:ind w:left="2520" w:hanging="1080"/>
      </w:pPr>
      <w:proofErr w:type="spellStart"/>
      <w:r w:rsidRPr="00CF7A21">
        <w:rPr>
          <w:i/>
        </w:rPr>
        <w:t>C</w:t>
      </w:r>
      <w:r w:rsidRPr="00CF7A21">
        <w:rPr>
          <w:i/>
          <w:vertAlign w:val="subscript"/>
        </w:rPr>
        <w:t>Appb</w:t>
      </w:r>
      <w:r w:rsidR="00CF7A21" w:rsidRPr="00CF7A21">
        <w:rPr>
          <w:i/>
          <w:vertAlign w:val="subscript"/>
        </w:rPr>
        <w:t>v</w:t>
      </w:r>
      <w:proofErr w:type="spellEnd"/>
      <w:r w:rsidR="00CF7A21">
        <w:t xml:space="preserve">  </w:t>
      </w:r>
      <w:r>
        <w:t xml:space="preserve">= </w:t>
      </w:r>
      <w:r>
        <w:tab/>
      </w:r>
      <w:r w:rsidR="00CF7A21">
        <w:t xml:space="preserve">molar </w:t>
      </w:r>
      <w:r>
        <w:t>concentration in air at standard conditions (</w:t>
      </w:r>
      <w:proofErr w:type="spellStart"/>
      <w:r>
        <w:t>ppb</w:t>
      </w:r>
      <w:r w:rsidR="00CF7A21">
        <w:t>v</w:t>
      </w:r>
      <w:proofErr w:type="spellEnd"/>
      <w:r>
        <w:t>)</w:t>
      </w:r>
    </w:p>
    <w:p w14:paraId="6E01DBCC" w14:textId="73CBD3E0" w:rsidR="004D5D13" w:rsidRDefault="004D5D13" w:rsidP="0099275B">
      <w:pPr>
        <w:ind w:left="2520" w:hanging="1080"/>
      </w:pPr>
      <w:proofErr w:type="spellStart"/>
      <w:r w:rsidRPr="00CF7A21">
        <w:rPr>
          <w:i/>
        </w:rPr>
        <w:t>C</w:t>
      </w:r>
      <w:r w:rsidRPr="00CF7A21">
        <w:rPr>
          <w:i/>
          <w:vertAlign w:val="subscript"/>
        </w:rPr>
        <w:t>Aµg</w:t>
      </w:r>
      <w:proofErr w:type="spellEnd"/>
      <w:r w:rsidRPr="00CF7A21">
        <w:rPr>
          <w:i/>
          <w:vertAlign w:val="subscript"/>
        </w:rPr>
        <w:t>/m3</w:t>
      </w:r>
      <w:r>
        <w:t xml:space="preserve"> </w:t>
      </w:r>
      <w:r w:rsidR="00CF7A21">
        <w:t xml:space="preserve"> </w:t>
      </w:r>
      <w:r>
        <w:t xml:space="preserve">= </w:t>
      </w:r>
      <w:r>
        <w:tab/>
      </w:r>
      <w:r w:rsidR="00CF7A21">
        <w:t xml:space="preserve">mass </w:t>
      </w:r>
      <w:r>
        <w:t>concentration in air at standard conditions (µg/m</w:t>
      </w:r>
      <w:r w:rsidRPr="00CF7A21">
        <w:rPr>
          <w:vertAlign w:val="superscript"/>
        </w:rPr>
        <w:t>3</w:t>
      </w:r>
      <w:r>
        <w:t>)</w:t>
      </w:r>
    </w:p>
    <w:p w14:paraId="585A0822" w14:textId="3BFB731E" w:rsidR="004D5D13" w:rsidRPr="007E4D8B" w:rsidRDefault="004D5D13" w:rsidP="0099275B">
      <w:pPr>
        <w:ind w:left="2520" w:hanging="1080"/>
      </w:pPr>
      <w:r w:rsidRPr="00CF7A21">
        <w:rPr>
          <w:i/>
        </w:rPr>
        <w:t>C</w:t>
      </w:r>
      <w:r w:rsidRPr="00CF7A21">
        <w:rPr>
          <w:i/>
          <w:vertAlign w:val="subscript"/>
        </w:rPr>
        <w:t>f</w:t>
      </w:r>
      <w:r w:rsidR="00CF7A21">
        <w:t xml:space="preserve">  </w:t>
      </w:r>
      <w:r>
        <w:t xml:space="preserve">= </w:t>
      </w:r>
      <w:r>
        <w:tab/>
        <w:t>conversion factor (µg m</w:t>
      </w:r>
      <w:r w:rsidRPr="00CF7A21">
        <w:rPr>
          <w:vertAlign w:val="superscript"/>
        </w:rPr>
        <w:t>-3</w:t>
      </w:r>
      <w:r>
        <w:t xml:space="preserve"> ·ppb</w:t>
      </w:r>
      <w:r w:rsidR="00CF7A21">
        <w:t>v</w:t>
      </w:r>
      <w:r w:rsidRPr="00CF7A21">
        <w:rPr>
          <w:vertAlign w:val="superscript"/>
        </w:rPr>
        <w:t>-1</w:t>
      </w:r>
      <w:r>
        <w:t xml:space="preserve">) = molecular weight/(0.082059 </w:t>
      </w:r>
      <w:r w:rsidR="00F81072">
        <w:sym w:font="Symbol" w:char="F0B4"/>
      </w:r>
      <w:r>
        <w:t xml:space="preserve"> 298.15)</w:t>
      </w:r>
    </w:p>
    <w:p w14:paraId="10F6F744" w14:textId="77777777" w:rsidR="004D5D13" w:rsidRDefault="004D5D13" w:rsidP="00582D56">
      <w:pPr>
        <w:pStyle w:val="ListParagraph"/>
        <w:ind w:left="1440"/>
      </w:pPr>
    </w:p>
    <w:p w14:paraId="22AA9AB0" w14:textId="24281FAA" w:rsidR="000A15E9" w:rsidRDefault="004D5D13" w:rsidP="000A15E9">
      <w:pPr>
        <w:pStyle w:val="ListParagraph"/>
      </w:pPr>
      <w:r w:rsidRPr="00B46FD1">
        <w:t xml:space="preserve">Molecular </w:t>
      </w:r>
      <w:r w:rsidR="00CF7A21">
        <w:t>w</w:t>
      </w:r>
      <w:r w:rsidRPr="00B46FD1">
        <w:t>eight</w:t>
      </w:r>
      <w:r w:rsidR="000A15E9">
        <w:t>s and associated conversion factors</w:t>
      </w:r>
      <w:r w:rsidRPr="00B46FD1">
        <w:t xml:space="preserve"> for the PAMS target carbonyl</w:t>
      </w:r>
      <w:r w:rsidR="000A15E9">
        <w:t>s</w:t>
      </w:r>
      <w:r w:rsidRPr="00B46FD1">
        <w:t xml:space="preserve"> are shown in Table </w:t>
      </w:r>
      <w:r w:rsidR="0074630C">
        <w:t>5.</w:t>
      </w:r>
    </w:p>
    <w:p w14:paraId="2782554F" w14:textId="02BC9153" w:rsidR="004D5D13" w:rsidRPr="009119D6" w:rsidRDefault="004D5D13" w:rsidP="0099275B">
      <w:pPr>
        <w:pStyle w:val="ListParagraph"/>
        <w:jc w:val="center"/>
        <w:rPr>
          <w:b/>
        </w:rPr>
      </w:pPr>
      <w:r w:rsidRPr="00B46FD1">
        <w:br/>
      </w:r>
      <w:r w:rsidRPr="00B46FD1">
        <w:rPr>
          <w:b/>
        </w:rPr>
        <w:t xml:space="preserve">Table </w:t>
      </w:r>
      <w:r w:rsidR="0074630C">
        <w:rPr>
          <w:b/>
        </w:rPr>
        <w:t>5</w:t>
      </w:r>
      <w:r w:rsidR="00F445AF">
        <w:rPr>
          <w:b/>
        </w:rPr>
        <w:t>.</w:t>
      </w:r>
      <w:r w:rsidR="000A15E9">
        <w:rPr>
          <w:b/>
        </w:rPr>
        <w:t xml:space="preserve">  </w:t>
      </w:r>
      <w:r w:rsidRPr="009119D6">
        <w:rPr>
          <w:b/>
        </w:rPr>
        <w:t>Molecular Weights and Conversion Factors</w:t>
      </w:r>
      <w:r w:rsidR="000A15E9">
        <w:rPr>
          <w:b/>
        </w:rPr>
        <w:t xml:space="preserve"> of </w:t>
      </w:r>
      <w:r w:rsidR="000A15E9">
        <w:rPr>
          <w:b/>
        </w:rPr>
        <w:br/>
        <w:t>PAMS Target Carbonyls</w:t>
      </w:r>
    </w:p>
    <w:tbl>
      <w:tblPr>
        <w:tblStyle w:val="TableGrid"/>
        <w:tblW w:w="0" w:type="auto"/>
        <w:jc w:val="center"/>
        <w:tblLook w:val="04A0" w:firstRow="1" w:lastRow="0" w:firstColumn="1" w:lastColumn="0" w:noHBand="0" w:noVBand="1"/>
      </w:tblPr>
      <w:tblGrid>
        <w:gridCol w:w="2109"/>
        <w:gridCol w:w="1756"/>
        <w:gridCol w:w="1873"/>
        <w:gridCol w:w="1803"/>
      </w:tblGrid>
      <w:tr w:rsidR="004D5D13" w14:paraId="609EE1B4" w14:textId="77777777" w:rsidTr="00B46FD1">
        <w:trPr>
          <w:jc w:val="center"/>
        </w:trPr>
        <w:tc>
          <w:tcPr>
            <w:tcW w:w="2109" w:type="dxa"/>
          </w:tcPr>
          <w:p w14:paraId="4E0F72BE" w14:textId="1FB1FA4C" w:rsidR="004D5D13" w:rsidRDefault="00F445AF" w:rsidP="00BA1FA5">
            <w:pPr>
              <w:pStyle w:val="ListParagraph"/>
              <w:ind w:left="0"/>
              <w:jc w:val="center"/>
            </w:pPr>
            <w:r>
              <w:t xml:space="preserve">Target </w:t>
            </w:r>
            <w:r w:rsidR="004D5D13">
              <w:t>Carbonyl</w:t>
            </w:r>
          </w:p>
        </w:tc>
        <w:tc>
          <w:tcPr>
            <w:tcW w:w="1756" w:type="dxa"/>
          </w:tcPr>
          <w:p w14:paraId="41B1C1F5" w14:textId="77777777" w:rsidR="004D5D13" w:rsidRDefault="004D5D13" w:rsidP="00BA1FA5">
            <w:pPr>
              <w:pStyle w:val="ListParagraph"/>
              <w:ind w:left="0"/>
              <w:jc w:val="center"/>
            </w:pPr>
            <w:r>
              <w:t>Molecular Weight</w:t>
            </w:r>
            <w:r>
              <w:br/>
              <w:t>(g/mol)</w:t>
            </w:r>
          </w:p>
        </w:tc>
        <w:tc>
          <w:tcPr>
            <w:tcW w:w="1873" w:type="dxa"/>
          </w:tcPr>
          <w:p w14:paraId="5B6AB329" w14:textId="2DEE2F92" w:rsidR="004D5D13" w:rsidRPr="00215E06" w:rsidRDefault="004D5D13" w:rsidP="00BA1FA5">
            <w:pPr>
              <w:pStyle w:val="ListParagraph"/>
              <w:ind w:left="0"/>
              <w:jc w:val="center"/>
            </w:pPr>
            <w:r w:rsidRPr="007E4D8B">
              <w:rPr>
                <w:i/>
              </w:rPr>
              <w:t>C</w:t>
            </w:r>
            <w:r w:rsidRPr="007E4D8B">
              <w:rPr>
                <w:i/>
                <w:vertAlign w:val="subscript"/>
              </w:rPr>
              <w:t>f</w:t>
            </w:r>
            <w:r>
              <w:t xml:space="preserve"> </w:t>
            </w:r>
            <w:r>
              <w:br/>
              <w:t>(µg·m</w:t>
            </w:r>
            <w:r w:rsidRPr="007E4D8B">
              <w:rPr>
                <w:vertAlign w:val="superscript"/>
              </w:rPr>
              <w:t>-3</w:t>
            </w:r>
            <w:r>
              <w:t>·ppb</w:t>
            </w:r>
            <w:r w:rsidR="00CF7A21">
              <w:t>v</w:t>
            </w:r>
            <w:r w:rsidRPr="007E4D8B">
              <w:rPr>
                <w:vertAlign w:val="superscript"/>
              </w:rPr>
              <w:t>-1</w:t>
            </w:r>
            <w:r>
              <w:t>)</w:t>
            </w:r>
          </w:p>
        </w:tc>
        <w:tc>
          <w:tcPr>
            <w:tcW w:w="1452" w:type="dxa"/>
          </w:tcPr>
          <w:p w14:paraId="27681FF6" w14:textId="60E35F94" w:rsidR="004D5D13" w:rsidRPr="00215E06" w:rsidRDefault="004D5D13" w:rsidP="00BA1FA5">
            <w:pPr>
              <w:pStyle w:val="ListParagraph"/>
              <w:ind w:left="0"/>
              <w:jc w:val="center"/>
            </w:pPr>
            <w:r>
              <w:t>Number of Carbon Atoms</w:t>
            </w:r>
            <w:r w:rsidR="000A15E9">
              <w:t>/molecule</w:t>
            </w:r>
          </w:p>
        </w:tc>
      </w:tr>
      <w:tr w:rsidR="004D5D13" w14:paraId="1AB1ED9D" w14:textId="77777777" w:rsidTr="00B46FD1">
        <w:trPr>
          <w:jc w:val="center"/>
        </w:trPr>
        <w:tc>
          <w:tcPr>
            <w:tcW w:w="2109" w:type="dxa"/>
          </w:tcPr>
          <w:p w14:paraId="4A459F37" w14:textId="77777777" w:rsidR="004D5D13" w:rsidRDefault="004D5D13" w:rsidP="00BA1FA5">
            <w:pPr>
              <w:pStyle w:val="ListParagraph"/>
              <w:ind w:left="0"/>
            </w:pPr>
            <w:r>
              <w:t>formaldehyde</w:t>
            </w:r>
          </w:p>
        </w:tc>
        <w:tc>
          <w:tcPr>
            <w:tcW w:w="1756" w:type="dxa"/>
          </w:tcPr>
          <w:p w14:paraId="6BF9DF3D" w14:textId="77777777" w:rsidR="004D5D13" w:rsidRDefault="004D5D13" w:rsidP="00BA1FA5">
            <w:pPr>
              <w:pStyle w:val="ListParagraph"/>
              <w:ind w:left="0"/>
              <w:jc w:val="center"/>
            </w:pPr>
            <w:r>
              <w:t>30.026</w:t>
            </w:r>
          </w:p>
        </w:tc>
        <w:tc>
          <w:tcPr>
            <w:tcW w:w="1873" w:type="dxa"/>
          </w:tcPr>
          <w:p w14:paraId="6BF61454" w14:textId="77777777" w:rsidR="004D5D13" w:rsidRDefault="004D5D13" w:rsidP="00BA1FA5">
            <w:pPr>
              <w:pStyle w:val="ListParagraph"/>
              <w:ind w:left="0"/>
              <w:jc w:val="center"/>
            </w:pPr>
            <w:r>
              <w:t>1.2273</w:t>
            </w:r>
          </w:p>
        </w:tc>
        <w:tc>
          <w:tcPr>
            <w:tcW w:w="1452" w:type="dxa"/>
          </w:tcPr>
          <w:p w14:paraId="5A76CD61" w14:textId="77777777" w:rsidR="004D5D13" w:rsidRDefault="004D5D13" w:rsidP="00BA1FA5">
            <w:pPr>
              <w:pStyle w:val="ListParagraph"/>
              <w:ind w:left="0"/>
              <w:jc w:val="center"/>
            </w:pPr>
            <w:r>
              <w:t>1</w:t>
            </w:r>
          </w:p>
        </w:tc>
      </w:tr>
      <w:tr w:rsidR="004D5D13" w14:paraId="08BA4B5F" w14:textId="77777777" w:rsidTr="00B46FD1">
        <w:trPr>
          <w:jc w:val="center"/>
        </w:trPr>
        <w:tc>
          <w:tcPr>
            <w:tcW w:w="2109" w:type="dxa"/>
          </w:tcPr>
          <w:p w14:paraId="36F55EAD" w14:textId="77777777" w:rsidR="004D5D13" w:rsidRDefault="004D5D13" w:rsidP="00BA1FA5">
            <w:pPr>
              <w:pStyle w:val="ListParagraph"/>
              <w:ind w:left="0"/>
            </w:pPr>
            <w:r>
              <w:t>acetaldehyde</w:t>
            </w:r>
          </w:p>
        </w:tc>
        <w:tc>
          <w:tcPr>
            <w:tcW w:w="1756" w:type="dxa"/>
          </w:tcPr>
          <w:p w14:paraId="7E3DE6FD" w14:textId="77777777" w:rsidR="004D5D13" w:rsidRDefault="004D5D13" w:rsidP="00BA1FA5">
            <w:pPr>
              <w:pStyle w:val="ListParagraph"/>
              <w:ind w:left="0"/>
              <w:jc w:val="center"/>
            </w:pPr>
            <w:r>
              <w:t>44.0526</w:t>
            </w:r>
          </w:p>
        </w:tc>
        <w:tc>
          <w:tcPr>
            <w:tcW w:w="1873" w:type="dxa"/>
          </w:tcPr>
          <w:p w14:paraId="27D37771" w14:textId="77777777" w:rsidR="004D5D13" w:rsidRDefault="004D5D13" w:rsidP="00BA1FA5">
            <w:pPr>
              <w:pStyle w:val="ListParagraph"/>
              <w:ind w:left="0"/>
              <w:jc w:val="center"/>
            </w:pPr>
            <w:r>
              <w:t>1.8006</w:t>
            </w:r>
          </w:p>
        </w:tc>
        <w:tc>
          <w:tcPr>
            <w:tcW w:w="1452" w:type="dxa"/>
          </w:tcPr>
          <w:p w14:paraId="7699E385" w14:textId="77777777" w:rsidR="004D5D13" w:rsidRDefault="004D5D13" w:rsidP="00BA1FA5">
            <w:pPr>
              <w:pStyle w:val="ListParagraph"/>
              <w:ind w:left="0"/>
              <w:jc w:val="center"/>
            </w:pPr>
            <w:r>
              <w:t>2</w:t>
            </w:r>
          </w:p>
        </w:tc>
      </w:tr>
      <w:tr w:rsidR="004D5D13" w14:paraId="5044E94E" w14:textId="77777777" w:rsidTr="00B46FD1">
        <w:trPr>
          <w:jc w:val="center"/>
        </w:trPr>
        <w:tc>
          <w:tcPr>
            <w:tcW w:w="2109" w:type="dxa"/>
          </w:tcPr>
          <w:p w14:paraId="6DEA3E45" w14:textId="77777777" w:rsidR="004D5D13" w:rsidRDefault="004D5D13" w:rsidP="00BA1FA5">
            <w:pPr>
              <w:pStyle w:val="ListParagraph"/>
              <w:ind w:left="0"/>
            </w:pPr>
            <w:r>
              <w:t>acetone</w:t>
            </w:r>
          </w:p>
        </w:tc>
        <w:tc>
          <w:tcPr>
            <w:tcW w:w="1756" w:type="dxa"/>
          </w:tcPr>
          <w:p w14:paraId="4E63D733" w14:textId="77777777" w:rsidR="004D5D13" w:rsidRDefault="004D5D13" w:rsidP="00BA1FA5">
            <w:pPr>
              <w:pStyle w:val="ListParagraph"/>
              <w:ind w:left="0"/>
              <w:jc w:val="center"/>
            </w:pPr>
            <w:r>
              <w:t>58.0791</w:t>
            </w:r>
          </w:p>
        </w:tc>
        <w:tc>
          <w:tcPr>
            <w:tcW w:w="1873" w:type="dxa"/>
          </w:tcPr>
          <w:p w14:paraId="67439C5D" w14:textId="77777777" w:rsidR="004D5D13" w:rsidRDefault="004D5D13" w:rsidP="00BA1FA5">
            <w:pPr>
              <w:pStyle w:val="ListParagraph"/>
              <w:ind w:left="0"/>
              <w:jc w:val="center"/>
            </w:pPr>
            <w:r>
              <w:t>2.3739</w:t>
            </w:r>
          </w:p>
        </w:tc>
        <w:tc>
          <w:tcPr>
            <w:tcW w:w="1452" w:type="dxa"/>
          </w:tcPr>
          <w:p w14:paraId="27D277A6" w14:textId="77777777" w:rsidR="004D5D13" w:rsidRDefault="004D5D13" w:rsidP="00BA1FA5">
            <w:pPr>
              <w:pStyle w:val="ListParagraph"/>
              <w:ind w:left="0"/>
              <w:jc w:val="center"/>
            </w:pPr>
            <w:r>
              <w:t>3</w:t>
            </w:r>
          </w:p>
        </w:tc>
      </w:tr>
      <w:tr w:rsidR="004D5D13" w14:paraId="148932EF" w14:textId="77777777" w:rsidTr="00B46FD1">
        <w:trPr>
          <w:jc w:val="center"/>
        </w:trPr>
        <w:tc>
          <w:tcPr>
            <w:tcW w:w="2109" w:type="dxa"/>
          </w:tcPr>
          <w:p w14:paraId="7EB7328B" w14:textId="77777777" w:rsidR="004D5D13" w:rsidRDefault="004D5D13" w:rsidP="00BA1FA5">
            <w:pPr>
              <w:pStyle w:val="ListParagraph"/>
              <w:ind w:left="0"/>
            </w:pPr>
            <w:r>
              <w:t>benzaldehyde</w:t>
            </w:r>
          </w:p>
        </w:tc>
        <w:tc>
          <w:tcPr>
            <w:tcW w:w="1756" w:type="dxa"/>
          </w:tcPr>
          <w:p w14:paraId="551AFD33" w14:textId="77777777" w:rsidR="004D5D13" w:rsidRDefault="004D5D13" w:rsidP="00BA1FA5">
            <w:pPr>
              <w:pStyle w:val="ListParagraph"/>
              <w:ind w:left="0"/>
              <w:jc w:val="center"/>
            </w:pPr>
            <w:r>
              <w:t>106.124</w:t>
            </w:r>
          </w:p>
        </w:tc>
        <w:tc>
          <w:tcPr>
            <w:tcW w:w="1873" w:type="dxa"/>
          </w:tcPr>
          <w:p w14:paraId="07706D5D" w14:textId="77777777" w:rsidR="004D5D13" w:rsidRDefault="004D5D13" w:rsidP="00BA1FA5">
            <w:pPr>
              <w:pStyle w:val="ListParagraph"/>
              <w:ind w:left="0"/>
              <w:jc w:val="center"/>
            </w:pPr>
            <w:r>
              <w:t>4.3376</w:t>
            </w:r>
          </w:p>
        </w:tc>
        <w:tc>
          <w:tcPr>
            <w:tcW w:w="1452" w:type="dxa"/>
          </w:tcPr>
          <w:p w14:paraId="7F204878" w14:textId="77777777" w:rsidR="004D5D13" w:rsidRDefault="004D5D13" w:rsidP="00BA1FA5">
            <w:pPr>
              <w:pStyle w:val="ListParagraph"/>
              <w:ind w:left="0"/>
              <w:jc w:val="center"/>
            </w:pPr>
            <w:r>
              <w:t>7</w:t>
            </w:r>
          </w:p>
        </w:tc>
      </w:tr>
    </w:tbl>
    <w:p w14:paraId="6E73C0BB" w14:textId="77777777" w:rsidR="004D5D13" w:rsidRDefault="004D5D13" w:rsidP="004D5D13">
      <w:pPr>
        <w:pStyle w:val="ListParagraph"/>
        <w:ind w:left="1440"/>
      </w:pPr>
    </w:p>
    <w:p w14:paraId="69B5B1D4" w14:textId="13B4553D" w:rsidR="004D5D13" w:rsidRDefault="004D5D13" w:rsidP="0099275B">
      <w:pPr>
        <w:pStyle w:val="ListParagraph"/>
        <w:spacing w:after="120"/>
        <w:contextualSpacing w:val="0"/>
      </w:pPr>
      <w:r>
        <w:t xml:space="preserve">To convert the concentration in air from </w:t>
      </w:r>
      <w:proofErr w:type="spellStart"/>
      <w:r>
        <w:t>ppb</w:t>
      </w:r>
      <w:r w:rsidR="000A15E9">
        <w:t>v</w:t>
      </w:r>
      <w:proofErr w:type="spellEnd"/>
      <w:r>
        <w:t xml:space="preserve"> to ppbC, the concentration in </w:t>
      </w:r>
      <w:proofErr w:type="spellStart"/>
      <w:r>
        <w:t>ppb</w:t>
      </w:r>
      <w:r w:rsidR="000A15E9">
        <w:t>v</w:t>
      </w:r>
      <w:proofErr w:type="spellEnd"/>
      <w:r>
        <w:t xml:space="preserve"> is multiplied by the number of carbon atoms in one molecule of the target analyte.</w:t>
      </w:r>
    </w:p>
    <w:p w14:paraId="4F67DCFC" w14:textId="662F4056" w:rsidR="00B46FD1" w:rsidRDefault="00B46FD1" w:rsidP="0099275B">
      <w:pPr>
        <w:pStyle w:val="ListParagraph"/>
        <w:numPr>
          <w:ilvl w:val="1"/>
          <w:numId w:val="1"/>
        </w:numPr>
        <w:spacing w:after="120"/>
        <w:ind w:left="720"/>
        <w:contextualSpacing w:val="0"/>
      </w:pPr>
      <w:r>
        <w:t xml:space="preserve">For failures of field QC </w:t>
      </w:r>
      <w:r w:rsidR="00543222">
        <w:t xml:space="preserve">sample </w:t>
      </w:r>
      <w:r>
        <w:t xml:space="preserve">criteria (e.g. </w:t>
      </w:r>
      <w:r w:rsidR="00543222">
        <w:t>FBs</w:t>
      </w:r>
      <w:r>
        <w:t xml:space="preserve"> or </w:t>
      </w:r>
      <w:r w:rsidR="00543222">
        <w:t>TBs</w:t>
      </w:r>
      <w:r>
        <w:t xml:space="preserve"> exceeding criteria) or laboratory QC acceptance criteria (e.g. exceeding holding time, method blank exceedance, etc</w:t>
      </w:r>
      <w:r w:rsidR="00080A6E">
        <w:t>.</w:t>
      </w:r>
      <w:r>
        <w:t xml:space="preserve">), associated sample results are qualified </w:t>
      </w:r>
      <w:r w:rsidR="00F65847">
        <w:t xml:space="preserve">(flagged) </w:t>
      </w:r>
      <w:r>
        <w:t xml:space="preserve">by addition of </w:t>
      </w:r>
      <w:r w:rsidR="00F81072">
        <w:t xml:space="preserve">the appropriate </w:t>
      </w:r>
      <w:r w:rsidR="00F65847">
        <w:t>QA qualifier or null code qualifier code when data are reported to AQS.</w:t>
      </w:r>
      <w:r w:rsidR="00080A6E">
        <w:t xml:space="preserve">  These qualifiers will be defined with the monitoring agency program QAPP.</w:t>
      </w:r>
    </w:p>
    <w:p w14:paraId="7CC6B229" w14:textId="5D0221C3" w:rsidR="0074630C" w:rsidRDefault="0074630C">
      <w:pPr>
        <w:spacing w:after="160" w:line="259" w:lineRule="auto"/>
      </w:pPr>
      <w:r>
        <w:br w:type="page"/>
      </w:r>
    </w:p>
    <w:p w14:paraId="6DADBDDC" w14:textId="7CDD9DF8" w:rsidR="00FC68A2" w:rsidRPr="0099275B" w:rsidRDefault="00FC68A2" w:rsidP="0099275B">
      <w:pPr>
        <w:ind w:left="360"/>
        <w:jc w:val="center"/>
        <w:rPr>
          <w:b/>
        </w:rPr>
      </w:pPr>
      <w:r w:rsidRPr="0099275B">
        <w:rPr>
          <w:b/>
        </w:rPr>
        <w:lastRenderedPageBreak/>
        <w:t xml:space="preserve">Table </w:t>
      </w:r>
      <w:r w:rsidR="0074630C">
        <w:rPr>
          <w:b/>
        </w:rPr>
        <w:t>6</w:t>
      </w:r>
      <w:r w:rsidRPr="0099275B">
        <w:rPr>
          <w:b/>
        </w:rPr>
        <w:t xml:space="preserve">.  </w:t>
      </w:r>
      <w:r w:rsidR="00992DD2">
        <w:rPr>
          <w:b/>
        </w:rPr>
        <w:t xml:space="preserve">Summary of </w:t>
      </w:r>
      <w:r w:rsidRPr="0099275B">
        <w:rPr>
          <w:b/>
        </w:rPr>
        <w:t>Quality Control and Operational Parameters</w:t>
      </w:r>
    </w:p>
    <w:tbl>
      <w:tblPr>
        <w:tblStyle w:val="TableGrid"/>
        <w:tblW w:w="5000" w:type="pct"/>
        <w:jc w:val="center"/>
        <w:tblLook w:val="04A0" w:firstRow="1" w:lastRow="0" w:firstColumn="1" w:lastColumn="0" w:noHBand="0" w:noVBand="1"/>
      </w:tblPr>
      <w:tblGrid>
        <w:gridCol w:w="1975"/>
        <w:gridCol w:w="2970"/>
        <w:gridCol w:w="2124"/>
        <w:gridCol w:w="2281"/>
      </w:tblGrid>
      <w:tr w:rsidR="00FC68A2" w:rsidRPr="00350FFF" w14:paraId="2566163E" w14:textId="77777777" w:rsidTr="009B067F">
        <w:trPr>
          <w:cantSplit/>
          <w:jc w:val="center"/>
        </w:trPr>
        <w:tc>
          <w:tcPr>
            <w:tcW w:w="1056" w:type="pct"/>
          </w:tcPr>
          <w:p w14:paraId="3D59A193" w14:textId="77777777" w:rsidR="00FC68A2" w:rsidRPr="0099275B" w:rsidRDefault="00FC68A2" w:rsidP="002A38E4">
            <w:pPr>
              <w:jc w:val="center"/>
              <w:rPr>
                <w:b/>
                <w:bCs/>
                <w:sz w:val="20"/>
                <w:szCs w:val="20"/>
              </w:rPr>
            </w:pPr>
            <w:r w:rsidRPr="0099275B">
              <w:rPr>
                <w:b/>
                <w:bCs/>
                <w:sz w:val="20"/>
                <w:szCs w:val="20"/>
              </w:rPr>
              <w:t>Parameter</w:t>
            </w:r>
          </w:p>
        </w:tc>
        <w:tc>
          <w:tcPr>
            <w:tcW w:w="1588" w:type="pct"/>
          </w:tcPr>
          <w:p w14:paraId="32985999" w14:textId="77777777" w:rsidR="00FC68A2" w:rsidRPr="0099275B" w:rsidRDefault="00FC68A2" w:rsidP="002A38E4">
            <w:pPr>
              <w:jc w:val="center"/>
              <w:rPr>
                <w:b/>
                <w:bCs/>
                <w:sz w:val="20"/>
                <w:szCs w:val="20"/>
              </w:rPr>
            </w:pPr>
            <w:r w:rsidRPr="0099275B">
              <w:rPr>
                <w:b/>
                <w:bCs/>
                <w:sz w:val="20"/>
                <w:szCs w:val="20"/>
              </w:rPr>
              <w:t>Detail</w:t>
            </w:r>
          </w:p>
        </w:tc>
        <w:tc>
          <w:tcPr>
            <w:tcW w:w="1136" w:type="pct"/>
          </w:tcPr>
          <w:p w14:paraId="19B20A37" w14:textId="77777777" w:rsidR="00FC68A2" w:rsidRPr="0099275B" w:rsidRDefault="00FC68A2" w:rsidP="002A38E4">
            <w:pPr>
              <w:jc w:val="center"/>
              <w:rPr>
                <w:b/>
                <w:bCs/>
                <w:sz w:val="20"/>
                <w:szCs w:val="20"/>
              </w:rPr>
            </w:pPr>
            <w:r w:rsidRPr="0099275B">
              <w:rPr>
                <w:b/>
                <w:bCs/>
                <w:sz w:val="20"/>
                <w:szCs w:val="20"/>
              </w:rPr>
              <w:t>Required Frequency</w:t>
            </w:r>
          </w:p>
        </w:tc>
        <w:tc>
          <w:tcPr>
            <w:tcW w:w="1220" w:type="pct"/>
          </w:tcPr>
          <w:p w14:paraId="5E3EAC55" w14:textId="77777777" w:rsidR="00FC68A2" w:rsidRPr="0099275B" w:rsidRDefault="00FC68A2" w:rsidP="002A38E4">
            <w:pPr>
              <w:jc w:val="center"/>
              <w:rPr>
                <w:b/>
                <w:bCs/>
                <w:sz w:val="20"/>
                <w:szCs w:val="20"/>
              </w:rPr>
            </w:pPr>
            <w:r w:rsidRPr="0099275B">
              <w:rPr>
                <w:b/>
                <w:bCs/>
                <w:sz w:val="20"/>
                <w:szCs w:val="20"/>
              </w:rPr>
              <w:t>Acceptance Criteria</w:t>
            </w:r>
          </w:p>
        </w:tc>
      </w:tr>
      <w:tr w:rsidR="00FC68A2" w:rsidRPr="00350FFF" w14:paraId="2E70B21A" w14:textId="77777777" w:rsidTr="009B067F">
        <w:trPr>
          <w:jc w:val="center"/>
        </w:trPr>
        <w:tc>
          <w:tcPr>
            <w:tcW w:w="1056" w:type="pct"/>
          </w:tcPr>
          <w:p w14:paraId="58700870" w14:textId="77777777" w:rsidR="00FC68A2" w:rsidRPr="00350FFF" w:rsidRDefault="00FC68A2" w:rsidP="002A38E4">
            <w:pPr>
              <w:rPr>
                <w:sz w:val="20"/>
                <w:szCs w:val="20"/>
              </w:rPr>
            </w:pPr>
            <w:r>
              <w:rPr>
                <w:sz w:val="20"/>
                <w:szCs w:val="20"/>
              </w:rPr>
              <w:t>Chain of Custody Completed</w:t>
            </w:r>
          </w:p>
        </w:tc>
        <w:tc>
          <w:tcPr>
            <w:tcW w:w="1588" w:type="pct"/>
          </w:tcPr>
          <w:p w14:paraId="5D008834" w14:textId="421D6113" w:rsidR="00FC68A2" w:rsidRPr="00350FFF" w:rsidRDefault="00F445AF" w:rsidP="002A38E4">
            <w:pPr>
              <w:rPr>
                <w:sz w:val="20"/>
                <w:szCs w:val="20"/>
              </w:rPr>
            </w:pPr>
            <w:r>
              <w:rPr>
                <w:sz w:val="20"/>
                <w:szCs w:val="20"/>
              </w:rPr>
              <w:t>C</w:t>
            </w:r>
            <w:r w:rsidR="00FC68A2">
              <w:rPr>
                <w:sz w:val="20"/>
                <w:szCs w:val="20"/>
              </w:rPr>
              <w:t xml:space="preserve">ustody transfers between individuals and storage </w:t>
            </w:r>
            <w:r>
              <w:rPr>
                <w:sz w:val="20"/>
                <w:szCs w:val="20"/>
              </w:rPr>
              <w:t xml:space="preserve">conditions </w:t>
            </w:r>
            <w:r w:rsidR="00FC68A2">
              <w:rPr>
                <w:sz w:val="20"/>
                <w:szCs w:val="20"/>
              </w:rPr>
              <w:t>documented</w:t>
            </w:r>
          </w:p>
        </w:tc>
        <w:tc>
          <w:tcPr>
            <w:tcW w:w="1136" w:type="pct"/>
          </w:tcPr>
          <w:p w14:paraId="787612B9" w14:textId="4C47AE7C" w:rsidR="00FC68A2" w:rsidRPr="00350FFF" w:rsidRDefault="00F445AF" w:rsidP="002A38E4">
            <w:pPr>
              <w:rPr>
                <w:sz w:val="20"/>
                <w:szCs w:val="20"/>
              </w:rPr>
            </w:pPr>
            <w:r>
              <w:rPr>
                <w:sz w:val="20"/>
                <w:szCs w:val="20"/>
              </w:rPr>
              <w:t>D</w:t>
            </w:r>
            <w:r w:rsidR="00FC68A2">
              <w:rPr>
                <w:sz w:val="20"/>
                <w:szCs w:val="20"/>
              </w:rPr>
              <w:t xml:space="preserve">ocumented for each field-collected sample </w:t>
            </w:r>
            <w:r>
              <w:rPr>
                <w:sz w:val="20"/>
                <w:szCs w:val="20"/>
              </w:rPr>
              <w:t xml:space="preserve">(ambient </w:t>
            </w:r>
            <w:r w:rsidR="00FC68A2">
              <w:rPr>
                <w:sz w:val="20"/>
                <w:szCs w:val="20"/>
              </w:rPr>
              <w:t>and field QC sample</w:t>
            </w:r>
            <w:r>
              <w:rPr>
                <w:sz w:val="20"/>
                <w:szCs w:val="20"/>
              </w:rPr>
              <w:t>)</w:t>
            </w:r>
          </w:p>
        </w:tc>
        <w:tc>
          <w:tcPr>
            <w:tcW w:w="1220" w:type="pct"/>
          </w:tcPr>
          <w:p w14:paraId="64B92942" w14:textId="4B90DCC2" w:rsidR="00FC68A2" w:rsidRPr="00350FFF" w:rsidRDefault="00F445AF" w:rsidP="002A38E4">
            <w:pPr>
              <w:rPr>
                <w:sz w:val="20"/>
                <w:szCs w:val="20"/>
              </w:rPr>
            </w:pPr>
            <w:r>
              <w:rPr>
                <w:sz w:val="20"/>
                <w:szCs w:val="20"/>
              </w:rPr>
              <w:t>D</w:t>
            </w:r>
            <w:r w:rsidR="00FC68A2">
              <w:rPr>
                <w:sz w:val="20"/>
                <w:szCs w:val="20"/>
              </w:rPr>
              <w:t>ocumentation, signatures, and dates complete</w:t>
            </w:r>
            <w:r>
              <w:rPr>
                <w:sz w:val="20"/>
                <w:szCs w:val="20"/>
              </w:rPr>
              <w:t xml:space="preserve"> without gaps</w:t>
            </w:r>
          </w:p>
        </w:tc>
      </w:tr>
      <w:tr w:rsidR="00FC68A2" w:rsidRPr="00350FFF" w14:paraId="7FBF7D67" w14:textId="77777777" w:rsidTr="009B067F">
        <w:trPr>
          <w:jc w:val="center"/>
        </w:trPr>
        <w:tc>
          <w:tcPr>
            <w:tcW w:w="1056" w:type="pct"/>
          </w:tcPr>
          <w:p w14:paraId="346D6337" w14:textId="0EAA085B" w:rsidR="00FC68A2" w:rsidRPr="00350FFF" w:rsidRDefault="00FC68A2" w:rsidP="002A38E4">
            <w:pPr>
              <w:rPr>
                <w:sz w:val="20"/>
                <w:szCs w:val="20"/>
              </w:rPr>
            </w:pPr>
            <w:r>
              <w:rPr>
                <w:sz w:val="20"/>
                <w:szCs w:val="20"/>
              </w:rPr>
              <w:t>Solvent Blank (SB)</w:t>
            </w:r>
          </w:p>
        </w:tc>
        <w:tc>
          <w:tcPr>
            <w:tcW w:w="1588" w:type="pct"/>
          </w:tcPr>
          <w:p w14:paraId="638411AA" w14:textId="299F7C06" w:rsidR="00FC68A2" w:rsidRPr="00350FFF" w:rsidRDefault="00F445AF" w:rsidP="002A38E4">
            <w:pPr>
              <w:rPr>
                <w:sz w:val="20"/>
                <w:szCs w:val="20"/>
              </w:rPr>
            </w:pPr>
            <w:r>
              <w:rPr>
                <w:sz w:val="20"/>
                <w:szCs w:val="20"/>
              </w:rPr>
              <w:t>A</w:t>
            </w:r>
            <w:r w:rsidR="00FC68A2">
              <w:rPr>
                <w:sz w:val="20"/>
                <w:szCs w:val="20"/>
              </w:rPr>
              <w:t>nalysis of acetonitrile solvent to demonstrate the HPLC is sufficiently clean</w:t>
            </w:r>
            <w:r>
              <w:rPr>
                <w:sz w:val="20"/>
                <w:szCs w:val="20"/>
              </w:rPr>
              <w:t>, free of chromatographic interferences, and has a stable chromatographic baseline</w:t>
            </w:r>
          </w:p>
        </w:tc>
        <w:tc>
          <w:tcPr>
            <w:tcW w:w="1136" w:type="pct"/>
          </w:tcPr>
          <w:p w14:paraId="5CA69B0C" w14:textId="36B2F7F0" w:rsidR="00FC68A2" w:rsidRPr="00350FFF" w:rsidRDefault="00F445AF" w:rsidP="002A38E4">
            <w:pPr>
              <w:rPr>
                <w:sz w:val="20"/>
                <w:szCs w:val="20"/>
              </w:rPr>
            </w:pPr>
            <w:r>
              <w:rPr>
                <w:sz w:val="20"/>
                <w:szCs w:val="20"/>
              </w:rPr>
              <w:t>P</w:t>
            </w:r>
            <w:r w:rsidR="00FC68A2">
              <w:rPr>
                <w:sz w:val="20"/>
                <w:szCs w:val="20"/>
              </w:rPr>
              <w:t>rior to ICAL, prior to daily CCV, and after each CCV</w:t>
            </w:r>
          </w:p>
        </w:tc>
        <w:tc>
          <w:tcPr>
            <w:tcW w:w="1220" w:type="pct"/>
          </w:tcPr>
          <w:p w14:paraId="7E96F199" w14:textId="15F9A25D" w:rsidR="00FC68A2" w:rsidRPr="00350FFF" w:rsidRDefault="00F445AF" w:rsidP="002A38E4">
            <w:pPr>
              <w:rPr>
                <w:sz w:val="20"/>
                <w:szCs w:val="20"/>
              </w:rPr>
            </w:pPr>
            <w:r>
              <w:rPr>
                <w:sz w:val="20"/>
                <w:szCs w:val="20"/>
              </w:rPr>
              <w:t>T</w:t>
            </w:r>
            <w:r w:rsidR="00FC68A2">
              <w:rPr>
                <w:sz w:val="20"/>
                <w:szCs w:val="20"/>
              </w:rPr>
              <w:t xml:space="preserve">arget analyte concentrations ≤ </w:t>
            </w:r>
            <w:proofErr w:type="spellStart"/>
            <w:r w:rsidR="00FC68A2">
              <w:rPr>
                <w:sz w:val="20"/>
                <w:szCs w:val="20"/>
              </w:rPr>
              <w:t>MDL</w:t>
            </w:r>
            <w:r w:rsidR="00FC68A2" w:rsidRPr="00A46673">
              <w:rPr>
                <w:sz w:val="20"/>
                <w:szCs w:val="20"/>
                <w:vertAlign w:val="subscript"/>
              </w:rPr>
              <w:t>sp</w:t>
            </w:r>
            <w:proofErr w:type="spellEnd"/>
          </w:p>
        </w:tc>
      </w:tr>
      <w:tr w:rsidR="00FC68A2" w:rsidRPr="00350FFF" w14:paraId="2239CBA5" w14:textId="77777777" w:rsidTr="009B067F">
        <w:trPr>
          <w:jc w:val="center"/>
        </w:trPr>
        <w:tc>
          <w:tcPr>
            <w:tcW w:w="1056" w:type="pct"/>
          </w:tcPr>
          <w:p w14:paraId="703ADE50" w14:textId="77777777" w:rsidR="00FC68A2" w:rsidRPr="00350FFF" w:rsidRDefault="00FC68A2" w:rsidP="002A38E4">
            <w:pPr>
              <w:rPr>
                <w:sz w:val="20"/>
                <w:szCs w:val="20"/>
              </w:rPr>
            </w:pPr>
            <w:r>
              <w:rPr>
                <w:sz w:val="20"/>
                <w:szCs w:val="20"/>
              </w:rPr>
              <w:t>Initial Calibration (ICAL)</w:t>
            </w:r>
          </w:p>
        </w:tc>
        <w:tc>
          <w:tcPr>
            <w:tcW w:w="1588" w:type="pct"/>
          </w:tcPr>
          <w:p w14:paraId="1D6F93AF" w14:textId="52FDE519" w:rsidR="00FC68A2" w:rsidRPr="00350FFF" w:rsidRDefault="00992DD2" w:rsidP="002A38E4">
            <w:pPr>
              <w:rPr>
                <w:sz w:val="20"/>
                <w:szCs w:val="20"/>
              </w:rPr>
            </w:pPr>
            <w:r>
              <w:rPr>
                <w:sz w:val="20"/>
                <w:szCs w:val="20"/>
              </w:rPr>
              <w:t>A</w:t>
            </w:r>
            <w:r w:rsidR="00FC68A2">
              <w:rPr>
                <w:sz w:val="20"/>
                <w:szCs w:val="20"/>
              </w:rPr>
              <w:t xml:space="preserve">nalysis of five or more different </w:t>
            </w:r>
            <w:r>
              <w:rPr>
                <w:sz w:val="20"/>
                <w:szCs w:val="20"/>
              </w:rPr>
              <w:t xml:space="preserve">concentration </w:t>
            </w:r>
            <w:r w:rsidR="00FC68A2">
              <w:rPr>
                <w:sz w:val="20"/>
                <w:szCs w:val="20"/>
              </w:rPr>
              <w:t>calibration standard solutions covering the concentration range of interest</w:t>
            </w:r>
          </w:p>
        </w:tc>
        <w:tc>
          <w:tcPr>
            <w:tcW w:w="1136" w:type="pct"/>
          </w:tcPr>
          <w:p w14:paraId="5C815459" w14:textId="14C45451" w:rsidR="00FC68A2" w:rsidRPr="00350FFF" w:rsidRDefault="00992DD2" w:rsidP="002A38E4">
            <w:pPr>
              <w:rPr>
                <w:sz w:val="20"/>
                <w:szCs w:val="20"/>
              </w:rPr>
            </w:pPr>
            <w:r>
              <w:rPr>
                <w:sz w:val="20"/>
                <w:szCs w:val="20"/>
              </w:rPr>
              <w:t>I</w:t>
            </w:r>
            <w:r w:rsidR="00FC68A2">
              <w:rPr>
                <w:sz w:val="20"/>
                <w:szCs w:val="20"/>
              </w:rPr>
              <w:t>nitially, after failed continuing calibration verification, and after changing instrument components or maintenance that impact calibration response</w:t>
            </w:r>
          </w:p>
        </w:tc>
        <w:tc>
          <w:tcPr>
            <w:tcW w:w="1220" w:type="pct"/>
          </w:tcPr>
          <w:p w14:paraId="688DC7E0" w14:textId="46E9E1F6" w:rsidR="00FC68A2" w:rsidRPr="00350FFF" w:rsidRDefault="00FC68A2" w:rsidP="002A38E4">
            <w:pPr>
              <w:rPr>
                <w:sz w:val="20"/>
                <w:szCs w:val="20"/>
              </w:rPr>
            </w:pPr>
            <w:r>
              <w:rPr>
                <w:sz w:val="20"/>
                <w:szCs w:val="20"/>
              </w:rPr>
              <w:t xml:space="preserve">R ≥ 0.999, backcalculated concentration of each standard level within ±20% of </w:t>
            </w:r>
            <w:r w:rsidR="00992DD2">
              <w:rPr>
                <w:sz w:val="20"/>
                <w:szCs w:val="20"/>
              </w:rPr>
              <w:t>theoretical</w:t>
            </w:r>
            <w:r>
              <w:rPr>
                <w:sz w:val="20"/>
                <w:szCs w:val="20"/>
              </w:rPr>
              <w:t xml:space="preserve">, |intercept/slope| ≤ </w:t>
            </w:r>
            <w:proofErr w:type="spellStart"/>
            <w:r>
              <w:rPr>
                <w:sz w:val="20"/>
                <w:szCs w:val="20"/>
              </w:rPr>
              <w:t>MDL</w:t>
            </w:r>
            <w:r w:rsidRPr="00BC1038">
              <w:rPr>
                <w:sz w:val="20"/>
                <w:szCs w:val="20"/>
                <w:vertAlign w:val="subscript"/>
              </w:rPr>
              <w:t>sp</w:t>
            </w:r>
            <w:proofErr w:type="spellEnd"/>
          </w:p>
        </w:tc>
      </w:tr>
      <w:tr w:rsidR="00FC68A2" w:rsidRPr="00350FFF" w14:paraId="213AC92B" w14:textId="77777777" w:rsidTr="009B067F">
        <w:trPr>
          <w:jc w:val="center"/>
        </w:trPr>
        <w:tc>
          <w:tcPr>
            <w:tcW w:w="1056" w:type="pct"/>
          </w:tcPr>
          <w:p w14:paraId="1E4648AB" w14:textId="77777777" w:rsidR="00FC68A2" w:rsidRDefault="00FC68A2" w:rsidP="002A38E4">
            <w:pPr>
              <w:rPr>
                <w:sz w:val="20"/>
                <w:szCs w:val="20"/>
              </w:rPr>
            </w:pPr>
            <w:r>
              <w:rPr>
                <w:sz w:val="20"/>
                <w:szCs w:val="20"/>
              </w:rPr>
              <w:t>Retention Time (RT) Windows</w:t>
            </w:r>
          </w:p>
        </w:tc>
        <w:tc>
          <w:tcPr>
            <w:tcW w:w="1588" w:type="pct"/>
          </w:tcPr>
          <w:p w14:paraId="095E85CA" w14:textId="14A84B75" w:rsidR="00FC68A2" w:rsidRDefault="00992DD2" w:rsidP="002A38E4">
            <w:pPr>
              <w:rPr>
                <w:sz w:val="20"/>
                <w:szCs w:val="20"/>
              </w:rPr>
            </w:pPr>
            <w:r>
              <w:rPr>
                <w:sz w:val="20"/>
                <w:szCs w:val="20"/>
              </w:rPr>
              <w:t>A</w:t>
            </w:r>
            <w:r w:rsidR="00FC68A2">
              <w:rPr>
                <w:sz w:val="20"/>
                <w:szCs w:val="20"/>
              </w:rPr>
              <w:t>ssignment of time range when target analytes elute from column and reach detector</w:t>
            </w:r>
          </w:p>
        </w:tc>
        <w:tc>
          <w:tcPr>
            <w:tcW w:w="1136" w:type="pct"/>
          </w:tcPr>
          <w:p w14:paraId="0A3F5CAB" w14:textId="77777777" w:rsidR="00FC68A2" w:rsidRDefault="00FC68A2" w:rsidP="002A38E4">
            <w:pPr>
              <w:rPr>
                <w:sz w:val="20"/>
                <w:szCs w:val="20"/>
              </w:rPr>
            </w:pPr>
            <w:r>
              <w:rPr>
                <w:sz w:val="20"/>
                <w:szCs w:val="20"/>
              </w:rPr>
              <w:t>RT windows for each target analyte are established with each ICAL</w:t>
            </w:r>
          </w:p>
        </w:tc>
        <w:tc>
          <w:tcPr>
            <w:tcW w:w="1220" w:type="pct"/>
          </w:tcPr>
          <w:p w14:paraId="3BD2CE22" w14:textId="38954A8D" w:rsidR="00FC68A2" w:rsidRDefault="00992DD2" w:rsidP="002A38E4">
            <w:pPr>
              <w:rPr>
                <w:sz w:val="20"/>
                <w:szCs w:val="20"/>
              </w:rPr>
            </w:pPr>
            <w:r>
              <w:rPr>
                <w:sz w:val="20"/>
                <w:szCs w:val="20"/>
              </w:rPr>
              <w:t xml:space="preserve">RT </w:t>
            </w:r>
            <w:r w:rsidR="00FC68A2">
              <w:rPr>
                <w:sz w:val="20"/>
                <w:szCs w:val="20"/>
              </w:rPr>
              <w:t>window established as ± 3</w:t>
            </w:r>
            <w:r w:rsidR="00FC68A2">
              <w:rPr>
                <w:i/>
                <w:sz w:val="20"/>
                <w:szCs w:val="20"/>
              </w:rPr>
              <w:t>s</w:t>
            </w:r>
            <w:r w:rsidR="00FC68A2">
              <w:rPr>
                <w:sz w:val="20"/>
                <w:szCs w:val="20"/>
              </w:rPr>
              <w:t xml:space="preserve"> or ± 2% of its mean RT</w:t>
            </w:r>
            <w:r>
              <w:rPr>
                <w:sz w:val="20"/>
                <w:szCs w:val="20"/>
              </w:rPr>
              <w:t xml:space="preserve"> from ICAL</w:t>
            </w:r>
          </w:p>
        </w:tc>
      </w:tr>
      <w:tr w:rsidR="00FC68A2" w:rsidRPr="00350FFF" w14:paraId="7B4AAC26" w14:textId="77777777" w:rsidTr="009B067F">
        <w:trPr>
          <w:jc w:val="center"/>
        </w:trPr>
        <w:tc>
          <w:tcPr>
            <w:tcW w:w="1056" w:type="pct"/>
          </w:tcPr>
          <w:p w14:paraId="67442FCA" w14:textId="77777777" w:rsidR="00FC68A2" w:rsidRPr="00350FFF" w:rsidRDefault="00FC68A2" w:rsidP="002A38E4">
            <w:pPr>
              <w:rPr>
                <w:sz w:val="20"/>
                <w:szCs w:val="20"/>
              </w:rPr>
            </w:pPr>
            <w:r>
              <w:rPr>
                <w:sz w:val="20"/>
                <w:szCs w:val="20"/>
              </w:rPr>
              <w:t>Second Source Calibration Verification Standard (SSCV)</w:t>
            </w:r>
          </w:p>
        </w:tc>
        <w:tc>
          <w:tcPr>
            <w:tcW w:w="1588" w:type="pct"/>
          </w:tcPr>
          <w:p w14:paraId="3DEA48ED" w14:textId="5D00FACB" w:rsidR="00FC68A2" w:rsidRPr="00350FFF" w:rsidRDefault="00992DD2" w:rsidP="002A38E4">
            <w:pPr>
              <w:rPr>
                <w:sz w:val="20"/>
                <w:szCs w:val="20"/>
              </w:rPr>
            </w:pPr>
            <w:r>
              <w:rPr>
                <w:sz w:val="20"/>
                <w:szCs w:val="20"/>
              </w:rPr>
              <w:t>A</w:t>
            </w:r>
            <w:r w:rsidR="00FC68A2">
              <w:rPr>
                <w:sz w:val="20"/>
                <w:szCs w:val="20"/>
              </w:rPr>
              <w:t>nalysis of a known standard prepared from a stock solution sourced from a vendor independent of the primary calibration stock standard; verifies the quality of the ICAL</w:t>
            </w:r>
          </w:p>
        </w:tc>
        <w:tc>
          <w:tcPr>
            <w:tcW w:w="1136" w:type="pct"/>
          </w:tcPr>
          <w:p w14:paraId="5FFC7F31" w14:textId="75BEB19D" w:rsidR="00FC68A2" w:rsidRPr="00350FFF" w:rsidRDefault="00992DD2" w:rsidP="002A38E4">
            <w:pPr>
              <w:rPr>
                <w:sz w:val="20"/>
                <w:szCs w:val="20"/>
              </w:rPr>
            </w:pPr>
            <w:r>
              <w:rPr>
                <w:sz w:val="20"/>
                <w:szCs w:val="20"/>
              </w:rPr>
              <w:t>I</w:t>
            </w:r>
            <w:r w:rsidR="00FC68A2">
              <w:rPr>
                <w:sz w:val="20"/>
                <w:szCs w:val="20"/>
              </w:rPr>
              <w:t xml:space="preserve">mmediately following </w:t>
            </w:r>
            <w:r>
              <w:rPr>
                <w:sz w:val="20"/>
                <w:szCs w:val="20"/>
              </w:rPr>
              <w:t xml:space="preserve">successful </w:t>
            </w:r>
            <w:r w:rsidR="00FC68A2">
              <w:rPr>
                <w:sz w:val="20"/>
                <w:szCs w:val="20"/>
              </w:rPr>
              <w:t>ICAL</w:t>
            </w:r>
          </w:p>
        </w:tc>
        <w:tc>
          <w:tcPr>
            <w:tcW w:w="1220" w:type="pct"/>
          </w:tcPr>
          <w:p w14:paraId="74A8657F" w14:textId="2C8AF2BA" w:rsidR="00FC68A2" w:rsidRPr="00350FFF" w:rsidRDefault="00992DD2" w:rsidP="002A38E4">
            <w:pPr>
              <w:rPr>
                <w:sz w:val="20"/>
                <w:szCs w:val="20"/>
              </w:rPr>
            </w:pPr>
            <w:r>
              <w:rPr>
                <w:sz w:val="20"/>
                <w:szCs w:val="20"/>
              </w:rPr>
              <w:t>T</w:t>
            </w:r>
            <w:r w:rsidR="00FC68A2">
              <w:rPr>
                <w:sz w:val="20"/>
                <w:szCs w:val="20"/>
              </w:rPr>
              <w:t xml:space="preserve">arget analyte concentrations within ±15% of </w:t>
            </w:r>
            <w:r>
              <w:rPr>
                <w:sz w:val="20"/>
                <w:szCs w:val="20"/>
              </w:rPr>
              <w:t>theoretical</w:t>
            </w:r>
          </w:p>
        </w:tc>
      </w:tr>
      <w:tr w:rsidR="00FC68A2" w:rsidRPr="00350FFF" w14:paraId="23AFE059" w14:textId="77777777" w:rsidTr="009B067F">
        <w:trPr>
          <w:jc w:val="center"/>
        </w:trPr>
        <w:tc>
          <w:tcPr>
            <w:tcW w:w="1056" w:type="pct"/>
          </w:tcPr>
          <w:p w14:paraId="7ABB271C" w14:textId="77777777" w:rsidR="00FC68A2" w:rsidRPr="00350FFF" w:rsidRDefault="00FC68A2" w:rsidP="002A38E4">
            <w:pPr>
              <w:rPr>
                <w:sz w:val="20"/>
                <w:szCs w:val="20"/>
              </w:rPr>
            </w:pPr>
            <w:r>
              <w:rPr>
                <w:sz w:val="20"/>
                <w:szCs w:val="20"/>
              </w:rPr>
              <w:t>Continuing Calibration Verification (CCV)</w:t>
            </w:r>
          </w:p>
        </w:tc>
        <w:tc>
          <w:tcPr>
            <w:tcW w:w="1588" w:type="pct"/>
          </w:tcPr>
          <w:p w14:paraId="78D8605E" w14:textId="4CD8BFA7" w:rsidR="00FC68A2" w:rsidRPr="00350FFF" w:rsidRDefault="00992DD2" w:rsidP="002A38E4">
            <w:pPr>
              <w:rPr>
                <w:sz w:val="20"/>
                <w:szCs w:val="20"/>
              </w:rPr>
            </w:pPr>
            <w:r>
              <w:rPr>
                <w:sz w:val="20"/>
                <w:szCs w:val="20"/>
              </w:rPr>
              <w:t>A</w:t>
            </w:r>
            <w:r w:rsidR="00FC68A2">
              <w:rPr>
                <w:sz w:val="20"/>
                <w:szCs w:val="20"/>
              </w:rPr>
              <w:t>nalysis of known standard solution</w:t>
            </w:r>
            <w:r>
              <w:rPr>
                <w:sz w:val="20"/>
                <w:szCs w:val="20"/>
              </w:rPr>
              <w:t>(s)</w:t>
            </w:r>
            <w:r w:rsidR="00FC68A2">
              <w:rPr>
                <w:sz w:val="20"/>
                <w:szCs w:val="20"/>
              </w:rPr>
              <w:t xml:space="preserve"> to verify the instrument calibration remains valid</w:t>
            </w:r>
            <w:r>
              <w:rPr>
                <w:sz w:val="20"/>
                <w:szCs w:val="20"/>
              </w:rPr>
              <w:t xml:space="preserve"> – recommended in the lower 1/3 of the calibration range</w:t>
            </w:r>
          </w:p>
        </w:tc>
        <w:tc>
          <w:tcPr>
            <w:tcW w:w="1136" w:type="pct"/>
          </w:tcPr>
          <w:p w14:paraId="1FF5F873" w14:textId="2A55511E" w:rsidR="00FC68A2" w:rsidRPr="00350FFF" w:rsidRDefault="00992DD2" w:rsidP="002A38E4">
            <w:pPr>
              <w:rPr>
                <w:sz w:val="20"/>
                <w:szCs w:val="20"/>
              </w:rPr>
            </w:pPr>
            <w:r>
              <w:rPr>
                <w:sz w:val="20"/>
                <w:szCs w:val="20"/>
              </w:rPr>
              <w:t>A</w:t>
            </w:r>
            <w:r w:rsidR="00FC68A2">
              <w:rPr>
                <w:sz w:val="20"/>
                <w:szCs w:val="20"/>
              </w:rPr>
              <w:t>fter every 12 hours of analysis, at the beginning of each day’s analysis when an ICAL is not performed</w:t>
            </w:r>
          </w:p>
        </w:tc>
        <w:tc>
          <w:tcPr>
            <w:tcW w:w="1220" w:type="pct"/>
          </w:tcPr>
          <w:p w14:paraId="3A4928D2" w14:textId="5454A4C6" w:rsidR="00FC68A2" w:rsidRPr="00350FFF" w:rsidRDefault="00992DD2" w:rsidP="002A38E4">
            <w:pPr>
              <w:rPr>
                <w:sz w:val="20"/>
                <w:szCs w:val="20"/>
              </w:rPr>
            </w:pPr>
            <w:r>
              <w:rPr>
                <w:sz w:val="20"/>
                <w:szCs w:val="20"/>
              </w:rPr>
              <w:t>T</w:t>
            </w:r>
            <w:r w:rsidR="00FC68A2">
              <w:rPr>
                <w:sz w:val="20"/>
                <w:szCs w:val="20"/>
              </w:rPr>
              <w:t xml:space="preserve">arget analyte concentrations within ±15% of </w:t>
            </w:r>
            <w:r>
              <w:rPr>
                <w:sz w:val="20"/>
                <w:szCs w:val="20"/>
              </w:rPr>
              <w:t>theoretical</w:t>
            </w:r>
          </w:p>
        </w:tc>
      </w:tr>
      <w:tr w:rsidR="00FC68A2" w:rsidRPr="00350FFF" w14:paraId="75EDBA3F" w14:textId="77777777" w:rsidTr="009B067F">
        <w:trPr>
          <w:jc w:val="center"/>
        </w:trPr>
        <w:tc>
          <w:tcPr>
            <w:tcW w:w="1056" w:type="pct"/>
          </w:tcPr>
          <w:p w14:paraId="2D3E8AED" w14:textId="77777777" w:rsidR="00FC68A2" w:rsidRDefault="00FC68A2" w:rsidP="002A38E4">
            <w:pPr>
              <w:rPr>
                <w:sz w:val="20"/>
                <w:szCs w:val="20"/>
              </w:rPr>
            </w:pPr>
            <w:r>
              <w:rPr>
                <w:sz w:val="20"/>
                <w:szCs w:val="20"/>
              </w:rPr>
              <w:t>Holding Times</w:t>
            </w:r>
          </w:p>
        </w:tc>
        <w:tc>
          <w:tcPr>
            <w:tcW w:w="1588" w:type="pct"/>
          </w:tcPr>
          <w:p w14:paraId="536482B5" w14:textId="722011BC" w:rsidR="00FC68A2" w:rsidRDefault="00992DD2" w:rsidP="002A38E4">
            <w:pPr>
              <w:rPr>
                <w:sz w:val="20"/>
                <w:szCs w:val="20"/>
              </w:rPr>
            </w:pPr>
            <w:r>
              <w:rPr>
                <w:sz w:val="20"/>
                <w:szCs w:val="20"/>
              </w:rPr>
              <w:t>M</w:t>
            </w:r>
            <w:r w:rsidR="00FC68A2">
              <w:rPr>
                <w:sz w:val="20"/>
                <w:szCs w:val="20"/>
              </w:rPr>
              <w:t>aximum duration from end of sample collection for sample extraction</w:t>
            </w:r>
          </w:p>
          <w:p w14:paraId="51F74713" w14:textId="77777777" w:rsidR="00FC68A2" w:rsidRDefault="00FC68A2" w:rsidP="002A38E4">
            <w:pPr>
              <w:rPr>
                <w:sz w:val="20"/>
                <w:szCs w:val="20"/>
              </w:rPr>
            </w:pPr>
          </w:p>
          <w:p w14:paraId="166E7E45" w14:textId="095D9799" w:rsidR="00FC68A2" w:rsidRDefault="00992DD2" w:rsidP="002A38E4">
            <w:pPr>
              <w:rPr>
                <w:sz w:val="20"/>
                <w:szCs w:val="20"/>
              </w:rPr>
            </w:pPr>
            <w:r>
              <w:rPr>
                <w:sz w:val="20"/>
                <w:szCs w:val="20"/>
              </w:rPr>
              <w:t>M</w:t>
            </w:r>
            <w:r w:rsidR="00FC68A2">
              <w:rPr>
                <w:sz w:val="20"/>
                <w:szCs w:val="20"/>
              </w:rPr>
              <w:t>aximum duration from sample extraction to analysis</w:t>
            </w:r>
          </w:p>
        </w:tc>
        <w:tc>
          <w:tcPr>
            <w:tcW w:w="1136" w:type="pct"/>
          </w:tcPr>
          <w:p w14:paraId="21803D0A" w14:textId="77777777" w:rsidR="00FC68A2" w:rsidRDefault="00992DD2" w:rsidP="002A38E4">
            <w:pPr>
              <w:rPr>
                <w:sz w:val="20"/>
                <w:szCs w:val="20"/>
              </w:rPr>
            </w:pPr>
            <w:r>
              <w:rPr>
                <w:sz w:val="20"/>
                <w:szCs w:val="20"/>
              </w:rPr>
              <w:t>E</w:t>
            </w:r>
            <w:r w:rsidR="00FC68A2">
              <w:rPr>
                <w:sz w:val="20"/>
                <w:szCs w:val="20"/>
              </w:rPr>
              <w:t>ach field collected sample, field QC sample, and laboratory QC sample</w:t>
            </w:r>
          </w:p>
          <w:p w14:paraId="097E8499" w14:textId="77777777" w:rsidR="00992DD2" w:rsidRDefault="00992DD2" w:rsidP="002A38E4">
            <w:pPr>
              <w:rPr>
                <w:sz w:val="20"/>
                <w:szCs w:val="20"/>
              </w:rPr>
            </w:pPr>
          </w:p>
          <w:p w14:paraId="27EED2CB" w14:textId="1CBE2CFB" w:rsidR="00992DD2" w:rsidRDefault="00992DD2" w:rsidP="002A38E4">
            <w:pPr>
              <w:rPr>
                <w:sz w:val="20"/>
                <w:szCs w:val="20"/>
              </w:rPr>
            </w:pPr>
            <w:r>
              <w:rPr>
                <w:sz w:val="20"/>
                <w:szCs w:val="20"/>
              </w:rPr>
              <w:t>All extracts</w:t>
            </w:r>
          </w:p>
        </w:tc>
        <w:tc>
          <w:tcPr>
            <w:tcW w:w="1220" w:type="pct"/>
          </w:tcPr>
          <w:p w14:paraId="1019724B" w14:textId="41FF8B36" w:rsidR="00FC68A2" w:rsidRDefault="00992DD2" w:rsidP="002A38E4">
            <w:pPr>
              <w:rPr>
                <w:sz w:val="20"/>
                <w:szCs w:val="20"/>
              </w:rPr>
            </w:pPr>
            <w:r>
              <w:rPr>
                <w:sz w:val="20"/>
                <w:szCs w:val="20"/>
              </w:rPr>
              <w:t xml:space="preserve">≤ </w:t>
            </w:r>
            <w:r w:rsidR="00FC68A2">
              <w:rPr>
                <w:sz w:val="20"/>
                <w:szCs w:val="20"/>
              </w:rPr>
              <w:t>14 days from end of sample collection to extraction</w:t>
            </w:r>
          </w:p>
          <w:p w14:paraId="3B4251BB" w14:textId="77777777" w:rsidR="00FC68A2" w:rsidRDefault="00FC68A2" w:rsidP="002A38E4">
            <w:pPr>
              <w:rPr>
                <w:sz w:val="20"/>
                <w:szCs w:val="20"/>
              </w:rPr>
            </w:pPr>
          </w:p>
          <w:p w14:paraId="7A464C65" w14:textId="3CCEB52B" w:rsidR="00FC68A2" w:rsidRDefault="00992DD2" w:rsidP="002A38E4">
            <w:pPr>
              <w:rPr>
                <w:sz w:val="20"/>
                <w:szCs w:val="20"/>
              </w:rPr>
            </w:pPr>
            <w:r>
              <w:rPr>
                <w:sz w:val="20"/>
                <w:szCs w:val="20"/>
              </w:rPr>
              <w:t xml:space="preserve">≤ </w:t>
            </w:r>
            <w:r w:rsidR="00FC68A2">
              <w:rPr>
                <w:sz w:val="20"/>
                <w:szCs w:val="20"/>
              </w:rPr>
              <w:t>30 days from sample extraction to analysis</w:t>
            </w:r>
          </w:p>
        </w:tc>
      </w:tr>
      <w:tr w:rsidR="00FC68A2" w:rsidRPr="00350FFF" w14:paraId="0874CE62" w14:textId="77777777" w:rsidTr="009B067F">
        <w:trPr>
          <w:jc w:val="center"/>
        </w:trPr>
        <w:tc>
          <w:tcPr>
            <w:tcW w:w="1056" w:type="pct"/>
          </w:tcPr>
          <w:p w14:paraId="3C0EF0F5" w14:textId="77777777" w:rsidR="00FC68A2" w:rsidRPr="00350FFF" w:rsidRDefault="00FC68A2" w:rsidP="002A38E4">
            <w:pPr>
              <w:rPr>
                <w:sz w:val="20"/>
                <w:szCs w:val="20"/>
              </w:rPr>
            </w:pPr>
            <w:r>
              <w:rPr>
                <w:sz w:val="20"/>
                <w:szCs w:val="20"/>
              </w:rPr>
              <w:t>Method Blank (MB)</w:t>
            </w:r>
          </w:p>
        </w:tc>
        <w:tc>
          <w:tcPr>
            <w:tcW w:w="1588" w:type="pct"/>
          </w:tcPr>
          <w:p w14:paraId="243EBA67" w14:textId="33DF34A7" w:rsidR="00FC68A2" w:rsidRPr="00350FFF" w:rsidRDefault="00992DD2" w:rsidP="002A38E4">
            <w:pPr>
              <w:rPr>
                <w:sz w:val="20"/>
                <w:szCs w:val="20"/>
              </w:rPr>
            </w:pPr>
            <w:r>
              <w:rPr>
                <w:sz w:val="20"/>
                <w:szCs w:val="20"/>
              </w:rPr>
              <w:t>B</w:t>
            </w:r>
            <w:r w:rsidR="00FC68A2">
              <w:rPr>
                <w:sz w:val="20"/>
                <w:szCs w:val="20"/>
              </w:rPr>
              <w:t>lank cartridge from the lot of co-extracted field-collected samples – extracted to assess cleanliness of media and reagents</w:t>
            </w:r>
          </w:p>
        </w:tc>
        <w:tc>
          <w:tcPr>
            <w:tcW w:w="1136" w:type="pct"/>
          </w:tcPr>
          <w:p w14:paraId="1581BB44" w14:textId="60F8C714" w:rsidR="00FC68A2" w:rsidRPr="00350FFF" w:rsidRDefault="00992DD2" w:rsidP="002A38E4">
            <w:pPr>
              <w:rPr>
                <w:sz w:val="20"/>
                <w:szCs w:val="20"/>
              </w:rPr>
            </w:pPr>
            <w:r>
              <w:rPr>
                <w:sz w:val="20"/>
                <w:szCs w:val="20"/>
              </w:rPr>
              <w:t>As 5% of field collected samples. O</w:t>
            </w:r>
            <w:r w:rsidR="00FC68A2">
              <w:rPr>
                <w:sz w:val="20"/>
                <w:szCs w:val="20"/>
              </w:rPr>
              <w:t xml:space="preserve">ne per </w:t>
            </w:r>
            <w:r>
              <w:rPr>
                <w:sz w:val="20"/>
                <w:szCs w:val="20"/>
              </w:rPr>
              <w:t xml:space="preserve">extraction </w:t>
            </w:r>
            <w:r w:rsidR="00FC68A2">
              <w:rPr>
                <w:sz w:val="20"/>
                <w:szCs w:val="20"/>
              </w:rPr>
              <w:t>batch of 20 or fewer field-collected samples</w:t>
            </w:r>
          </w:p>
        </w:tc>
        <w:tc>
          <w:tcPr>
            <w:tcW w:w="1220" w:type="pct"/>
          </w:tcPr>
          <w:p w14:paraId="2CF9DBDF" w14:textId="1613681F" w:rsidR="00FC68A2" w:rsidRPr="00350FFF" w:rsidRDefault="00992DD2" w:rsidP="002A38E4">
            <w:pPr>
              <w:rPr>
                <w:sz w:val="20"/>
                <w:szCs w:val="20"/>
              </w:rPr>
            </w:pPr>
            <w:r>
              <w:rPr>
                <w:sz w:val="20"/>
                <w:szCs w:val="20"/>
              </w:rPr>
              <w:t>T</w:t>
            </w:r>
            <w:r w:rsidR="00FC68A2">
              <w:rPr>
                <w:sz w:val="20"/>
                <w:szCs w:val="20"/>
              </w:rPr>
              <w:t>arget analyte concentrations ≤ MDL</w:t>
            </w:r>
          </w:p>
        </w:tc>
      </w:tr>
    </w:tbl>
    <w:p w14:paraId="761C197C" w14:textId="0052DDCD" w:rsidR="0074630C" w:rsidRPr="0099275B" w:rsidRDefault="00FC68A2" w:rsidP="0099275B">
      <w:pPr>
        <w:ind w:left="360"/>
        <w:jc w:val="center"/>
        <w:rPr>
          <w:b/>
        </w:rPr>
      </w:pPr>
      <w:r>
        <w:br w:type="page"/>
      </w:r>
      <w:r w:rsidR="0074630C" w:rsidRPr="00D41747">
        <w:rPr>
          <w:b/>
        </w:rPr>
        <w:lastRenderedPageBreak/>
        <w:t xml:space="preserve">Table </w:t>
      </w:r>
      <w:r w:rsidR="0074630C">
        <w:rPr>
          <w:b/>
        </w:rPr>
        <w:t>6</w:t>
      </w:r>
      <w:r w:rsidR="0074630C" w:rsidRPr="00D41747">
        <w:rPr>
          <w:b/>
        </w:rPr>
        <w:t xml:space="preserve">.  </w:t>
      </w:r>
      <w:r w:rsidR="0074630C">
        <w:rPr>
          <w:b/>
        </w:rPr>
        <w:t xml:space="preserve">Summary of </w:t>
      </w:r>
      <w:r w:rsidR="0074630C" w:rsidRPr="00D41747">
        <w:rPr>
          <w:b/>
        </w:rPr>
        <w:t>Quality Control and Operational Parameters</w:t>
      </w:r>
      <w:r w:rsidR="0074630C">
        <w:rPr>
          <w:b/>
        </w:rPr>
        <w:t xml:space="preserve"> (continued)</w:t>
      </w:r>
    </w:p>
    <w:tbl>
      <w:tblPr>
        <w:tblStyle w:val="TableGrid"/>
        <w:tblW w:w="5000" w:type="pct"/>
        <w:jc w:val="center"/>
        <w:tblLook w:val="04A0" w:firstRow="1" w:lastRow="0" w:firstColumn="1" w:lastColumn="0" w:noHBand="0" w:noVBand="1"/>
      </w:tblPr>
      <w:tblGrid>
        <w:gridCol w:w="1975"/>
        <w:gridCol w:w="2970"/>
        <w:gridCol w:w="2124"/>
        <w:gridCol w:w="2281"/>
      </w:tblGrid>
      <w:tr w:rsidR="0074630C" w:rsidRPr="00350FFF" w14:paraId="34562A89" w14:textId="77777777" w:rsidTr="009B067F">
        <w:trPr>
          <w:jc w:val="center"/>
        </w:trPr>
        <w:tc>
          <w:tcPr>
            <w:tcW w:w="1056" w:type="pct"/>
          </w:tcPr>
          <w:p w14:paraId="66768272" w14:textId="077CA966" w:rsidR="0074630C" w:rsidRPr="0099275B" w:rsidRDefault="0074630C" w:rsidP="0074630C">
            <w:pPr>
              <w:rPr>
                <w:b/>
                <w:bCs/>
                <w:sz w:val="20"/>
                <w:szCs w:val="20"/>
              </w:rPr>
            </w:pPr>
            <w:r w:rsidRPr="0099275B">
              <w:rPr>
                <w:b/>
                <w:bCs/>
                <w:sz w:val="20"/>
                <w:szCs w:val="20"/>
              </w:rPr>
              <w:t>Parameter</w:t>
            </w:r>
          </w:p>
        </w:tc>
        <w:tc>
          <w:tcPr>
            <w:tcW w:w="1588" w:type="pct"/>
          </w:tcPr>
          <w:p w14:paraId="6B774426" w14:textId="547B50E5" w:rsidR="0074630C" w:rsidRPr="0099275B" w:rsidRDefault="0074630C" w:rsidP="0074630C">
            <w:pPr>
              <w:rPr>
                <w:b/>
                <w:bCs/>
                <w:sz w:val="20"/>
                <w:szCs w:val="20"/>
              </w:rPr>
            </w:pPr>
            <w:r w:rsidRPr="0099275B">
              <w:rPr>
                <w:b/>
                <w:bCs/>
                <w:sz w:val="20"/>
                <w:szCs w:val="20"/>
              </w:rPr>
              <w:t>Detail</w:t>
            </w:r>
          </w:p>
        </w:tc>
        <w:tc>
          <w:tcPr>
            <w:tcW w:w="1136" w:type="pct"/>
          </w:tcPr>
          <w:p w14:paraId="597E65DB" w14:textId="19DB4CCB" w:rsidR="0074630C" w:rsidRPr="0099275B" w:rsidRDefault="0074630C" w:rsidP="0074630C">
            <w:pPr>
              <w:rPr>
                <w:b/>
                <w:bCs/>
                <w:sz w:val="20"/>
                <w:szCs w:val="20"/>
              </w:rPr>
            </w:pPr>
            <w:r w:rsidRPr="0099275B">
              <w:rPr>
                <w:b/>
                <w:bCs/>
                <w:sz w:val="20"/>
                <w:szCs w:val="20"/>
              </w:rPr>
              <w:t>Required Frequency</w:t>
            </w:r>
          </w:p>
        </w:tc>
        <w:tc>
          <w:tcPr>
            <w:tcW w:w="1220" w:type="pct"/>
          </w:tcPr>
          <w:p w14:paraId="61166CBB" w14:textId="0D1DB4EE" w:rsidR="0074630C" w:rsidRPr="0099275B" w:rsidRDefault="0074630C" w:rsidP="0074630C">
            <w:pPr>
              <w:rPr>
                <w:b/>
                <w:bCs/>
                <w:sz w:val="20"/>
                <w:szCs w:val="20"/>
              </w:rPr>
            </w:pPr>
            <w:r w:rsidRPr="0099275B">
              <w:rPr>
                <w:b/>
                <w:bCs/>
                <w:sz w:val="20"/>
                <w:szCs w:val="20"/>
              </w:rPr>
              <w:t>Acceptance Criteria</w:t>
            </w:r>
          </w:p>
        </w:tc>
      </w:tr>
      <w:tr w:rsidR="0074630C" w:rsidRPr="00350FFF" w14:paraId="186D2B4F" w14:textId="77777777" w:rsidTr="009B067F">
        <w:trPr>
          <w:jc w:val="center"/>
        </w:trPr>
        <w:tc>
          <w:tcPr>
            <w:tcW w:w="1056" w:type="pct"/>
          </w:tcPr>
          <w:p w14:paraId="2F0A9592" w14:textId="77777777" w:rsidR="0074630C" w:rsidRPr="00350FFF" w:rsidRDefault="0074630C" w:rsidP="0074630C">
            <w:pPr>
              <w:rPr>
                <w:sz w:val="20"/>
                <w:szCs w:val="20"/>
              </w:rPr>
            </w:pPr>
            <w:r>
              <w:rPr>
                <w:sz w:val="20"/>
                <w:szCs w:val="20"/>
              </w:rPr>
              <w:t>Laboratory Control Sample (LCS)</w:t>
            </w:r>
          </w:p>
        </w:tc>
        <w:tc>
          <w:tcPr>
            <w:tcW w:w="1588" w:type="pct"/>
          </w:tcPr>
          <w:p w14:paraId="4418CEB1" w14:textId="77777777" w:rsidR="0074630C" w:rsidRPr="00350FFF" w:rsidRDefault="0074630C" w:rsidP="0074630C">
            <w:pPr>
              <w:rPr>
                <w:sz w:val="20"/>
                <w:szCs w:val="20"/>
              </w:rPr>
            </w:pPr>
            <w:r>
              <w:rPr>
                <w:sz w:val="20"/>
                <w:szCs w:val="20"/>
              </w:rPr>
              <w:t>Blank cartridge spiked with a known amount of target analytes and extracted</w:t>
            </w:r>
          </w:p>
        </w:tc>
        <w:tc>
          <w:tcPr>
            <w:tcW w:w="1136" w:type="pct"/>
          </w:tcPr>
          <w:p w14:paraId="06BE2F2D" w14:textId="77777777" w:rsidR="0074630C" w:rsidRPr="00350FFF" w:rsidRDefault="0074630C" w:rsidP="0074630C">
            <w:pPr>
              <w:rPr>
                <w:sz w:val="20"/>
                <w:szCs w:val="20"/>
              </w:rPr>
            </w:pPr>
            <w:r>
              <w:rPr>
                <w:sz w:val="20"/>
                <w:szCs w:val="20"/>
              </w:rPr>
              <w:t>Minimally quarterly, recommended as 5% of field collected samples (one per extraction batch of 20 or fewer)</w:t>
            </w:r>
          </w:p>
        </w:tc>
        <w:tc>
          <w:tcPr>
            <w:tcW w:w="1220" w:type="pct"/>
          </w:tcPr>
          <w:p w14:paraId="492480C7" w14:textId="77777777" w:rsidR="0074630C" w:rsidRPr="00350FFF" w:rsidRDefault="0074630C" w:rsidP="0074630C">
            <w:pPr>
              <w:rPr>
                <w:sz w:val="20"/>
                <w:szCs w:val="20"/>
              </w:rPr>
            </w:pPr>
            <w:r>
              <w:rPr>
                <w:sz w:val="20"/>
                <w:szCs w:val="20"/>
              </w:rPr>
              <w:t>Formaldehyde recovery within 80 to 120%, all other target analyte recoveries within 70 to 130%</w:t>
            </w:r>
          </w:p>
        </w:tc>
      </w:tr>
      <w:tr w:rsidR="0074630C" w:rsidRPr="00561D1E" w14:paraId="2B90C875" w14:textId="77777777" w:rsidTr="009B067F">
        <w:trPr>
          <w:jc w:val="center"/>
        </w:trPr>
        <w:tc>
          <w:tcPr>
            <w:tcW w:w="1056" w:type="pct"/>
          </w:tcPr>
          <w:p w14:paraId="2F234773" w14:textId="77777777" w:rsidR="0074630C" w:rsidRPr="00350FFF" w:rsidRDefault="0074630C" w:rsidP="0074630C">
            <w:pPr>
              <w:rPr>
                <w:sz w:val="20"/>
                <w:szCs w:val="20"/>
              </w:rPr>
            </w:pPr>
            <w:r>
              <w:rPr>
                <w:sz w:val="20"/>
                <w:szCs w:val="20"/>
              </w:rPr>
              <w:t>Laboratory Control Sample Duplicate (LCSD)</w:t>
            </w:r>
          </w:p>
        </w:tc>
        <w:tc>
          <w:tcPr>
            <w:tcW w:w="1588" w:type="pct"/>
          </w:tcPr>
          <w:p w14:paraId="7778C0C5" w14:textId="77777777" w:rsidR="0074630C" w:rsidRPr="00350FFF" w:rsidRDefault="0074630C" w:rsidP="0074630C">
            <w:pPr>
              <w:rPr>
                <w:sz w:val="20"/>
                <w:szCs w:val="20"/>
              </w:rPr>
            </w:pPr>
            <w:r>
              <w:rPr>
                <w:sz w:val="20"/>
                <w:szCs w:val="20"/>
              </w:rPr>
              <w:t>Duplicate blank cartridge spiked with a known amount of target analytes and extracted to assess precision of the extraction and analysis method</w:t>
            </w:r>
          </w:p>
        </w:tc>
        <w:tc>
          <w:tcPr>
            <w:tcW w:w="1136" w:type="pct"/>
          </w:tcPr>
          <w:p w14:paraId="6E883608" w14:textId="77777777" w:rsidR="0074630C" w:rsidRPr="00561D1E" w:rsidRDefault="0074630C" w:rsidP="0074630C">
            <w:pPr>
              <w:rPr>
                <w:sz w:val="20"/>
                <w:szCs w:val="20"/>
              </w:rPr>
            </w:pPr>
            <w:r>
              <w:rPr>
                <w:sz w:val="20"/>
                <w:szCs w:val="20"/>
              </w:rPr>
              <w:t>Minimally quarterly, recommended as 5% of field collected samples (one per extraction batch of 20 or fewer)</w:t>
            </w:r>
          </w:p>
        </w:tc>
        <w:tc>
          <w:tcPr>
            <w:tcW w:w="1220" w:type="pct"/>
          </w:tcPr>
          <w:p w14:paraId="7A8DC378" w14:textId="74277FF9" w:rsidR="0074630C" w:rsidRPr="00561D1E" w:rsidRDefault="0074630C" w:rsidP="0074630C">
            <w:pPr>
              <w:rPr>
                <w:sz w:val="20"/>
                <w:szCs w:val="20"/>
              </w:rPr>
            </w:pPr>
            <w:r>
              <w:rPr>
                <w:sz w:val="20"/>
                <w:szCs w:val="20"/>
              </w:rPr>
              <w:t>F</w:t>
            </w:r>
            <w:r w:rsidRPr="00561D1E">
              <w:rPr>
                <w:sz w:val="20"/>
                <w:szCs w:val="20"/>
              </w:rPr>
              <w:t>ormaldehyde recovery within 80 to 120%, all other target analyte recover</w:t>
            </w:r>
            <w:r>
              <w:rPr>
                <w:sz w:val="20"/>
                <w:szCs w:val="20"/>
              </w:rPr>
              <w:t>ies</w:t>
            </w:r>
            <w:r w:rsidRPr="00561D1E">
              <w:rPr>
                <w:sz w:val="20"/>
                <w:szCs w:val="20"/>
              </w:rPr>
              <w:t xml:space="preserve"> within 70 to 130%; precision as RPD ≤ </w:t>
            </w:r>
            <w:r w:rsidR="00ED4229">
              <w:rPr>
                <w:sz w:val="20"/>
                <w:szCs w:val="20"/>
              </w:rPr>
              <w:t>2</w:t>
            </w:r>
            <w:r w:rsidRPr="00561D1E">
              <w:rPr>
                <w:sz w:val="20"/>
                <w:szCs w:val="20"/>
              </w:rPr>
              <w:t>0%</w:t>
            </w:r>
          </w:p>
        </w:tc>
      </w:tr>
      <w:tr w:rsidR="0074630C" w:rsidRPr="00DC3ED4" w14:paraId="1F65B226" w14:textId="77777777" w:rsidTr="009B067F">
        <w:trPr>
          <w:jc w:val="center"/>
        </w:trPr>
        <w:tc>
          <w:tcPr>
            <w:tcW w:w="1056" w:type="pct"/>
          </w:tcPr>
          <w:p w14:paraId="6C66FFB3" w14:textId="77777777" w:rsidR="0074630C" w:rsidRPr="00350FFF" w:rsidRDefault="0074630C" w:rsidP="0074630C">
            <w:pPr>
              <w:rPr>
                <w:sz w:val="20"/>
                <w:szCs w:val="20"/>
              </w:rPr>
            </w:pPr>
            <w:r>
              <w:rPr>
                <w:sz w:val="20"/>
                <w:szCs w:val="20"/>
              </w:rPr>
              <w:t>Extraction Solvent Method Blank (ESMB)</w:t>
            </w:r>
          </w:p>
        </w:tc>
        <w:tc>
          <w:tcPr>
            <w:tcW w:w="1588" w:type="pct"/>
          </w:tcPr>
          <w:p w14:paraId="466C7601" w14:textId="77777777" w:rsidR="0074630C" w:rsidRPr="00350FFF" w:rsidRDefault="0074630C" w:rsidP="0074630C">
            <w:pPr>
              <w:rPr>
                <w:sz w:val="20"/>
                <w:szCs w:val="20"/>
              </w:rPr>
            </w:pPr>
            <w:r>
              <w:rPr>
                <w:sz w:val="20"/>
                <w:szCs w:val="20"/>
              </w:rPr>
              <w:t>Aliquot of solvent lot used for extraction dispensed into a volumetric flask used for extraction</w:t>
            </w:r>
          </w:p>
        </w:tc>
        <w:tc>
          <w:tcPr>
            <w:tcW w:w="1136" w:type="pct"/>
          </w:tcPr>
          <w:p w14:paraId="49F7E77E" w14:textId="77777777" w:rsidR="0074630C" w:rsidRDefault="0074630C" w:rsidP="0074630C">
            <w:pPr>
              <w:rPr>
                <w:sz w:val="20"/>
                <w:szCs w:val="20"/>
              </w:rPr>
            </w:pPr>
            <w:r>
              <w:rPr>
                <w:sz w:val="20"/>
                <w:szCs w:val="20"/>
              </w:rPr>
              <w:t>As 5% of field collected samples. One per extraction batch of 20 or fewer field-collected samples</w:t>
            </w:r>
          </w:p>
        </w:tc>
        <w:tc>
          <w:tcPr>
            <w:tcW w:w="1220" w:type="pct"/>
          </w:tcPr>
          <w:p w14:paraId="4678B287" w14:textId="77777777" w:rsidR="0074630C" w:rsidRPr="00DC3ED4" w:rsidRDefault="0074630C" w:rsidP="0074630C">
            <w:pPr>
              <w:rPr>
                <w:sz w:val="20"/>
                <w:szCs w:val="20"/>
              </w:rPr>
            </w:pPr>
            <w:r>
              <w:rPr>
                <w:sz w:val="20"/>
                <w:szCs w:val="20"/>
              </w:rPr>
              <w:t xml:space="preserve">Target analyte concentrations ≤ </w:t>
            </w:r>
            <w:proofErr w:type="spellStart"/>
            <w:r>
              <w:rPr>
                <w:sz w:val="20"/>
                <w:szCs w:val="20"/>
              </w:rPr>
              <w:t>MDL</w:t>
            </w:r>
            <w:r w:rsidRPr="00A46673">
              <w:rPr>
                <w:sz w:val="20"/>
                <w:szCs w:val="20"/>
                <w:vertAlign w:val="subscript"/>
              </w:rPr>
              <w:t>sp</w:t>
            </w:r>
            <w:proofErr w:type="spellEnd"/>
          </w:p>
        </w:tc>
      </w:tr>
      <w:tr w:rsidR="0074630C" w:rsidRPr="00DC3ED4" w14:paraId="326F3623" w14:textId="77777777" w:rsidTr="009B067F">
        <w:trPr>
          <w:jc w:val="center"/>
        </w:trPr>
        <w:tc>
          <w:tcPr>
            <w:tcW w:w="1056" w:type="pct"/>
          </w:tcPr>
          <w:p w14:paraId="1B700BC3" w14:textId="77777777" w:rsidR="0074630C" w:rsidRPr="00350FFF" w:rsidRDefault="0074630C" w:rsidP="0074630C">
            <w:pPr>
              <w:rPr>
                <w:sz w:val="20"/>
                <w:szCs w:val="20"/>
              </w:rPr>
            </w:pPr>
            <w:r w:rsidRPr="00350FFF">
              <w:rPr>
                <w:sz w:val="20"/>
                <w:szCs w:val="20"/>
              </w:rPr>
              <w:t>Field Blank</w:t>
            </w:r>
            <w:r>
              <w:rPr>
                <w:sz w:val="20"/>
                <w:szCs w:val="20"/>
              </w:rPr>
              <w:t xml:space="preserve"> (FB)</w:t>
            </w:r>
          </w:p>
        </w:tc>
        <w:tc>
          <w:tcPr>
            <w:tcW w:w="1588" w:type="pct"/>
          </w:tcPr>
          <w:p w14:paraId="347FF4E8" w14:textId="77777777" w:rsidR="0074630C" w:rsidRPr="00350FFF" w:rsidRDefault="0074630C" w:rsidP="0074630C">
            <w:pPr>
              <w:rPr>
                <w:sz w:val="20"/>
                <w:szCs w:val="20"/>
              </w:rPr>
            </w:pPr>
            <w:r>
              <w:rPr>
                <w:sz w:val="20"/>
                <w:szCs w:val="20"/>
              </w:rPr>
              <w:t>B</w:t>
            </w:r>
            <w:r w:rsidRPr="00350FFF">
              <w:rPr>
                <w:sz w:val="20"/>
                <w:szCs w:val="20"/>
              </w:rPr>
              <w:t>lank cartridge installed in a</w:t>
            </w:r>
            <w:r>
              <w:rPr>
                <w:sz w:val="20"/>
                <w:szCs w:val="20"/>
              </w:rPr>
              <w:t>n actively used</w:t>
            </w:r>
            <w:r w:rsidRPr="00350FFF">
              <w:rPr>
                <w:sz w:val="20"/>
                <w:szCs w:val="20"/>
              </w:rPr>
              <w:t xml:space="preserve"> sampling channel for five to ten minutes</w:t>
            </w:r>
            <w:r>
              <w:rPr>
                <w:sz w:val="20"/>
                <w:szCs w:val="20"/>
              </w:rPr>
              <w:t xml:space="preserve"> – no air is sampled through the cartridge</w:t>
            </w:r>
          </w:p>
        </w:tc>
        <w:tc>
          <w:tcPr>
            <w:tcW w:w="1136" w:type="pct"/>
          </w:tcPr>
          <w:p w14:paraId="2BE3438C" w14:textId="77777777" w:rsidR="0074630C" w:rsidRPr="00350FFF" w:rsidRDefault="0074630C" w:rsidP="0074630C">
            <w:pPr>
              <w:rPr>
                <w:sz w:val="20"/>
                <w:szCs w:val="20"/>
              </w:rPr>
            </w:pPr>
            <w:r>
              <w:rPr>
                <w:sz w:val="20"/>
                <w:szCs w:val="20"/>
              </w:rPr>
              <w:t>As submitted to the laboratory by field site(s)</w:t>
            </w:r>
          </w:p>
        </w:tc>
        <w:tc>
          <w:tcPr>
            <w:tcW w:w="1220" w:type="pct"/>
          </w:tcPr>
          <w:p w14:paraId="48A30E7A" w14:textId="77777777" w:rsidR="0074630C" w:rsidRPr="00DC3ED4" w:rsidRDefault="0074630C" w:rsidP="0074630C">
            <w:pPr>
              <w:rPr>
                <w:sz w:val="20"/>
                <w:szCs w:val="20"/>
              </w:rPr>
            </w:pPr>
            <w:r w:rsidRPr="00DC3ED4">
              <w:rPr>
                <w:sz w:val="20"/>
                <w:szCs w:val="20"/>
              </w:rPr>
              <w:t xml:space="preserve">Compounds must meet criteria in Table </w:t>
            </w:r>
            <w:r>
              <w:rPr>
                <w:sz w:val="20"/>
                <w:szCs w:val="20"/>
              </w:rPr>
              <w:t>4</w:t>
            </w:r>
          </w:p>
        </w:tc>
      </w:tr>
      <w:tr w:rsidR="00ED4229" w:rsidRPr="00DC3ED4" w14:paraId="008AEEDB" w14:textId="77777777" w:rsidTr="009B067F">
        <w:trPr>
          <w:jc w:val="center"/>
        </w:trPr>
        <w:tc>
          <w:tcPr>
            <w:tcW w:w="1056" w:type="pct"/>
          </w:tcPr>
          <w:p w14:paraId="17546E17" w14:textId="6D45CA8F" w:rsidR="00ED4229" w:rsidRPr="00350FFF" w:rsidRDefault="00ED4229" w:rsidP="00ED4229">
            <w:pPr>
              <w:rPr>
                <w:sz w:val="20"/>
                <w:szCs w:val="20"/>
              </w:rPr>
            </w:pPr>
            <w:r>
              <w:rPr>
                <w:sz w:val="20"/>
                <w:szCs w:val="20"/>
              </w:rPr>
              <w:t>Exposure</w:t>
            </w:r>
            <w:r w:rsidRPr="00350FFF">
              <w:rPr>
                <w:sz w:val="20"/>
                <w:szCs w:val="20"/>
              </w:rPr>
              <w:t xml:space="preserve"> Blank</w:t>
            </w:r>
            <w:r>
              <w:rPr>
                <w:sz w:val="20"/>
                <w:szCs w:val="20"/>
              </w:rPr>
              <w:t xml:space="preserve"> (EB)</w:t>
            </w:r>
          </w:p>
        </w:tc>
        <w:tc>
          <w:tcPr>
            <w:tcW w:w="1588" w:type="pct"/>
          </w:tcPr>
          <w:p w14:paraId="1D10396E" w14:textId="4D37FA11" w:rsidR="00ED4229" w:rsidRDefault="00ED4229" w:rsidP="00ED4229">
            <w:pPr>
              <w:rPr>
                <w:sz w:val="20"/>
                <w:szCs w:val="20"/>
              </w:rPr>
            </w:pPr>
            <w:r>
              <w:rPr>
                <w:sz w:val="20"/>
                <w:szCs w:val="20"/>
              </w:rPr>
              <w:t>B</w:t>
            </w:r>
            <w:r w:rsidRPr="00350FFF">
              <w:rPr>
                <w:sz w:val="20"/>
                <w:szCs w:val="20"/>
              </w:rPr>
              <w:t>lank cartridge installed in a</w:t>
            </w:r>
            <w:r>
              <w:rPr>
                <w:sz w:val="20"/>
                <w:szCs w:val="20"/>
              </w:rPr>
              <w:t>n actively used</w:t>
            </w:r>
            <w:r w:rsidRPr="00350FFF">
              <w:rPr>
                <w:sz w:val="20"/>
                <w:szCs w:val="20"/>
              </w:rPr>
              <w:t xml:space="preserve"> sampling channel for </w:t>
            </w:r>
            <w:r>
              <w:rPr>
                <w:sz w:val="20"/>
                <w:szCs w:val="20"/>
              </w:rPr>
              <w:t>the duration of an ambient air sample – no air is sampled through the cartridge</w:t>
            </w:r>
          </w:p>
        </w:tc>
        <w:tc>
          <w:tcPr>
            <w:tcW w:w="1136" w:type="pct"/>
          </w:tcPr>
          <w:p w14:paraId="1277F8F8" w14:textId="09F73332" w:rsidR="00ED4229" w:rsidRDefault="00ED4229" w:rsidP="00ED4229">
            <w:pPr>
              <w:rPr>
                <w:sz w:val="20"/>
                <w:szCs w:val="20"/>
              </w:rPr>
            </w:pPr>
            <w:r>
              <w:rPr>
                <w:sz w:val="20"/>
                <w:szCs w:val="20"/>
              </w:rPr>
              <w:t>As submitted to the laboratory by field site(s)</w:t>
            </w:r>
          </w:p>
        </w:tc>
        <w:tc>
          <w:tcPr>
            <w:tcW w:w="1220" w:type="pct"/>
          </w:tcPr>
          <w:p w14:paraId="1F970AED" w14:textId="6B73CDEB" w:rsidR="00ED4229" w:rsidRPr="00DC3ED4" w:rsidRDefault="00ED4229" w:rsidP="00ED4229">
            <w:pPr>
              <w:rPr>
                <w:sz w:val="20"/>
                <w:szCs w:val="20"/>
              </w:rPr>
            </w:pPr>
            <w:r w:rsidRPr="00DC3ED4">
              <w:rPr>
                <w:sz w:val="20"/>
                <w:szCs w:val="20"/>
              </w:rPr>
              <w:t xml:space="preserve">Compounds must meet criteria in Table </w:t>
            </w:r>
            <w:r>
              <w:rPr>
                <w:sz w:val="20"/>
                <w:szCs w:val="20"/>
              </w:rPr>
              <w:t>4</w:t>
            </w:r>
          </w:p>
        </w:tc>
      </w:tr>
      <w:tr w:rsidR="00ED4229" w:rsidRPr="00D41747" w14:paraId="0A32D446" w14:textId="77777777" w:rsidTr="009B067F">
        <w:trPr>
          <w:jc w:val="center"/>
        </w:trPr>
        <w:tc>
          <w:tcPr>
            <w:tcW w:w="1056" w:type="pct"/>
          </w:tcPr>
          <w:p w14:paraId="6F7CB20E" w14:textId="77777777" w:rsidR="00ED4229" w:rsidRPr="00350FFF" w:rsidRDefault="00ED4229" w:rsidP="00ED4229">
            <w:pPr>
              <w:rPr>
                <w:sz w:val="20"/>
                <w:szCs w:val="20"/>
              </w:rPr>
            </w:pPr>
            <w:r w:rsidRPr="00350FFF">
              <w:rPr>
                <w:sz w:val="20"/>
                <w:szCs w:val="20"/>
              </w:rPr>
              <w:t>Trip Blank</w:t>
            </w:r>
            <w:r>
              <w:rPr>
                <w:sz w:val="20"/>
                <w:szCs w:val="20"/>
              </w:rPr>
              <w:t xml:space="preserve"> (TB)</w:t>
            </w:r>
          </w:p>
        </w:tc>
        <w:tc>
          <w:tcPr>
            <w:tcW w:w="1588" w:type="pct"/>
          </w:tcPr>
          <w:p w14:paraId="1DC7BF05" w14:textId="77777777" w:rsidR="00ED4229" w:rsidRPr="00350FFF" w:rsidRDefault="00ED4229" w:rsidP="00ED4229">
            <w:pPr>
              <w:rPr>
                <w:sz w:val="20"/>
                <w:szCs w:val="20"/>
              </w:rPr>
            </w:pPr>
            <w:r>
              <w:rPr>
                <w:sz w:val="20"/>
                <w:szCs w:val="20"/>
              </w:rPr>
              <w:t>B</w:t>
            </w:r>
            <w:r w:rsidRPr="00350FFF">
              <w:rPr>
                <w:sz w:val="20"/>
                <w:szCs w:val="20"/>
              </w:rPr>
              <w:t>lank cartridge accompanying collected samples to and from the field site</w:t>
            </w:r>
          </w:p>
        </w:tc>
        <w:tc>
          <w:tcPr>
            <w:tcW w:w="1136" w:type="pct"/>
          </w:tcPr>
          <w:p w14:paraId="12F7E714" w14:textId="77777777" w:rsidR="00ED4229" w:rsidRPr="00D41747" w:rsidRDefault="00ED4229" w:rsidP="00ED4229">
            <w:pPr>
              <w:rPr>
                <w:sz w:val="20"/>
                <w:szCs w:val="20"/>
              </w:rPr>
            </w:pPr>
            <w:r w:rsidRPr="00D41747">
              <w:rPr>
                <w:sz w:val="20"/>
                <w:szCs w:val="20"/>
              </w:rPr>
              <w:t>As submitted to the laboratory by field site(s)</w:t>
            </w:r>
          </w:p>
        </w:tc>
        <w:tc>
          <w:tcPr>
            <w:tcW w:w="1220" w:type="pct"/>
          </w:tcPr>
          <w:p w14:paraId="4B68AFF3" w14:textId="77777777" w:rsidR="00ED4229" w:rsidRPr="00D41747" w:rsidRDefault="00ED4229" w:rsidP="00ED4229">
            <w:pPr>
              <w:rPr>
                <w:sz w:val="20"/>
                <w:szCs w:val="20"/>
              </w:rPr>
            </w:pPr>
            <w:r w:rsidRPr="00D41747">
              <w:rPr>
                <w:sz w:val="20"/>
                <w:szCs w:val="20"/>
              </w:rPr>
              <w:t>Compounds must meet criteria in Table 2</w:t>
            </w:r>
          </w:p>
        </w:tc>
      </w:tr>
      <w:tr w:rsidR="00ED4229" w:rsidRPr="00350FFF" w14:paraId="399D3569" w14:textId="77777777" w:rsidTr="009B067F">
        <w:trPr>
          <w:jc w:val="center"/>
        </w:trPr>
        <w:tc>
          <w:tcPr>
            <w:tcW w:w="1056" w:type="pct"/>
          </w:tcPr>
          <w:p w14:paraId="5B06307C" w14:textId="77777777" w:rsidR="00ED4229" w:rsidRPr="00350FFF" w:rsidRDefault="00ED4229" w:rsidP="00ED4229">
            <w:pPr>
              <w:rPr>
                <w:sz w:val="20"/>
                <w:szCs w:val="20"/>
              </w:rPr>
            </w:pPr>
            <w:r w:rsidRPr="00350FFF">
              <w:rPr>
                <w:sz w:val="20"/>
                <w:szCs w:val="20"/>
              </w:rPr>
              <w:t>Sample Storage</w:t>
            </w:r>
          </w:p>
        </w:tc>
        <w:tc>
          <w:tcPr>
            <w:tcW w:w="1588" w:type="pct"/>
          </w:tcPr>
          <w:p w14:paraId="177EE196" w14:textId="77777777" w:rsidR="00ED4229" w:rsidRPr="00350FFF" w:rsidRDefault="00ED4229" w:rsidP="00ED4229">
            <w:pPr>
              <w:rPr>
                <w:sz w:val="20"/>
                <w:szCs w:val="20"/>
              </w:rPr>
            </w:pPr>
            <w:r>
              <w:rPr>
                <w:sz w:val="20"/>
                <w:szCs w:val="20"/>
              </w:rPr>
              <w:t>C</w:t>
            </w:r>
            <w:r w:rsidRPr="00350FFF">
              <w:rPr>
                <w:sz w:val="20"/>
                <w:szCs w:val="20"/>
              </w:rPr>
              <w:t>artridges stored refrigerated and protected from light</w:t>
            </w:r>
            <w:r>
              <w:rPr>
                <w:sz w:val="20"/>
                <w:szCs w:val="20"/>
              </w:rPr>
              <w:t xml:space="preserve"> in dedicated storage without extracts, standards, or solvent vapors</w:t>
            </w:r>
          </w:p>
        </w:tc>
        <w:tc>
          <w:tcPr>
            <w:tcW w:w="1136" w:type="pct"/>
          </w:tcPr>
          <w:p w14:paraId="79A0F77A" w14:textId="77777777" w:rsidR="00ED4229" w:rsidRPr="00350FFF" w:rsidRDefault="00ED4229" w:rsidP="00ED4229">
            <w:pPr>
              <w:rPr>
                <w:sz w:val="20"/>
                <w:szCs w:val="20"/>
              </w:rPr>
            </w:pPr>
            <w:r>
              <w:rPr>
                <w:sz w:val="20"/>
                <w:szCs w:val="20"/>
              </w:rPr>
              <w:t>A</w:t>
            </w:r>
            <w:r w:rsidRPr="00350FFF">
              <w:rPr>
                <w:sz w:val="20"/>
                <w:szCs w:val="20"/>
              </w:rPr>
              <w:t>ll samples</w:t>
            </w:r>
          </w:p>
        </w:tc>
        <w:tc>
          <w:tcPr>
            <w:tcW w:w="1220" w:type="pct"/>
          </w:tcPr>
          <w:p w14:paraId="2F43082B" w14:textId="77777777" w:rsidR="00ED4229" w:rsidRPr="00350FFF" w:rsidRDefault="00ED4229" w:rsidP="00ED4229">
            <w:pPr>
              <w:rPr>
                <w:sz w:val="20"/>
                <w:szCs w:val="20"/>
              </w:rPr>
            </w:pPr>
            <w:r>
              <w:rPr>
                <w:sz w:val="20"/>
                <w:szCs w:val="20"/>
              </w:rPr>
              <w:t>S</w:t>
            </w:r>
            <w:r w:rsidRPr="00350FFF">
              <w:rPr>
                <w:sz w:val="20"/>
                <w:szCs w:val="20"/>
              </w:rPr>
              <w:t xml:space="preserve">torage in </w:t>
            </w:r>
            <w:r>
              <w:rPr>
                <w:sz w:val="20"/>
                <w:szCs w:val="20"/>
              </w:rPr>
              <w:t xml:space="preserve">sealed </w:t>
            </w:r>
            <w:r w:rsidRPr="00350FFF">
              <w:rPr>
                <w:sz w:val="20"/>
                <w:szCs w:val="20"/>
              </w:rPr>
              <w:t>foil pouch at ≤ 4°C</w:t>
            </w:r>
          </w:p>
        </w:tc>
      </w:tr>
      <w:tr w:rsidR="00ED4229" w:rsidRPr="00350FFF" w14:paraId="70460CD0" w14:textId="77777777" w:rsidTr="009B067F">
        <w:trPr>
          <w:jc w:val="center"/>
        </w:trPr>
        <w:tc>
          <w:tcPr>
            <w:tcW w:w="1056" w:type="pct"/>
          </w:tcPr>
          <w:p w14:paraId="5F16C42D" w14:textId="77777777" w:rsidR="00ED4229" w:rsidRPr="00350FFF" w:rsidRDefault="00ED4229" w:rsidP="00ED4229">
            <w:pPr>
              <w:rPr>
                <w:sz w:val="20"/>
                <w:szCs w:val="20"/>
              </w:rPr>
            </w:pPr>
            <w:r>
              <w:rPr>
                <w:sz w:val="20"/>
                <w:szCs w:val="20"/>
              </w:rPr>
              <w:t>Extract Storage</w:t>
            </w:r>
          </w:p>
        </w:tc>
        <w:tc>
          <w:tcPr>
            <w:tcW w:w="1588" w:type="pct"/>
          </w:tcPr>
          <w:p w14:paraId="0770D3AF" w14:textId="77777777" w:rsidR="00ED4229" w:rsidRPr="00350FFF" w:rsidRDefault="00ED4229" w:rsidP="00ED4229">
            <w:pPr>
              <w:rPr>
                <w:sz w:val="20"/>
                <w:szCs w:val="20"/>
              </w:rPr>
            </w:pPr>
            <w:r>
              <w:rPr>
                <w:sz w:val="20"/>
                <w:szCs w:val="20"/>
              </w:rPr>
              <w:t>Sample extracts stored refrigerated and protected from light in dedicated storage without standard solutions or solvent vapors</w:t>
            </w:r>
          </w:p>
        </w:tc>
        <w:tc>
          <w:tcPr>
            <w:tcW w:w="1136" w:type="pct"/>
          </w:tcPr>
          <w:p w14:paraId="0E75922E" w14:textId="77777777" w:rsidR="00ED4229" w:rsidRPr="00350FFF" w:rsidRDefault="00ED4229" w:rsidP="00ED4229">
            <w:pPr>
              <w:rPr>
                <w:sz w:val="20"/>
                <w:szCs w:val="20"/>
              </w:rPr>
            </w:pPr>
            <w:r>
              <w:rPr>
                <w:sz w:val="20"/>
                <w:szCs w:val="20"/>
              </w:rPr>
              <w:t>All extracts</w:t>
            </w:r>
          </w:p>
        </w:tc>
        <w:tc>
          <w:tcPr>
            <w:tcW w:w="1220" w:type="pct"/>
          </w:tcPr>
          <w:p w14:paraId="4F75ABA1" w14:textId="77777777" w:rsidR="00ED4229" w:rsidRPr="00350FFF" w:rsidRDefault="00ED4229" w:rsidP="00ED4229">
            <w:pPr>
              <w:rPr>
                <w:sz w:val="20"/>
                <w:szCs w:val="20"/>
              </w:rPr>
            </w:pPr>
            <w:r>
              <w:rPr>
                <w:sz w:val="20"/>
                <w:szCs w:val="20"/>
              </w:rPr>
              <w:t>Storage in amber vials with PTFE lids at ≤ 4°C</w:t>
            </w:r>
          </w:p>
        </w:tc>
      </w:tr>
      <w:tr w:rsidR="00ED4229" w:rsidRPr="00DC3ED4" w14:paraId="1C89C2AD" w14:textId="77777777" w:rsidTr="009B067F">
        <w:trPr>
          <w:jc w:val="center"/>
        </w:trPr>
        <w:tc>
          <w:tcPr>
            <w:tcW w:w="1056" w:type="pct"/>
          </w:tcPr>
          <w:p w14:paraId="4A6672C9" w14:textId="1129EB1C" w:rsidR="00ED4229" w:rsidRPr="00350FFF" w:rsidRDefault="00ED4229" w:rsidP="00ED4229">
            <w:pPr>
              <w:rPr>
                <w:sz w:val="20"/>
                <w:szCs w:val="20"/>
              </w:rPr>
            </w:pPr>
            <w:r w:rsidRPr="00350FFF">
              <w:rPr>
                <w:sz w:val="20"/>
                <w:szCs w:val="20"/>
              </w:rPr>
              <w:t>Duplicate Sample</w:t>
            </w:r>
          </w:p>
        </w:tc>
        <w:tc>
          <w:tcPr>
            <w:tcW w:w="1588" w:type="pct"/>
          </w:tcPr>
          <w:p w14:paraId="574E6029" w14:textId="3578716A" w:rsidR="00ED4229" w:rsidRPr="00350FFF" w:rsidRDefault="00101FAD" w:rsidP="00ED4229">
            <w:pPr>
              <w:rPr>
                <w:sz w:val="20"/>
                <w:szCs w:val="20"/>
              </w:rPr>
            </w:pPr>
            <w:r>
              <w:rPr>
                <w:sz w:val="20"/>
                <w:szCs w:val="20"/>
              </w:rPr>
              <w:t>S</w:t>
            </w:r>
            <w:r w:rsidR="00ED4229" w:rsidRPr="00350FFF">
              <w:rPr>
                <w:sz w:val="20"/>
                <w:szCs w:val="20"/>
              </w:rPr>
              <w:t xml:space="preserve">ample cartridge </w:t>
            </w:r>
            <w:r w:rsidR="00ED4229">
              <w:rPr>
                <w:sz w:val="20"/>
                <w:szCs w:val="20"/>
              </w:rPr>
              <w:t xml:space="preserve">collected </w:t>
            </w:r>
            <w:r w:rsidR="00ED4229" w:rsidRPr="00350FFF">
              <w:rPr>
                <w:sz w:val="20"/>
                <w:szCs w:val="20"/>
              </w:rPr>
              <w:t>concurrently with a primary 8-hour sample</w:t>
            </w:r>
            <w:r w:rsidR="00ED4229">
              <w:rPr>
                <w:sz w:val="20"/>
                <w:szCs w:val="20"/>
              </w:rPr>
              <w:t xml:space="preserve"> through a common inlet probe </w:t>
            </w:r>
          </w:p>
        </w:tc>
        <w:tc>
          <w:tcPr>
            <w:tcW w:w="1136" w:type="pct"/>
          </w:tcPr>
          <w:p w14:paraId="74CBE83F" w14:textId="77777777" w:rsidR="00ED4229" w:rsidRPr="00350FFF" w:rsidRDefault="00ED4229" w:rsidP="00ED4229">
            <w:pPr>
              <w:rPr>
                <w:sz w:val="20"/>
                <w:szCs w:val="20"/>
              </w:rPr>
            </w:pPr>
            <w:r>
              <w:rPr>
                <w:sz w:val="20"/>
                <w:szCs w:val="20"/>
              </w:rPr>
              <w:t>As submitted to the laboratory by field site(s)</w:t>
            </w:r>
          </w:p>
        </w:tc>
        <w:tc>
          <w:tcPr>
            <w:tcW w:w="1220" w:type="pct"/>
          </w:tcPr>
          <w:p w14:paraId="4D99B38B" w14:textId="68A3C5D3" w:rsidR="00ED4229" w:rsidRPr="00DC3ED4" w:rsidRDefault="00ED4229" w:rsidP="00ED4229">
            <w:pPr>
              <w:rPr>
                <w:sz w:val="20"/>
                <w:szCs w:val="20"/>
              </w:rPr>
            </w:pPr>
            <w:r>
              <w:rPr>
                <w:sz w:val="20"/>
                <w:szCs w:val="20"/>
              </w:rPr>
              <w:t>RPD</w:t>
            </w:r>
            <w:r w:rsidRPr="00DC3ED4">
              <w:rPr>
                <w:sz w:val="20"/>
                <w:szCs w:val="20"/>
              </w:rPr>
              <w:t xml:space="preserve"> ≤ </w:t>
            </w:r>
            <w:r>
              <w:rPr>
                <w:sz w:val="20"/>
                <w:szCs w:val="20"/>
              </w:rPr>
              <w:t>2</w:t>
            </w:r>
            <w:r w:rsidRPr="00DC3ED4">
              <w:rPr>
                <w:sz w:val="20"/>
                <w:szCs w:val="20"/>
              </w:rPr>
              <w:t>0% for compounds ≥ 0.5 µg/cartridge</w:t>
            </w:r>
          </w:p>
        </w:tc>
      </w:tr>
      <w:tr w:rsidR="00ED4229" w:rsidRPr="00DC3ED4" w14:paraId="45D8ECDC" w14:textId="77777777" w:rsidTr="009B067F">
        <w:trPr>
          <w:jc w:val="center"/>
        </w:trPr>
        <w:tc>
          <w:tcPr>
            <w:tcW w:w="1056" w:type="pct"/>
          </w:tcPr>
          <w:p w14:paraId="6BFE1EE4" w14:textId="6DE91314" w:rsidR="00ED4229" w:rsidRPr="00350FFF" w:rsidRDefault="00ED4229" w:rsidP="00ED4229">
            <w:pPr>
              <w:rPr>
                <w:sz w:val="20"/>
                <w:szCs w:val="20"/>
              </w:rPr>
            </w:pPr>
            <w:r>
              <w:rPr>
                <w:sz w:val="20"/>
                <w:szCs w:val="20"/>
              </w:rPr>
              <w:t>Collocated Sample</w:t>
            </w:r>
          </w:p>
        </w:tc>
        <w:tc>
          <w:tcPr>
            <w:tcW w:w="1588" w:type="pct"/>
          </w:tcPr>
          <w:p w14:paraId="0EF40BF0" w14:textId="218DE7E5" w:rsidR="00ED4229" w:rsidRPr="00350FFF" w:rsidRDefault="00101FAD" w:rsidP="00ED4229">
            <w:pPr>
              <w:rPr>
                <w:sz w:val="20"/>
                <w:szCs w:val="20"/>
              </w:rPr>
            </w:pPr>
            <w:r>
              <w:rPr>
                <w:sz w:val="20"/>
                <w:szCs w:val="20"/>
              </w:rPr>
              <w:t>S</w:t>
            </w:r>
            <w:r w:rsidR="00ED4229">
              <w:rPr>
                <w:sz w:val="20"/>
                <w:szCs w:val="20"/>
              </w:rPr>
              <w:t>eparate sample cartridge collected concurrently with a primary 8-hour sample through an independent inlet probe</w:t>
            </w:r>
          </w:p>
        </w:tc>
        <w:tc>
          <w:tcPr>
            <w:tcW w:w="1136" w:type="pct"/>
          </w:tcPr>
          <w:p w14:paraId="437ABA73" w14:textId="77777777" w:rsidR="00ED4229" w:rsidRPr="00350FFF" w:rsidRDefault="00ED4229" w:rsidP="00ED4229">
            <w:pPr>
              <w:rPr>
                <w:sz w:val="20"/>
                <w:szCs w:val="20"/>
              </w:rPr>
            </w:pPr>
            <w:r>
              <w:rPr>
                <w:sz w:val="20"/>
                <w:szCs w:val="20"/>
              </w:rPr>
              <w:t>As submitted to the laboratory by field site(s)</w:t>
            </w:r>
          </w:p>
        </w:tc>
        <w:tc>
          <w:tcPr>
            <w:tcW w:w="1220" w:type="pct"/>
          </w:tcPr>
          <w:p w14:paraId="564F9376" w14:textId="5C05F8F5" w:rsidR="00ED4229" w:rsidRPr="00DC3ED4" w:rsidRDefault="00ED4229" w:rsidP="00ED4229">
            <w:pPr>
              <w:rPr>
                <w:sz w:val="20"/>
                <w:szCs w:val="20"/>
              </w:rPr>
            </w:pPr>
            <w:r>
              <w:rPr>
                <w:sz w:val="20"/>
                <w:szCs w:val="20"/>
              </w:rPr>
              <w:t>RPD</w:t>
            </w:r>
            <w:r w:rsidRPr="00DC3ED4">
              <w:rPr>
                <w:sz w:val="20"/>
                <w:szCs w:val="20"/>
              </w:rPr>
              <w:t xml:space="preserve"> ≤ </w:t>
            </w:r>
            <w:r>
              <w:rPr>
                <w:sz w:val="20"/>
                <w:szCs w:val="20"/>
              </w:rPr>
              <w:t>2</w:t>
            </w:r>
            <w:r w:rsidRPr="00DC3ED4">
              <w:rPr>
                <w:sz w:val="20"/>
                <w:szCs w:val="20"/>
              </w:rPr>
              <w:t>0% for compounds ≥ 0.5 µg/cartridge</w:t>
            </w:r>
          </w:p>
        </w:tc>
      </w:tr>
      <w:tr w:rsidR="00ED4229" w:rsidRPr="00DC3ED4" w14:paraId="7A12DD20" w14:textId="77777777" w:rsidTr="009B067F">
        <w:trPr>
          <w:jc w:val="center"/>
        </w:trPr>
        <w:tc>
          <w:tcPr>
            <w:tcW w:w="1056" w:type="pct"/>
          </w:tcPr>
          <w:p w14:paraId="2E038957" w14:textId="77777777" w:rsidR="00ED4229" w:rsidRDefault="00ED4229" w:rsidP="00ED4229">
            <w:pPr>
              <w:rPr>
                <w:sz w:val="20"/>
                <w:szCs w:val="20"/>
              </w:rPr>
            </w:pPr>
            <w:r>
              <w:rPr>
                <w:sz w:val="20"/>
                <w:szCs w:val="20"/>
              </w:rPr>
              <w:t>Target Analyte Identification</w:t>
            </w:r>
          </w:p>
        </w:tc>
        <w:tc>
          <w:tcPr>
            <w:tcW w:w="1588" w:type="pct"/>
          </w:tcPr>
          <w:p w14:paraId="58B8AB24" w14:textId="77777777" w:rsidR="00ED4229" w:rsidRDefault="00ED4229" w:rsidP="00ED4229">
            <w:pPr>
              <w:rPr>
                <w:sz w:val="20"/>
                <w:szCs w:val="20"/>
              </w:rPr>
            </w:pPr>
            <w:r>
              <w:rPr>
                <w:sz w:val="20"/>
                <w:szCs w:val="20"/>
              </w:rPr>
              <w:t>Evaluation of signal-to-noise (S/N) ratio and analyte retention time (RT)</w:t>
            </w:r>
          </w:p>
        </w:tc>
        <w:tc>
          <w:tcPr>
            <w:tcW w:w="1136" w:type="pct"/>
          </w:tcPr>
          <w:p w14:paraId="3F8A6A6E" w14:textId="77777777" w:rsidR="00ED4229" w:rsidRDefault="00ED4229" w:rsidP="00ED4229">
            <w:pPr>
              <w:rPr>
                <w:sz w:val="20"/>
                <w:szCs w:val="20"/>
              </w:rPr>
            </w:pPr>
            <w:r>
              <w:rPr>
                <w:sz w:val="20"/>
                <w:szCs w:val="20"/>
              </w:rPr>
              <w:t>All target analytes in all analyzed solutions</w:t>
            </w:r>
          </w:p>
        </w:tc>
        <w:tc>
          <w:tcPr>
            <w:tcW w:w="1220" w:type="pct"/>
          </w:tcPr>
          <w:p w14:paraId="3C21DC72" w14:textId="77777777" w:rsidR="00ED4229" w:rsidRPr="00DC3ED4" w:rsidRDefault="00ED4229" w:rsidP="00ED4229">
            <w:pPr>
              <w:rPr>
                <w:sz w:val="20"/>
                <w:szCs w:val="20"/>
              </w:rPr>
            </w:pPr>
            <w:r>
              <w:rPr>
                <w:sz w:val="20"/>
                <w:szCs w:val="20"/>
              </w:rPr>
              <w:t>For positive identification S/N ≥ 3:1 and RT within assigned window</w:t>
            </w:r>
          </w:p>
        </w:tc>
      </w:tr>
    </w:tbl>
    <w:p w14:paraId="5E958B7B" w14:textId="77777777" w:rsidR="004D5D13" w:rsidRDefault="004D5D13" w:rsidP="004D5D13">
      <w:pPr>
        <w:pStyle w:val="ListParagraph"/>
      </w:pPr>
    </w:p>
    <w:p w14:paraId="38CBFE87" w14:textId="77777777" w:rsidR="00B23E27" w:rsidRDefault="00B23E27">
      <w:pPr>
        <w:spacing w:after="160" w:line="259" w:lineRule="auto"/>
        <w:rPr>
          <w:b/>
        </w:rPr>
      </w:pPr>
      <w:r>
        <w:rPr>
          <w:b/>
        </w:rPr>
        <w:br w:type="page"/>
      </w:r>
    </w:p>
    <w:p w14:paraId="2A14E904" w14:textId="4932B163" w:rsidR="0043481C" w:rsidRPr="002337DE" w:rsidRDefault="0043481C" w:rsidP="0099275B">
      <w:pPr>
        <w:pStyle w:val="ListParagraph"/>
        <w:numPr>
          <w:ilvl w:val="0"/>
          <w:numId w:val="1"/>
        </w:numPr>
        <w:ind w:left="360"/>
        <w:rPr>
          <w:b/>
        </w:rPr>
      </w:pPr>
      <w:r w:rsidRPr="002337DE">
        <w:rPr>
          <w:b/>
        </w:rPr>
        <w:lastRenderedPageBreak/>
        <w:t>REFERENCES</w:t>
      </w:r>
      <w:r w:rsidR="004F24A3" w:rsidRPr="002337DE">
        <w:rPr>
          <w:b/>
        </w:rPr>
        <w:br/>
      </w:r>
    </w:p>
    <w:p w14:paraId="0CCA8F4F" w14:textId="77777777" w:rsidR="00CE58D3" w:rsidRPr="009119D6" w:rsidRDefault="00CE58D3" w:rsidP="0099275B">
      <w:pPr>
        <w:pStyle w:val="ListParagraph"/>
        <w:numPr>
          <w:ilvl w:val="1"/>
          <w:numId w:val="1"/>
        </w:numPr>
        <w:spacing w:after="120"/>
        <w:ind w:left="720"/>
        <w:contextualSpacing w:val="0"/>
        <w:rPr>
          <w:color w:val="0563C1" w:themeColor="hyperlink"/>
          <w:u w:val="single"/>
        </w:rPr>
      </w:pPr>
      <w:bookmarkStart w:id="5" w:name="_Hlk28901852"/>
      <w:r w:rsidRPr="009119D6">
        <w:t>U.S. EPA</w:t>
      </w:r>
      <w:r>
        <w:t>.</w:t>
      </w:r>
      <w:r w:rsidRPr="009119D6">
        <w:t xml:space="preserve"> </w:t>
      </w:r>
      <w:r>
        <w:t xml:space="preserve">Compendium Method </w:t>
      </w:r>
      <w:r w:rsidRPr="009119D6">
        <w:t xml:space="preserve">TO-11A, Determination of Formaldehyde in Ambient Air using Adsorbent </w:t>
      </w:r>
      <w:r w:rsidRPr="00215E06">
        <w:t xml:space="preserve">Cartridge followed by High Performance Liquid Chromatography (HPLC).  </w:t>
      </w:r>
      <w:r>
        <w:t xml:space="preserve">EPA/625/R-96/010b.  </w:t>
      </w:r>
      <w:r w:rsidRPr="00215E06">
        <w:t>Available at</w:t>
      </w:r>
      <w:r>
        <w:t xml:space="preserve"> (accessed December 2019):</w:t>
      </w:r>
      <w:r w:rsidRPr="00215E06">
        <w:t xml:space="preserve"> </w:t>
      </w:r>
      <w:hyperlink r:id="rId10" w:history="1">
        <w:r w:rsidRPr="00242962">
          <w:rPr>
            <w:rStyle w:val="Hyperlink"/>
          </w:rPr>
          <w:t>http://www.epa.gov/ttn/amtic/files/ambient/airtox/to-11ar.pdf</w:t>
        </w:r>
      </w:hyperlink>
    </w:p>
    <w:p w14:paraId="51E8900E" w14:textId="77777777" w:rsidR="00CE58D3" w:rsidRDefault="00CE58D3" w:rsidP="0099275B">
      <w:pPr>
        <w:pStyle w:val="ListParagraph"/>
        <w:numPr>
          <w:ilvl w:val="1"/>
          <w:numId w:val="1"/>
        </w:numPr>
        <w:spacing w:after="120"/>
        <w:ind w:left="720"/>
        <w:contextualSpacing w:val="0"/>
      </w:pPr>
      <w:r>
        <w:t xml:space="preserve">40 CFR Part 58 Appendix D. Available at (accessed December 2019): </w:t>
      </w:r>
      <w:hyperlink r:id="rId11" w:anchor="ap40.6.58.0000_0nbspnbspnbsp.d" w:history="1">
        <w:r w:rsidRPr="00094BD7">
          <w:rPr>
            <w:rStyle w:val="Hyperlink"/>
          </w:rPr>
          <w:t>https://ecfr.io/Title-40/pt40.6.58#ap40.6.58.0000_0nbspnbspnbsp.d</w:t>
        </w:r>
      </w:hyperlink>
    </w:p>
    <w:p w14:paraId="61EB586D" w14:textId="77777777" w:rsidR="00CE58D3" w:rsidRDefault="00CE58D3" w:rsidP="0099275B">
      <w:pPr>
        <w:pStyle w:val="ListParagraph"/>
        <w:numPr>
          <w:ilvl w:val="1"/>
          <w:numId w:val="1"/>
        </w:numPr>
        <w:spacing w:after="120"/>
        <w:ind w:left="720"/>
        <w:contextualSpacing w:val="0"/>
      </w:pPr>
      <w:r>
        <w:t>U.S. EPA. Additional Revisions to the Photochemical Assessment Monitoring Stations Compound Target List. October 2, 2017.  Available at (accessed December 2019):</w:t>
      </w:r>
      <w:r>
        <w:br/>
      </w:r>
      <w:hyperlink r:id="rId12" w:history="1">
        <w:r w:rsidRPr="00094BD7">
          <w:rPr>
            <w:rStyle w:val="Hyperlink"/>
            <w:rFonts w:ascii="TimesNewRomanPSMT" w:hAnsi="TimesNewRomanPSMT" w:cs="TimesNewRomanPSMT"/>
          </w:rPr>
          <w:t>https://www3.epa.gov/ttnamti1/files/ambient/pams/targetlist.pdf</w:t>
        </w:r>
      </w:hyperlink>
      <w:r>
        <w:t xml:space="preserve"> </w:t>
      </w:r>
    </w:p>
    <w:p w14:paraId="1CAC4AA8" w14:textId="77777777" w:rsidR="00CE58D3" w:rsidRDefault="00CE58D3" w:rsidP="0099275B">
      <w:pPr>
        <w:pStyle w:val="ListParagraph"/>
        <w:numPr>
          <w:ilvl w:val="1"/>
          <w:numId w:val="1"/>
        </w:numPr>
        <w:spacing w:after="120"/>
        <w:ind w:left="720"/>
        <w:contextualSpacing w:val="0"/>
      </w:pPr>
      <w:r>
        <w:t xml:space="preserve">40 CFR Part 58 update </w:t>
      </w:r>
      <w:r w:rsidRPr="003C43A8">
        <w:t>82 FR 40836</w:t>
      </w:r>
      <w:r>
        <w:t xml:space="preserve">.  Available at (accessed January 2020): </w:t>
      </w:r>
      <w:hyperlink r:id="rId13" w:history="1">
        <w:r>
          <w:rPr>
            <w:rStyle w:val="Hyperlink"/>
          </w:rPr>
          <w:t>https://www.federalregister.gov/documents/2017/08/28/2017-17271/clean-water-act-methods-update-rule-for-the-analysis-of-effluent</w:t>
        </w:r>
      </w:hyperlink>
    </w:p>
    <w:p w14:paraId="18B8C894" w14:textId="77777777" w:rsidR="00CE58D3" w:rsidRPr="00064A99" w:rsidRDefault="00CE58D3" w:rsidP="0099275B">
      <w:pPr>
        <w:pStyle w:val="ListParagraph"/>
        <w:numPr>
          <w:ilvl w:val="1"/>
          <w:numId w:val="1"/>
        </w:numPr>
        <w:spacing w:after="120"/>
        <w:ind w:left="720"/>
        <w:contextualSpacing w:val="0"/>
      </w:pPr>
      <w:r w:rsidRPr="00064A99">
        <w:t xml:space="preserve">Potter and Karst. </w:t>
      </w:r>
      <w:r w:rsidRPr="00064A99">
        <w:rPr>
          <w:i/>
          <w:iCs/>
        </w:rPr>
        <w:t>Anal. Chem.</w:t>
      </w:r>
      <w:r w:rsidRPr="00064A99">
        <w:t xml:space="preserve"> 1996, 68, 19, 3354-3358. Publication Date: October 1, 1996</w:t>
      </w:r>
    </w:p>
    <w:p w14:paraId="03F39C6D" w14:textId="77777777" w:rsidR="00CE58D3" w:rsidRDefault="00CE58D3" w:rsidP="0099275B">
      <w:pPr>
        <w:pStyle w:val="ListParagraph"/>
        <w:numPr>
          <w:ilvl w:val="1"/>
          <w:numId w:val="1"/>
        </w:numPr>
        <w:spacing w:after="120"/>
        <w:ind w:left="720"/>
        <w:contextualSpacing w:val="0"/>
      </w:pPr>
      <w:r>
        <w:t xml:space="preserve">Supelco </w:t>
      </w:r>
      <w:proofErr w:type="spellStart"/>
      <w:r>
        <w:t>LpDNPH</w:t>
      </w:r>
      <w:proofErr w:type="spellEnd"/>
      <w:r>
        <w:t xml:space="preserve"> S10, S10x, S10L Cartridges Product Specification Sheet T495028B, Sigma-Aldrich 1997. Available at: </w:t>
      </w:r>
      <w:hyperlink r:id="rId14" w:history="1">
        <w:r w:rsidRPr="00337B50">
          <w:rPr>
            <w:rStyle w:val="Hyperlink"/>
          </w:rPr>
          <w:t>https://www.sigmaaldrich.com/content/dam/sigma-aldrich/docs/Supelco/Product_Information_Sheet/4727.pdf</w:t>
        </w:r>
      </w:hyperlink>
      <w:r w:rsidRPr="00AA054F">
        <w:t xml:space="preserve"> </w:t>
      </w:r>
    </w:p>
    <w:p w14:paraId="33C4C017" w14:textId="77777777" w:rsidR="00CE58D3" w:rsidRDefault="00CE58D3" w:rsidP="0099275B">
      <w:pPr>
        <w:pStyle w:val="ListParagraph"/>
        <w:numPr>
          <w:ilvl w:val="1"/>
          <w:numId w:val="1"/>
        </w:numPr>
        <w:spacing w:after="120"/>
        <w:ind w:left="720"/>
        <w:contextualSpacing w:val="0"/>
      </w:pPr>
      <w:r>
        <w:t xml:space="preserve">Waters Sep-Pak DNPH-Silica Cartridge Care and Use Manual, WAT037506 Rev B, Waters Corporation, March 2009. </w:t>
      </w:r>
      <w:hyperlink r:id="rId15" w:history="1">
        <w:r w:rsidRPr="00337B50">
          <w:rPr>
            <w:rStyle w:val="Hyperlink"/>
          </w:rPr>
          <w:t>https://www.waters.com/webassets/cms/support/docs/wat037506.pdf</w:t>
        </w:r>
      </w:hyperlink>
    </w:p>
    <w:p w14:paraId="1E09F891" w14:textId="77777777" w:rsidR="00CE58D3" w:rsidRDefault="00CE58D3" w:rsidP="0099275B">
      <w:pPr>
        <w:pStyle w:val="ListParagraph"/>
        <w:numPr>
          <w:ilvl w:val="1"/>
          <w:numId w:val="1"/>
        </w:numPr>
        <w:spacing w:after="120"/>
        <w:ind w:left="720"/>
        <w:contextualSpacing w:val="0"/>
      </w:pPr>
      <w:r>
        <w:t xml:space="preserve">U.S. EPA. Technical Assistance Document for Sampling and Analysis of Ozone Precursors for the Photochemical Assessment Monitoring Stations Program, Revision 2, April 2019.  EPA-454/B-19-004.  Available at (accessed December 2019):  </w:t>
      </w:r>
      <w:hyperlink r:id="rId16" w:history="1">
        <w:r w:rsidRPr="00094BD7">
          <w:rPr>
            <w:rStyle w:val="Hyperlink"/>
          </w:rPr>
          <w:t>https://www.epa.gov/amtic/pams-technical-assistance-document-tad</w:t>
        </w:r>
      </w:hyperlink>
    </w:p>
    <w:p w14:paraId="7F918DB7" w14:textId="77777777" w:rsidR="00CE58D3" w:rsidRPr="004F24A3" w:rsidRDefault="00CE58D3" w:rsidP="0099275B">
      <w:pPr>
        <w:pStyle w:val="ListParagraph"/>
        <w:numPr>
          <w:ilvl w:val="1"/>
          <w:numId w:val="1"/>
        </w:numPr>
        <w:spacing w:after="120"/>
        <w:ind w:left="720"/>
        <w:contextualSpacing w:val="0"/>
      </w:pPr>
      <w:r w:rsidRPr="004F24A3">
        <w:t xml:space="preserve">U.S. EPA Method 8315A, Determination of Carbonyl Compounds </w:t>
      </w:r>
      <w:proofErr w:type="gramStart"/>
      <w:r w:rsidRPr="004F24A3">
        <w:t>By</w:t>
      </w:r>
      <w:proofErr w:type="gramEnd"/>
      <w:r w:rsidRPr="004F24A3">
        <w:t xml:space="preserve"> High Performance Liquid Chromatography (HPLC).</w:t>
      </w:r>
    </w:p>
    <w:p w14:paraId="0DF6AAC8" w14:textId="77777777" w:rsidR="00CE58D3" w:rsidRPr="007C4108" w:rsidRDefault="00CE58D3" w:rsidP="0099275B">
      <w:pPr>
        <w:pStyle w:val="ListParagraph"/>
        <w:numPr>
          <w:ilvl w:val="1"/>
          <w:numId w:val="1"/>
        </w:numPr>
        <w:spacing w:after="120"/>
        <w:ind w:left="720"/>
        <w:contextualSpacing w:val="0"/>
        <w:rPr>
          <w:color w:val="0563C1" w:themeColor="hyperlink"/>
          <w:u w:val="single"/>
        </w:rPr>
      </w:pPr>
      <w:r w:rsidRPr="007C4108">
        <w:t>ASTM D5197-16, Standard Test Method for Determination of Formaldehyde and Other Carbonyl Compounds in Air (Active Sampler Methodology), ASTM International, West Conshohocken, PA, 2016</w:t>
      </w:r>
      <w:r>
        <w:t xml:space="preserve">. Available at (accessed December 2019):  </w:t>
      </w:r>
      <w:hyperlink r:id="rId17" w:history="1">
        <w:r w:rsidRPr="00094BD7">
          <w:rPr>
            <w:rStyle w:val="Hyperlink"/>
          </w:rPr>
          <w:t>http://www.astm.org/cgi-bin/resolver.cgi?D5197</w:t>
        </w:r>
      </w:hyperlink>
      <w:r w:rsidRPr="007C4108">
        <w:t xml:space="preserve"> </w:t>
      </w:r>
    </w:p>
    <w:p w14:paraId="4B027387" w14:textId="77777777" w:rsidR="00CE58D3" w:rsidRDefault="00CE58D3" w:rsidP="0099275B">
      <w:pPr>
        <w:pStyle w:val="ListParagraph"/>
        <w:numPr>
          <w:ilvl w:val="1"/>
          <w:numId w:val="1"/>
        </w:numPr>
        <w:spacing w:after="120"/>
        <w:ind w:left="720"/>
        <w:contextualSpacing w:val="0"/>
      </w:pPr>
      <w:r w:rsidRPr="00846B6C">
        <w:t>ISO Guide 31:2015 Reference materials — Contents of certificates, labels and accompanying documentation. Geneva: International Organization for Standardization. 2015.</w:t>
      </w:r>
    </w:p>
    <w:bookmarkEnd w:id="5"/>
    <w:p w14:paraId="0F408F55" w14:textId="77777777" w:rsidR="0043481C" w:rsidRDefault="0043481C" w:rsidP="0043481C">
      <w:pPr>
        <w:pStyle w:val="ListParagraph"/>
      </w:pPr>
    </w:p>
    <w:p w14:paraId="3AC7599E" w14:textId="77777777" w:rsidR="00724E8F" w:rsidRDefault="00724E8F"/>
    <w:sectPr w:rsidR="00724E8F">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3B449" w14:textId="77777777" w:rsidR="00F12E03" w:rsidRDefault="00F12E03" w:rsidP="005E17C8">
      <w:r>
        <w:separator/>
      </w:r>
    </w:p>
  </w:endnote>
  <w:endnote w:type="continuationSeparator" w:id="0">
    <w:p w14:paraId="25A186F4" w14:textId="77777777" w:rsidR="00F12E03" w:rsidRDefault="00F12E03" w:rsidP="005E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4C07A" w14:textId="77777777" w:rsidR="00F12E03" w:rsidRDefault="00F12E03" w:rsidP="005E17C8">
      <w:r>
        <w:separator/>
      </w:r>
    </w:p>
  </w:footnote>
  <w:footnote w:type="continuationSeparator" w:id="0">
    <w:p w14:paraId="6E82CE4B" w14:textId="77777777" w:rsidR="00F12E03" w:rsidRDefault="00F12E03" w:rsidP="005E1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5EF5" w14:textId="36EBA976" w:rsidR="009305B2" w:rsidRDefault="009305B2" w:rsidP="00110664">
    <w:pPr>
      <w:pStyle w:val="Header"/>
      <w:rPr>
        <w:sz w:val="18"/>
        <w:szCs w:val="18"/>
      </w:rPr>
    </w:pPr>
    <w:r>
      <w:rPr>
        <w:sz w:val="18"/>
        <w:szCs w:val="18"/>
      </w:rPr>
      <w:t>Carbonyls Analysis</w:t>
    </w:r>
    <w:r w:rsidRPr="00A70247">
      <w:rPr>
        <w:sz w:val="18"/>
        <w:szCs w:val="18"/>
      </w:rPr>
      <w:t xml:space="preserve"> SOP</w:t>
    </w:r>
    <w:r w:rsidRPr="00A70247">
      <w:rPr>
        <w:sz w:val="18"/>
        <w:szCs w:val="18"/>
      </w:rPr>
      <w:tab/>
    </w:r>
    <w:r w:rsidRPr="00A70247">
      <w:rPr>
        <w:sz w:val="18"/>
        <w:szCs w:val="18"/>
      </w:rPr>
      <w:tab/>
      <w:t xml:space="preserve">Page </w:t>
    </w:r>
    <w:r w:rsidRPr="00A70247">
      <w:rPr>
        <w:bCs/>
        <w:sz w:val="18"/>
        <w:szCs w:val="18"/>
      </w:rPr>
      <w:fldChar w:fldCharType="begin"/>
    </w:r>
    <w:r w:rsidRPr="00A70247">
      <w:rPr>
        <w:bCs/>
        <w:sz w:val="18"/>
        <w:szCs w:val="18"/>
      </w:rPr>
      <w:instrText xml:space="preserve"> PAGE  \* Arabic  \* MERGEFORMAT </w:instrText>
    </w:r>
    <w:r w:rsidRPr="00A70247">
      <w:rPr>
        <w:bCs/>
        <w:sz w:val="18"/>
        <w:szCs w:val="18"/>
      </w:rPr>
      <w:fldChar w:fldCharType="separate"/>
    </w:r>
    <w:r>
      <w:rPr>
        <w:bCs/>
        <w:sz w:val="18"/>
        <w:szCs w:val="18"/>
      </w:rPr>
      <w:t>2</w:t>
    </w:r>
    <w:r w:rsidRPr="00A70247">
      <w:rPr>
        <w:bCs/>
        <w:sz w:val="18"/>
        <w:szCs w:val="18"/>
      </w:rPr>
      <w:fldChar w:fldCharType="end"/>
    </w:r>
    <w:r w:rsidRPr="00A70247">
      <w:rPr>
        <w:sz w:val="18"/>
        <w:szCs w:val="18"/>
      </w:rPr>
      <w:t xml:space="preserve"> of </w:t>
    </w:r>
    <w:r w:rsidRPr="00A70247">
      <w:rPr>
        <w:bCs/>
        <w:sz w:val="18"/>
        <w:szCs w:val="18"/>
      </w:rPr>
      <w:fldChar w:fldCharType="begin"/>
    </w:r>
    <w:r w:rsidRPr="00A70247">
      <w:rPr>
        <w:bCs/>
        <w:sz w:val="18"/>
        <w:szCs w:val="18"/>
      </w:rPr>
      <w:instrText xml:space="preserve"> NUMPAGES  \* Arabic  \* MERGEFORMAT </w:instrText>
    </w:r>
    <w:r w:rsidRPr="00A70247">
      <w:rPr>
        <w:bCs/>
        <w:sz w:val="18"/>
        <w:szCs w:val="18"/>
      </w:rPr>
      <w:fldChar w:fldCharType="separate"/>
    </w:r>
    <w:r>
      <w:rPr>
        <w:bCs/>
        <w:sz w:val="18"/>
        <w:szCs w:val="18"/>
      </w:rPr>
      <w:t>17</w:t>
    </w:r>
    <w:r w:rsidRPr="00A70247">
      <w:rPr>
        <w:bCs/>
        <w:sz w:val="18"/>
        <w:szCs w:val="18"/>
      </w:rPr>
      <w:fldChar w:fldCharType="end"/>
    </w:r>
    <w:r w:rsidRPr="00A70247">
      <w:rPr>
        <w:sz w:val="18"/>
        <w:szCs w:val="18"/>
      </w:rPr>
      <w:br/>
      <w:t>PAMS Required Site Network</w:t>
    </w:r>
    <w:r>
      <w:rPr>
        <w:sz w:val="18"/>
        <w:szCs w:val="18"/>
      </w:rPr>
      <w:tab/>
    </w:r>
    <w:r>
      <w:rPr>
        <w:sz w:val="18"/>
        <w:szCs w:val="18"/>
      </w:rPr>
      <w:tab/>
      <w:t>Version 1.0</w:t>
    </w:r>
  </w:p>
  <w:p w14:paraId="57E59DD1" w14:textId="5E156628" w:rsidR="009305B2" w:rsidRPr="00A70247" w:rsidRDefault="009305B2" w:rsidP="00110664">
    <w:pPr>
      <w:pStyle w:val="Header"/>
      <w:rPr>
        <w:sz w:val="18"/>
        <w:szCs w:val="18"/>
      </w:rPr>
    </w:pPr>
    <w:r>
      <w:rPr>
        <w:sz w:val="18"/>
        <w:szCs w:val="18"/>
      </w:rPr>
      <w:tab/>
    </w:r>
    <w:r>
      <w:rPr>
        <w:sz w:val="18"/>
        <w:szCs w:val="18"/>
      </w:rPr>
      <w:tab/>
      <w:t>January 2020</w:t>
    </w:r>
  </w:p>
  <w:p w14:paraId="343A8026" w14:textId="77777777" w:rsidR="009305B2" w:rsidRDefault="00930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7727"/>
    <w:multiLevelType w:val="hybridMultilevel"/>
    <w:tmpl w:val="FFD67168"/>
    <w:lvl w:ilvl="0" w:tplc="DCBA8D70">
      <w:start w:val="1"/>
      <w:numFmt w:val="decimal"/>
      <w:lvlText w:val="%1."/>
      <w:lvlJc w:val="left"/>
      <w:pPr>
        <w:tabs>
          <w:tab w:val="num" w:pos="2250"/>
        </w:tabs>
        <w:ind w:left="225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61115"/>
    <w:multiLevelType w:val="hybridMultilevel"/>
    <w:tmpl w:val="C5E8E3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164F2"/>
    <w:multiLevelType w:val="hybridMultilevel"/>
    <w:tmpl w:val="D862C840"/>
    <w:lvl w:ilvl="0" w:tplc="CEBE09B2">
      <w:start w:val="1"/>
      <w:numFmt w:val="upperLetter"/>
      <w:lvlText w:val="%1."/>
      <w:lvlJc w:val="left"/>
      <w:pPr>
        <w:ind w:left="720" w:hanging="360"/>
      </w:pPr>
      <w:rPr>
        <w:rFonts w:hint="default"/>
        <w:b/>
        <w:bCs/>
      </w:rPr>
    </w:lvl>
    <w:lvl w:ilvl="1" w:tplc="0409000F">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26BC8"/>
    <w:multiLevelType w:val="hybridMultilevel"/>
    <w:tmpl w:val="3A18FF66"/>
    <w:lvl w:ilvl="0" w:tplc="15C474CC">
      <w:start w:val="9"/>
      <w:numFmt w:val="upperLetter"/>
      <w:lvlText w:val="%1."/>
      <w:lvlJc w:val="left"/>
      <w:pPr>
        <w:ind w:left="1440" w:hanging="360"/>
      </w:pPr>
      <w:rPr>
        <w:rFonts w:hint="default"/>
      </w:rPr>
    </w:lvl>
    <w:lvl w:ilvl="1" w:tplc="84149208">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F32B4"/>
    <w:multiLevelType w:val="hybridMultilevel"/>
    <w:tmpl w:val="3558DF3C"/>
    <w:lvl w:ilvl="0" w:tplc="B2C81D78">
      <w:start w:val="1"/>
      <w:numFmt w:val="decimal"/>
      <w:pStyle w:val="Heading4"/>
      <w:lvlText w:val="%1."/>
      <w:lvlJc w:val="left"/>
      <w:pPr>
        <w:tabs>
          <w:tab w:val="num" w:pos="1710"/>
        </w:tabs>
        <w:ind w:left="1710" w:hanging="720"/>
      </w:pPr>
      <w:rPr>
        <w:rFonts w:hint="default"/>
        <w:b w:val="0"/>
        <w:sz w:val="22"/>
      </w:rPr>
    </w:lvl>
    <w:lvl w:ilvl="1" w:tplc="96E07588">
      <w:start w:val="1"/>
      <w:numFmt w:val="lowerLetter"/>
      <w:lvlText w:val="%2."/>
      <w:lvlJc w:val="left"/>
      <w:pPr>
        <w:tabs>
          <w:tab w:val="num" w:pos="2880"/>
        </w:tabs>
        <w:ind w:left="2880" w:hanging="720"/>
      </w:pPr>
      <w:rPr>
        <w:rFonts w:hint="default"/>
        <w:sz w:val="22"/>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741CE9"/>
    <w:multiLevelType w:val="hybridMultilevel"/>
    <w:tmpl w:val="913E61C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84912"/>
    <w:multiLevelType w:val="hybridMultilevel"/>
    <w:tmpl w:val="F3349A96"/>
    <w:lvl w:ilvl="0" w:tplc="0409000F">
      <w:start w:val="1"/>
      <w:numFmt w:val="decimal"/>
      <w:lvlText w:val="%1."/>
      <w:lvlJc w:val="left"/>
      <w:pPr>
        <w:ind w:left="1080" w:hanging="360"/>
      </w:pPr>
    </w:lvl>
    <w:lvl w:ilvl="1" w:tplc="A70E6714">
      <w:start w:val="5"/>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E186622"/>
    <w:multiLevelType w:val="hybridMultilevel"/>
    <w:tmpl w:val="CD0612E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6E041E"/>
    <w:multiLevelType w:val="hybridMultilevel"/>
    <w:tmpl w:val="A448E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095143"/>
    <w:multiLevelType w:val="hybridMultilevel"/>
    <w:tmpl w:val="94E49A2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5"/>
  </w:num>
  <w:num w:numId="5">
    <w:abstractNumId w:val="9"/>
  </w:num>
  <w:num w:numId="6">
    <w:abstractNumId w:val="3"/>
  </w:num>
  <w:num w:numId="7">
    <w:abstractNumId w:val="4"/>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7C8"/>
    <w:rsid w:val="000103E5"/>
    <w:rsid w:val="00026576"/>
    <w:rsid w:val="00067643"/>
    <w:rsid w:val="00076405"/>
    <w:rsid w:val="00080A6E"/>
    <w:rsid w:val="000814A5"/>
    <w:rsid w:val="00091A03"/>
    <w:rsid w:val="000A15E9"/>
    <w:rsid w:val="000C2A05"/>
    <w:rsid w:val="000D4675"/>
    <w:rsid w:val="00101D9A"/>
    <w:rsid w:val="00101FAD"/>
    <w:rsid w:val="00110664"/>
    <w:rsid w:val="00144EFA"/>
    <w:rsid w:val="001631D9"/>
    <w:rsid w:val="0016522D"/>
    <w:rsid w:val="00170228"/>
    <w:rsid w:val="001C371E"/>
    <w:rsid w:val="001C50E2"/>
    <w:rsid w:val="001D235E"/>
    <w:rsid w:val="001D5DCB"/>
    <w:rsid w:val="001E1D65"/>
    <w:rsid w:val="001E2BB4"/>
    <w:rsid w:val="001E371A"/>
    <w:rsid w:val="00217E38"/>
    <w:rsid w:val="00227910"/>
    <w:rsid w:val="002337DE"/>
    <w:rsid w:val="00240613"/>
    <w:rsid w:val="0027226C"/>
    <w:rsid w:val="00281D1E"/>
    <w:rsid w:val="00294783"/>
    <w:rsid w:val="002A38E4"/>
    <w:rsid w:val="002B2DF3"/>
    <w:rsid w:val="002D2D6A"/>
    <w:rsid w:val="002E2F67"/>
    <w:rsid w:val="002F0A29"/>
    <w:rsid w:val="002F49B2"/>
    <w:rsid w:val="003063CA"/>
    <w:rsid w:val="00314894"/>
    <w:rsid w:val="00332C9D"/>
    <w:rsid w:val="00342FC9"/>
    <w:rsid w:val="00357013"/>
    <w:rsid w:val="003809C1"/>
    <w:rsid w:val="00396F12"/>
    <w:rsid w:val="003C43A8"/>
    <w:rsid w:val="003C47EF"/>
    <w:rsid w:val="003C6846"/>
    <w:rsid w:val="003D66AA"/>
    <w:rsid w:val="00420C7F"/>
    <w:rsid w:val="0043481C"/>
    <w:rsid w:val="004474B5"/>
    <w:rsid w:val="0045034E"/>
    <w:rsid w:val="00466589"/>
    <w:rsid w:val="00477A41"/>
    <w:rsid w:val="00486BA6"/>
    <w:rsid w:val="00487F28"/>
    <w:rsid w:val="004C7D8A"/>
    <w:rsid w:val="004D5D13"/>
    <w:rsid w:val="004F24A3"/>
    <w:rsid w:val="004F2B8D"/>
    <w:rsid w:val="004F4DE7"/>
    <w:rsid w:val="004F7CC7"/>
    <w:rsid w:val="0051403C"/>
    <w:rsid w:val="00537F4B"/>
    <w:rsid w:val="00540D69"/>
    <w:rsid w:val="00543222"/>
    <w:rsid w:val="00561BC9"/>
    <w:rsid w:val="00561D1E"/>
    <w:rsid w:val="00582D56"/>
    <w:rsid w:val="005910F8"/>
    <w:rsid w:val="005949F8"/>
    <w:rsid w:val="00595BE4"/>
    <w:rsid w:val="005A1F12"/>
    <w:rsid w:val="005B6EA4"/>
    <w:rsid w:val="005E17C8"/>
    <w:rsid w:val="005F0F36"/>
    <w:rsid w:val="006178AF"/>
    <w:rsid w:val="00622521"/>
    <w:rsid w:val="00664142"/>
    <w:rsid w:val="00671A84"/>
    <w:rsid w:val="006A46A7"/>
    <w:rsid w:val="006B619F"/>
    <w:rsid w:val="006C3658"/>
    <w:rsid w:val="006D1BC7"/>
    <w:rsid w:val="006E1155"/>
    <w:rsid w:val="006E23B5"/>
    <w:rsid w:val="006F4704"/>
    <w:rsid w:val="00701FFD"/>
    <w:rsid w:val="00714ECD"/>
    <w:rsid w:val="00724E8F"/>
    <w:rsid w:val="00734FEC"/>
    <w:rsid w:val="00741A45"/>
    <w:rsid w:val="00745B36"/>
    <w:rsid w:val="0074630C"/>
    <w:rsid w:val="007640CD"/>
    <w:rsid w:val="00776D98"/>
    <w:rsid w:val="00790B88"/>
    <w:rsid w:val="007B0EF7"/>
    <w:rsid w:val="007C10D1"/>
    <w:rsid w:val="007C24C1"/>
    <w:rsid w:val="007D3477"/>
    <w:rsid w:val="007F4FDB"/>
    <w:rsid w:val="00820796"/>
    <w:rsid w:val="00824AF5"/>
    <w:rsid w:val="008250F8"/>
    <w:rsid w:val="008613ED"/>
    <w:rsid w:val="00864E47"/>
    <w:rsid w:val="008B61B0"/>
    <w:rsid w:val="008D29D5"/>
    <w:rsid w:val="008D3757"/>
    <w:rsid w:val="008D58C2"/>
    <w:rsid w:val="008E369B"/>
    <w:rsid w:val="008F7952"/>
    <w:rsid w:val="009031A3"/>
    <w:rsid w:val="00911124"/>
    <w:rsid w:val="009305B2"/>
    <w:rsid w:val="009755E8"/>
    <w:rsid w:val="0099275B"/>
    <w:rsid w:val="00992DD2"/>
    <w:rsid w:val="00995D9B"/>
    <w:rsid w:val="009B067F"/>
    <w:rsid w:val="009E0FF0"/>
    <w:rsid w:val="00A00923"/>
    <w:rsid w:val="00A16B41"/>
    <w:rsid w:val="00A27962"/>
    <w:rsid w:val="00A4552D"/>
    <w:rsid w:val="00A46673"/>
    <w:rsid w:val="00A72728"/>
    <w:rsid w:val="00A74CEB"/>
    <w:rsid w:val="00A85240"/>
    <w:rsid w:val="00AA6A27"/>
    <w:rsid w:val="00AB354D"/>
    <w:rsid w:val="00AF38FF"/>
    <w:rsid w:val="00AF6FB9"/>
    <w:rsid w:val="00B01A6A"/>
    <w:rsid w:val="00B15057"/>
    <w:rsid w:val="00B20064"/>
    <w:rsid w:val="00B23E27"/>
    <w:rsid w:val="00B3353A"/>
    <w:rsid w:val="00B46FD1"/>
    <w:rsid w:val="00B500B3"/>
    <w:rsid w:val="00B57771"/>
    <w:rsid w:val="00B666E7"/>
    <w:rsid w:val="00B7325B"/>
    <w:rsid w:val="00B736F7"/>
    <w:rsid w:val="00B77558"/>
    <w:rsid w:val="00B87896"/>
    <w:rsid w:val="00B91BD0"/>
    <w:rsid w:val="00BA1FA5"/>
    <w:rsid w:val="00BB71EC"/>
    <w:rsid w:val="00BC1038"/>
    <w:rsid w:val="00BC3250"/>
    <w:rsid w:val="00BD1840"/>
    <w:rsid w:val="00C13B74"/>
    <w:rsid w:val="00C168E9"/>
    <w:rsid w:val="00C6177F"/>
    <w:rsid w:val="00C61837"/>
    <w:rsid w:val="00C76FF4"/>
    <w:rsid w:val="00CE58D3"/>
    <w:rsid w:val="00CF4748"/>
    <w:rsid w:val="00CF7A21"/>
    <w:rsid w:val="00D040AD"/>
    <w:rsid w:val="00D274C3"/>
    <w:rsid w:val="00D61376"/>
    <w:rsid w:val="00D632EE"/>
    <w:rsid w:val="00D84A0F"/>
    <w:rsid w:val="00DB330F"/>
    <w:rsid w:val="00DC481A"/>
    <w:rsid w:val="00DE6D51"/>
    <w:rsid w:val="00E45687"/>
    <w:rsid w:val="00E51992"/>
    <w:rsid w:val="00E565A1"/>
    <w:rsid w:val="00E7013A"/>
    <w:rsid w:val="00E73649"/>
    <w:rsid w:val="00E8776B"/>
    <w:rsid w:val="00EC062A"/>
    <w:rsid w:val="00ED4229"/>
    <w:rsid w:val="00ED71FE"/>
    <w:rsid w:val="00EF4E02"/>
    <w:rsid w:val="00F107E9"/>
    <w:rsid w:val="00F11476"/>
    <w:rsid w:val="00F12E03"/>
    <w:rsid w:val="00F445AF"/>
    <w:rsid w:val="00F47A6C"/>
    <w:rsid w:val="00F61EC5"/>
    <w:rsid w:val="00F65847"/>
    <w:rsid w:val="00F81072"/>
    <w:rsid w:val="00F83C84"/>
    <w:rsid w:val="00FC68A2"/>
    <w:rsid w:val="00FF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E00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7C8"/>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8D3757"/>
    <w:pPr>
      <w:numPr>
        <w:numId w:val="7"/>
      </w:numPr>
      <w:tabs>
        <w:tab w:val="clear" w:pos="1710"/>
      </w:tabs>
      <w:spacing w:before="180"/>
      <w:ind w:left="1260" w:hanging="360"/>
      <w:outlineLvl w:val="3"/>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7C8"/>
    <w:pPr>
      <w:ind w:left="720"/>
      <w:contextualSpacing/>
    </w:pPr>
  </w:style>
  <w:style w:type="paragraph" w:styleId="Header">
    <w:name w:val="header"/>
    <w:basedOn w:val="Normal"/>
    <w:link w:val="HeaderChar"/>
    <w:uiPriority w:val="99"/>
    <w:unhideWhenUsed/>
    <w:rsid w:val="005E17C8"/>
    <w:pPr>
      <w:tabs>
        <w:tab w:val="center" w:pos="4680"/>
        <w:tab w:val="right" w:pos="9360"/>
      </w:tabs>
    </w:pPr>
  </w:style>
  <w:style w:type="character" w:customStyle="1" w:styleId="HeaderChar">
    <w:name w:val="Header Char"/>
    <w:basedOn w:val="DefaultParagraphFont"/>
    <w:link w:val="Header"/>
    <w:uiPriority w:val="99"/>
    <w:rsid w:val="005E17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17C8"/>
    <w:pPr>
      <w:tabs>
        <w:tab w:val="center" w:pos="4680"/>
        <w:tab w:val="right" w:pos="9360"/>
      </w:tabs>
    </w:pPr>
  </w:style>
  <w:style w:type="character" w:customStyle="1" w:styleId="FooterChar">
    <w:name w:val="Footer Char"/>
    <w:basedOn w:val="DefaultParagraphFont"/>
    <w:link w:val="Footer"/>
    <w:uiPriority w:val="99"/>
    <w:rsid w:val="005E17C8"/>
    <w:rPr>
      <w:rFonts w:ascii="Times New Roman" w:eastAsia="Times New Roman" w:hAnsi="Times New Roman" w:cs="Times New Roman"/>
      <w:sz w:val="24"/>
      <w:szCs w:val="24"/>
    </w:rPr>
  </w:style>
  <w:style w:type="character" w:styleId="Hyperlink">
    <w:name w:val="Hyperlink"/>
    <w:basedOn w:val="DefaultParagraphFont"/>
    <w:rsid w:val="004F24A3"/>
    <w:rPr>
      <w:color w:val="0563C1" w:themeColor="hyperlink"/>
      <w:u w:val="single"/>
    </w:rPr>
  </w:style>
  <w:style w:type="character" w:customStyle="1" w:styleId="Heading4Char">
    <w:name w:val="Heading 4 Char"/>
    <w:basedOn w:val="DefaultParagraphFont"/>
    <w:link w:val="Heading4"/>
    <w:rsid w:val="008D3757"/>
    <w:rPr>
      <w:rFonts w:ascii="Times New Roman" w:eastAsia="Times New Roman" w:hAnsi="Times New Roman" w:cs="Times New Roman"/>
      <w:sz w:val="24"/>
    </w:rPr>
  </w:style>
  <w:style w:type="paragraph" w:styleId="BodyTextIndent3">
    <w:name w:val="Body Text Indent 3"/>
    <w:basedOn w:val="Normal"/>
    <w:link w:val="BodyTextIndent3Char"/>
    <w:rsid w:val="001E371A"/>
    <w:pPr>
      <w:widowControl w:val="0"/>
      <w:ind w:left="1440" w:hanging="720"/>
    </w:pPr>
    <w:rPr>
      <w:szCs w:val="20"/>
    </w:rPr>
  </w:style>
  <w:style w:type="character" w:customStyle="1" w:styleId="BodyTextIndent3Char">
    <w:name w:val="Body Text Indent 3 Char"/>
    <w:basedOn w:val="DefaultParagraphFont"/>
    <w:link w:val="BodyTextIndent3"/>
    <w:rsid w:val="001E371A"/>
    <w:rPr>
      <w:rFonts w:ascii="Times New Roman" w:eastAsia="Times New Roman" w:hAnsi="Times New Roman" w:cs="Times New Roman"/>
      <w:sz w:val="24"/>
      <w:szCs w:val="20"/>
    </w:rPr>
  </w:style>
  <w:style w:type="table" w:styleId="TableGrid">
    <w:name w:val="Table Grid"/>
    <w:basedOn w:val="TableNormal"/>
    <w:rsid w:val="001E37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20C7F"/>
    <w:pPr>
      <w:spacing w:after="120"/>
    </w:pPr>
  </w:style>
  <w:style w:type="character" w:customStyle="1" w:styleId="BodyTextChar">
    <w:name w:val="Body Text Char"/>
    <w:basedOn w:val="DefaultParagraphFont"/>
    <w:link w:val="BodyText"/>
    <w:uiPriority w:val="99"/>
    <w:rsid w:val="00420C7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64142"/>
    <w:rPr>
      <w:sz w:val="16"/>
      <w:szCs w:val="16"/>
    </w:rPr>
  </w:style>
  <w:style w:type="paragraph" w:styleId="CommentText">
    <w:name w:val="annotation text"/>
    <w:basedOn w:val="Normal"/>
    <w:link w:val="CommentTextChar"/>
    <w:uiPriority w:val="99"/>
    <w:semiHidden/>
    <w:unhideWhenUsed/>
    <w:rsid w:val="00664142"/>
    <w:rPr>
      <w:sz w:val="20"/>
      <w:szCs w:val="20"/>
    </w:rPr>
  </w:style>
  <w:style w:type="character" w:customStyle="1" w:styleId="CommentTextChar">
    <w:name w:val="Comment Text Char"/>
    <w:basedOn w:val="DefaultParagraphFont"/>
    <w:link w:val="CommentText"/>
    <w:uiPriority w:val="99"/>
    <w:semiHidden/>
    <w:rsid w:val="006641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4142"/>
    <w:rPr>
      <w:b/>
      <w:bCs/>
    </w:rPr>
  </w:style>
  <w:style w:type="character" w:customStyle="1" w:styleId="CommentSubjectChar">
    <w:name w:val="Comment Subject Char"/>
    <w:basedOn w:val="CommentTextChar"/>
    <w:link w:val="CommentSubject"/>
    <w:uiPriority w:val="99"/>
    <w:semiHidden/>
    <w:rsid w:val="006641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41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142"/>
    <w:rPr>
      <w:rFonts w:ascii="Segoe UI" w:eastAsia="Times New Roman" w:hAnsi="Segoe UI" w:cs="Segoe UI"/>
      <w:sz w:val="18"/>
      <w:szCs w:val="18"/>
    </w:rPr>
  </w:style>
  <w:style w:type="paragraph" w:styleId="Revision">
    <w:name w:val="Revision"/>
    <w:hidden/>
    <w:uiPriority w:val="99"/>
    <w:semiHidden/>
    <w:rsid w:val="001E2BB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amtic" TargetMode="External"/><Relationship Id="rId13" Type="http://schemas.openxmlformats.org/officeDocument/2006/relationships/hyperlink" Target="https://www.federalregister.gov/documents/2017/08/28/2017-17271/clean-water-act-methods-update-rule-for-the-analysis-of-effluen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epa.gov/ttnamti1/files/ambient/pams/targetlist.pdf" TargetMode="External"/><Relationship Id="rId17" Type="http://schemas.openxmlformats.org/officeDocument/2006/relationships/hyperlink" Target="http://www.astm.org/cgi-bin/resolver.cgi?D5197" TargetMode="External"/><Relationship Id="rId2" Type="http://schemas.openxmlformats.org/officeDocument/2006/relationships/numbering" Target="numbering.xml"/><Relationship Id="rId16" Type="http://schemas.openxmlformats.org/officeDocument/2006/relationships/hyperlink" Target="https://www.epa.gov/amtic/pams-technical-assistance-document-t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fr.io/Title-40/pt40.6.58" TargetMode="External"/><Relationship Id="rId5" Type="http://schemas.openxmlformats.org/officeDocument/2006/relationships/webSettings" Target="webSettings.xml"/><Relationship Id="rId15" Type="http://schemas.openxmlformats.org/officeDocument/2006/relationships/hyperlink" Target="https://www.waters.com/webassets/cms/support/docs/wat037506.pdf" TargetMode="External"/><Relationship Id="rId10" Type="http://schemas.openxmlformats.org/officeDocument/2006/relationships/hyperlink" Target="http://www.epa.gov/ttn/amtic/files/ambient/airtox/to-11ar.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igmaaldrich.com/content/dam/sigma-aldrich/docs/Supelco/Product_Information_Sheet/47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4391-4D6E-4BDC-B6DE-7642BA18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9324</Words>
  <Characters>52403</Characters>
  <Application>Microsoft Office Word</Application>
  <DocSecurity>0</DocSecurity>
  <Lines>1416</Lines>
  <Paragraphs>670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2020-01-04T05:26:00Z</dcterms:created>
  <dcterms:modified xsi:type="dcterms:W3CDTF">2020-10-22T16:16:00Z</dcterms:modified>
</cp:coreProperties>
</file>