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EE9D6" w14:textId="77777777" w:rsidR="0058319F" w:rsidRDefault="0058319F" w:rsidP="00B04DD1">
      <w:pPr>
        <w:jc w:val="center"/>
      </w:pPr>
    </w:p>
    <w:p w14:paraId="72FD7E25" w14:textId="77777777" w:rsidR="0058319F" w:rsidRDefault="0058319F" w:rsidP="00B04DD1">
      <w:pPr>
        <w:jc w:val="center"/>
      </w:pPr>
    </w:p>
    <w:p w14:paraId="01DD559E" w14:textId="6A4AB623" w:rsidR="0058319F" w:rsidRDefault="00B04DD1" w:rsidP="00B04DD1">
      <w:pPr>
        <w:jc w:val="center"/>
      </w:pPr>
      <w:r>
        <w:t xml:space="preserve">Standard Operating Procedure for the Analysis of True Nitrogen Dioxide </w:t>
      </w:r>
      <w:r w:rsidR="00D01469">
        <w:t>(NO</w:t>
      </w:r>
      <w:r w:rsidR="00D01469" w:rsidRPr="00D26D90">
        <w:rPr>
          <w:vertAlign w:val="subscript"/>
        </w:rPr>
        <w:t>2</w:t>
      </w:r>
      <w:r w:rsidR="00D01469">
        <w:t xml:space="preserve">) </w:t>
      </w:r>
      <w:r>
        <w:t>in Ambient Air for the Photochemical Assessment Monitoring Station</w:t>
      </w:r>
      <w:r w:rsidR="002B67AE">
        <w:t>s</w:t>
      </w:r>
      <w:r>
        <w:t xml:space="preserve"> (PAMS) Network </w:t>
      </w:r>
    </w:p>
    <w:p w14:paraId="232A51C3" w14:textId="77777777" w:rsidR="00B04DD1" w:rsidRDefault="00B04DD1" w:rsidP="00B04DD1">
      <w:pPr>
        <w:jc w:val="center"/>
      </w:pPr>
    </w:p>
    <w:p w14:paraId="298F64A2" w14:textId="397D4190" w:rsidR="0058319F" w:rsidRDefault="0058319F" w:rsidP="00B04DD1">
      <w:pPr>
        <w:jc w:val="center"/>
      </w:pPr>
      <w:r>
        <w:t xml:space="preserve">EPA </w:t>
      </w:r>
      <w:r w:rsidR="00B04DD1">
        <w:t>Document Number</w:t>
      </w:r>
      <w:r w:rsidR="00913D8A">
        <w:t>:  TBD</w:t>
      </w:r>
    </w:p>
    <w:p w14:paraId="7D146D92" w14:textId="77777777" w:rsidR="0058319F" w:rsidRDefault="0058319F" w:rsidP="00B04DD1">
      <w:pPr>
        <w:jc w:val="center"/>
      </w:pPr>
    </w:p>
    <w:p w14:paraId="13BC6843" w14:textId="55286094" w:rsidR="0058319F" w:rsidRDefault="00B04DD1" w:rsidP="00B04DD1">
      <w:pPr>
        <w:jc w:val="center"/>
        <w:sectPr w:rsidR="0058319F">
          <w:pgSz w:w="12240" w:h="15840"/>
          <w:pgMar w:top="1440" w:right="1800" w:bottom="1440" w:left="1800" w:header="720" w:footer="720" w:gutter="0"/>
          <w:cols w:space="720"/>
          <w:docGrid w:linePitch="360"/>
        </w:sectPr>
      </w:pPr>
      <w:r>
        <w:t xml:space="preserve">Effective Date:  </w:t>
      </w:r>
      <w:r w:rsidRPr="00913D8A">
        <w:t>[DRAFT</w:t>
      </w:r>
      <w:r w:rsidR="00913D8A">
        <w:t xml:space="preserve"> for PAMS Workgroup Comment</w:t>
      </w:r>
      <w:r w:rsidR="00D77089">
        <w:t xml:space="preserve"> – July 2020</w:t>
      </w:r>
      <w:r w:rsidR="00D01469">
        <w:t>]</w:t>
      </w:r>
    </w:p>
    <w:p w14:paraId="0784DD4F" w14:textId="55750D9C" w:rsidR="002212A6" w:rsidRDefault="00FF3A91" w:rsidP="00D26D90">
      <w:pPr>
        <w:ind w:hanging="360"/>
      </w:pPr>
      <w:r w:rsidRPr="00D26D90">
        <w:rPr>
          <w:b/>
        </w:rPr>
        <w:lastRenderedPageBreak/>
        <w:t>A.</w:t>
      </w:r>
      <w:r w:rsidR="004C1FE9" w:rsidRPr="00D26D90">
        <w:rPr>
          <w:b/>
        </w:rPr>
        <w:tab/>
        <w:t>Scope and Applicability</w:t>
      </w:r>
    </w:p>
    <w:p w14:paraId="4DBFB15B" w14:textId="1D7D62C6" w:rsidR="00A72A52" w:rsidRDefault="00314D99" w:rsidP="002212A6">
      <w:r>
        <w:t>The</w:t>
      </w:r>
      <w:r w:rsidR="002212A6">
        <w:t xml:space="preserve"> purpose of this standard operating procedure (SOP) is to describe the </w:t>
      </w:r>
      <w:r w:rsidR="00D01469">
        <w:t xml:space="preserve">measurement </w:t>
      </w:r>
      <w:r w:rsidR="00A81023">
        <w:t>of “true” nitrogen dioxide (NO</w:t>
      </w:r>
      <w:r w:rsidR="00A81023" w:rsidRPr="00A81023">
        <w:rPr>
          <w:vertAlign w:val="subscript"/>
        </w:rPr>
        <w:t>2</w:t>
      </w:r>
      <w:r w:rsidR="00A81023" w:rsidRPr="00A84A0E">
        <w:t xml:space="preserve">) </w:t>
      </w:r>
      <w:r w:rsidR="002212A6" w:rsidRPr="00A84A0E">
        <w:t xml:space="preserve">by </w:t>
      </w:r>
      <w:r w:rsidR="00CB4F4C" w:rsidRPr="00A84A0E">
        <w:t xml:space="preserve">chemiluminescent absorbance </w:t>
      </w:r>
      <w:r w:rsidR="008A5630" w:rsidRPr="000E1CFF">
        <w:t>with photolytic conversion of NO</w:t>
      </w:r>
      <w:r w:rsidR="008A5630" w:rsidRPr="000E1CFF">
        <w:rPr>
          <w:vertAlign w:val="subscript"/>
        </w:rPr>
        <w:t>2</w:t>
      </w:r>
      <w:r w:rsidR="008A5630" w:rsidRPr="000E1CFF">
        <w:t xml:space="preserve"> to nitric oxide (NO)</w:t>
      </w:r>
      <w:r w:rsidR="008A5630" w:rsidRPr="00A84A0E">
        <w:t xml:space="preserve"> </w:t>
      </w:r>
      <w:r w:rsidR="00A81023" w:rsidRPr="00A84A0E">
        <w:t>or cavity attenuated phase shift (CAPS) spectroscopy instruments</w:t>
      </w:r>
      <w:r w:rsidR="00890604" w:rsidRPr="00A84A0E">
        <w:t xml:space="preserve"> for the </w:t>
      </w:r>
      <w:r w:rsidR="00487855">
        <w:t>Environmental Protection Agency (</w:t>
      </w:r>
      <w:r w:rsidR="00890604" w:rsidRPr="00A84A0E">
        <w:t>EPA</w:t>
      </w:r>
      <w:r w:rsidR="00487855">
        <w:t>)</w:t>
      </w:r>
      <w:r w:rsidR="00890604" w:rsidRPr="00A84A0E">
        <w:t xml:space="preserve"> Photochemical</w:t>
      </w:r>
      <w:r w:rsidR="00890604">
        <w:t xml:space="preserve"> Assessment Monitoring Stations (PAMS) network</w:t>
      </w:r>
      <w:r w:rsidR="002212A6">
        <w:t xml:space="preserve">. </w:t>
      </w:r>
      <w:r w:rsidR="00890604">
        <w:t xml:space="preserve">This SOP describes the </w:t>
      </w:r>
      <w:r w:rsidR="0020729D">
        <w:t xml:space="preserve">real-time, </w:t>
      </w:r>
      <w:r w:rsidR="00A81023">
        <w:t xml:space="preserve">continuous </w:t>
      </w:r>
      <w:r w:rsidR="00890604">
        <w:t xml:space="preserve">measurement of </w:t>
      </w:r>
      <w:r w:rsidR="00A81023">
        <w:t>“true NO</w:t>
      </w:r>
      <w:r w:rsidR="00A81023" w:rsidRPr="00D26D90">
        <w:rPr>
          <w:vertAlign w:val="subscript"/>
        </w:rPr>
        <w:t>2</w:t>
      </w:r>
      <w:r w:rsidR="008A5630">
        <w:t>”</w:t>
      </w:r>
      <w:r w:rsidR="00A81023">
        <w:t xml:space="preserve"> </w:t>
      </w:r>
      <w:r w:rsidR="007D4A23">
        <w:t>by sampling</w:t>
      </w:r>
      <w:r w:rsidR="00A81023">
        <w:t xml:space="preserve"> ambient air</w:t>
      </w:r>
      <w:r w:rsidR="009C2D10">
        <w:t xml:space="preserve"> with instruments ap</w:t>
      </w:r>
      <w:r w:rsidR="00052527">
        <w:t>proved as EPA Federal Equivalen</w:t>
      </w:r>
      <w:r w:rsidR="00D9398F">
        <w:t>t</w:t>
      </w:r>
      <w:r w:rsidR="00052527">
        <w:t xml:space="preserve"> </w:t>
      </w:r>
      <w:r w:rsidR="009C2D10">
        <w:t>Methods</w:t>
      </w:r>
      <w:r w:rsidR="00052527">
        <w:t xml:space="preserve"> </w:t>
      </w:r>
      <w:r w:rsidR="008D2424">
        <w:t xml:space="preserve">(FEMs) </w:t>
      </w:r>
      <w:r w:rsidR="00052527">
        <w:t>EQNA-0514-212 (Teledyne API T500U)</w:t>
      </w:r>
      <w:r w:rsidR="00B676A6">
        <w:t xml:space="preserve"> </w:t>
      </w:r>
      <w:r w:rsidR="00052527">
        <w:t>and</w:t>
      </w:r>
      <w:r>
        <w:t xml:space="preserve"> EQNA-0512-200 (Teledyne API T20</w:t>
      </w:r>
      <w:r w:rsidR="00052527">
        <w:t>0UP)</w:t>
      </w:r>
      <w:r w:rsidR="0092206F">
        <w:t xml:space="preserve">. </w:t>
      </w:r>
      <w:r w:rsidR="00A72A52" w:rsidRPr="001259AA">
        <w:t xml:space="preserve">Procedures for the setup, calibration, </w:t>
      </w:r>
      <w:r w:rsidR="00D77089">
        <w:t xml:space="preserve">and </w:t>
      </w:r>
      <w:r w:rsidR="00A72A52" w:rsidRPr="001259AA">
        <w:t>operatio</w:t>
      </w:r>
      <w:r w:rsidR="00D77089">
        <w:t>n</w:t>
      </w:r>
      <w:r w:rsidR="00A72A52" w:rsidRPr="001259AA">
        <w:t xml:space="preserve"> </w:t>
      </w:r>
      <w:r w:rsidR="00D01469">
        <w:t>of the NO</w:t>
      </w:r>
      <w:r w:rsidR="00D01469" w:rsidRPr="00D26D90">
        <w:rPr>
          <w:vertAlign w:val="subscript"/>
        </w:rPr>
        <w:t>2</w:t>
      </w:r>
      <w:r w:rsidR="00D01469">
        <w:t xml:space="preserve"> analyzer </w:t>
      </w:r>
      <w:r w:rsidR="00A72A52" w:rsidRPr="001259AA">
        <w:t xml:space="preserve">are described herein. This SOP is intended to provide instruction for properly trained instrument operators.  </w:t>
      </w:r>
    </w:p>
    <w:p w14:paraId="62C728E0" w14:textId="3E15A230" w:rsidR="00D9398F" w:rsidRDefault="00A72A52" w:rsidP="00D26D90">
      <w:r w:rsidRPr="001259AA">
        <w:t xml:space="preserve">Monitoring requirements, training requirements, </w:t>
      </w:r>
      <w:r w:rsidR="00EE6E4A">
        <w:t xml:space="preserve">operation of specific </w:t>
      </w:r>
      <w:r w:rsidR="00D9398F">
        <w:t xml:space="preserve">models of </w:t>
      </w:r>
      <w:r w:rsidR="00EE6E4A">
        <w:t>dilution calibrators</w:t>
      </w:r>
      <w:r w:rsidR="00D9398F">
        <w:t xml:space="preserve"> and gas generation/purification equipment</w:t>
      </w:r>
      <w:r w:rsidRPr="001259AA">
        <w:t xml:space="preserve">, and </w:t>
      </w:r>
      <w:r w:rsidR="00D01469">
        <w:t xml:space="preserve">handling of data through data acquisition systems (DAS)/dataloggers, </w:t>
      </w:r>
      <w:r w:rsidRPr="001259AA">
        <w:t xml:space="preserve">reporting </w:t>
      </w:r>
      <w:r w:rsidR="00D9398F">
        <w:t xml:space="preserve">of measurement data </w:t>
      </w:r>
      <w:r w:rsidRPr="001259AA">
        <w:t xml:space="preserve">to </w:t>
      </w:r>
      <w:r w:rsidR="00D9398F">
        <w:t>EPA’s Air Quality System (</w:t>
      </w:r>
      <w:r w:rsidRPr="001259AA">
        <w:t>AQS</w:t>
      </w:r>
      <w:r w:rsidR="00D9398F">
        <w:t>)</w:t>
      </w:r>
      <w:r w:rsidR="00F249E6">
        <w:t>, and independent assessments</w:t>
      </w:r>
      <w:r w:rsidRPr="001259AA">
        <w:t xml:space="preserve"> are outside the scope of this SOP</w:t>
      </w:r>
      <w:r w:rsidR="00D9398F">
        <w:t xml:space="preserve"> and can be fo</w:t>
      </w:r>
      <w:r w:rsidR="00D9398F" w:rsidRPr="004A2821">
        <w:t>und elsewhere</w:t>
      </w:r>
      <w:r w:rsidRPr="004A2821">
        <w:t>.</w:t>
      </w:r>
      <w:r w:rsidR="00A05EBF" w:rsidRPr="00F60D38">
        <w:rPr>
          <w:vertAlign w:val="superscript"/>
        </w:rPr>
        <w:t>1,2</w:t>
      </w:r>
      <w:r w:rsidRPr="001906D9">
        <w:t xml:space="preserve"> This SOP </w:t>
      </w:r>
      <w:r w:rsidRPr="007427C0">
        <w:t>does not describe or address indirect measurement of NO</w:t>
      </w:r>
      <w:r w:rsidRPr="007427C0">
        <w:rPr>
          <w:vertAlign w:val="subscript"/>
        </w:rPr>
        <w:t>2</w:t>
      </w:r>
      <w:r w:rsidRPr="007427C0">
        <w:t xml:space="preserve"> with molyb</w:t>
      </w:r>
      <w:r w:rsidRPr="000E1CFF">
        <w:t>denum conversion chemiluminescent detection instruments, wh</w:t>
      </w:r>
      <w:r w:rsidR="00942D72">
        <w:t>ose measurements of NO</w:t>
      </w:r>
      <w:r w:rsidR="00942D72" w:rsidRPr="00D26D90">
        <w:rPr>
          <w:vertAlign w:val="subscript"/>
        </w:rPr>
        <w:t>2</w:t>
      </w:r>
      <w:r w:rsidRPr="000E1CFF">
        <w:t xml:space="preserve"> can be </w:t>
      </w:r>
      <w:r w:rsidR="00942D72">
        <w:t xml:space="preserve">subject to </w:t>
      </w:r>
      <w:r w:rsidRPr="000E1CFF">
        <w:t xml:space="preserve">positive </w:t>
      </w:r>
      <w:r w:rsidR="00942D72">
        <w:t>bias when sample</w:t>
      </w:r>
      <w:r w:rsidR="00E47033">
        <w:t>d</w:t>
      </w:r>
      <w:r w:rsidR="00942D72">
        <w:t xml:space="preserve"> air masses contain additional reactive nitrogen oxides</w:t>
      </w:r>
      <w:r w:rsidRPr="000E1CFF">
        <w:t xml:space="preserve"> </w:t>
      </w:r>
      <w:r w:rsidR="00942D72">
        <w:t>(</w:t>
      </w:r>
      <w:proofErr w:type="spellStart"/>
      <w:r w:rsidRPr="000E1CFF">
        <w:t>NO</w:t>
      </w:r>
      <w:r w:rsidRPr="00D26D90">
        <w:rPr>
          <w:vertAlign w:val="subscript"/>
        </w:rPr>
        <w:t>y</w:t>
      </w:r>
      <w:proofErr w:type="spellEnd"/>
      <w:r w:rsidR="00942D72">
        <w:t>)</w:t>
      </w:r>
      <w:r w:rsidRPr="00A84A0E">
        <w:t>.</w:t>
      </w:r>
      <w:r>
        <w:t xml:space="preserve"> </w:t>
      </w:r>
      <w:r w:rsidR="002F2BDB">
        <w:t xml:space="preserve">This SOP also does not include comprehensive information on method measurement principle background, as these details can be found elsewhere </w:t>
      </w:r>
      <w:r w:rsidR="00D01469">
        <w:t xml:space="preserve">(in instrument manuals and manufacturer literature) </w:t>
      </w:r>
      <w:r w:rsidR="002F2BDB">
        <w:t>and are not critical to operation of the instruments and support equipment</w:t>
      </w:r>
      <w:r w:rsidR="00487855">
        <w:t>.</w:t>
      </w:r>
    </w:p>
    <w:p w14:paraId="42127006" w14:textId="7ECE4341" w:rsidR="00A72A52" w:rsidRPr="00D26D90" w:rsidRDefault="00D9398F" w:rsidP="00D26D90">
      <w:pPr>
        <w:spacing w:after="0"/>
        <w:rPr>
          <w:i/>
          <w:iCs/>
        </w:rPr>
      </w:pPr>
      <w:r w:rsidRPr="00D26D90">
        <w:rPr>
          <w:i/>
          <w:iCs/>
        </w:rPr>
        <w:t>Disclaimer Notice:  Mention of trade names, products, or services does not convey official EPA approval, endorsement, or recommendation.</w:t>
      </w:r>
      <w:r w:rsidR="00A72A52" w:rsidRPr="00D26D90">
        <w:rPr>
          <w:i/>
          <w:iCs/>
        </w:rPr>
        <w:t xml:space="preserve"> </w:t>
      </w:r>
    </w:p>
    <w:p w14:paraId="0523D399" w14:textId="77777777" w:rsidR="00A72A52" w:rsidRDefault="00A72A52" w:rsidP="00D26D90">
      <w:pPr>
        <w:spacing w:after="0"/>
      </w:pPr>
    </w:p>
    <w:p w14:paraId="6991A187" w14:textId="529C2DED" w:rsidR="00607097" w:rsidRPr="00F249E6" w:rsidRDefault="00E80AA0" w:rsidP="00D26D90">
      <w:pPr>
        <w:pStyle w:val="Style1"/>
        <w:numPr>
          <w:ilvl w:val="0"/>
          <w:numId w:val="20"/>
        </w:numPr>
        <w:tabs>
          <w:tab w:val="clear" w:pos="720"/>
        </w:tabs>
        <w:ind w:left="0"/>
        <w:rPr>
          <w:b/>
        </w:rPr>
      </w:pPr>
      <w:r w:rsidRPr="008A168C">
        <w:rPr>
          <w:b/>
          <w:bCs w:val="0"/>
        </w:rPr>
        <w:t>S</w:t>
      </w:r>
      <w:r w:rsidR="004C1FE9" w:rsidRPr="00D26D90">
        <w:rPr>
          <w:b/>
          <w:bCs w:val="0"/>
        </w:rPr>
        <w:t>ummary of Method</w:t>
      </w:r>
    </w:p>
    <w:p w14:paraId="15157154" w14:textId="69247941" w:rsidR="00B226C6" w:rsidRPr="00D26D90" w:rsidRDefault="00CD7142" w:rsidP="00607097">
      <w:r w:rsidRPr="00D26D90">
        <w:t>Continuous monitoring of true NO</w:t>
      </w:r>
      <w:r w:rsidRPr="00D26D90">
        <w:rPr>
          <w:vertAlign w:val="subscript"/>
        </w:rPr>
        <w:t>2</w:t>
      </w:r>
      <w:r w:rsidRPr="00D26D90">
        <w:t xml:space="preserve"> can be achieved by use of either CAPS or photolytic conver</w:t>
      </w:r>
      <w:r w:rsidR="008A12C1" w:rsidRPr="00D26D90">
        <w:t>sion</w:t>
      </w:r>
      <w:r w:rsidRPr="00D26D90">
        <w:t xml:space="preserve"> with chemiluminescent detection</w:t>
      </w:r>
      <w:r w:rsidR="00942D72">
        <w:t xml:space="preserve"> as</w:t>
      </w:r>
      <w:r w:rsidR="001A6ABB">
        <w:t xml:space="preserve"> described in </w:t>
      </w:r>
      <w:r w:rsidR="00942D72">
        <w:t>S</w:t>
      </w:r>
      <w:r w:rsidR="001A6ABB">
        <w:t>ections B.1 and B.2</w:t>
      </w:r>
      <w:r w:rsidR="00942D72">
        <w:t>, respectively</w:t>
      </w:r>
      <w:r w:rsidR="001A6ABB">
        <w:t xml:space="preserve">. </w:t>
      </w:r>
      <w:r w:rsidR="00942D72">
        <w:t xml:space="preserve">For both </w:t>
      </w:r>
      <w:r w:rsidR="00D01469">
        <w:t xml:space="preserve">measurement </w:t>
      </w:r>
      <w:r w:rsidR="00942D72">
        <w:t xml:space="preserve">methods, </w:t>
      </w:r>
      <w:r w:rsidR="00EA08B6">
        <w:t>a</w:t>
      </w:r>
      <w:r w:rsidR="00B226C6" w:rsidRPr="00D26D90">
        <w:t xml:space="preserve">mbient air is drawn in from </w:t>
      </w:r>
      <w:r w:rsidR="00D01469">
        <w:t>an</w:t>
      </w:r>
      <w:r w:rsidR="00B226C6" w:rsidRPr="00D26D90">
        <w:t xml:space="preserve"> inlet probe</w:t>
      </w:r>
      <w:r w:rsidRPr="00D26D90">
        <w:t xml:space="preserve">, </w:t>
      </w:r>
      <w:r w:rsidR="00942D72">
        <w:t>filtered</w:t>
      </w:r>
      <w:r w:rsidRPr="00D26D90">
        <w:t xml:space="preserve"> of particulate matter, and</w:t>
      </w:r>
      <w:r w:rsidR="008A12C1" w:rsidRPr="00D26D90">
        <w:t xml:space="preserve"> </w:t>
      </w:r>
      <w:r w:rsidR="00942D72">
        <w:t>introduced to the analyzer where the sampled atmosphere is interrogated for NO</w:t>
      </w:r>
      <w:r w:rsidR="00942D72" w:rsidRPr="00D26D90">
        <w:rPr>
          <w:vertAlign w:val="subscript"/>
        </w:rPr>
        <w:t>2</w:t>
      </w:r>
      <w:r w:rsidR="00942D72">
        <w:t xml:space="preserve"> based on the instrument</w:t>
      </w:r>
      <w:r w:rsidR="00645644">
        <w:t xml:space="preserve"> detector</w:t>
      </w:r>
      <w:r w:rsidR="00942D72">
        <w:t xml:space="preserve"> response standardized </w:t>
      </w:r>
      <w:r w:rsidR="00645644">
        <w:t>against</w:t>
      </w:r>
      <w:r w:rsidR="00942D72">
        <w:t xml:space="preserve"> a user-defined </w:t>
      </w:r>
      <w:r w:rsidR="00D01469">
        <w:t xml:space="preserve">and verified </w:t>
      </w:r>
      <w:r w:rsidR="00942D72">
        <w:t>calibration</w:t>
      </w:r>
      <w:r w:rsidRPr="008A12C1">
        <w:t xml:space="preserve">. </w:t>
      </w:r>
    </w:p>
    <w:p w14:paraId="23AEB12B" w14:textId="3666ED8F" w:rsidR="00B921F6" w:rsidRPr="00D74C5C" w:rsidRDefault="00607097" w:rsidP="00607097">
      <w:r>
        <w:t>The true NO</w:t>
      </w:r>
      <w:r w:rsidRPr="0020729D">
        <w:rPr>
          <w:vertAlign w:val="subscript"/>
        </w:rPr>
        <w:t>2</w:t>
      </w:r>
      <w:r>
        <w:t xml:space="preserve"> analyzer </w:t>
      </w:r>
      <w:r w:rsidR="00D01469">
        <w:t xml:space="preserve">standard response </w:t>
      </w:r>
      <w:r>
        <w:t xml:space="preserve">is calibrated at </w:t>
      </w:r>
      <w:r w:rsidR="00D01469">
        <w:t xml:space="preserve">a zero point </w:t>
      </w:r>
      <w:r w:rsidR="00632499">
        <w:t>with nominally NO</w:t>
      </w:r>
      <w:r w:rsidR="00632499" w:rsidRPr="000E1CFF">
        <w:rPr>
          <w:vertAlign w:val="subscript"/>
        </w:rPr>
        <w:t>2</w:t>
      </w:r>
      <w:r w:rsidR="00632499">
        <w:t xml:space="preserve">-free “zero” air </w:t>
      </w:r>
      <w:r w:rsidR="00D01469">
        <w:t xml:space="preserve">and an upscale span </w:t>
      </w:r>
      <w:r w:rsidR="00632499">
        <w:t>NO</w:t>
      </w:r>
      <w:r w:rsidR="00632499" w:rsidRPr="00D26D90">
        <w:rPr>
          <w:vertAlign w:val="subscript"/>
        </w:rPr>
        <w:t>2</w:t>
      </w:r>
      <w:r w:rsidR="00632499">
        <w:t xml:space="preserve"> </w:t>
      </w:r>
      <w:r w:rsidR="00D01469">
        <w:t xml:space="preserve">concentration </w:t>
      </w:r>
      <w:r w:rsidR="00632499">
        <w:t xml:space="preserve">representative of approximately 80% of the expected measurement range. This measurement range is defined by the expected ambient measurements at the site, which will not exceed 200 </w:t>
      </w:r>
      <w:r w:rsidR="00487855">
        <w:t>parts per billion (</w:t>
      </w:r>
      <w:r w:rsidR="00632499">
        <w:t>ppb</w:t>
      </w:r>
      <w:r w:rsidR="00487855">
        <w:t>)</w:t>
      </w:r>
      <w:r w:rsidR="00632499">
        <w:t xml:space="preserve"> for most sites. </w:t>
      </w:r>
      <w:r>
        <w:t xml:space="preserve">The </w:t>
      </w:r>
      <w:r w:rsidR="00640C49">
        <w:t xml:space="preserve">standard </w:t>
      </w:r>
      <w:r>
        <w:t>NO</w:t>
      </w:r>
      <w:r w:rsidRPr="00B179AF">
        <w:rPr>
          <w:vertAlign w:val="subscript"/>
        </w:rPr>
        <w:t>2</w:t>
      </w:r>
      <w:r>
        <w:t xml:space="preserve"> gas </w:t>
      </w:r>
      <w:r w:rsidR="00640C49">
        <w:t xml:space="preserve">employed </w:t>
      </w:r>
      <w:r>
        <w:t>to generate calibration standard</w:t>
      </w:r>
      <w:r w:rsidR="00640C49">
        <w:t xml:space="preserve"> gases </w:t>
      </w:r>
      <w:r>
        <w:t xml:space="preserve">may be </w:t>
      </w:r>
      <w:r w:rsidR="00640C49">
        <w:t>sourc</w:t>
      </w:r>
      <w:r>
        <w:t xml:space="preserve">ed </w:t>
      </w:r>
      <w:r w:rsidR="00640C49">
        <w:t>from</w:t>
      </w:r>
      <w:r>
        <w:t xml:space="preserve"> a</w:t>
      </w:r>
      <w:r w:rsidR="00640C49">
        <w:t xml:space="preserve"> high pressure cylinder with a </w:t>
      </w:r>
      <w:r w:rsidR="00632499">
        <w:t xml:space="preserve">traceably </w:t>
      </w:r>
      <w:r w:rsidR="00640C49">
        <w:t xml:space="preserve">certified concentration of </w:t>
      </w:r>
      <w:r>
        <w:t>NO</w:t>
      </w:r>
      <w:r w:rsidRPr="00B179AF">
        <w:rPr>
          <w:vertAlign w:val="subscript"/>
        </w:rPr>
        <w:t>2</w:t>
      </w:r>
      <w:r w:rsidR="00EB1003">
        <w:t>;</w:t>
      </w:r>
      <w:r>
        <w:t xml:space="preserve"> gas</w:t>
      </w:r>
      <w:r w:rsidR="00E1118B">
        <w:t xml:space="preserve"> </w:t>
      </w:r>
      <w:r>
        <w:t xml:space="preserve">phase titration </w:t>
      </w:r>
      <w:r w:rsidR="00E1118B">
        <w:t xml:space="preserve">(GPT) </w:t>
      </w:r>
      <w:r>
        <w:t>of nitric oxide (NO) with ozone</w:t>
      </w:r>
      <w:r w:rsidR="00E1118B">
        <w:t xml:space="preserve"> (O</w:t>
      </w:r>
      <w:r w:rsidR="00E1118B" w:rsidRPr="00D26D90">
        <w:rPr>
          <w:vertAlign w:val="subscript"/>
        </w:rPr>
        <w:t>3</w:t>
      </w:r>
      <w:r w:rsidR="00E1118B">
        <w:t>)</w:t>
      </w:r>
      <w:r w:rsidR="00EB1003">
        <w:t>;</w:t>
      </w:r>
      <w:r>
        <w:t xml:space="preserve"> or from a</w:t>
      </w:r>
      <w:r w:rsidR="00E1118B">
        <w:t xml:space="preserve"> permeation tube of </w:t>
      </w:r>
      <w:r>
        <w:t>NO</w:t>
      </w:r>
      <w:r w:rsidRPr="00B179AF">
        <w:rPr>
          <w:vertAlign w:val="subscript"/>
        </w:rPr>
        <w:t>2</w:t>
      </w:r>
      <w:r w:rsidR="00E1118B">
        <w:t xml:space="preserve"> (which is not described or addressed within this SOP). </w:t>
      </w:r>
      <w:r w:rsidR="00286EA3">
        <w:t xml:space="preserve">Following establishment of </w:t>
      </w:r>
      <w:r w:rsidR="00632499">
        <w:t>the</w:t>
      </w:r>
      <w:r w:rsidR="00286EA3">
        <w:t xml:space="preserve"> </w:t>
      </w:r>
      <w:r w:rsidR="00632499">
        <w:t>instrument response at the zero and span concentration</w:t>
      </w:r>
      <w:r w:rsidR="00286EA3">
        <w:t xml:space="preserve">, </w:t>
      </w:r>
      <w:r w:rsidR="00E1118B">
        <w:t xml:space="preserve">the calibration is verified by performing a multipoint verification (MPV), after which ambient air </w:t>
      </w:r>
      <w:r w:rsidR="00286EA3">
        <w:t>NO</w:t>
      </w:r>
      <w:r w:rsidR="00286EA3">
        <w:rPr>
          <w:vertAlign w:val="subscript"/>
        </w:rPr>
        <w:t xml:space="preserve">2 </w:t>
      </w:r>
      <w:r w:rsidR="00E1118B">
        <w:t>concentrations are to</w:t>
      </w:r>
      <w:r w:rsidR="00286EA3">
        <w:t xml:space="preserve"> be measured continuously (</w:t>
      </w:r>
      <w:r w:rsidR="00E1118B">
        <w:t xml:space="preserve">i.e., continuous instrument output averaged each </w:t>
      </w:r>
      <w:r w:rsidR="00286EA3">
        <w:t xml:space="preserve">minute) and reported </w:t>
      </w:r>
      <w:r w:rsidR="00E1118B">
        <w:t>as the</w:t>
      </w:r>
      <w:r w:rsidR="00286EA3">
        <w:t xml:space="preserve"> average</w:t>
      </w:r>
      <w:r w:rsidR="00E1118B">
        <w:t xml:space="preserve"> for a </w:t>
      </w:r>
      <w:r w:rsidR="00E1118B">
        <w:lastRenderedPageBreak/>
        <w:t>given hour</w:t>
      </w:r>
      <w:r w:rsidR="00286EA3">
        <w:t xml:space="preserve">. </w:t>
      </w:r>
      <w:r w:rsidR="00632499">
        <w:t xml:space="preserve">Ambient air measurements </w:t>
      </w:r>
      <w:r w:rsidR="00E1118B">
        <w:t xml:space="preserve">for the PAMS Required Site Network should </w:t>
      </w:r>
      <w:r w:rsidR="00286EA3">
        <w:t>occur</w:t>
      </w:r>
      <w:r w:rsidR="001A6ABB">
        <w:t xml:space="preserve"> </w:t>
      </w:r>
      <w:r w:rsidR="00E1118B">
        <w:t xml:space="preserve">per the monitoring agency’s </w:t>
      </w:r>
      <w:r w:rsidR="00632499">
        <w:t>governing</w:t>
      </w:r>
      <w:r w:rsidR="00E1118B">
        <w:t xml:space="preserve"> Quality Assurance Program Plan (QAPP), typically </w:t>
      </w:r>
      <w:r w:rsidR="001A6ABB">
        <w:t xml:space="preserve">through the entirety of </w:t>
      </w:r>
      <w:r w:rsidR="00487855">
        <w:t xml:space="preserve">the </w:t>
      </w:r>
      <w:r w:rsidR="001A6ABB">
        <w:t>PAMS season</w:t>
      </w:r>
      <w:r w:rsidR="00E1118B">
        <w:t xml:space="preserve"> which</w:t>
      </w:r>
      <w:r w:rsidR="001A6ABB">
        <w:t xml:space="preserve"> begin</w:t>
      </w:r>
      <w:r w:rsidR="00E1118B">
        <w:t>s</w:t>
      </w:r>
      <w:r w:rsidR="001A6ABB">
        <w:t xml:space="preserve"> June 1 and </w:t>
      </w:r>
      <w:r w:rsidR="00E1118B">
        <w:t>concludes August 3</w:t>
      </w:r>
      <w:r w:rsidR="001A6ABB">
        <w:t>1</w:t>
      </w:r>
      <w:r w:rsidR="00632499">
        <w:t xml:space="preserve"> annually</w:t>
      </w:r>
      <w:r w:rsidR="00E1118B">
        <w:t>. Completen</w:t>
      </w:r>
      <w:r w:rsidR="00E1118B" w:rsidRPr="001906D9">
        <w:t xml:space="preserve">ess, as defined </w:t>
      </w:r>
      <w:r w:rsidR="00E1118B" w:rsidRPr="007427C0">
        <w:t xml:space="preserve">in the </w:t>
      </w:r>
      <w:r w:rsidR="00632499" w:rsidRPr="007427C0">
        <w:t>governing</w:t>
      </w:r>
      <w:r w:rsidR="00E1118B" w:rsidRPr="007427C0">
        <w:t xml:space="preserve"> QAPP, requi</w:t>
      </w:r>
      <w:r w:rsidR="00E1118B">
        <w:t>res that</w:t>
      </w:r>
      <w:r w:rsidR="001A6ABB">
        <w:t xml:space="preserve"> minimally </w:t>
      </w:r>
      <w:r w:rsidR="00E1118B">
        <w:t xml:space="preserve">45 minutes (75%) of each collected sample hour include valid measurements and that 18 of the 24 daily </w:t>
      </w:r>
      <w:r w:rsidR="001A6ABB">
        <w:t>hour</w:t>
      </w:r>
      <w:r w:rsidR="00E1118B">
        <w:t xml:space="preserve">s consist of valid hours of data to fulfil the </w:t>
      </w:r>
      <w:r w:rsidR="00286EA3">
        <w:t xml:space="preserve">completeness </w:t>
      </w:r>
      <w:r w:rsidR="00E1118B">
        <w:t>data quality objective (</w:t>
      </w:r>
      <w:r w:rsidR="00286EA3">
        <w:t>DQO</w:t>
      </w:r>
      <w:r w:rsidR="00E1118B">
        <w:t>).</w:t>
      </w:r>
      <w:r w:rsidR="00F6172B" w:rsidRPr="00F60D38">
        <w:rPr>
          <w:vertAlign w:val="superscript"/>
        </w:rPr>
        <w:t>3</w:t>
      </w:r>
    </w:p>
    <w:p w14:paraId="6EB584BE" w14:textId="6F532600" w:rsidR="00727A4C" w:rsidRDefault="00B921F6" w:rsidP="00727A4C">
      <w:r>
        <w:t xml:space="preserve">For both CAPS and photolytic conversion </w:t>
      </w:r>
      <w:r w:rsidR="00632499">
        <w:t xml:space="preserve">chemiluminescent </w:t>
      </w:r>
      <w:r>
        <w:t>instruments, ambient air is drawn into the true NO</w:t>
      </w:r>
      <w:r w:rsidRPr="00D74C5C">
        <w:rPr>
          <w:vertAlign w:val="subscript"/>
        </w:rPr>
        <w:t>2</w:t>
      </w:r>
      <w:r>
        <w:t xml:space="preserve"> analyzer inlet with a vacuum pump and particulates are filtered (removed) from the ambient air stream to prevent deposition of particulate matter (PM) on the analyzer optics.</w:t>
      </w:r>
    </w:p>
    <w:p w14:paraId="2409C7FE" w14:textId="4A0EB25D" w:rsidR="008F0E5F" w:rsidRDefault="00BF0232" w:rsidP="00D26D90">
      <w:pPr>
        <w:pStyle w:val="ListParagraph"/>
        <w:numPr>
          <w:ilvl w:val="0"/>
          <w:numId w:val="39"/>
        </w:numPr>
        <w:ind w:left="360"/>
      </w:pPr>
      <w:r w:rsidRPr="00D26D90">
        <w:t>C</w:t>
      </w:r>
      <w:r w:rsidR="00612D74" w:rsidRPr="00D26D90">
        <w:t>avity Attenuated Phase Shift Spectroscopy (C</w:t>
      </w:r>
      <w:r w:rsidRPr="00D26D90">
        <w:t>APS</w:t>
      </w:r>
      <w:r w:rsidR="00612D74" w:rsidRPr="00D74C5C">
        <w:t>)</w:t>
      </w:r>
      <w:r>
        <w:t xml:space="preserve"> </w:t>
      </w:r>
    </w:p>
    <w:p w14:paraId="44B26D9A" w14:textId="15F46ADF" w:rsidR="001F5D2C" w:rsidRDefault="00B921F6" w:rsidP="00D26D90">
      <w:pPr>
        <w:ind w:left="360"/>
      </w:pPr>
      <w:r>
        <w:t>P</w:t>
      </w:r>
      <w:r w:rsidR="00BF0232">
        <w:t>articulate</w:t>
      </w:r>
      <w:r>
        <w:t>-</w:t>
      </w:r>
      <w:r w:rsidR="00BF0232">
        <w:t>scrubbed air enters the</w:t>
      </w:r>
      <w:r w:rsidR="00B7368D">
        <w:t xml:space="preserve"> </w:t>
      </w:r>
      <w:r w:rsidR="00BF0232">
        <w:t>sample cell</w:t>
      </w:r>
      <w:r w:rsidR="00B7368D">
        <w:t xml:space="preserve">, which includes highly reflective mirrors to produce </w:t>
      </w:r>
      <w:r w:rsidR="00EB1003">
        <w:t xml:space="preserve">the </w:t>
      </w:r>
      <w:r>
        <w:t>optical</w:t>
      </w:r>
      <w:r w:rsidR="00B7368D">
        <w:t xml:space="preserve"> path within the cell. </w:t>
      </w:r>
      <w:r w:rsidR="0009419E">
        <w:t>NO</w:t>
      </w:r>
      <w:r w:rsidR="0009419E" w:rsidRPr="00D74C5C">
        <w:rPr>
          <w:vertAlign w:val="subscript"/>
        </w:rPr>
        <w:t>2</w:t>
      </w:r>
      <w:r w:rsidR="0009419E">
        <w:t xml:space="preserve"> in the sampled atmosphere absorbs light at 450 nm</w:t>
      </w:r>
      <w:r w:rsidR="000A508E">
        <w:t xml:space="preserve">. Rather than a traditional absorbance method, where a reduction in </w:t>
      </w:r>
      <w:r w:rsidR="0009419E">
        <w:t>intensity of</w:t>
      </w:r>
      <w:r>
        <w:t xml:space="preserve"> </w:t>
      </w:r>
      <w:r w:rsidR="0009419E">
        <w:t xml:space="preserve">light </w:t>
      </w:r>
      <w:r>
        <w:t xml:space="preserve">at </w:t>
      </w:r>
      <w:r w:rsidR="00EB1003">
        <w:t xml:space="preserve">a wavelength of </w:t>
      </w:r>
      <w:r>
        <w:t xml:space="preserve">450 nm experienced at </w:t>
      </w:r>
      <w:r w:rsidR="0009419E">
        <w:t>the detector</w:t>
      </w:r>
      <w:r w:rsidR="000A508E">
        <w:t xml:space="preserve"> is proportional to concentration</w:t>
      </w:r>
      <w:r>
        <w:t xml:space="preserve"> of NO</w:t>
      </w:r>
      <w:r w:rsidRPr="00D26D90">
        <w:rPr>
          <w:vertAlign w:val="subscript"/>
        </w:rPr>
        <w:t>2</w:t>
      </w:r>
      <w:r w:rsidR="000A508E">
        <w:t xml:space="preserve">, a CAPS monitor </w:t>
      </w:r>
      <w:r>
        <w:t xml:space="preserve">employs </w:t>
      </w:r>
      <w:r w:rsidR="000A508E">
        <w:t>the average time spent in the cell by the 450-nm light to quantify the NO</w:t>
      </w:r>
      <w:r w:rsidR="000A508E" w:rsidRPr="00D74C5C">
        <w:rPr>
          <w:vertAlign w:val="subscript"/>
        </w:rPr>
        <w:t>2</w:t>
      </w:r>
      <w:r w:rsidR="000A508E">
        <w:t xml:space="preserve"> concentration in the cell. The presence of NO</w:t>
      </w:r>
      <w:r w:rsidR="000A508E" w:rsidRPr="00D74C5C">
        <w:rPr>
          <w:vertAlign w:val="subscript"/>
        </w:rPr>
        <w:t>2</w:t>
      </w:r>
      <w:r w:rsidR="000A508E">
        <w:t xml:space="preserve"> in the cell causes the average time to decrease as the NO</w:t>
      </w:r>
      <w:r w:rsidR="000A508E" w:rsidRPr="00D74C5C">
        <w:rPr>
          <w:vertAlign w:val="subscript"/>
        </w:rPr>
        <w:t>2</w:t>
      </w:r>
      <w:r w:rsidR="000A508E">
        <w:t xml:space="preserve"> concentration increases </w:t>
      </w:r>
      <w:r w:rsidR="008D2424">
        <w:t>(</w:t>
      </w:r>
      <w:r w:rsidR="000A508E">
        <w:t>due to absorption</w:t>
      </w:r>
      <w:r>
        <w:t xml:space="preserve"> by the NO</w:t>
      </w:r>
      <w:r w:rsidRPr="00D26D90">
        <w:rPr>
          <w:vertAlign w:val="subscript"/>
        </w:rPr>
        <w:t>2</w:t>
      </w:r>
      <w:r>
        <w:t xml:space="preserve"> molecules</w:t>
      </w:r>
      <w:r w:rsidR="008D2424">
        <w:t>)</w:t>
      </w:r>
      <w:r w:rsidR="000A508E">
        <w:t xml:space="preserve">. </w:t>
      </w:r>
      <w:r w:rsidR="0009419E">
        <w:t xml:space="preserve">This reduction in </w:t>
      </w:r>
      <w:r w:rsidR="000A508E">
        <w:t xml:space="preserve">time spent in the cell by the 450 nm light </w:t>
      </w:r>
      <w:r w:rsidR="0009419E">
        <w:t>absorbed is proportional to the concentration of NO</w:t>
      </w:r>
      <w:r w:rsidR="0009419E" w:rsidRPr="00D74C5C">
        <w:rPr>
          <w:vertAlign w:val="subscript"/>
        </w:rPr>
        <w:t>2</w:t>
      </w:r>
      <w:r w:rsidR="0009419E">
        <w:t xml:space="preserve"> in the sampled atmosphere.</w:t>
      </w:r>
      <w:r w:rsidR="002A43B3">
        <w:t xml:space="preserve"> </w:t>
      </w:r>
    </w:p>
    <w:p w14:paraId="7413581B" w14:textId="5CB49FE3" w:rsidR="00117175" w:rsidRDefault="00B921F6" w:rsidP="00D26D90">
      <w:pPr>
        <w:ind w:left="360"/>
      </w:pPr>
      <w:r>
        <w:t>As of the release of this SOP, t</w:t>
      </w:r>
      <w:r w:rsidR="006E0238">
        <w:t xml:space="preserve">he </w:t>
      </w:r>
      <w:r>
        <w:t>following</w:t>
      </w:r>
      <w:r w:rsidR="006E0238">
        <w:t xml:space="preserve"> </w:t>
      </w:r>
      <w:r w:rsidR="00E50083">
        <w:t xml:space="preserve">five </w:t>
      </w:r>
      <w:r>
        <w:t xml:space="preserve">EPA-approved FEM CAPS instruments are </w:t>
      </w:r>
      <w:r w:rsidR="009A496C">
        <w:t>commercially</w:t>
      </w:r>
      <w:r w:rsidR="00DF2589">
        <w:t xml:space="preserve"> </w:t>
      </w:r>
      <w:r w:rsidR="009A496C">
        <w:t>available</w:t>
      </w:r>
      <w:r w:rsidR="006E0238">
        <w:t xml:space="preserve">: </w:t>
      </w:r>
    </w:p>
    <w:p w14:paraId="3B3EFA4C" w14:textId="18A59804" w:rsidR="00117175" w:rsidRDefault="006E0238" w:rsidP="00117175">
      <w:pPr>
        <w:pStyle w:val="ListParagraph"/>
        <w:numPr>
          <w:ilvl w:val="0"/>
          <w:numId w:val="5"/>
        </w:numPr>
      </w:pPr>
      <w:r>
        <w:t xml:space="preserve">Teledyne </w:t>
      </w:r>
      <w:r w:rsidR="00B921F6">
        <w:t>Advanced Pollution Instruments (</w:t>
      </w:r>
      <w:r>
        <w:t>API</w:t>
      </w:r>
      <w:r w:rsidR="00B921F6">
        <w:t>)</w:t>
      </w:r>
      <w:r>
        <w:t xml:space="preserve"> Model T500U CAPS </w:t>
      </w:r>
      <w:r w:rsidR="00995E2B">
        <w:t>NO</w:t>
      </w:r>
      <w:r w:rsidR="00995E2B" w:rsidRPr="000F7021">
        <w:rPr>
          <w:vertAlign w:val="subscript"/>
        </w:rPr>
        <w:t>2</w:t>
      </w:r>
      <w:r>
        <w:t xml:space="preserve"> Analyzer (FEM EQNA-0514-212) </w:t>
      </w:r>
    </w:p>
    <w:p w14:paraId="732B54AF" w14:textId="173A9939" w:rsidR="00117175" w:rsidRDefault="006E0238" w:rsidP="00117175">
      <w:pPr>
        <w:pStyle w:val="ListParagraph"/>
        <w:numPr>
          <w:ilvl w:val="0"/>
          <w:numId w:val="5"/>
        </w:numPr>
      </w:pPr>
      <w:proofErr w:type="spellStart"/>
      <w:r>
        <w:t>Environnement</w:t>
      </w:r>
      <w:proofErr w:type="spellEnd"/>
      <w:r>
        <w:t xml:space="preserve"> S.A. AS32M CAPS </w:t>
      </w:r>
      <w:r w:rsidR="00995E2B">
        <w:t>NO</w:t>
      </w:r>
      <w:r w:rsidR="00995E2B" w:rsidRPr="000F7021">
        <w:rPr>
          <w:vertAlign w:val="subscript"/>
        </w:rPr>
        <w:t>2</w:t>
      </w:r>
      <w:r w:rsidR="00B676A6">
        <w:rPr>
          <w:vertAlign w:val="subscript"/>
        </w:rPr>
        <w:t xml:space="preserve"> </w:t>
      </w:r>
      <w:r>
        <w:t>Analyzer (FEM EQNA-1013-210)</w:t>
      </w:r>
    </w:p>
    <w:p w14:paraId="21596A47" w14:textId="77777777" w:rsidR="00117175" w:rsidRDefault="006E0238" w:rsidP="00117175">
      <w:pPr>
        <w:pStyle w:val="ListParagraph"/>
        <w:numPr>
          <w:ilvl w:val="0"/>
          <w:numId w:val="5"/>
        </w:numPr>
      </w:pPr>
      <w:proofErr w:type="spellStart"/>
      <w:r>
        <w:t>Ecotech</w:t>
      </w:r>
      <w:proofErr w:type="spellEnd"/>
      <w:r>
        <w:t xml:space="preserve"> </w:t>
      </w:r>
      <w:proofErr w:type="spellStart"/>
      <w:r>
        <w:t>Serinus</w:t>
      </w:r>
      <w:proofErr w:type="spellEnd"/>
      <w:r>
        <w:t xml:space="preserve"> 60 CAPS NO</w:t>
      </w:r>
      <w:r w:rsidRPr="00D26D90">
        <w:rPr>
          <w:vertAlign w:val="subscript"/>
        </w:rPr>
        <w:t>2</w:t>
      </w:r>
      <w:r>
        <w:t xml:space="preserve"> Analyzer (FEM EQNA-0217-242) </w:t>
      </w:r>
    </w:p>
    <w:p w14:paraId="0C237B19" w14:textId="642AE710" w:rsidR="001F5D2C" w:rsidRDefault="006E0238">
      <w:pPr>
        <w:pStyle w:val="ListParagraph"/>
        <w:numPr>
          <w:ilvl w:val="0"/>
          <w:numId w:val="5"/>
        </w:numPr>
      </w:pPr>
      <w:r>
        <w:t xml:space="preserve">Aerodyne Research, Inc. CAPS </w:t>
      </w:r>
      <w:r w:rsidR="00995E2B">
        <w:t>NO</w:t>
      </w:r>
      <w:r w:rsidR="00995E2B" w:rsidRPr="000F7021">
        <w:rPr>
          <w:vertAlign w:val="subscript"/>
        </w:rPr>
        <w:t>2</w:t>
      </w:r>
      <w:r>
        <w:t xml:space="preserve"> Monitor</w:t>
      </w:r>
      <w:r w:rsidR="00B676A6">
        <w:t xml:space="preserve"> (FEM designation available from supplier)</w:t>
      </w:r>
    </w:p>
    <w:p w14:paraId="193FAAB5" w14:textId="64850F38" w:rsidR="00B676A6" w:rsidRDefault="00B676A6" w:rsidP="00D26D90">
      <w:pPr>
        <w:pStyle w:val="ListParagraph"/>
        <w:numPr>
          <w:ilvl w:val="0"/>
          <w:numId w:val="5"/>
        </w:numPr>
        <w:contextualSpacing w:val="0"/>
      </w:pPr>
      <w:r>
        <w:t>Teledyne API Model N500 CAPS NO</w:t>
      </w:r>
      <w:r w:rsidRPr="00D26D90">
        <w:rPr>
          <w:vertAlign w:val="subscript"/>
        </w:rPr>
        <w:t>2</w:t>
      </w:r>
      <w:r>
        <w:t>/NOx/NO Analyzer (FEM EQNA-0320-256)</w:t>
      </w:r>
    </w:p>
    <w:p w14:paraId="405D6D86" w14:textId="19DC6EAB" w:rsidR="008F0E5F" w:rsidRPr="00D74C5C" w:rsidRDefault="001F5D2C" w:rsidP="00D26D90">
      <w:pPr>
        <w:pStyle w:val="ListParagraph"/>
        <w:numPr>
          <w:ilvl w:val="0"/>
          <w:numId w:val="39"/>
        </w:numPr>
        <w:ind w:left="360"/>
        <w:rPr>
          <w:u w:val="single"/>
        </w:rPr>
      </w:pPr>
      <w:r w:rsidRPr="00D26D90">
        <w:t xml:space="preserve">Photolytic </w:t>
      </w:r>
      <w:r w:rsidR="00612D74" w:rsidRPr="00D26D90">
        <w:t>Conversion with Chemiluminescent Detection</w:t>
      </w:r>
    </w:p>
    <w:p w14:paraId="624A3EBF" w14:textId="1866AE1F" w:rsidR="00EB18E4" w:rsidRDefault="001F5D2C" w:rsidP="00D26D90">
      <w:pPr>
        <w:ind w:left="360"/>
      </w:pPr>
      <w:r>
        <w:t xml:space="preserve">Sample gas passes through the </w:t>
      </w:r>
      <w:r w:rsidR="008D2424">
        <w:t>ultraviolet (</w:t>
      </w:r>
      <w:r>
        <w:t>UV</w:t>
      </w:r>
      <w:r w:rsidR="008D2424">
        <w:t>)</w:t>
      </w:r>
      <w:r>
        <w:t xml:space="preserve">-based photolytic converter chamber and is exposed to blue light </w:t>
      </w:r>
      <w:r w:rsidR="00314D99">
        <w:t xml:space="preserve">in the </w:t>
      </w:r>
      <w:r w:rsidR="00DF2589">
        <w:t xml:space="preserve">wavelength </w:t>
      </w:r>
      <w:r w:rsidR="00314D99">
        <w:t xml:space="preserve">range of </w:t>
      </w:r>
      <w:r>
        <w:t xml:space="preserve">350 to 420 nm </w:t>
      </w:r>
      <w:r w:rsidR="00EB18E4">
        <w:t>from</w:t>
      </w:r>
      <w:r>
        <w:t xml:space="preserve"> an array of </w:t>
      </w:r>
      <w:r w:rsidR="008209BF">
        <w:t>light-emitting diodes (</w:t>
      </w:r>
      <w:r>
        <w:t>LEDs</w:t>
      </w:r>
      <w:r w:rsidR="008209BF">
        <w:t>)</w:t>
      </w:r>
      <w:r>
        <w:t>. This selectively converts NO</w:t>
      </w:r>
      <w:r w:rsidRPr="00D74C5C">
        <w:rPr>
          <w:vertAlign w:val="subscript"/>
        </w:rPr>
        <w:t>2</w:t>
      </w:r>
      <w:r>
        <w:t xml:space="preserve"> to NO with negligible radiant heating or interference from other gases. </w:t>
      </w:r>
      <w:r w:rsidR="00EB18E4">
        <w:t>Detection of NO is then achieved by chemiluminescence from the reaction of NO with O</w:t>
      </w:r>
      <w:r w:rsidR="00EB18E4" w:rsidRPr="00D74C5C">
        <w:rPr>
          <w:vertAlign w:val="subscript"/>
        </w:rPr>
        <w:t>3</w:t>
      </w:r>
      <w:r w:rsidR="00EB18E4">
        <w:t xml:space="preserve"> (Reactions 1 and 2):</w:t>
      </w:r>
    </w:p>
    <w:p w14:paraId="602CFA3B" w14:textId="5BB85056" w:rsidR="00E152C6" w:rsidRDefault="00EB18E4" w:rsidP="00E152C6">
      <w:pPr>
        <w:tabs>
          <w:tab w:val="center" w:pos="4320"/>
          <w:tab w:val="right" w:pos="8640"/>
        </w:tabs>
      </w:pPr>
      <w:r>
        <w:t xml:space="preserve"> </w:t>
      </w:r>
      <w:r w:rsidR="00E152C6">
        <w:tab/>
        <w:t>NO</w:t>
      </w:r>
      <w:r w:rsidR="00D157DF">
        <w:t xml:space="preserve">  </w:t>
      </w:r>
      <w:r w:rsidR="00E152C6">
        <w:t xml:space="preserve"> + O</w:t>
      </w:r>
      <w:r w:rsidR="00E152C6" w:rsidRPr="00314D99">
        <w:rPr>
          <w:vertAlign w:val="subscript"/>
        </w:rPr>
        <w:t>3</w:t>
      </w:r>
      <w:r w:rsidR="00E152C6">
        <w:t xml:space="preserve"> </w:t>
      </w:r>
      <w:r w:rsidR="00D157DF">
        <w:t xml:space="preserve"> </w:t>
      </w:r>
      <w:r w:rsidR="00E152C6">
        <w:sym w:font="Symbol" w:char="F0AE"/>
      </w:r>
      <w:r w:rsidR="00E152C6">
        <w:t xml:space="preserve"> </w:t>
      </w:r>
      <w:r w:rsidR="00D157DF">
        <w:t xml:space="preserve"> </w:t>
      </w:r>
      <w:r w:rsidR="00E152C6">
        <w:t>NO</w:t>
      </w:r>
      <w:r w:rsidR="00E152C6" w:rsidRPr="00314D99">
        <w:rPr>
          <w:vertAlign w:val="subscript"/>
        </w:rPr>
        <w:t>2</w:t>
      </w:r>
      <w:r w:rsidR="00E152C6">
        <w:t>*</w:t>
      </w:r>
      <w:r w:rsidR="00D157DF">
        <w:t xml:space="preserve"> </w:t>
      </w:r>
      <w:r w:rsidR="00E152C6">
        <w:t xml:space="preserve"> +</w:t>
      </w:r>
      <w:r w:rsidR="00D157DF">
        <w:t xml:space="preserve"> </w:t>
      </w:r>
      <w:r w:rsidR="00E152C6">
        <w:t xml:space="preserve"> O</w:t>
      </w:r>
      <w:r w:rsidR="00E152C6" w:rsidRPr="00314D99">
        <w:rPr>
          <w:vertAlign w:val="subscript"/>
        </w:rPr>
        <w:t>2</w:t>
      </w:r>
      <w:r w:rsidR="00E152C6">
        <w:tab/>
        <w:t>Reaction 1</w:t>
      </w:r>
    </w:p>
    <w:p w14:paraId="388893AF" w14:textId="77777777" w:rsidR="00BF0232" w:rsidRDefault="00E152C6" w:rsidP="00E152C6">
      <w:pPr>
        <w:tabs>
          <w:tab w:val="center" w:pos="4320"/>
          <w:tab w:val="right" w:pos="8640"/>
        </w:tabs>
      </w:pPr>
      <w:r>
        <w:tab/>
        <w:t>NO</w:t>
      </w:r>
      <w:r w:rsidRPr="00314D99">
        <w:rPr>
          <w:vertAlign w:val="subscript"/>
        </w:rPr>
        <w:t>2</w:t>
      </w:r>
      <w:r>
        <w:t xml:space="preserve">* </w:t>
      </w:r>
      <w:r w:rsidR="00D157DF">
        <w:t xml:space="preserve"> </w:t>
      </w:r>
      <w:r>
        <w:sym w:font="Symbol" w:char="F0AE"/>
      </w:r>
      <w:r>
        <w:t xml:space="preserve"> </w:t>
      </w:r>
      <w:r w:rsidR="00D157DF">
        <w:t xml:space="preserve"> </w:t>
      </w:r>
      <w:r>
        <w:t>NO</w:t>
      </w:r>
      <w:r w:rsidRPr="00314D99">
        <w:rPr>
          <w:vertAlign w:val="subscript"/>
        </w:rPr>
        <w:t>2</w:t>
      </w:r>
      <w:r w:rsidR="00D157DF">
        <w:t xml:space="preserve"> </w:t>
      </w:r>
      <w:r>
        <w:t xml:space="preserve"> + </w:t>
      </w:r>
      <w:r w:rsidR="00D157DF">
        <w:t xml:space="preserve"> </w:t>
      </w:r>
      <w:proofErr w:type="spellStart"/>
      <w:r w:rsidRPr="00E152C6">
        <w:t>h</w:t>
      </w:r>
      <w:r>
        <w:t>ν</w:t>
      </w:r>
      <w:proofErr w:type="spellEnd"/>
      <w:r>
        <w:tab/>
        <w:t xml:space="preserve">Reaction 2 </w:t>
      </w:r>
      <w:r>
        <w:tab/>
      </w:r>
      <w:r>
        <w:tab/>
      </w:r>
    </w:p>
    <w:p w14:paraId="6A9669C7" w14:textId="353FC1BC" w:rsidR="009C2D10" w:rsidRDefault="00E152C6" w:rsidP="00727A4C">
      <w:r>
        <w:lastRenderedPageBreak/>
        <w:t>where NO</w:t>
      </w:r>
      <w:r w:rsidRPr="00314D99">
        <w:rPr>
          <w:vertAlign w:val="subscript"/>
        </w:rPr>
        <w:t>2</w:t>
      </w:r>
      <w:r>
        <w:t>* is an electronically excited NO</w:t>
      </w:r>
      <w:r w:rsidRPr="00314D99">
        <w:rPr>
          <w:vertAlign w:val="subscript"/>
        </w:rPr>
        <w:t>2</w:t>
      </w:r>
      <w:r>
        <w:t xml:space="preserve"> molecule that emits light </w:t>
      </w:r>
      <w:r w:rsidR="00632499">
        <w:t>(</w:t>
      </w:r>
      <w:proofErr w:type="spellStart"/>
      <w:r w:rsidR="00632499" w:rsidRPr="00E152C6">
        <w:t>h</w:t>
      </w:r>
      <w:r w:rsidR="00632499">
        <w:t>ν</w:t>
      </w:r>
      <w:proofErr w:type="spellEnd"/>
      <w:r w:rsidR="00632499">
        <w:t xml:space="preserve">) </w:t>
      </w:r>
      <w:r w:rsidR="008209BF">
        <w:t xml:space="preserve">with intensity </w:t>
      </w:r>
      <w:r>
        <w:t>proportional to the NO</w:t>
      </w:r>
      <w:r w:rsidR="00DF2589" w:rsidRPr="00F60D38">
        <w:rPr>
          <w:vertAlign w:val="subscript"/>
        </w:rPr>
        <w:t>2</w:t>
      </w:r>
      <w:r>
        <w:t xml:space="preserve"> concentration. </w:t>
      </w:r>
      <w:r w:rsidR="00314D99">
        <w:t xml:space="preserve">The </w:t>
      </w:r>
      <w:r w:rsidR="007548CA">
        <w:t xml:space="preserve">Teledyne API Model </w:t>
      </w:r>
      <w:r w:rsidR="00314D99">
        <w:t>T200UP</w:t>
      </w:r>
      <w:r w:rsidR="007548CA">
        <w:t xml:space="preserve"> Photolytic Conversion NO</w:t>
      </w:r>
      <w:r w:rsidR="007548CA">
        <w:rPr>
          <w:vertAlign w:val="subscript"/>
        </w:rPr>
        <w:t>2</w:t>
      </w:r>
      <w:r w:rsidR="007548CA">
        <w:t xml:space="preserve"> Analyzer (FEM EQNA-0512-200)</w:t>
      </w:r>
      <w:r w:rsidR="00314D99">
        <w:t xml:space="preserve"> includes a pre</w:t>
      </w:r>
      <w:r w:rsidR="007548CA">
        <w:t>-</w:t>
      </w:r>
      <w:r w:rsidR="00314D99">
        <w:t xml:space="preserve">reactor to account for interferences from radical formation due to hydrocarbons in the sampled air stream.  </w:t>
      </w:r>
    </w:p>
    <w:p w14:paraId="6461185F" w14:textId="65343D79" w:rsidR="002D30E0" w:rsidRPr="002D30E0" w:rsidRDefault="002D30E0" w:rsidP="00D26D90">
      <w:pPr>
        <w:spacing w:after="0"/>
        <w:jc w:val="center"/>
        <w:rPr>
          <w:b/>
        </w:rPr>
      </w:pPr>
      <w:r w:rsidRPr="002D30E0">
        <w:rPr>
          <w:b/>
        </w:rPr>
        <w:t xml:space="preserve">Table 1. </w:t>
      </w:r>
      <w:r w:rsidR="00A05EBF" w:rsidRPr="002D30E0">
        <w:rPr>
          <w:b/>
        </w:rPr>
        <w:t>Specifications</w:t>
      </w:r>
      <w:r w:rsidR="007427C0">
        <w:rPr>
          <w:b/>
          <w:vertAlign w:val="superscript"/>
        </w:rPr>
        <w:t>4</w:t>
      </w:r>
      <w:r w:rsidR="00627537">
        <w:rPr>
          <w:b/>
          <w:vertAlign w:val="superscript"/>
        </w:rPr>
        <w:t>,</w:t>
      </w:r>
      <w:r w:rsidR="007427C0">
        <w:rPr>
          <w:b/>
          <w:vertAlign w:val="superscript"/>
        </w:rPr>
        <w:t>5</w:t>
      </w:r>
      <w:r w:rsidR="00A05EBF" w:rsidRPr="002D30E0">
        <w:rPr>
          <w:b/>
        </w:rPr>
        <w:t xml:space="preserve"> </w:t>
      </w:r>
      <w:r w:rsidRPr="002D30E0">
        <w:rPr>
          <w:b/>
        </w:rPr>
        <w:t xml:space="preserve">for </w:t>
      </w:r>
      <w:r w:rsidR="008209BF">
        <w:rPr>
          <w:b/>
        </w:rPr>
        <w:t xml:space="preserve">Example </w:t>
      </w:r>
      <w:r w:rsidR="009627E0">
        <w:rPr>
          <w:b/>
        </w:rPr>
        <w:t>True NO</w:t>
      </w:r>
      <w:r w:rsidR="009627E0" w:rsidRPr="000E1CFF">
        <w:rPr>
          <w:b/>
          <w:vertAlign w:val="subscript"/>
        </w:rPr>
        <w:t>2</w:t>
      </w:r>
      <w:r w:rsidR="009627E0">
        <w:rPr>
          <w:b/>
        </w:rPr>
        <w:t xml:space="preserve"> </w:t>
      </w:r>
      <w:r w:rsidR="00A84A0E">
        <w:rPr>
          <w:b/>
        </w:rPr>
        <w:t>Instruments</w:t>
      </w:r>
    </w:p>
    <w:tbl>
      <w:tblPr>
        <w:tblStyle w:val="TableGrid"/>
        <w:tblW w:w="7285"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160"/>
        <w:gridCol w:w="2515"/>
        <w:gridCol w:w="2610"/>
      </w:tblGrid>
      <w:tr w:rsidR="00454C85" w:rsidRPr="003568A0" w14:paraId="358E3A2D" w14:textId="77777777" w:rsidTr="00F36A6F">
        <w:trPr>
          <w:jc w:val="center"/>
        </w:trPr>
        <w:tc>
          <w:tcPr>
            <w:tcW w:w="2160" w:type="dxa"/>
            <w:shd w:val="clear" w:color="auto" w:fill="D9D9D9" w:themeFill="background1" w:themeFillShade="D9"/>
          </w:tcPr>
          <w:p w14:paraId="7BF0E2A7" w14:textId="77777777" w:rsidR="00454C85" w:rsidRPr="00F36A6F" w:rsidRDefault="00454C85" w:rsidP="00727A4C">
            <w:pPr>
              <w:rPr>
                <w:b/>
                <w:sz w:val="20"/>
                <w:szCs w:val="20"/>
              </w:rPr>
            </w:pPr>
            <w:r w:rsidRPr="00F36A6F">
              <w:rPr>
                <w:b/>
                <w:sz w:val="20"/>
                <w:szCs w:val="20"/>
              </w:rPr>
              <w:t>Make &amp; Model</w:t>
            </w:r>
          </w:p>
        </w:tc>
        <w:tc>
          <w:tcPr>
            <w:tcW w:w="2515" w:type="dxa"/>
            <w:shd w:val="clear" w:color="auto" w:fill="D9D9D9" w:themeFill="background1" w:themeFillShade="D9"/>
          </w:tcPr>
          <w:p w14:paraId="63342151" w14:textId="77777777" w:rsidR="00454C85" w:rsidRPr="00F36A6F" w:rsidRDefault="00454C85" w:rsidP="001372E6">
            <w:pPr>
              <w:jc w:val="center"/>
              <w:rPr>
                <w:b/>
                <w:sz w:val="20"/>
                <w:szCs w:val="20"/>
              </w:rPr>
            </w:pPr>
            <w:r w:rsidRPr="00F36A6F">
              <w:rPr>
                <w:b/>
                <w:sz w:val="20"/>
                <w:szCs w:val="20"/>
              </w:rPr>
              <w:t>Teledyne API T500U</w:t>
            </w:r>
          </w:p>
        </w:tc>
        <w:tc>
          <w:tcPr>
            <w:tcW w:w="2610" w:type="dxa"/>
            <w:shd w:val="clear" w:color="auto" w:fill="D9D9D9" w:themeFill="background1" w:themeFillShade="D9"/>
          </w:tcPr>
          <w:p w14:paraId="0DBD6311" w14:textId="00F89B59" w:rsidR="00454C85" w:rsidRPr="00F36A6F" w:rsidRDefault="00454C85" w:rsidP="001372E6">
            <w:pPr>
              <w:jc w:val="center"/>
              <w:rPr>
                <w:b/>
                <w:sz w:val="20"/>
                <w:szCs w:val="20"/>
              </w:rPr>
            </w:pPr>
            <w:r w:rsidRPr="00F36A6F">
              <w:rPr>
                <w:b/>
                <w:sz w:val="20"/>
                <w:szCs w:val="20"/>
              </w:rPr>
              <w:t>Teledyne API T200UP</w:t>
            </w:r>
          </w:p>
        </w:tc>
      </w:tr>
      <w:tr w:rsidR="00454C85" w:rsidRPr="003568A0" w14:paraId="396F7A5D" w14:textId="77777777" w:rsidTr="00F36A6F">
        <w:trPr>
          <w:trHeight w:val="188"/>
          <w:jc w:val="center"/>
        </w:trPr>
        <w:tc>
          <w:tcPr>
            <w:tcW w:w="2160" w:type="dxa"/>
          </w:tcPr>
          <w:p w14:paraId="2C5A9043" w14:textId="77777777" w:rsidR="00454C85" w:rsidRPr="00F36A6F" w:rsidRDefault="00454C85" w:rsidP="005D1614">
            <w:pPr>
              <w:rPr>
                <w:b/>
                <w:sz w:val="20"/>
                <w:szCs w:val="20"/>
              </w:rPr>
            </w:pPr>
            <w:r w:rsidRPr="00F36A6F">
              <w:rPr>
                <w:b/>
                <w:sz w:val="20"/>
                <w:szCs w:val="20"/>
              </w:rPr>
              <w:t>Method</w:t>
            </w:r>
          </w:p>
        </w:tc>
        <w:tc>
          <w:tcPr>
            <w:tcW w:w="2515" w:type="dxa"/>
          </w:tcPr>
          <w:p w14:paraId="295D31DC" w14:textId="77777777" w:rsidR="00454C85" w:rsidRPr="00F36A6F" w:rsidRDefault="00454C85" w:rsidP="005D1614">
            <w:pPr>
              <w:rPr>
                <w:sz w:val="20"/>
                <w:szCs w:val="20"/>
              </w:rPr>
            </w:pPr>
            <w:r w:rsidRPr="00F36A6F">
              <w:rPr>
                <w:sz w:val="20"/>
                <w:szCs w:val="20"/>
              </w:rPr>
              <w:t>CAPS</w:t>
            </w:r>
          </w:p>
        </w:tc>
        <w:tc>
          <w:tcPr>
            <w:tcW w:w="2610" w:type="dxa"/>
          </w:tcPr>
          <w:p w14:paraId="1953A862" w14:textId="77777777" w:rsidR="00454C85" w:rsidRPr="00F36A6F" w:rsidRDefault="00454C85" w:rsidP="005D1614">
            <w:pPr>
              <w:rPr>
                <w:sz w:val="20"/>
                <w:szCs w:val="20"/>
              </w:rPr>
            </w:pPr>
            <w:r w:rsidRPr="00F36A6F">
              <w:rPr>
                <w:sz w:val="20"/>
                <w:szCs w:val="20"/>
              </w:rPr>
              <w:t>Photolytic Conversion with Chemiluminescent Detection</w:t>
            </w:r>
          </w:p>
        </w:tc>
      </w:tr>
      <w:tr w:rsidR="00454C85" w:rsidRPr="003568A0" w14:paraId="00A2AE1B" w14:textId="77777777" w:rsidTr="00F36A6F">
        <w:trPr>
          <w:jc w:val="center"/>
        </w:trPr>
        <w:tc>
          <w:tcPr>
            <w:tcW w:w="2160" w:type="dxa"/>
          </w:tcPr>
          <w:p w14:paraId="04B6158F" w14:textId="2A65D606" w:rsidR="00454C85" w:rsidRPr="00F36A6F" w:rsidRDefault="00627537" w:rsidP="005D1614">
            <w:pPr>
              <w:rPr>
                <w:b/>
                <w:sz w:val="20"/>
                <w:szCs w:val="20"/>
              </w:rPr>
            </w:pPr>
            <w:r w:rsidRPr="00F36A6F">
              <w:rPr>
                <w:b/>
                <w:sz w:val="20"/>
                <w:szCs w:val="20"/>
              </w:rPr>
              <w:t>NO</w:t>
            </w:r>
            <w:r w:rsidRPr="00F36A6F">
              <w:rPr>
                <w:b/>
                <w:sz w:val="20"/>
                <w:szCs w:val="20"/>
                <w:vertAlign w:val="subscript"/>
              </w:rPr>
              <w:t>2</w:t>
            </w:r>
            <w:r w:rsidRPr="00F36A6F">
              <w:rPr>
                <w:b/>
                <w:sz w:val="20"/>
                <w:szCs w:val="20"/>
              </w:rPr>
              <w:t xml:space="preserve"> </w:t>
            </w:r>
            <w:r w:rsidR="00454C85" w:rsidRPr="00F36A6F">
              <w:rPr>
                <w:b/>
                <w:sz w:val="20"/>
                <w:szCs w:val="20"/>
              </w:rPr>
              <w:t>Measurement Range</w:t>
            </w:r>
          </w:p>
        </w:tc>
        <w:tc>
          <w:tcPr>
            <w:tcW w:w="2515" w:type="dxa"/>
          </w:tcPr>
          <w:p w14:paraId="5865C545" w14:textId="48EEE44F" w:rsidR="00454C85" w:rsidRPr="00F36A6F" w:rsidRDefault="00D77089" w:rsidP="005D1614">
            <w:pPr>
              <w:rPr>
                <w:sz w:val="20"/>
                <w:szCs w:val="20"/>
              </w:rPr>
            </w:pPr>
            <w:r w:rsidRPr="00F36A6F">
              <w:rPr>
                <w:sz w:val="20"/>
                <w:szCs w:val="20"/>
              </w:rPr>
              <w:t xml:space="preserve">Minimum </w:t>
            </w:r>
            <w:r w:rsidR="00454C85" w:rsidRPr="00F36A6F">
              <w:rPr>
                <w:sz w:val="20"/>
                <w:szCs w:val="20"/>
              </w:rPr>
              <w:t xml:space="preserve">0 - 5 ppb </w:t>
            </w:r>
          </w:p>
          <w:p w14:paraId="534DDC5B" w14:textId="0FB98837" w:rsidR="00454C85" w:rsidRPr="00F36A6F" w:rsidRDefault="00D77089" w:rsidP="005D1614">
            <w:pPr>
              <w:rPr>
                <w:sz w:val="20"/>
                <w:szCs w:val="20"/>
              </w:rPr>
            </w:pPr>
            <w:r w:rsidRPr="00F36A6F">
              <w:rPr>
                <w:sz w:val="20"/>
                <w:szCs w:val="20"/>
              </w:rPr>
              <w:t xml:space="preserve">Maximum </w:t>
            </w:r>
            <w:r w:rsidR="00454C85" w:rsidRPr="00F36A6F">
              <w:rPr>
                <w:sz w:val="20"/>
                <w:szCs w:val="20"/>
              </w:rPr>
              <w:t xml:space="preserve">0 - 1 ppm </w:t>
            </w:r>
          </w:p>
        </w:tc>
        <w:tc>
          <w:tcPr>
            <w:tcW w:w="2610" w:type="dxa"/>
          </w:tcPr>
          <w:p w14:paraId="693A176F" w14:textId="5BAB4D77" w:rsidR="00454C85" w:rsidRPr="00F36A6F" w:rsidRDefault="00D77089" w:rsidP="005D1614">
            <w:pPr>
              <w:rPr>
                <w:sz w:val="20"/>
                <w:szCs w:val="20"/>
              </w:rPr>
            </w:pPr>
            <w:r w:rsidRPr="00F36A6F">
              <w:rPr>
                <w:sz w:val="20"/>
                <w:szCs w:val="20"/>
              </w:rPr>
              <w:t xml:space="preserve">Minimum </w:t>
            </w:r>
            <w:r w:rsidR="00454C85" w:rsidRPr="00F36A6F">
              <w:rPr>
                <w:sz w:val="20"/>
                <w:szCs w:val="20"/>
              </w:rPr>
              <w:t xml:space="preserve">0 - 5 ppb </w:t>
            </w:r>
          </w:p>
          <w:p w14:paraId="74A1DCDB" w14:textId="1F75DF5A" w:rsidR="00454C85" w:rsidRPr="00F36A6F" w:rsidRDefault="00D77089" w:rsidP="005D1614">
            <w:pPr>
              <w:rPr>
                <w:sz w:val="20"/>
                <w:szCs w:val="20"/>
              </w:rPr>
            </w:pPr>
            <w:r w:rsidRPr="00F36A6F">
              <w:rPr>
                <w:sz w:val="20"/>
                <w:szCs w:val="20"/>
              </w:rPr>
              <w:t xml:space="preserve">Maximum </w:t>
            </w:r>
            <w:r w:rsidR="00454C85" w:rsidRPr="00F36A6F">
              <w:rPr>
                <w:sz w:val="20"/>
                <w:szCs w:val="20"/>
              </w:rPr>
              <w:t>0 - 2,000 ppb</w:t>
            </w:r>
          </w:p>
        </w:tc>
      </w:tr>
      <w:tr w:rsidR="00454C85" w:rsidRPr="003568A0" w14:paraId="3D0B98FD" w14:textId="77777777" w:rsidTr="00F36A6F">
        <w:trPr>
          <w:jc w:val="center"/>
        </w:trPr>
        <w:tc>
          <w:tcPr>
            <w:tcW w:w="2160" w:type="dxa"/>
          </w:tcPr>
          <w:p w14:paraId="7BFDEEB0" w14:textId="55C7C3DE" w:rsidR="00454C85" w:rsidRPr="00F36A6F" w:rsidRDefault="00454C85" w:rsidP="005D1614">
            <w:pPr>
              <w:rPr>
                <w:b/>
                <w:sz w:val="20"/>
                <w:szCs w:val="20"/>
              </w:rPr>
            </w:pPr>
            <w:r w:rsidRPr="00F36A6F">
              <w:rPr>
                <w:b/>
                <w:sz w:val="20"/>
                <w:szCs w:val="20"/>
              </w:rPr>
              <w:t xml:space="preserve">Detection </w:t>
            </w:r>
            <w:r w:rsidR="008209BF" w:rsidRPr="00F36A6F">
              <w:rPr>
                <w:b/>
                <w:sz w:val="20"/>
                <w:szCs w:val="20"/>
              </w:rPr>
              <w:t>L</w:t>
            </w:r>
            <w:r w:rsidRPr="00F36A6F">
              <w:rPr>
                <w:b/>
                <w:sz w:val="20"/>
                <w:szCs w:val="20"/>
              </w:rPr>
              <w:t>imit</w:t>
            </w:r>
          </w:p>
        </w:tc>
        <w:tc>
          <w:tcPr>
            <w:tcW w:w="2515" w:type="dxa"/>
          </w:tcPr>
          <w:p w14:paraId="57BACE92" w14:textId="6BB1FC3B" w:rsidR="00454C85" w:rsidRPr="00F36A6F" w:rsidRDefault="00454C85" w:rsidP="005D1614">
            <w:pPr>
              <w:rPr>
                <w:sz w:val="20"/>
                <w:szCs w:val="20"/>
              </w:rPr>
            </w:pPr>
            <w:r w:rsidRPr="00F36A6F">
              <w:rPr>
                <w:sz w:val="20"/>
                <w:szCs w:val="20"/>
              </w:rPr>
              <w:t xml:space="preserve">&lt; </w:t>
            </w:r>
            <w:r w:rsidR="002B67AE" w:rsidRPr="00F36A6F">
              <w:rPr>
                <w:sz w:val="20"/>
                <w:szCs w:val="20"/>
              </w:rPr>
              <w:t>0.0</w:t>
            </w:r>
            <w:r w:rsidRPr="00F36A6F">
              <w:rPr>
                <w:sz w:val="20"/>
                <w:szCs w:val="20"/>
              </w:rPr>
              <w:t>40 pp</w:t>
            </w:r>
            <w:r w:rsidR="002B67AE" w:rsidRPr="00F36A6F">
              <w:rPr>
                <w:sz w:val="20"/>
                <w:szCs w:val="20"/>
              </w:rPr>
              <w:t>b</w:t>
            </w:r>
          </w:p>
        </w:tc>
        <w:tc>
          <w:tcPr>
            <w:tcW w:w="2610" w:type="dxa"/>
          </w:tcPr>
          <w:p w14:paraId="206E2845" w14:textId="26264272" w:rsidR="00454C85" w:rsidRPr="00F36A6F" w:rsidRDefault="00454C85" w:rsidP="005D1614">
            <w:pPr>
              <w:rPr>
                <w:sz w:val="20"/>
                <w:szCs w:val="20"/>
              </w:rPr>
            </w:pPr>
            <w:r w:rsidRPr="00F36A6F">
              <w:rPr>
                <w:sz w:val="20"/>
                <w:szCs w:val="20"/>
              </w:rPr>
              <w:t xml:space="preserve">&lt; </w:t>
            </w:r>
            <w:r w:rsidR="002B67AE" w:rsidRPr="00F36A6F">
              <w:rPr>
                <w:sz w:val="20"/>
                <w:szCs w:val="20"/>
              </w:rPr>
              <w:t>0.0</w:t>
            </w:r>
            <w:r w:rsidRPr="00F36A6F">
              <w:rPr>
                <w:sz w:val="20"/>
                <w:szCs w:val="20"/>
              </w:rPr>
              <w:t>50 pp</w:t>
            </w:r>
            <w:r w:rsidR="002B67AE" w:rsidRPr="00F36A6F">
              <w:rPr>
                <w:sz w:val="20"/>
                <w:szCs w:val="20"/>
              </w:rPr>
              <w:t>b</w:t>
            </w:r>
          </w:p>
        </w:tc>
      </w:tr>
      <w:tr w:rsidR="00454C85" w:rsidRPr="003568A0" w14:paraId="1A3CFA02" w14:textId="77777777" w:rsidTr="00F36A6F">
        <w:trPr>
          <w:jc w:val="center"/>
        </w:trPr>
        <w:tc>
          <w:tcPr>
            <w:tcW w:w="2160" w:type="dxa"/>
          </w:tcPr>
          <w:p w14:paraId="00F8E50D" w14:textId="77777777" w:rsidR="00454C85" w:rsidRPr="00F36A6F" w:rsidRDefault="00454C85" w:rsidP="00010A80">
            <w:pPr>
              <w:rPr>
                <w:b/>
                <w:sz w:val="20"/>
                <w:szCs w:val="20"/>
              </w:rPr>
            </w:pPr>
            <w:r w:rsidRPr="00F36A6F">
              <w:rPr>
                <w:b/>
                <w:sz w:val="20"/>
                <w:szCs w:val="20"/>
              </w:rPr>
              <w:t>Inlet Flowrate</w:t>
            </w:r>
          </w:p>
        </w:tc>
        <w:tc>
          <w:tcPr>
            <w:tcW w:w="2515" w:type="dxa"/>
          </w:tcPr>
          <w:p w14:paraId="6777CD9B" w14:textId="24CFCF2E" w:rsidR="00454C85" w:rsidRPr="00F36A6F" w:rsidRDefault="00454C85" w:rsidP="00010A80">
            <w:pPr>
              <w:rPr>
                <w:sz w:val="20"/>
                <w:szCs w:val="20"/>
              </w:rPr>
            </w:pPr>
            <w:r w:rsidRPr="00F36A6F">
              <w:rPr>
                <w:sz w:val="20"/>
                <w:szCs w:val="20"/>
              </w:rPr>
              <w:t>900</w:t>
            </w:r>
            <w:r w:rsidR="00627537" w:rsidRPr="00F36A6F">
              <w:rPr>
                <w:sz w:val="20"/>
                <w:szCs w:val="20"/>
              </w:rPr>
              <w:t xml:space="preserve"> ± 90</w:t>
            </w:r>
            <w:r w:rsidRPr="00F36A6F">
              <w:rPr>
                <w:sz w:val="20"/>
                <w:szCs w:val="20"/>
              </w:rPr>
              <w:t xml:space="preserve"> c</w:t>
            </w:r>
            <w:r w:rsidR="00627537" w:rsidRPr="00F36A6F">
              <w:rPr>
                <w:sz w:val="20"/>
                <w:szCs w:val="20"/>
              </w:rPr>
              <w:t>m</w:t>
            </w:r>
            <w:r w:rsidR="00627537" w:rsidRPr="00F36A6F">
              <w:rPr>
                <w:sz w:val="20"/>
                <w:szCs w:val="20"/>
                <w:vertAlign w:val="superscript"/>
              </w:rPr>
              <w:t>3</w:t>
            </w:r>
            <w:r w:rsidRPr="00F36A6F">
              <w:rPr>
                <w:sz w:val="20"/>
                <w:szCs w:val="20"/>
              </w:rPr>
              <w:t>/min</w:t>
            </w:r>
            <w:r w:rsidR="002B67AE" w:rsidRPr="00F36A6F">
              <w:rPr>
                <w:sz w:val="20"/>
                <w:szCs w:val="20"/>
              </w:rPr>
              <w:t>ute</w:t>
            </w:r>
          </w:p>
        </w:tc>
        <w:tc>
          <w:tcPr>
            <w:tcW w:w="2610" w:type="dxa"/>
          </w:tcPr>
          <w:p w14:paraId="77A5445F" w14:textId="534BE14A" w:rsidR="00454C85" w:rsidRPr="00F36A6F" w:rsidRDefault="00454C85" w:rsidP="00010A80">
            <w:pPr>
              <w:rPr>
                <w:sz w:val="20"/>
                <w:szCs w:val="20"/>
              </w:rPr>
            </w:pPr>
            <w:r w:rsidRPr="00F36A6F">
              <w:rPr>
                <w:sz w:val="20"/>
                <w:szCs w:val="20"/>
              </w:rPr>
              <w:t xml:space="preserve">1100 </w:t>
            </w:r>
            <w:r w:rsidR="002B67AE" w:rsidRPr="00F36A6F">
              <w:rPr>
                <w:sz w:val="20"/>
                <w:szCs w:val="20"/>
              </w:rPr>
              <w:t xml:space="preserve">± 110 </w:t>
            </w:r>
            <w:r w:rsidR="00627537" w:rsidRPr="00F36A6F">
              <w:rPr>
                <w:sz w:val="20"/>
                <w:szCs w:val="20"/>
              </w:rPr>
              <w:t>cm</w:t>
            </w:r>
            <w:r w:rsidR="00627537" w:rsidRPr="00F36A6F">
              <w:rPr>
                <w:sz w:val="20"/>
                <w:szCs w:val="20"/>
                <w:vertAlign w:val="superscript"/>
              </w:rPr>
              <w:t>3</w:t>
            </w:r>
            <w:r w:rsidR="00627537" w:rsidRPr="00F36A6F">
              <w:rPr>
                <w:sz w:val="20"/>
                <w:szCs w:val="20"/>
              </w:rPr>
              <w:t>/min</w:t>
            </w:r>
            <w:r w:rsidR="002B67AE" w:rsidRPr="00F36A6F">
              <w:rPr>
                <w:sz w:val="20"/>
                <w:szCs w:val="20"/>
              </w:rPr>
              <w:t>ute</w:t>
            </w:r>
          </w:p>
        </w:tc>
      </w:tr>
      <w:tr w:rsidR="00454C85" w:rsidRPr="003568A0" w14:paraId="14188945" w14:textId="77777777" w:rsidTr="00F36A6F">
        <w:trPr>
          <w:jc w:val="center"/>
        </w:trPr>
        <w:tc>
          <w:tcPr>
            <w:tcW w:w="2160" w:type="dxa"/>
          </w:tcPr>
          <w:p w14:paraId="304FDE31" w14:textId="77777777" w:rsidR="00454C85" w:rsidRPr="00F36A6F" w:rsidRDefault="00454C85" w:rsidP="00010A80">
            <w:pPr>
              <w:rPr>
                <w:b/>
                <w:sz w:val="20"/>
                <w:szCs w:val="20"/>
              </w:rPr>
            </w:pPr>
            <w:r w:rsidRPr="00F36A6F">
              <w:rPr>
                <w:b/>
                <w:sz w:val="20"/>
                <w:szCs w:val="20"/>
              </w:rPr>
              <w:t>Inlet filter</w:t>
            </w:r>
          </w:p>
        </w:tc>
        <w:tc>
          <w:tcPr>
            <w:tcW w:w="2515" w:type="dxa"/>
          </w:tcPr>
          <w:p w14:paraId="030BD1E0" w14:textId="02FE0187" w:rsidR="00454C85" w:rsidRPr="00F36A6F" w:rsidRDefault="00454C85" w:rsidP="00010A80">
            <w:pPr>
              <w:rPr>
                <w:sz w:val="20"/>
                <w:szCs w:val="20"/>
              </w:rPr>
            </w:pPr>
            <w:r w:rsidRPr="00F36A6F">
              <w:rPr>
                <w:sz w:val="20"/>
                <w:szCs w:val="20"/>
              </w:rPr>
              <w:t>Yes</w:t>
            </w:r>
          </w:p>
        </w:tc>
        <w:tc>
          <w:tcPr>
            <w:tcW w:w="2610" w:type="dxa"/>
          </w:tcPr>
          <w:p w14:paraId="6483170F" w14:textId="76D6F533" w:rsidR="00454C85" w:rsidRPr="00F36A6F" w:rsidRDefault="00454C85" w:rsidP="00010A80">
            <w:pPr>
              <w:rPr>
                <w:sz w:val="20"/>
                <w:szCs w:val="20"/>
              </w:rPr>
            </w:pPr>
            <w:r w:rsidRPr="00F36A6F">
              <w:rPr>
                <w:sz w:val="20"/>
                <w:szCs w:val="20"/>
              </w:rPr>
              <w:t>Yes</w:t>
            </w:r>
          </w:p>
        </w:tc>
      </w:tr>
      <w:tr w:rsidR="00454C85" w:rsidRPr="003568A0" w14:paraId="718B2350" w14:textId="77777777" w:rsidTr="00F36A6F">
        <w:trPr>
          <w:jc w:val="center"/>
        </w:trPr>
        <w:tc>
          <w:tcPr>
            <w:tcW w:w="2160" w:type="dxa"/>
          </w:tcPr>
          <w:p w14:paraId="0C56E859" w14:textId="77777777" w:rsidR="00454C85" w:rsidRPr="00F36A6F" w:rsidRDefault="00454C85" w:rsidP="00010A80">
            <w:pPr>
              <w:rPr>
                <w:b/>
                <w:sz w:val="20"/>
                <w:szCs w:val="20"/>
              </w:rPr>
            </w:pPr>
            <w:r w:rsidRPr="00F36A6F">
              <w:rPr>
                <w:b/>
                <w:sz w:val="20"/>
                <w:szCs w:val="20"/>
              </w:rPr>
              <w:t>Sample dryer</w:t>
            </w:r>
          </w:p>
        </w:tc>
        <w:tc>
          <w:tcPr>
            <w:tcW w:w="2515" w:type="dxa"/>
          </w:tcPr>
          <w:p w14:paraId="7D1C4E5C" w14:textId="414DAEBD" w:rsidR="00454C85" w:rsidRPr="00F36A6F" w:rsidRDefault="00627537" w:rsidP="00010A80">
            <w:pPr>
              <w:rPr>
                <w:sz w:val="20"/>
                <w:szCs w:val="20"/>
              </w:rPr>
            </w:pPr>
            <w:r w:rsidRPr="00F36A6F">
              <w:rPr>
                <w:sz w:val="20"/>
                <w:szCs w:val="20"/>
              </w:rPr>
              <w:t>none</w:t>
            </w:r>
          </w:p>
        </w:tc>
        <w:tc>
          <w:tcPr>
            <w:tcW w:w="2610" w:type="dxa"/>
          </w:tcPr>
          <w:p w14:paraId="3D40946E" w14:textId="5C3569D7" w:rsidR="00454C85" w:rsidRPr="00F36A6F" w:rsidRDefault="00454C85" w:rsidP="00010A80">
            <w:pPr>
              <w:rPr>
                <w:sz w:val="20"/>
                <w:szCs w:val="20"/>
              </w:rPr>
            </w:pPr>
            <w:proofErr w:type="spellStart"/>
            <w:r w:rsidRPr="00F36A6F">
              <w:rPr>
                <w:sz w:val="20"/>
                <w:szCs w:val="20"/>
              </w:rPr>
              <w:t>Nafion</w:t>
            </w:r>
            <w:proofErr w:type="spellEnd"/>
            <w:r w:rsidRPr="00F36A6F">
              <w:rPr>
                <w:sz w:val="20"/>
                <w:szCs w:val="20"/>
                <w:vertAlign w:val="superscript"/>
              </w:rPr>
              <w:t>®</w:t>
            </w:r>
          </w:p>
        </w:tc>
      </w:tr>
      <w:tr w:rsidR="00454C85" w:rsidRPr="003568A0" w14:paraId="5F3D44AF" w14:textId="77777777" w:rsidTr="00F36A6F">
        <w:trPr>
          <w:jc w:val="center"/>
        </w:trPr>
        <w:tc>
          <w:tcPr>
            <w:tcW w:w="2160" w:type="dxa"/>
          </w:tcPr>
          <w:p w14:paraId="01D6AEB9" w14:textId="082A4D80" w:rsidR="00454C85" w:rsidRPr="00F36A6F" w:rsidRDefault="00454C85" w:rsidP="00D26D90">
            <w:pPr>
              <w:spacing w:after="0"/>
              <w:rPr>
                <w:b/>
                <w:sz w:val="20"/>
                <w:szCs w:val="20"/>
              </w:rPr>
            </w:pPr>
            <w:r w:rsidRPr="00F36A6F">
              <w:rPr>
                <w:b/>
                <w:sz w:val="20"/>
                <w:szCs w:val="20"/>
              </w:rPr>
              <w:t>Dimensions</w:t>
            </w:r>
          </w:p>
          <w:p w14:paraId="23F9B006" w14:textId="77777777" w:rsidR="00454C85" w:rsidRPr="00F36A6F" w:rsidRDefault="00454C85" w:rsidP="00010A80">
            <w:pPr>
              <w:rPr>
                <w:b/>
                <w:sz w:val="20"/>
                <w:szCs w:val="20"/>
              </w:rPr>
            </w:pPr>
            <w:r w:rsidRPr="00F36A6F">
              <w:rPr>
                <w:b/>
                <w:sz w:val="20"/>
                <w:szCs w:val="20"/>
              </w:rPr>
              <w:t xml:space="preserve">(L </w:t>
            </w:r>
            <w:r w:rsidRPr="00F36A6F">
              <w:rPr>
                <w:sz w:val="20"/>
                <w:szCs w:val="20"/>
              </w:rPr>
              <w:sym w:font="Symbol" w:char="F0B4"/>
            </w:r>
            <w:r w:rsidRPr="00F36A6F">
              <w:rPr>
                <w:sz w:val="20"/>
                <w:szCs w:val="20"/>
              </w:rPr>
              <w:t xml:space="preserve"> </w:t>
            </w:r>
            <w:r w:rsidRPr="00F36A6F">
              <w:rPr>
                <w:b/>
                <w:sz w:val="20"/>
                <w:szCs w:val="20"/>
              </w:rPr>
              <w:t xml:space="preserve">W </w:t>
            </w:r>
            <w:r w:rsidRPr="00F36A6F">
              <w:rPr>
                <w:sz w:val="20"/>
                <w:szCs w:val="20"/>
              </w:rPr>
              <w:sym w:font="Symbol" w:char="F0B4"/>
            </w:r>
            <w:r w:rsidRPr="00F36A6F">
              <w:rPr>
                <w:sz w:val="20"/>
                <w:szCs w:val="20"/>
              </w:rPr>
              <w:t xml:space="preserve"> </w:t>
            </w:r>
            <w:r w:rsidRPr="00F36A6F">
              <w:rPr>
                <w:b/>
                <w:sz w:val="20"/>
                <w:szCs w:val="20"/>
              </w:rPr>
              <w:t>H)</w:t>
            </w:r>
          </w:p>
        </w:tc>
        <w:tc>
          <w:tcPr>
            <w:tcW w:w="2515" w:type="dxa"/>
          </w:tcPr>
          <w:p w14:paraId="3CE28E3B" w14:textId="77777777" w:rsidR="00454C85" w:rsidRPr="00F36A6F" w:rsidRDefault="00454C85" w:rsidP="00010A80">
            <w:pPr>
              <w:rPr>
                <w:sz w:val="20"/>
                <w:szCs w:val="20"/>
              </w:rPr>
            </w:pPr>
            <w:r w:rsidRPr="00F36A6F">
              <w:rPr>
                <w:sz w:val="20"/>
                <w:szCs w:val="20"/>
              </w:rPr>
              <w:t xml:space="preserve">597 </w:t>
            </w:r>
            <w:r w:rsidRPr="00F36A6F">
              <w:rPr>
                <w:sz w:val="20"/>
                <w:szCs w:val="20"/>
              </w:rPr>
              <w:sym w:font="Symbol" w:char="F0B4"/>
            </w:r>
            <w:r w:rsidRPr="00F36A6F">
              <w:rPr>
                <w:sz w:val="20"/>
                <w:szCs w:val="20"/>
              </w:rPr>
              <w:t xml:space="preserve"> 432 </w:t>
            </w:r>
            <w:r w:rsidRPr="00F36A6F">
              <w:rPr>
                <w:sz w:val="20"/>
                <w:szCs w:val="20"/>
              </w:rPr>
              <w:sym w:font="Symbol" w:char="F0B4"/>
            </w:r>
            <w:r w:rsidRPr="00F36A6F">
              <w:rPr>
                <w:sz w:val="20"/>
                <w:szCs w:val="20"/>
              </w:rPr>
              <w:t xml:space="preserve"> 178 mm</w:t>
            </w:r>
          </w:p>
        </w:tc>
        <w:tc>
          <w:tcPr>
            <w:tcW w:w="2610" w:type="dxa"/>
          </w:tcPr>
          <w:p w14:paraId="29E55D69" w14:textId="77777777" w:rsidR="00454C85" w:rsidRPr="00F36A6F" w:rsidRDefault="00454C85" w:rsidP="00010A80">
            <w:pPr>
              <w:rPr>
                <w:sz w:val="20"/>
                <w:szCs w:val="20"/>
              </w:rPr>
            </w:pPr>
            <w:r w:rsidRPr="00F36A6F">
              <w:rPr>
                <w:sz w:val="20"/>
                <w:szCs w:val="20"/>
              </w:rPr>
              <w:t xml:space="preserve">597 </w:t>
            </w:r>
            <w:r w:rsidRPr="00F36A6F">
              <w:rPr>
                <w:sz w:val="20"/>
                <w:szCs w:val="20"/>
              </w:rPr>
              <w:sym w:font="Symbol" w:char="F0B4"/>
            </w:r>
            <w:r w:rsidRPr="00F36A6F">
              <w:rPr>
                <w:sz w:val="20"/>
                <w:szCs w:val="20"/>
              </w:rPr>
              <w:t xml:space="preserve"> 432 </w:t>
            </w:r>
            <w:r w:rsidRPr="00F36A6F">
              <w:rPr>
                <w:sz w:val="20"/>
                <w:szCs w:val="20"/>
              </w:rPr>
              <w:sym w:font="Symbol" w:char="F0B4"/>
            </w:r>
            <w:r w:rsidRPr="00F36A6F">
              <w:rPr>
                <w:sz w:val="20"/>
                <w:szCs w:val="20"/>
              </w:rPr>
              <w:t xml:space="preserve"> 178 mm</w:t>
            </w:r>
          </w:p>
        </w:tc>
      </w:tr>
      <w:tr w:rsidR="00454C85" w:rsidRPr="003568A0" w14:paraId="3D7698B7" w14:textId="77777777" w:rsidTr="00F36A6F">
        <w:trPr>
          <w:jc w:val="center"/>
        </w:trPr>
        <w:tc>
          <w:tcPr>
            <w:tcW w:w="2160" w:type="dxa"/>
          </w:tcPr>
          <w:p w14:paraId="4C80C89D" w14:textId="77777777" w:rsidR="00454C85" w:rsidRPr="00F36A6F" w:rsidRDefault="00454C85" w:rsidP="00010A80">
            <w:pPr>
              <w:rPr>
                <w:b/>
                <w:sz w:val="20"/>
                <w:szCs w:val="20"/>
              </w:rPr>
            </w:pPr>
            <w:r w:rsidRPr="00F36A6F">
              <w:rPr>
                <w:b/>
                <w:sz w:val="20"/>
                <w:szCs w:val="20"/>
              </w:rPr>
              <w:t>Weight (kg)</w:t>
            </w:r>
          </w:p>
        </w:tc>
        <w:tc>
          <w:tcPr>
            <w:tcW w:w="2515" w:type="dxa"/>
          </w:tcPr>
          <w:p w14:paraId="039CFD1D" w14:textId="77777777" w:rsidR="00454C85" w:rsidRPr="00F36A6F" w:rsidRDefault="00454C85" w:rsidP="00010A80">
            <w:pPr>
              <w:rPr>
                <w:sz w:val="20"/>
                <w:szCs w:val="20"/>
              </w:rPr>
            </w:pPr>
            <w:r w:rsidRPr="00F36A6F">
              <w:rPr>
                <w:sz w:val="20"/>
                <w:szCs w:val="20"/>
              </w:rPr>
              <w:t>15</w:t>
            </w:r>
          </w:p>
        </w:tc>
        <w:tc>
          <w:tcPr>
            <w:tcW w:w="2610" w:type="dxa"/>
          </w:tcPr>
          <w:p w14:paraId="799EF3E9" w14:textId="3A4A3B4D" w:rsidR="00454C85" w:rsidRPr="00F36A6F" w:rsidRDefault="00454C85" w:rsidP="00D26D90">
            <w:pPr>
              <w:spacing w:after="0"/>
              <w:rPr>
                <w:sz w:val="20"/>
                <w:szCs w:val="20"/>
              </w:rPr>
            </w:pPr>
            <w:r w:rsidRPr="00F36A6F">
              <w:rPr>
                <w:sz w:val="20"/>
                <w:szCs w:val="20"/>
              </w:rPr>
              <w:t xml:space="preserve">18 </w:t>
            </w:r>
            <w:r w:rsidR="008209BF" w:rsidRPr="00F36A6F">
              <w:rPr>
                <w:sz w:val="20"/>
                <w:szCs w:val="20"/>
              </w:rPr>
              <w:t>(</w:t>
            </w:r>
            <w:r w:rsidRPr="00F36A6F">
              <w:rPr>
                <w:sz w:val="20"/>
                <w:szCs w:val="20"/>
              </w:rPr>
              <w:t>Analyzer</w:t>
            </w:r>
            <w:r w:rsidR="008209BF" w:rsidRPr="00F36A6F">
              <w:rPr>
                <w:sz w:val="20"/>
                <w:szCs w:val="20"/>
              </w:rPr>
              <w:t>)</w:t>
            </w:r>
          </w:p>
          <w:p w14:paraId="62003824" w14:textId="77777777" w:rsidR="00454C85" w:rsidRPr="00F36A6F" w:rsidRDefault="00454C85" w:rsidP="00010A80">
            <w:pPr>
              <w:rPr>
                <w:sz w:val="20"/>
                <w:szCs w:val="20"/>
              </w:rPr>
            </w:pPr>
            <w:r w:rsidRPr="00F36A6F">
              <w:rPr>
                <w:sz w:val="20"/>
                <w:szCs w:val="20"/>
              </w:rPr>
              <w:t xml:space="preserve">9.5 External pump </w:t>
            </w:r>
          </w:p>
        </w:tc>
      </w:tr>
      <w:tr w:rsidR="00454C85" w:rsidRPr="003568A0" w14:paraId="634A8651" w14:textId="77777777" w:rsidTr="00F36A6F">
        <w:trPr>
          <w:jc w:val="center"/>
        </w:trPr>
        <w:tc>
          <w:tcPr>
            <w:tcW w:w="2160" w:type="dxa"/>
          </w:tcPr>
          <w:p w14:paraId="09CD83F1" w14:textId="77777777" w:rsidR="00454C85" w:rsidRPr="00F36A6F" w:rsidRDefault="00454C85" w:rsidP="00010A80">
            <w:pPr>
              <w:rPr>
                <w:b/>
                <w:sz w:val="20"/>
                <w:szCs w:val="20"/>
              </w:rPr>
            </w:pPr>
            <w:r w:rsidRPr="00F36A6F">
              <w:rPr>
                <w:b/>
                <w:sz w:val="20"/>
                <w:szCs w:val="20"/>
              </w:rPr>
              <w:t>Operating Temperature</w:t>
            </w:r>
          </w:p>
        </w:tc>
        <w:tc>
          <w:tcPr>
            <w:tcW w:w="2515" w:type="dxa"/>
          </w:tcPr>
          <w:p w14:paraId="2C4B77C3" w14:textId="7C1DAB5B" w:rsidR="00454C85" w:rsidRPr="00F36A6F" w:rsidRDefault="00454C85" w:rsidP="00010A80">
            <w:pPr>
              <w:rPr>
                <w:sz w:val="20"/>
                <w:szCs w:val="20"/>
              </w:rPr>
            </w:pPr>
            <w:r w:rsidRPr="00F36A6F">
              <w:rPr>
                <w:sz w:val="20"/>
                <w:szCs w:val="20"/>
              </w:rPr>
              <w:t xml:space="preserve">5 to 40°C </w:t>
            </w:r>
          </w:p>
        </w:tc>
        <w:tc>
          <w:tcPr>
            <w:tcW w:w="2610" w:type="dxa"/>
          </w:tcPr>
          <w:p w14:paraId="7ED24268" w14:textId="578335E2" w:rsidR="00454C85" w:rsidRPr="00F36A6F" w:rsidRDefault="00454C85" w:rsidP="00010A80">
            <w:pPr>
              <w:rPr>
                <w:sz w:val="20"/>
                <w:szCs w:val="20"/>
              </w:rPr>
            </w:pPr>
            <w:r w:rsidRPr="00F36A6F">
              <w:rPr>
                <w:sz w:val="20"/>
                <w:szCs w:val="20"/>
              </w:rPr>
              <w:t>5 to 40°C</w:t>
            </w:r>
          </w:p>
        </w:tc>
      </w:tr>
    </w:tbl>
    <w:p w14:paraId="3D0FB90D" w14:textId="448E4BED" w:rsidR="00E97178" w:rsidRPr="00D26D90" w:rsidRDefault="00E97178">
      <w:pPr>
        <w:rPr>
          <w:sz w:val="18"/>
          <w:szCs w:val="18"/>
        </w:rPr>
      </w:pPr>
    </w:p>
    <w:p w14:paraId="343685A3" w14:textId="5FB6F45E" w:rsidR="00FF3A91" w:rsidRPr="00D26D90" w:rsidRDefault="008A168C" w:rsidP="00D26D90">
      <w:pPr>
        <w:pStyle w:val="ListParagraph"/>
        <w:numPr>
          <w:ilvl w:val="0"/>
          <w:numId w:val="20"/>
        </w:numPr>
        <w:spacing w:after="0"/>
        <w:ind w:left="0"/>
        <w:rPr>
          <w:b/>
        </w:rPr>
      </w:pPr>
      <w:r>
        <w:rPr>
          <w:b/>
        </w:rPr>
        <w:t>Definitions and Abbreviations</w:t>
      </w:r>
    </w:p>
    <w:p w14:paraId="308557EE" w14:textId="6444421B" w:rsidR="002B225A" w:rsidRDefault="002B225A" w:rsidP="00AB7BF1">
      <w:pPr>
        <w:pStyle w:val="ListParagraph"/>
        <w:numPr>
          <w:ilvl w:val="1"/>
          <w:numId w:val="2"/>
        </w:numPr>
        <w:spacing w:before="120"/>
        <w:ind w:left="360"/>
        <w:contextualSpacing w:val="0"/>
      </w:pPr>
      <w:r>
        <w:t>ADQ:  audit of data quality</w:t>
      </w:r>
    </w:p>
    <w:p w14:paraId="29F7A365" w14:textId="3A22AF78" w:rsidR="002B225A" w:rsidRDefault="002B225A" w:rsidP="00AB7BF1">
      <w:pPr>
        <w:pStyle w:val="ListParagraph"/>
        <w:numPr>
          <w:ilvl w:val="1"/>
          <w:numId w:val="2"/>
        </w:numPr>
        <w:spacing w:before="120"/>
        <w:ind w:left="360"/>
        <w:contextualSpacing w:val="0"/>
      </w:pPr>
      <w:r>
        <w:t>BOA:  back of the analyzer</w:t>
      </w:r>
    </w:p>
    <w:p w14:paraId="0409A956" w14:textId="2B9FE79E" w:rsidR="002B67AE" w:rsidRDefault="002B67AE" w:rsidP="00AB7BF1">
      <w:pPr>
        <w:pStyle w:val="ListParagraph"/>
        <w:numPr>
          <w:ilvl w:val="1"/>
          <w:numId w:val="2"/>
        </w:numPr>
        <w:spacing w:before="120"/>
        <w:ind w:left="360"/>
        <w:contextualSpacing w:val="0"/>
      </w:pPr>
      <w:r>
        <w:t>°C:  degree Cel</w:t>
      </w:r>
      <w:r w:rsidR="002B225A">
        <w:t>s</w:t>
      </w:r>
      <w:r>
        <w:t>ius</w:t>
      </w:r>
    </w:p>
    <w:p w14:paraId="371F76DC" w14:textId="5B5A089C" w:rsidR="009C1237" w:rsidRPr="00D26D90" w:rsidRDefault="009C1237" w:rsidP="00D26D90">
      <w:pPr>
        <w:pStyle w:val="ListParagraph"/>
        <w:numPr>
          <w:ilvl w:val="1"/>
          <w:numId w:val="2"/>
        </w:numPr>
        <w:spacing w:before="120"/>
        <w:ind w:left="360"/>
        <w:contextualSpacing w:val="0"/>
      </w:pPr>
      <w:r w:rsidRPr="00D26D90">
        <w:t xml:space="preserve">CAPS:  </w:t>
      </w:r>
      <w:r w:rsidR="008D2424">
        <w:t>c</w:t>
      </w:r>
      <w:r w:rsidR="008D2424" w:rsidRPr="00AB7BF1">
        <w:t xml:space="preserve">avity </w:t>
      </w:r>
      <w:r w:rsidRPr="00AB7BF1">
        <w:t>attenuated phase shift spectroscopy</w:t>
      </w:r>
    </w:p>
    <w:p w14:paraId="58A56FC8" w14:textId="7FEE3105" w:rsidR="002B225A" w:rsidRDefault="002B225A" w:rsidP="00AB7BF1">
      <w:pPr>
        <w:pStyle w:val="ListParagraph"/>
        <w:numPr>
          <w:ilvl w:val="1"/>
          <w:numId w:val="2"/>
        </w:numPr>
        <w:spacing w:before="120"/>
        <w:ind w:left="360"/>
        <w:contextualSpacing w:val="0"/>
      </w:pPr>
      <w:r>
        <w:t>CFR:  Code of Federal Regulations</w:t>
      </w:r>
    </w:p>
    <w:p w14:paraId="2AEF00F2" w14:textId="6FDB939C" w:rsidR="002B67AE" w:rsidRDefault="002B67AE" w:rsidP="00AB7BF1">
      <w:pPr>
        <w:pStyle w:val="ListParagraph"/>
        <w:numPr>
          <w:ilvl w:val="1"/>
          <w:numId w:val="2"/>
        </w:numPr>
        <w:spacing w:before="120"/>
        <w:ind w:left="360"/>
        <w:contextualSpacing w:val="0"/>
      </w:pPr>
      <w:r>
        <w:t>cm</w:t>
      </w:r>
      <w:r w:rsidRPr="00D26D90">
        <w:rPr>
          <w:vertAlign w:val="superscript"/>
        </w:rPr>
        <w:t>3</w:t>
      </w:r>
      <w:r>
        <w:t>:  cubic centimeter</w:t>
      </w:r>
    </w:p>
    <w:p w14:paraId="55BACAB8" w14:textId="7274FD88" w:rsidR="002B225A" w:rsidRDefault="002B225A" w:rsidP="00AB7BF1">
      <w:pPr>
        <w:pStyle w:val="ListParagraph"/>
        <w:numPr>
          <w:ilvl w:val="1"/>
          <w:numId w:val="2"/>
        </w:numPr>
        <w:spacing w:before="120"/>
        <w:ind w:left="360"/>
        <w:contextualSpacing w:val="0"/>
      </w:pPr>
      <w:r>
        <w:t>COA:  certificate of analysis</w:t>
      </w:r>
    </w:p>
    <w:p w14:paraId="676E3586" w14:textId="15768826" w:rsidR="002B225A" w:rsidRDefault="002B225A" w:rsidP="00AB7BF1">
      <w:pPr>
        <w:pStyle w:val="ListParagraph"/>
        <w:numPr>
          <w:ilvl w:val="1"/>
          <w:numId w:val="2"/>
        </w:numPr>
        <w:spacing w:before="120"/>
        <w:ind w:left="360"/>
        <w:contextualSpacing w:val="0"/>
      </w:pPr>
      <w:r>
        <w:t>DAS:  data acquisition system</w:t>
      </w:r>
    </w:p>
    <w:p w14:paraId="2AB18B8B" w14:textId="4A62C5EE" w:rsidR="00FF3A91" w:rsidRPr="00AB7BF1" w:rsidRDefault="00FF3A91" w:rsidP="00D26D90">
      <w:pPr>
        <w:pStyle w:val="ListParagraph"/>
        <w:numPr>
          <w:ilvl w:val="1"/>
          <w:numId w:val="2"/>
        </w:numPr>
        <w:spacing w:before="120"/>
        <w:ind w:left="360"/>
        <w:contextualSpacing w:val="0"/>
      </w:pPr>
      <w:r w:rsidRPr="00D26D90">
        <w:t>DDC:</w:t>
      </w:r>
      <w:r w:rsidRPr="00AB7BF1">
        <w:t xml:space="preserve">  </w:t>
      </w:r>
      <w:r w:rsidR="001F77DC">
        <w:t>d</w:t>
      </w:r>
      <w:r w:rsidR="001F77DC" w:rsidRPr="00D26D90">
        <w:t xml:space="preserve">ynamic </w:t>
      </w:r>
      <w:r w:rsidR="001F77DC">
        <w:t>d</w:t>
      </w:r>
      <w:r w:rsidR="001F77DC" w:rsidRPr="00D26D90">
        <w:t xml:space="preserve">ilution </w:t>
      </w:r>
      <w:r w:rsidR="001F77DC">
        <w:t>c</w:t>
      </w:r>
      <w:r w:rsidR="001F77DC" w:rsidRPr="00D26D90">
        <w:t xml:space="preserve">alibrator </w:t>
      </w:r>
      <w:r w:rsidR="001F77DC" w:rsidRPr="00AB7BF1">
        <w:t>–</w:t>
      </w:r>
      <w:r w:rsidR="001F77DC">
        <w:t xml:space="preserve"> g</w:t>
      </w:r>
      <w:r w:rsidRPr="00AB7BF1">
        <w:t xml:space="preserve">as flow selection and control device </w:t>
      </w:r>
      <w:r w:rsidR="008D2424">
        <w:t>that</w:t>
      </w:r>
      <w:r w:rsidR="008D2424" w:rsidRPr="00AB7BF1">
        <w:t xml:space="preserve"> </w:t>
      </w:r>
      <w:r w:rsidRPr="00AB7BF1">
        <w:t>employs mass flow controllers (MFC</w:t>
      </w:r>
      <w:r w:rsidR="008D2424">
        <w:t>s</w:t>
      </w:r>
      <w:r w:rsidRPr="00AB7BF1">
        <w:t xml:space="preserve">) to precisely and accurately meter the amount of one or more standard gases and mix the standard gas with a diluent gas to prepare an accurate dilution of the standard gas. Some DDCs also include onboard ozone </w:t>
      </w:r>
      <w:r w:rsidR="007244D3" w:rsidRPr="00AB7BF1">
        <w:t>generator</w:t>
      </w:r>
      <w:r w:rsidR="00E90961" w:rsidRPr="00AB7BF1">
        <w:t>s</w:t>
      </w:r>
      <w:r w:rsidRPr="00AB7BF1">
        <w:t xml:space="preserve"> </w:t>
      </w:r>
      <w:r w:rsidR="00E90961" w:rsidRPr="00AB7BF1">
        <w:t>that</w:t>
      </w:r>
      <w:r w:rsidRPr="00AB7BF1">
        <w:t xml:space="preserve"> can be calibrated to provide a </w:t>
      </w:r>
      <w:r w:rsidR="00E90961" w:rsidRPr="00AB7BF1">
        <w:t>standard ozone</w:t>
      </w:r>
      <w:r w:rsidRPr="00AB7BF1">
        <w:t xml:space="preserve"> concentration.</w:t>
      </w:r>
    </w:p>
    <w:p w14:paraId="7843185A" w14:textId="77777777" w:rsidR="00FF3A91" w:rsidRPr="00AB7BF1" w:rsidRDefault="00FF3A91" w:rsidP="00D26D90">
      <w:pPr>
        <w:pStyle w:val="ListParagraph"/>
        <w:numPr>
          <w:ilvl w:val="1"/>
          <w:numId w:val="2"/>
        </w:numPr>
        <w:spacing w:before="120"/>
        <w:ind w:left="360"/>
        <w:contextualSpacing w:val="0"/>
      </w:pPr>
      <w:r w:rsidRPr="00D26D90">
        <w:t>EPA</w:t>
      </w:r>
      <w:r w:rsidRPr="00AB7BF1">
        <w:t>:  Environmental Protection Agency</w:t>
      </w:r>
    </w:p>
    <w:p w14:paraId="5FC44170" w14:textId="4EA0C8B8" w:rsidR="002B225A" w:rsidRDefault="002B225A" w:rsidP="00AB7BF1">
      <w:pPr>
        <w:pStyle w:val="ListParagraph"/>
        <w:numPr>
          <w:ilvl w:val="1"/>
          <w:numId w:val="2"/>
        </w:numPr>
        <w:spacing w:before="120"/>
        <w:ind w:left="360"/>
        <w:contextualSpacing w:val="0"/>
      </w:pPr>
      <w:r>
        <w:t>FEP:  fluorinated ethylene propylene</w:t>
      </w:r>
    </w:p>
    <w:p w14:paraId="234FD1E4" w14:textId="7466B8DB" w:rsidR="002B225A" w:rsidRDefault="002B225A" w:rsidP="00AB7BF1">
      <w:pPr>
        <w:pStyle w:val="ListParagraph"/>
        <w:numPr>
          <w:ilvl w:val="1"/>
          <w:numId w:val="2"/>
        </w:numPr>
        <w:spacing w:before="120"/>
        <w:ind w:left="360"/>
        <w:contextualSpacing w:val="0"/>
      </w:pPr>
      <w:r>
        <w:t>ID:  inner diameter</w:t>
      </w:r>
    </w:p>
    <w:p w14:paraId="4348879B" w14:textId="13EECAE5" w:rsidR="002B225A" w:rsidRDefault="002B225A" w:rsidP="00AB7BF1">
      <w:pPr>
        <w:pStyle w:val="ListParagraph"/>
        <w:numPr>
          <w:ilvl w:val="1"/>
          <w:numId w:val="2"/>
        </w:numPr>
        <w:spacing w:before="120"/>
        <w:ind w:left="360"/>
        <w:contextualSpacing w:val="0"/>
      </w:pPr>
      <w:r>
        <w:lastRenderedPageBreak/>
        <w:t>L:  liter</w:t>
      </w:r>
    </w:p>
    <w:p w14:paraId="410A3220" w14:textId="4A500DBB" w:rsidR="00FF3A91" w:rsidRPr="00AB7BF1" w:rsidRDefault="00FF3A91" w:rsidP="00D26D90">
      <w:pPr>
        <w:pStyle w:val="ListParagraph"/>
        <w:numPr>
          <w:ilvl w:val="1"/>
          <w:numId w:val="2"/>
        </w:numPr>
        <w:spacing w:before="120"/>
        <w:ind w:left="360"/>
        <w:contextualSpacing w:val="0"/>
      </w:pPr>
      <w:r w:rsidRPr="00D26D90">
        <w:t>LED</w:t>
      </w:r>
      <w:r w:rsidRPr="00AB7BF1">
        <w:t xml:space="preserve">:  </w:t>
      </w:r>
      <w:r w:rsidR="008D2424">
        <w:t>l</w:t>
      </w:r>
      <w:r w:rsidR="008D2424" w:rsidRPr="00AB7BF1">
        <w:t xml:space="preserve">ight </w:t>
      </w:r>
      <w:r w:rsidRPr="00AB7BF1">
        <w:t>emitting diode</w:t>
      </w:r>
    </w:p>
    <w:p w14:paraId="189C8D82" w14:textId="15C51AE2" w:rsidR="009C1237" w:rsidRPr="00AB7BF1" w:rsidRDefault="009C1237" w:rsidP="00D26D90">
      <w:pPr>
        <w:pStyle w:val="ListParagraph"/>
        <w:numPr>
          <w:ilvl w:val="1"/>
          <w:numId w:val="2"/>
        </w:numPr>
        <w:ind w:left="360"/>
        <w:contextualSpacing w:val="0"/>
      </w:pPr>
      <w:r w:rsidRPr="00D26D90">
        <w:t>M</w:t>
      </w:r>
      <w:r w:rsidR="002B225A">
        <w:t>DL:  m</w:t>
      </w:r>
      <w:r w:rsidRPr="00D26D90">
        <w:t xml:space="preserve">ethod </w:t>
      </w:r>
      <w:r w:rsidR="002B225A">
        <w:t>d</w:t>
      </w:r>
      <w:r w:rsidRPr="00D26D90">
        <w:t xml:space="preserve">etection </w:t>
      </w:r>
      <w:r w:rsidR="002B225A">
        <w:t>l</w:t>
      </w:r>
      <w:r w:rsidRPr="00D26D90">
        <w:t>imit</w:t>
      </w:r>
    </w:p>
    <w:p w14:paraId="71812895" w14:textId="02EB03E5" w:rsidR="002B67AE" w:rsidRDefault="002B67AE" w:rsidP="00AB7BF1">
      <w:pPr>
        <w:pStyle w:val="ListParagraph"/>
        <w:numPr>
          <w:ilvl w:val="1"/>
          <w:numId w:val="2"/>
        </w:numPr>
        <w:spacing w:before="120"/>
        <w:ind w:left="360"/>
        <w:contextualSpacing w:val="0"/>
      </w:pPr>
      <w:r>
        <w:t>MFC:  mass flow controller</w:t>
      </w:r>
    </w:p>
    <w:p w14:paraId="65366ED2" w14:textId="321A5860" w:rsidR="009C1237" w:rsidRPr="00D26D90" w:rsidRDefault="009C1237" w:rsidP="00D26D90">
      <w:pPr>
        <w:pStyle w:val="ListParagraph"/>
        <w:numPr>
          <w:ilvl w:val="1"/>
          <w:numId w:val="2"/>
        </w:numPr>
        <w:spacing w:before="120"/>
        <w:ind w:left="360"/>
        <w:contextualSpacing w:val="0"/>
      </w:pPr>
      <w:r w:rsidRPr="00D26D90">
        <w:t>M</w:t>
      </w:r>
      <w:r w:rsidR="002B225A">
        <w:t>PV:  m</w:t>
      </w:r>
      <w:r w:rsidRPr="00D26D90">
        <w:t xml:space="preserve">ulti-point </w:t>
      </w:r>
      <w:r w:rsidR="002B225A">
        <w:t>v</w:t>
      </w:r>
      <w:r w:rsidRPr="00D26D90">
        <w:t xml:space="preserve">erification </w:t>
      </w:r>
    </w:p>
    <w:p w14:paraId="6535BC96" w14:textId="0B6FFE63" w:rsidR="00403F38" w:rsidRDefault="00403F38" w:rsidP="00403F38">
      <w:pPr>
        <w:pStyle w:val="ListParagraph"/>
        <w:numPr>
          <w:ilvl w:val="1"/>
          <w:numId w:val="2"/>
        </w:numPr>
        <w:spacing w:before="120"/>
        <w:ind w:left="360"/>
        <w:contextualSpacing w:val="0"/>
      </w:pPr>
      <w:r>
        <w:t>NCore:  National Core Monitoring Network</w:t>
      </w:r>
    </w:p>
    <w:p w14:paraId="05A73E19" w14:textId="03F83C80" w:rsidR="00403F38" w:rsidRPr="00A0702C" w:rsidRDefault="00403F38" w:rsidP="00403F38">
      <w:pPr>
        <w:pStyle w:val="ListParagraph"/>
        <w:numPr>
          <w:ilvl w:val="1"/>
          <w:numId w:val="2"/>
        </w:numPr>
        <w:spacing w:before="120"/>
        <w:ind w:left="360"/>
        <w:contextualSpacing w:val="0"/>
      </w:pPr>
      <w:r w:rsidRPr="00A0702C">
        <w:t>NIST:  National Institute of Standards and Technology</w:t>
      </w:r>
    </w:p>
    <w:p w14:paraId="7558553E" w14:textId="61A3D530" w:rsidR="00FF3A91" w:rsidRPr="00AB7BF1" w:rsidRDefault="00FF3A91" w:rsidP="00D26D90">
      <w:pPr>
        <w:pStyle w:val="ListParagraph"/>
        <w:numPr>
          <w:ilvl w:val="1"/>
          <w:numId w:val="2"/>
        </w:numPr>
        <w:spacing w:before="120"/>
        <w:ind w:left="360"/>
        <w:contextualSpacing w:val="0"/>
      </w:pPr>
      <w:r w:rsidRPr="00D26D90">
        <w:t>NO</w:t>
      </w:r>
      <w:r w:rsidRPr="00AB7BF1">
        <w:t>:</w:t>
      </w:r>
      <w:r w:rsidRPr="00D26D90">
        <w:t xml:space="preserve"> </w:t>
      </w:r>
      <w:r w:rsidRPr="00AB7BF1">
        <w:t xml:space="preserve"> nitric oxide</w:t>
      </w:r>
    </w:p>
    <w:p w14:paraId="58CB305F" w14:textId="7FBD4C6E" w:rsidR="00FF3A91" w:rsidRPr="00AB7BF1" w:rsidRDefault="00FF3A91" w:rsidP="00D26D90">
      <w:pPr>
        <w:pStyle w:val="ListParagraph"/>
        <w:numPr>
          <w:ilvl w:val="1"/>
          <w:numId w:val="2"/>
        </w:numPr>
        <w:spacing w:before="120"/>
        <w:ind w:left="360"/>
        <w:contextualSpacing w:val="0"/>
      </w:pPr>
      <w:r w:rsidRPr="00D26D90">
        <w:t>NO</w:t>
      </w:r>
      <w:r w:rsidRPr="00D26D90">
        <w:rPr>
          <w:vertAlign w:val="subscript"/>
        </w:rPr>
        <w:t>2</w:t>
      </w:r>
      <w:r w:rsidRPr="00AB7BF1">
        <w:t xml:space="preserve">: </w:t>
      </w:r>
      <w:r w:rsidR="00E90961" w:rsidRPr="00AB7BF1">
        <w:t xml:space="preserve"> </w:t>
      </w:r>
      <w:r w:rsidRPr="00AB7BF1">
        <w:t>nitrogen dioxide</w:t>
      </w:r>
    </w:p>
    <w:p w14:paraId="060B884E" w14:textId="37BD29A0" w:rsidR="00FF3A91" w:rsidRPr="00AB7BF1" w:rsidRDefault="00FF3A91" w:rsidP="00D26D90">
      <w:pPr>
        <w:pStyle w:val="ListParagraph"/>
        <w:numPr>
          <w:ilvl w:val="1"/>
          <w:numId w:val="2"/>
        </w:numPr>
        <w:spacing w:before="120"/>
        <w:ind w:left="360"/>
        <w:contextualSpacing w:val="0"/>
      </w:pPr>
      <w:r w:rsidRPr="00D26D90">
        <w:t>NO</w:t>
      </w:r>
      <w:r w:rsidRPr="00F60D38">
        <w:rPr>
          <w:vertAlign w:val="subscript"/>
        </w:rPr>
        <w:t>x</w:t>
      </w:r>
      <w:r w:rsidRPr="00AB7BF1">
        <w:t xml:space="preserve">:  </w:t>
      </w:r>
      <w:r w:rsidR="008D2424">
        <w:t>c</w:t>
      </w:r>
      <w:r w:rsidR="008D2424" w:rsidRPr="00AB7BF1">
        <w:t xml:space="preserve">ombination </w:t>
      </w:r>
      <w:r w:rsidRPr="00AB7BF1">
        <w:t>of chemical species NO and NO</w:t>
      </w:r>
      <w:r w:rsidRPr="00AB7BF1">
        <w:rPr>
          <w:vertAlign w:val="subscript"/>
        </w:rPr>
        <w:t>2</w:t>
      </w:r>
    </w:p>
    <w:p w14:paraId="0378B902" w14:textId="6EF2B54A" w:rsidR="00FF3A91" w:rsidRPr="00AB7BF1" w:rsidRDefault="00FF3A91" w:rsidP="00D26D90">
      <w:pPr>
        <w:pStyle w:val="ListParagraph"/>
        <w:numPr>
          <w:ilvl w:val="1"/>
          <w:numId w:val="2"/>
        </w:numPr>
        <w:spacing w:before="120"/>
        <w:ind w:left="360"/>
        <w:contextualSpacing w:val="0"/>
      </w:pPr>
      <w:proofErr w:type="spellStart"/>
      <w:r w:rsidRPr="00D26D90">
        <w:t>NO</w:t>
      </w:r>
      <w:r w:rsidRPr="00F60D38">
        <w:rPr>
          <w:vertAlign w:val="subscript"/>
        </w:rPr>
        <w:t>y</w:t>
      </w:r>
      <w:proofErr w:type="spellEnd"/>
      <w:r w:rsidRPr="00AB7BF1">
        <w:t xml:space="preserve">:  </w:t>
      </w:r>
      <w:r w:rsidR="008D2424">
        <w:t>t</w:t>
      </w:r>
      <w:r w:rsidR="008D2424" w:rsidRPr="00AB7BF1">
        <w:t xml:space="preserve">otal </w:t>
      </w:r>
      <w:r w:rsidRPr="00AB7BF1">
        <w:t>reactive nitrogen – all oxides of nitrogen in which the oxidation state of the nitrogen atom is 2+ or greater. This is the sum of all reactive nitrogen species, including NO</w:t>
      </w:r>
      <w:r w:rsidRPr="00F60D38">
        <w:rPr>
          <w:vertAlign w:val="subscript"/>
        </w:rPr>
        <w:t>x</w:t>
      </w:r>
      <w:r w:rsidRPr="00AB7BF1">
        <w:t xml:space="preserve"> and other oxides of nitrogen designated as </w:t>
      </w:r>
      <w:proofErr w:type="spellStart"/>
      <w:r w:rsidRPr="00AB7BF1">
        <w:t>NO</w:t>
      </w:r>
      <w:r w:rsidR="008A168C" w:rsidRPr="00F60D38">
        <w:rPr>
          <w:vertAlign w:val="subscript"/>
        </w:rPr>
        <w:t>z</w:t>
      </w:r>
      <w:proofErr w:type="spellEnd"/>
      <w:r w:rsidR="008A168C" w:rsidRPr="00AB7BF1">
        <w:t>.</w:t>
      </w:r>
      <w:r w:rsidRPr="00AB7BF1">
        <w:t xml:space="preserve">  </w:t>
      </w:r>
    </w:p>
    <w:p w14:paraId="495E3CB2" w14:textId="7021D3BD" w:rsidR="00FF3A91" w:rsidRDefault="00FF3A91" w:rsidP="00AB7BF1">
      <w:pPr>
        <w:pStyle w:val="ListParagraph"/>
        <w:numPr>
          <w:ilvl w:val="1"/>
          <w:numId w:val="2"/>
        </w:numPr>
        <w:spacing w:before="120"/>
        <w:ind w:left="360"/>
        <w:contextualSpacing w:val="0"/>
      </w:pPr>
      <w:proofErr w:type="spellStart"/>
      <w:r w:rsidRPr="00D26D90">
        <w:t>NO</w:t>
      </w:r>
      <w:r w:rsidRPr="00F60D38">
        <w:rPr>
          <w:vertAlign w:val="subscript"/>
        </w:rPr>
        <w:t>z</w:t>
      </w:r>
      <w:proofErr w:type="spellEnd"/>
      <w:r w:rsidRPr="00AB7BF1">
        <w:t xml:space="preserve">:  </w:t>
      </w:r>
      <w:r w:rsidR="008D2424">
        <w:t>t</w:t>
      </w:r>
      <w:r w:rsidR="008D2424" w:rsidRPr="00AB7BF1">
        <w:t xml:space="preserve">otal </w:t>
      </w:r>
      <w:r w:rsidR="00E90961" w:rsidRPr="00AB7BF1">
        <w:t>reactive nitrogen oxides excluding NO and NO</w:t>
      </w:r>
      <w:r w:rsidR="00E90961" w:rsidRPr="00D26D90">
        <w:rPr>
          <w:vertAlign w:val="subscript"/>
        </w:rPr>
        <w:t>2</w:t>
      </w:r>
      <w:r w:rsidR="00E90961" w:rsidRPr="00AB7BF1">
        <w:t xml:space="preserve">. The main constituents of </w:t>
      </w:r>
      <w:proofErr w:type="spellStart"/>
      <w:r w:rsidR="00E90961" w:rsidRPr="00AB7BF1">
        <w:t>NO</w:t>
      </w:r>
      <w:r w:rsidR="00E90961" w:rsidRPr="00F60D38">
        <w:rPr>
          <w:vertAlign w:val="subscript"/>
        </w:rPr>
        <w:t>z</w:t>
      </w:r>
      <w:proofErr w:type="spellEnd"/>
      <w:r w:rsidR="00E90961" w:rsidRPr="00AB7BF1">
        <w:t xml:space="preserve"> include:  </w:t>
      </w:r>
      <w:r w:rsidRPr="00AB7BF1">
        <w:t>nitrous acids (nitric acid [HNO</w:t>
      </w:r>
      <w:r w:rsidRPr="00D26D90">
        <w:rPr>
          <w:vertAlign w:val="subscript"/>
        </w:rPr>
        <w:t>3</w:t>
      </w:r>
      <w:r w:rsidRPr="00AB7BF1">
        <w:t>]</w:t>
      </w:r>
      <w:r w:rsidR="00E90961" w:rsidRPr="00AB7BF1">
        <w:t xml:space="preserve"> and</w:t>
      </w:r>
      <w:r w:rsidRPr="00AB7BF1">
        <w:t xml:space="preserve"> nitrous acid [HONO]), organic nitrates (peroxyl acetyl nitrate [PAN], methyl peroxyl acetyl nitrate [MPAN], and peroxyl propionyl nitrate [PPN]), and particulate nitrates</w:t>
      </w:r>
      <w:r w:rsidR="008D2424">
        <w:t>.</w:t>
      </w:r>
    </w:p>
    <w:p w14:paraId="4F6C6111" w14:textId="247DAD68" w:rsidR="002B225A" w:rsidRPr="00AB7BF1" w:rsidRDefault="002B225A" w:rsidP="00D26D90">
      <w:pPr>
        <w:pStyle w:val="ListParagraph"/>
        <w:numPr>
          <w:ilvl w:val="1"/>
          <w:numId w:val="2"/>
        </w:numPr>
        <w:spacing w:before="120"/>
        <w:ind w:left="360"/>
        <w:contextualSpacing w:val="0"/>
      </w:pPr>
      <w:r>
        <w:t>OD:  outer diameter</w:t>
      </w:r>
    </w:p>
    <w:p w14:paraId="476113C5" w14:textId="217C35D3" w:rsidR="00FF3A91" w:rsidRPr="00AB7BF1" w:rsidRDefault="00FF3A91" w:rsidP="00D26D90">
      <w:pPr>
        <w:pStyle w:val="ListParagraph"/>
        <w:numPr>
          <w:ilvl w:val="1"/>
          <w:numId w:val="2"/>
        </w:numPr>
        <w:spacing w:before="120"/>
        <w:ind w:left="360"/>
        <w:contextualSpacing w:val="0"/>
      </w:pPr>
      <w:r w:rsidRPr="00D26D90">
        <w:t>PAMS</w:t>
      </w:r>
      <w:r w:rsidRPr="00AB7BF1">
        <w:t>:  Photochemical Assessment Monitoring Station</w:t>
      </w:r>
      <w:r w:rsidR="00E90961" w:rsidRPr="00AB7BF1">
        <w:t>s</w:t>
      </w:r>
    </w:p>
    <w:p w14:paraId="75C99A08" w14:textId="48C8C208" w:rsidR="00386F4A" w:rsidRPr="00AB7BF1" w:rsidRDefault="00386F4A" w:rsidP="00D26D90">
      <w:pPr>
        <w:pStyle w:val="ListParagraph"/>
        <w:numPr>
          <w:ilvl w:val="1"/>
          <w:numId w:val="2"/>
        </w:numPr>
        <w:ind w:left="360"/>
        <w:contextualSpacing w:val="0"/>
      </w:pPr>
      <w:r w:rsidRPr="00D26D90">
        <w:t>ppb</w:t>
      </w:r>
      <w:r w:rsidRPr="00AB7BF1">
        <w:t xml:space="preserve">:  </w:t>
      </w:r>
      <w:r w:rsidR="008D2424">
        <w:t xml:space="preserve">part per billion </w:t>
      </w:r>
      <w:r w:rsidR="008D2424" w:rsidRPr="00AB7BF1">
        <w:t xml:space="preserve">– </w:t>
      </w:r>
      <w:r w:rsidR="008D2424">
        <w:t>c</w:t>
      </w:r>
      <w:r w:rsidR="008D2424" w:rsidRPr="00AB7BF1">
        <w:t xml:space="preserve">oncentration </w:t>
      </w:r>
      <w:r w:rsidRPr="00AB7BF1">
        <w:t>unit of measurement equivalent to a mixing ratio of 10</w:t>
      </w:r>
      <w:r w:rsidRPr="00AB7BF1">
        <w:rPr>
          <w:vertAlign w:val="superscript"/>
        </w:rPr>
        <w:t>-9</w:t>
      </w:r>
      <w:r w:rsidRPr="00AB7BF1">
        <w:t xml:space="preserve"> L (or moles) of a trace gas in 1 L (or mole) of diluent. One ppb is equivalent to 2.46 </w:t>
      </w:r>
      <w:r w:rsidRPr="00AB7BF1">
        <w:sym w:font="Symbol" w:char="F0B4"/>
      </w:r>
      <w:r w:rsidRPr="00AB7BF1">
        <w:t xml:space="preserve"> 10</w:t>
      </w:r>
      <w:r w:rsidRPr="00AB7BF1">
        <w:rPr>
          <w:vertAlign w:val="superscript"/>
        </w:rPr>
        <w:t>10</w:t>
      </w:r>
      <w:r w:rsidRPr="00AB7BF1">
        <w:t xml:space="preserve"> molecules cm</w:t>
      </w:r>
      <w:r w:rsidRPr="00AB7BF1">
        <w:rPr>
          <w:vertAlign w:val="superscript"/>
        </w:rPr>
        <w:t>-3</w:t>
      </w:r>
      <w:r w:rsidRPr="00AB7BF1">
        <w:t xml:space="preserve"> at 760 mm Hg pressure and 25°C.</w:t>
      </w:r>
    </w:p>
    <w:p w14:paraId="5D28A8D0" w14:textId="567493B6" w:rsidR="00944E78" w:rsidRDefault="00944E78" w:rsidP="00AB7BF1">
      <w:pPr>
        <w:pStyle w:val="ListParagraph"/>
        <w:numPr>
          <w:ilvl w:val="1"/>
          <w:numId w:val="2"/>
        </w:numPr>
        <w:spacing w:before="120"/>
        <w:ind w:left="360"/>
        <w:contextualSpacing w:val="0"/>
      </w:pPr>
      <w:r>
        <w:t xml:space="preserve">PE:  </w:t>
      </w:r>
      <w:r w:rsidR="008D2424">
        <w:t xml:space="preserve">performance evaluation </w:t>
      </w:r>
      <w:r w:rsidR="008D2424" w:rsidRPr="00AB7BF1">
        <w:t xml:space="preserve">– </w:t>
      </w:r>
      <w:r w:rsidR="008D2424">
        <w:t xml:space="preserve">test </w:t>
      </w:r>
      <w:r>
        <w:t>of the measurement system performed by providing a known standard concentration of NO</w:t>
      </w:r>
      <w:r w:rsidRPr="00D26D90">
        <w:rPr>
          <w:vertAlign w:val="subscript"/>
        </w:rPr>
        <w:t>2</w:t>
      </w:r>
      <w:r>
        <w:t xml:space="preserve"> gas to the monitoring station analyzer and evaluating the bias of the measurements at each provided concentration. PEs are required annually.</w:t>
      </w:r>
    </w:p>
    <w:p w14:paraId="3CBA3C85" w14:textId="361AA25C" w:rsidR="002B225A" w:rsidRDefault="002B225A" w:rsidP="00AB7BF1">
      <w:pPr>
        <w:pStyle w:val="ListParagraph"/>
        <w:numPr>
          <w:ilvl w:val="1"/>
          <w:numId w:val="2"/>
        </w:numPr>
        <w:spacing w:before="120"/>
        <w:ind w:left="360"/>
        <w:contextualSpacing w:val="0"/>
      </w:pPr>
      <w:r>
        <w:t xml:space="preserve">PFA:  </w:t>
      </w:r>
      <w:proofErr w:type="spellStart"/>
      <w:r>
        <w:t>perfluoroalkoxy</w:t>
      </w:r>
      <w:proofErr w:type="spellEnd"/>
    </w:p>
    <w:p w14:paraId="36D36788" w14:textId="6B19C513" w:rsidR="002B225A" w:rsidRPr="00D26D90" w:rsidRDefault="002B225A" w:rsidP="00AB7BF1">
      <w:pPr>
        <w:pStyle w:val="ListParagraph"/>
        <w:numPr>
          <w:ilvl w:val="1"/>
          <w:numId w:val="2"/>
        </w:numPr>
        <w:spacing w:before="120"/>
        <w:ind w:left="360"/>
        <w:contextualSpacing w:val="0"/>
      </w:pPr>
      <w:r>
        <w:t>PTFE:  polytetrafluoroethylene</w:t>
      </w:r>
    </w:p>
    <w:p w14:paraId="1D8090F0" w14:textId="6FC5C138" w:rsidR="002B67AE" w:rsidRPr="00AB7BF1" w:rsidRDefault="002B67AE" w:rsidP="00D26D90">
      <w:pPr>
        <w:pStyle w:val="ListParagraph"/>
        <w:numPr>
          <w:ilvl w:val="1"/>
          <w:numId w:val="2"/>
        </w:numPr>
        <w:spacing w:before="120"/>
        <w:ind w:left="360"/>
        <w:contextualSpacing w:val="0"/>
      </w:pPr>
      <w:r>
        <w:t>QAPP:  quality assurance project plan</w:t>
      </w:r>
    </w:p>
    <w:p w14:paraId="01C66C36" w14:textId="7694B3BA" w:rsidR="002B67AE" w:rsidRPr="002B67AE" w:rsidRDefault="002B67AE" w:rsidP="00D26D90">
      <w:pPr>
        <w:pStyle w:val="ListParagraph"/>
        <w:numPr>
          <w:ilvl w:val="1"/>
          <w:numId w:val="2"/>
        </w:numPr>
        <w:ind w:left="360"/>
        <w:contextualSpacing w:val="0"/>
      </w:pPr>
      <w:r w:rsidRPr="00D26D90">
        <w:t>SOP:  standard operating procedure</w:t>
      </w:r>
    </w:p>
    <w:p w14:paraId="396B0F83" w14:textId="1D4A8347" w:rsidR="009C1237" w:rsidRDefault="009C1237" w:rsidP="00AB7BF1">
      <w:pPr>
        <w:pStyle w:val="ListParagraph"/>
        <w:numPr>
          <w:ilvl w:val="1"/>
          <w:numId w:val="2"/>
        </w:numPr>
        <w:spacing w:before="120"/>
        <w:ind w:left="360"/>
        <w:contextualSpacing w:val="0"/>
      </w:pPr>
      <w:r w:rsidRPr="00D26D90">
        <w:t>True NO</w:t>
      </w:r>
      <w:r w:rsidRPr="00D26D90">
        <w:rPr>
          <w:vertAlign w:val="subscript"/>
        </w:rPr>
        <w:t>2</w:t>
      </w:r>
      <w:r w:rsidRPr="00D26D90">
        <w:t xml:space="preserve">:  </w:t>
      </w:r>
      <w:r w:rsidR="008D2424" w:rsidRPr="00D26D90">
        <w:t xml:space="preserve">“True” nitrogen dioxide </w:t>
      </w:r>
      <w:r w:rsidR="008D2424" w:rsidRPr="00AB7BF1">
        <w:t xml:space="preserve">– </w:t>
      </w:r>
      <w:r w:rsidR="008D2424">
        <w:t>a</w:t>
      </w:r>
      <w:r w:rsidRPr="00AB7BF1">
        <w:t xml:space="preserve"> method-based definition of NO</w:t>
      </w:r>
      <w:r w:rsidRPr="00AB7BF1">
        <w:rPr>
          <w:vertAlign w:val="subscript"/>
        </w:rPr>
        <w:t>2</w:t>
      </w:r>
      <w:r w:rsidRPr="00AB7BF1">
        <w:t xml:space="preserve"> that includes direct detection of NO</w:t>
      </w:r>
      <w:r w:rsidRPr="00AB7BF1">
        <w:rPr>
          <w:vertAlign w:val="subscript"/>
        </w:rPr>
        <w:t>2</w:t>
      </w:r>
      <w:r w:rsidRPr="00AB7BF1">
        <w:t xml:space="preserve"> by various spectroscopic approaches </w:t>
      </w:r>
      <w:r w:rsidR="00997BD0">
        <w:t xml:space="preserve">such as CAPS </w:t>
      </w:r>
      <w:r w:rsidRPr="00AB7BF1">
        <w:t>or photolytic conversion of NO</w:t>
      </w:r>
      <w:r w:rsidRPr="00AB7BF1">
        <w:rPr>
          <w:vertAlign w:val="subscript"/>
        </w:rPr>
        <w:t>2</w:t>
      </w:r>
      <w:r w:rsidRPr="00AB7BF1">
        <w:t xml:space="preserve"> to NO</w:t>
      </w:r>
      <w:r w:rsidR="00997BD0">
        <w:t xml:space="preserve"> followed by c</w:t>
      </w:r>
      <w:r w:rsidR="00997BD0" w:rsidRPr="00AB7BF1">
        <w:t>hemiluminescence absorption</w:t>
      </w:r>
      <w:r w:rsidR="00997BD0">
        <w:t xml:space="preserve">.  </w:t>
      </w:r>
      <w:r w:rsidR="00997BD0" w:rsidRPr="00AB7BF1">
        <w:t xml:space="preserve"> </w:t>
      </w:r>
    </w:p>
    <w:p w14:paraId="2E67584C" w14:textId="0128A8A2" w:rsidR="002B225A" w:rsidRDefault="002B225A" w:rsidP="00AB7BF1">
      <w:pPr>
        <w:pStyle w:val="ListParagraph"/>
        <w:numPr>
          <w:ilvl w:val="1"/>
          <w:numId w:val="2"/>
        </w:numPr>
        <w:spacing w:before="120"/>
        <w:ind w:left="360"/>
        <w:contextualSpacing w:val="0"/>
      </w:pPr>
      <w:r>
        <w:t>TSA:  technical systems audit</w:t>
      </w:r>
    </w:p>
    <w:p w14:paraId="65C5F046" w14:textId="04724255" w:rsidR="002B67AE" w:rsidRPr="00AB7BF1" w:rsidRDefault="002B67AE" w:rsidP="00D26D90">
      <w:pPr>
        <w:pStyle w:val="ListParagraph"/>
        <w:numPr>
          <w:ilvl w:val="1"/>
          <w:numId w:val="2"/>
        </w:numPr>
        <w:spacing w:before="120"/>
        <w:ind w:left="360"/>
        <w:contextualSpacing w:val="0"/>
      </w:pPr>
      <w:r>
        <w:t>UV:  ultraviolet (light)</w:t>
      </w:r>
    </w:p>
    <w:p w14:paraId="38D4AAFC" w14:textId="3F6527AC" w:rsidR="002B225A" w:rsidRDefault="002B225A" w:rsidP="00944E78">
      <w:pPr>
        <w:pStyle w:val="ListParagraph"/>
        <w:numPr>
          <w:ilvl w:val="1"/>
          <w:numId w:val="2"/>
        </w:numPr>
        <w:ind w:left="360"/>
        <w:contextualSpacing w:val="0"/>
      </w:pPr>
      <w:r>
        <w:t>ZAG:  zero air generator</w:t>
      </w:r>
    </w:p>
    <w:p w14:paraId="54A13142" w14:textId="4E9AFCA8" w:rsidR="006918FF" w:rsidRDefault="00FF3A91" w:rsidP="00D26D90">
      <w:pPr>
        <w:pStyle w:val="ListParagraph"/>
        <w:numPr>
          <w:ilvl w:val="1"/>
          <w:numId w:val="2"/>
        </w:numPr>
        <w:ind w:left="360"/>
        <w:contextualSpacing w:val="0"/>
      </w:pPr>
      <w:r w:rsidRPr="00D26D90">
        <w:lastRenderedPageBreak/>
        <w:t>Zero Air</w:t>
      </w:r>
      <w:r w:rsidRPr="00AB7BF1">
        <w:t xml:space="preserve">:  </w:t>
      </w:r>
      <w:r w:rsidR="00AE71C6" w:rsidRPr="00AB7BF1">
        <w:t xml:space="preserve">Air </w:t>
      </w:r>
      <w:r w:rsidR="00E90961" w:rsidRPr="00AB7BF1">
        <w:t>or synthetic air matrix (containing bulk gases N</w:t>
      </w:r>
      <w:r w:rsidR="00E90961" w:rsidRPr="00D26D90">
        <w:rPr>
          <w:vertAlign w:val="subscript"/>
        </w:rPr>
        <w:t>2</w:t>
      </w:r>
      <w:r w:rsidR="00E90961" w:rsidRPr="00AB7BF1">
        <w:t>, O</w:t>
      </w:r>
      <w:r w:rsidR="00E90961" w:rsidRPr="00D26D90">
        <w:rPr>
          <w:vertAlign w:val="subscript"/>
        </w:rPr>
        <w:t>2</w:t>
      </w:r>
      <w:r w:rsidR="00E90961" w:rsidRPr="00AB7BF1">
        <w:t>, CO</w:t>
      </w:r>
      <w:r w:rsidR="00E90961" w:rsidRPr="00D26D90">
        <w:rPr>
          <w:vertAlign w:val="subscript"/>
        </w:rPr>
        <w:t>2</w:t>
      </w:r>
      <w:r w:rsidR="00E90961" w:rsidRPr="00AB7BF1">
        <w:t xml:space="preserve">, and Ar) </w:t>
      </w:r>
      <w:r w:rsidR="0087728B" w:rsidRPr="00AB7BF1">
        <w:t xml:space="preserve">that </w:t>
      </w:r>
      <w:r w:rsidR="00997BD0">
        <w:t xml:space="preserve">is free of </w:t>
      </w:r>
      <w:r w:rsidR="0087728B" w:rsidRPr="00AB7BF1">
        <w:t>water vapor</w:t>
      </w:r>
      <w:r w:rsidR="00997BD0">
        <w:t>, particulate matter,</w:t>
      </w:r>
      <w:r w:rsidR="0087728B" w:rsidRPr="00AB7BF1">
        <w:t xml:space="preserve"> </w:t>
      </w:r>
      <w:r w:rsidR="00997BD0">
        <w:t xml:space="preserve">volatile organic compounds (VOCs), </w:t>
      </w:r>
      <w:r w:rsidR="0087728B" w:rsidRPr="00AB7BF1">
        <w:t xml:space="preserve">and </w:t>
      </w:r>
      <w:r w:rsidR="00997BD0">
        <w:t xml:space="preserve">other </w:t>
      </w:r>
      <w:r w:rsidR="00AE71C6" w:rsidRPr="00AB7BF1">
        <w:t>impurities</w:t>
      </w:r>
      <w:r w:rsidR="0087728B" w:rsidRPr="00AB7BF1">
        <w:t xml:space="preserve"> which would impact measurement of NO</w:t>
      </w:r>
      <w:r w:rsidR="0087728B" w:rsidRPr="00AB7BF1">
        <w:rPr>
          <w:vertAlign w:val="subscript"/>
        </w:rPr>
        <w:t>2</w:t>
      </w:r>
      <w:r w:rsidR="00944E78" w:rsidRPr="00A0702C">
        <w:t>.</w:t>
      </w:r>
    </w:p>
    <w:p w14:paraId="28723B5B" w14:textId="2EC29362" w:rsidR="006918FF" w:rsidRDefault="006918FF" w:rsidP="00D26D90">
      <w:pPr>
        <w:pStyle w:val="Style1"/>
        <w:numPr>
          <w:ilvl w:val="0"/>
          <w:numId w:val="20"/>
        </w:numPr>
        <w:tabs>
          <w:tab w:val="clear" w:pos="720"/>
        </w:tabs>
        <w:ind w:left="0"/>
      </w:pPr>
      <w:r w:rsidRPr="00D26D90">
        <w:rPr>
          <w:b/>
          <w:bCs w:val="0"/>
        </w:rPr>
        <w:t>Interferences</w:t>
      </w:r>
    </w:p>
    <w:p w14:paraId="415BE8E7" w14:textId="13879ED2" w:rsidR="006918FF" w:rsidRPr="002B225A" w:rsidRDefault="006918FF" w:rsidP="00D26D90">
      <w:pPr>
        <w:pStyle w:val="ListParagraph"/>
        <w:numPr>
          <w:ilvl w:val="3"/>
          <w:numId w:val="20"/>
        </w:numPr>
        <w:ind w:left="360"/>
      </w:pPr>
      <w:r w:rsidRPr="002B225A">
        <w:t xml:space="preserve">Temperature </w:t>
      </w:r>
      <w:r w:rsidR="00386F4A" w:rsidRPr="00D26D90">
        <w:t>E</w:t>
      </w:r>
      <w:r w:rsidRPr="002B225A">
        <w:t>ffects</w:t>
      </w:r>
    </w:p>
    <w:p w14:paraId="6AE99A0D" w14:textId="0174F1E2" w:rsidR="005D0885" w:rsidRDefault="005D0885" w:rsidP="00D26D90">
      <w:pPr>
        <w:ind w:left="360"/>
      </w:pPr>
      <w:r>
        <w:t>The true NO</w:t>
      </w:r>
      <w:r w:rsidRPr="00386F4A">
        <w:rPr>
          <w:vertAlign w:val="subscript"/>
        </w:rPr>
        <w:t>2</w:t>
      </w:r>
      <w:r>
        <w:t xml:space="preserve"> instrument must be operated </w:t>
      </w:r>
      <w:r w:rsidR="00386F4A">
        <w:t xml:space="preserve">in an environment controlled to </w:t>
      </w:r>
      <w:r w:rsidR="00C27DA4">
        <w:t xml:space="preserve">a temperature between </w:t>
      </w:r>
      <w:r w:rsidR="002B6E63">
        <w:t xml:space="preserve">5 to 40°C </w:t>
      </w:r>
      <w:r>
        <w:t xml:space="preserve">to comply with the EPA FEM </w:t>
      </w:r>
      <w:r w:rsidR="00403F38">
        <w:t xml:space="preserve">designation </w:t>
      </w:r>
      <w:r>
        <w:t>specification</w:t>
      </w:r>
      <w:r w:rsidR="00403F38">
        <w:t>s</w:t>
      </w:r>
      <w:r w:rsidR="002B6E63">
        <w:t xml:space="preserve"> and </w:t>
      </w:r>
      <w:r w:rsidR="00C27DA4">
        <w:t xml:space="preserve">to between </w:t>
      </w:r>
      <w:r w:rsidR="002B6E63">
        <w:t>20 to 30°C to comply with the environmental conditions for NCore stations</w:t>
      </w:r>
      <w:r>
        <w:t xml:space="preserve">. </w:t>
      </w:r>
      <w:r w:rsidR="002B6E63">
        <w:t xml:space="preserve">Note also that the maximum deviation in hourly temperature over a 24-hour period cannot exceed ±5°C. </w:t>
      </w:r>
      <w:r w:rsidR="00386F4A">
        <w:t>The following temperature effects resulting in measurement interference are typically obviated by operating within this defined temperature range and reducing temperature fluctuat</w:t>
      </w:r>
      <w:r w:rsidR="00386F4A" w:rsidRPr="00403F38">
        <w:t>ion as practical</w:t>
      </w:r>
      <w:r w:rsidRPr="00403F38">
        <w:t>:</w:t>
      </w:r>
      <w:r>
        <w:t xml:space="preserve"> </w:t>
      </w:r>
    </w:p>
    <w:p w14:paraId="7177B261" w14:textId="7E701EE0" w:rsidR="00AB7BF1" w:rsidRDefault="00821EB6" w:rsidP="00D26D90">
      <w:pPr>
        <w:pStyle w:val="ListParagraph"/>
        <w:numPr>
          <w:ilvl w:val="2"/>
          <w:numId w:val="2"/>
        </w:numPr>
        <w:ind w:left="720" w:hanging="360"/>
        <w:contextualSpacing w:val="0"/>
      </w:pPr>
      <w:r>
        <w:t>Because detection of NO</w:t>
      </w:r>
      <w:r w:rsidRPr="00386F4A">
        <w:rPr>
          <w:vertAlign w:val="subscript"/>
        </w:rPr>
        <w:t>2</w:t>
      </w:r>
      <w:r w:rsidRPr="00386F4A">
        <w:rPr>
          <w:vertAlign w:val="subscript"/>
        </w:rPr>
        <w:softHyphen/>
        <w:t xml:space="preserve"> </w:t>
      </w:r>
      <w:r>
        <w:t>involves use of optics and mirrors, temperature should be maintained to mitigate the formation of moisture</w:t>
      </w:r>
      <w:r w:rsidR="007D0D59">
        <w:t xml:space="preserve"> condensation</w:t>
      </w:r>
      <w:r>
        <w:t xml:space="preserve"> on internal surfaces</w:t>
      </w:r>
      <w:r w:rsidR="008254AA">
        <w:t xml:space="preserve">. </w:t>
      </w:r>
    </w:p>
    <w:p w14:paraId="665F21A5" w14:textId="05F3C1CE" w:rsidR="00AB7BF1" w:rsidRDefault="00403F38" w:rsidP="00D26D90">
      <w:pPr>
        <w:pStyle w:val="ListParagraph"/>
        <w:numPr>
          <w:ilvl w:val="2"/>
          <w:numId w:val="2"/>
        </w:numPr>
        <w:ind w:left="720" w:hanging="360"/>
        <w:contextualSpacing w:val="0"/>
      </w:pPr>
      <w:r>
        <w:t>Temperature fluctuations should be minimized to minimize the effect of NO</w:t>
      </w:r>
      <w:r w:rsidRPr="00D26D90">
        <w:rPr>
          <w:vertAlign w:val="subscript"/>
        </w:rPr>
        <w:t>2</w:t>
      </w:r>
      <w:r>
        <w:t xml:space="preserve"> a</w:t>
      </w:r>
      <w:r w:rsidR="00821EB6">
        <w:t>dsorption coefficient changes</w:t>
      </w:r>
      <w:r>
        <w:t>.</w:t>
      </w:r>
    </w:p>
    <w:p w14:paraId="7FC7CAC5" w14:textId="6A8FAA54" w:rsidR="008254AA" w:rsidRDefault="00386F4A" w:rsidP="00D26D90">
      <w:pPr>
        <w:pStyle w:val="ListParagraph"/>
        <w:numPr>
          <w:ilvl w:val="2"/>
          <w:numId w:val="2"/>
        </w:numPr>
        <w:ind w:left="720" w:hanging="360"/>
        <w:contextualSpacing w:val="0"/>
      </w:pPr>
      <w:r>
        <w:t>For</w:t>
      </w:r>
      <w:r w:rsidR="005D0885">
        <w:t xml:space="preserve"> photolytic instruments only: </w:t>
      </w:r>
      <w:r w:rsidR="00AB7BF1">
        <w:t xml:space="preserve"> </w:t>
      </w:r>
      <w:r w:rsidR="008254AA">
        <w:t>The stability of the chemiluminescence reaction between NO and O</w:t>
      </w:r>
      <w:r w:rsidR="008254AA" w:rsidRPr="00D26D90">
        <w:rPr>
          <w:vertAlign w:val="subscript"/>
        </w:rPr>
        <w:t>3</w:t>
      </w:r>
      <w:r w:rsidR="008254AA">
        <w:t xml:space="preserve"> can be affected by changes in the temperature and pressure of the O</w:t>
      </w:r>
      <w:r w:rsidR="008254AA" w:rsidRPr="00D26D90">
        <w:rPr>
          <w:vertAlign w:val="subscript"/>
        </w:rPr>
        <w:t>3</w:t>
      </w:r>
      <w:r w:rsidR="008254AA">
        <w:t xml:space="preserve"> and sample gases in the reaction cell. </w:t>
      </w:r>
      <w:r w:rsidR="00D23F73">
        <w:t>T</w:t>
      </w:r>
      <w:r w:rsidR="008254AA">
        <w:t>o reduce temperature effects, the reaction cell is maintained at a constant 50°C, just above the high end of the instrument’s operation temperature range</w:t>
      </w:r>
      <w:r w:rsidR="00403F38">
        <w:t>.</w:t>
      </w:r>
    </w:p>
    <w:p w14:paraId="6EEAA894" w14:textId="11EFB8DB" w:rsidR="006918FF" w:rsidRDefault="00966108" w:rsidP="00D26D90">
      <w:pPr>
        <w:pStyle w:val="ListParagraph"/>
        <w:ind w:left="360" w:hanging="360"/>
        <w:contextualSpacing w:val="0"/>
      </w:pPr>
      <w:r>
        <w:t xml:space="preserve">2. </w:t>
      </w:r>
      <w:r w:rsidR="006918FF">
        <w:tab/>
        <w:t xml:space="preserve">Dirty </w:t>
      </w:r>
      <w:r w:rsidR="00F65800">
        <w:t>M</w:t>
      </w:r>
      <w:r w:rsidR="006918FF">
        <w:t>irrors</w:t>
      </w:r>
      <w:r w:rsidR="00F65800">
        <w:t xml:space="preserve"> and Optics</w:t>
      </w:r>
    </w:p>
    <w:p w14:paraId="5C043BCE" w14:textId="4FF5862E" w:rsidR="006918FF" w:rsidRDefault="006918FF" w:rsidP="00D26D90">
      <w:pPr>
        <w:ind w:left="360"/>
      </w:pPr>
      <w:r>
        <w:t xml:space="preserve">Contamination of mirrors </w:t>
      </w:r>
      <w:r w:rsidR="00F65800">
        <w:t xml:space="preserve">and optics </w:t>
      </w:r>
      <w:r>
        <w:t xml:space="preserve">on CAPS analyzers can occur because of pressure </w:t>
      </w:r>
      <w:r w:rsidR="00C27DA4">
        <w:t>changes</w:t>
      </w:r>
      <w:r>
        <w:t xml:space="preserve">, inline </w:t>
      </w:r>
      <w:r w:rsidR="007D0D59">
        <w:t xml:space="preserve">particulate matter </w:t>
      </w:r>
      <w:r>
        <w:t>filter failure, or other event</w:t>
      </w:r>
      <w:r w:rsidR="00C27DA4">
        <w:t>s</w:t>
      </w:r>
      <w:r>
        <w:t xml:space="preserve">, causing loss of signal and </w:t>
      </w:r>
      <w:r w:rsidR="007D0D59">
        <w:t>a</w:t>
      </w:r>
      <w:r>
        <w:t xml:space="preserve"> decrease in sensitivity. </w:t>
      </w:r>
      <w:r w:rsidR="00403F38">
        <w:t xml:space="preserve">The internal oven temperature of the T500U </w:t>
      </w:r>
      <w:r w:rsidR="00C27DA4">
        <w:t>increases</w:t>
      </w:r>
      <w:r w:rsidR="00403F38">
        <w:t xml:space="preserve"> the incoming gas temperature to approximately 45°C to minimize the formation of condensation on the mirrors.</w:t>
      </w:r>
      <w:r w:rsidR="00D74C5C">
        <w:t xml:space="preserve"> </w:t>
      </w:r>
    </w:p>
    <w:p w14:paraId="5D02F4F5" w14:textId="2FCB1C1C" w:rsidR="006918FF" w:rsidRDefault="00966108" w:rsidP="00D26D90">
      <w:pPr>
        <w:pStyle w:val="ListParagraph"/>
        <w:ind w:left="360" w:hanging="360"/>
        <w:contextualSpacing w:val="0"/>
      </w:pPr>
      <w:r>
        <w:t>3.</w:t>
      </w:r>
      <w:r w:rsidR="006918FF">
        <w:tab/>
        <w:t xml:space="preserve">High </w:t>
      </w:r>
      <w:r w:rsidR="00D74C5C">
        <w:t>P</w:t>
      </w:r>
      <w:r w:rsidR="006918FF">
        <w:t xml:space="preserve">article </w:t>
      </w:r>
      <w:r w:rsidR="00D74C5C">
        <w:t>L</w:t>
      </w:r>
      <w:r w:rsidR="006918FF">
        <w:t>oadings</w:t>
      </w:r>
    </w:p>
    <w:p w14:paraId="28062860" w14:textId="19296163" w:rsidR="006918FF" w:rsidRDefault="006918FF" w:rsidP="00D26D90">
      <w:pPr>
        <w:pStyle w:val="ListParagraph"/>
        <w:ind w:left="360"/>
        <w:contextualSpacing w:val="0"/>
      </w:pPr>
      <w:r>
        <w:t xml:space="preserve">High particle loadings on inlet </w:t>
      </w:r>
      <w:r w:rsidR="007D0D59">
        <w:t xml:space="preserve">particulate matter </w:t>
      </w:r>
      <w:r>
        <w:t>filters can result in a pressure drop</w:t>
      </w:r>
      <w:r w:rsidR="007D0D59">
        <w:t xml:space="preserve"> and reduced flow</w:t>
      </w:r>
      <w:r>
        <w:t xml:space="preserve"> through the system and degradation of </w:t>
      </w:r>
      <w:r w:rsidR="007D0D59">
        <w:t xml:space="preserve">sampling </w:t>
      </w:r>
      <w:r>
        <w:t>pump performance</w:t>
      </w:r>
      <w:r w:rsidR="007D0D59">
        <w:t xml:space="preserve"> due to the extra load on the pump</w:t>
      </w:r>
      <w:r>
        <w:t>.</w:t>
      </w:r>
      <w:r w:rsidR="00403F38">
        <w:t xml:space="preserve"> Replace inline filters at appropriate frequencies (annually or more often) to minimize flow restrictions.</w:t>
      </w:r>
    </w:p>
    <w:p w14:paraId="1DE84A4B" w14:textId="551D68EB" w:rsidR="006918FF" w:rsidRDefault="00966108" w:rsidP="00D26D90">
      <w:pPr>
        <w:pStyle w:val="ListParagraph"/>
        <w:ind w:left="360" w:hanging="360"/>
        <w:contextualSpacing w:val="0"/>
      </w:pPr>
      <w:r>
        <w:t>4.</w:t>
      </w:r>
      <w:r w:rsidR="006918FF">
        <w:tab/>
        <w:t xml:space="preserve">Lamp </w:t>
      </w:r>
      <w:r w:rsidR="00D74C5C">
        <w:t>D</w:t>
      </w:r>
      <w:r w:rsidR="006918FF">
        <w:t>egradation</w:t>
      </w:r>
    </w:p>
    <w:p w14:paraId="3031385F" w14:textId="53E31EA1" w:rsidR="007427C0" w:rsidRDefault="006918FF" w:rsidP="00D26D90">
      <w:pPr>
        <w:ind w:left="360"/>
      </w:pPr>
      <w:r>
        <w:t>Lamp intensity declines over time with use, resulting in lower overall intensity and a corresponding loss of sensitivity.</w:t>
      </w:r>
      <w:r w:rsidR="00403F38">
        <w:t xml:space="preserve"> Replace lamps per the recommended instrument manufacturer frequency.</w:t>
      </w:r>
      <w:r w:rsidR="007427C0">
        <w:br w:type="page"/>
      </w:r>
    </w:p>
    <w:p w14:paraId="3BE8FD35" w14:textId="77777777" w:rsidR="00403F38" w:rsidRDefault="00966108" w:rsidP="00AB7BF1">
      <w:pPr>
        <w:ind w:left="360" w:hanging="360"/>
      </w:pPr>
      <w:r>
        <w:lastRenderedPageBreak/>
        <w:t>5.</w:t>
      </w:r>
      <w:r w:rsidR="006918FF">
        <w:tab/>
        <w:t xml:space="preserve">Dirty </w:t>
      </w:r>
      <w:r w:rsidR="00D74C5C">
        <w:t>R</w:t>
      </w:r>
      <w:r w:rsidR="006918FF">
        <w:t xml:space="preserve">eaction </w:t>
      </w:r>
      <w:r w:rsidR="00D74C5C">
        <w:t>C</w:t>
      </w:r>
      <w:r w:rsidR="006918FF">
        <w:t>hamber</w:t>
      </w:r>
    </w:p>
    <w:p w14:paraId="7E053A78" w14:textId="3BB63EDF" w:rsidR="006918FF" w:rsidRDefault="00403F38" w:rsidP="00D26D90">
      <w:pPr>
        <w:ind w:left="360"/>
      </w:pPr>
      <w:r>
        <w:t xml:space="preserve">A dirty reaction chamber on the T200UP will result in </w:t>
      </w:r>
      <w:r w:rsidR="00C27DA4">
        <w:t xml:space="preserve">increased </w:t>
      </w:r>
      <w:r>
        <w:t xml:space="preserve">signal noise, calibration drift (zero and/or span), and/or </w:t>
      </w:r>
      <w:r w:rsidR="00C27DA4">
        <w:t xml:space="preserve">decreased </w:t>
      </w:r>
      <w:r>
        <w:t>response</w:t>
      </w:r>
      <w:r w:rsidR="00C27DA4">
        <w:t xml:space="preserve"> (calibration slope)</w:t>
      </w:r>
      <w:r>
        <w:t xml:space="preserve">. </w:t>
      </w:r>
    </w:p>
    <w:p w14:paraId="6A9C2B5A" w14:textId="22C0D3BC" w:rsidR="00403F38" w:rsidRDefault="00966108" w:rsidP="00435323">
      <w:pPr>
        <w:ind w:left="360" w:hanging="360"/>
      </w:pPr>
      <w:r>
        <w:t>6</w:t>
      </w:r>
      <w:r w:rsidR="00885C4C">
        <w:t xml:space="preserve">. </w:t>
      </w:r>
      <w:r w:rsidR="00885C4C">
        <w:tab/>
      </w:r>
      <w:r>
        <w:t xml:space="preserve">Generation of </w:t>
      </w:r>
      <w:r w:rsidR="00885C4C">
        <w:t xml:space="preserve">Excess Ozone </w:t>
      </w:r>
      <w:r>
        <w:t xml:space="preserve">(specific to </w:t>
      </w:r>
      <w:r w:rsidR="00403F38">
        <w:t>use of GPT for standards preparation</w:t>
      </w:r>
      <w:r>
        <w:t>)</w:t>
      </w:r>
    </w:p>
    <w:p w14:paraId="2E41DCB9" w14:textId="0A554ED6" w:rsidR="00966108" w:rsidRDefault="007D0D59" w:rsidP="00D26D90">
      <w:pPr>
        <w:ind w:left="360"/>
      </w:pPr>
      <w:r w:rsidRPr="00595D35">
        <w:t xml:space="preserve">Excessive ozone in the </w:t>
      </w:r>
      <w:r w:rsidR="00595D35" w:rsidRPr="00D26D90">
        <w:t xml:space="preserve">DDC and/or </w:t>
      </w:r>
      <w:r w:rsidRPr="00595D35">
        <w:t>analyzer can result in formation of higher order nitrogen compounds which can</w:t>
      </w:r>
      <w:r w:rsidR="00595D35" w:rsidRPr="00D26D90">
        <w:t xml:space="preserve"> consume NO</w:t>
      </w:r>
      <w:r w:rsidR="00595D35" w:rsidRPr="00D26D90">
        <w:rPr>
          <w:vertAlign w:val="subscript"/>
        </w:rPr>
        <w:t>2</w:t>
      </w:r>
      <w:r w:rsidR="00C27DA4">
        <w:t xml:space="preserve">, </w:t>
      </w:r>
      <w:r w:rsidR="00595D35" w:rsidRPr="00D26D90">
        <w:t xml:space="preserve">resulting in </w:t>
      </w:r>
      <w:r w:rsidR="00C27DA4">
        <w:t xml:space="preserve">negatively-biased instrument </w:t>
      </w:r>
      <w:r w:rsidR="00595D35" w:rsidRPr="00D26D90">
        <w:t>response as well as</w:t>
      </w:r>
      <w:r w:rsidRPr="00595D35">
        <w:t xml:space="preserve"> deposit</w:t>
      </w:r>
      <w:r w:rsidR="00C27DA4">
        <w:t>s</w:t>
      </w:r>
      <w:r w:rsidRPr="00595D35">
        <w:t xml:space="preserve"> </w:t>
      </w:r>
      <w:r w:rsidR="00C27DA4">
        <w:t xml:space="preserve">of PAN, MPAN, and other similar species </w:t>
      </w:r>
      <w:r w:rsidRPr="00595D35">
        <w:t xml:space="preserve">on the instrument flow path and measurement surfaces, resulting in corrosion of </w:t>
      </w:r>
      <w:r w:rsidR="00595D35" w:rsidRPr="00D26D90">
        <w:t>analyzer components</w:t>
      </w:r>
      <w:r w:rsidRPr="00595D35">
        <w:t>.</w:t>
      </w:r>
    </w:p>
    <w:p w14:paraId="572FADD3" w14:textId="56A24139" w:rsidR="00435323" w:rsidRDefault="00435323" w:rsidP="00D26D90">
      <w:pPr>
        <w:ind w:left="360" w:hanging="360"/>
      </w:pPr>
      <w:r>
        <w:t>7.</w:t>
      </w:r>
      <w:r>
        <w:tab/>
        <w:t xml:space="preserve">When employing GPT, proper hygiene and purging of NO standard high pressure regulators must be practiced </w:t>
      </w:r>
      <w:proofErr w:type="gramStart"/>
      <w:r>
        <w:t xml:space="preserve">to </w:t>
      </w:r>
      <w:r w:rsidR="00C27DA4">
        <w:t>minimize</w:t>
      </w:r>
      <w:proofErr w:type="gramEnd"/>
      <w:r w:rsidR="00C27DA4">
        <w:t xml:space="preserve"> the introduction of </w:t>
      </w:r>
      <w:r>
        <w:t>ambient air into the cylinder. The reaction of O</w:t>
      </w:r>
      <w:r w:rsidRPr="00A0702C">
        <w:rPr>
          <w:vertAlign w:val="subscript"/>
        </w:rPr>
        <w:t xml:space="preserve">2 </w:t>
      </w:r>
      <w:r>
        <w:t>from ambient air with NO will result in the formation of NO</w:t>
      </w:r>
      <w:r w:rsidRPr="00A0702C">
        <w:rPr>
          <w:vertAlign w:val="subscript"/>
        </w:rPr>
        <w:t>2</w:t>
      </w:r>
      <w:r>
        <w:t xml:space="preserve"> in the gas cylinder and degrade the NO. Additionally, humidity and other oxidative substances in ambient air can result in irreversible contamination in the standard cylinder.</w:t>
      </w:r>
    </w:p>
    <w:p w14:paraId="10CA0D6F" w14:textId="04B8468C" w:rsidR="002F2BDB" w:rsidRDefault="00435323" w:rsidP="00D26D90">
      <w:pPr>
        <w:ind w:left="360" w:hanging="360"/>
      </w:pPr>
      <w:r>
        <w:t>8</w:t>
      </w:r>
      <w:r w:rsidR="002F2BDB">
        <w:t>.</w:t>
      </w:r>
      <w:r w:rsidR="002F2BDB">
        <w:tab/>
        <w:t>For the CAPS NO</w:t>
      </w:r>
      <w:r w:rsidR="002F2BDB" w:rsidRPr="00D26D90">
        <w:rPr>
          <w:vertAlign w:val="subscript"/>
        </w:rPr>
        <w:t>2</w:t>
      </w:r>
      <w:r w:rsidR="002F2BDB">
        <w:t xml:space="preserve"> analyzers, there are few </w:t>
      </w:r>
      <w:r w:rsidR="002B6E63">
        <w:t>other substances that absorb light at 450 nm, and those that do are not expected to be present at sufficient concentrations to interfere with ambient air measurements</w:t>
      </w:r>
      <w:r w:rsidR="00C27DA4">
        <w:t xml:space="preserve"> of NO</w:t>
      </w:r>
      <w:r w:rsidR="00C27DA4" w:rsidRPr="00F60D38">
        <w:rPr>
          <w:vertAlign w:val="subscript"/>
        </w:rPr>
        <w:t>2</w:t>
      </w:r>
      <w:r>
        <w:t>.</w:t>
      </w:r>
    </w:p>
    <w:p w14:paraId="54F126DF" w14:textId="32264FF3" w:rsidR="00595D35" w:rsidRDefault="00595D35" w:rsidP="00D26D90">
      <w:pPr>
        <w:spacing w:after="0"/>
        <w:ind w:left="360" w:hanging="360"/>
      </w:pPr>
      <w:r>
        <w:t>9.</w:t>
      </w:r>
      <w:r>
        <w:tab/>
        <w:t>Use of an accessory strip chart recorder or data acquisition system (DAS) requires proper configuration to ensure NO</w:t>
      </w:r>
      <w:r w:rsidRPr="00D26D90">
        <w:rPr>
          <w:vertAlign w:val="subscript"/>
        </w:rPr>
        <w:t>2</w:t>
      </w:r>
      <w:r>
        <w:t xml:space="preserve"> analyzer outputs are properly transmitted and recorded. While outside the scope of this SOP, operators must ensure that these components are properly configured to accurately record NO</w:t>
      </w:r>
      <w:r w:rsidRPr="00D26D90">
        <w:rPr>
          <w:vertAlign w:val="subscript"/>
        </w:rPr>
        <w:t>2</w:t>
      </w:r>
      <w:r>
        <w:t xml:space="preserve"> analyzer signals.</w:t>
      </w:r>
    </w:p>
    <w:p w14:paraId="1F3B0995" w14:textId="77777777" w:rsidR="00C92499" w:rsidRPr="00D26D90" w:rsidRDefault="00C92499" w:rsidP="00D26D90">
      <w:pPr>
        <w:spacing w:after="0"/>
        <w:rPr>
          <w:b/>
        </w:rPr>
      </w:pPr>
    </w:p>
    <w:p w14:paraId="2DCDC25C" w14:textId="37A6DEFC" w:rsidR="0088144D" w:rsidRDefault="0088144D" w:rsidP="00D26D90">
      <w:pPr>
        <w:pStyle w:val="Style1"/>
        <w:numPr>
          <w:ilvl w:val="0"/>
          <w:numId w:val="20"/>
        </w:numPr>
        <w:tabs>
          <w:tab w:val="clear" w:pos="720"/>
          <w:tab w:val="left" w:pos="810"/>
        </w:tabs>
        <w:ind w:left="0"/>
      </w:pPr>
      <w:r w:rsidRPr="00D26D90">
        <w:rPr>
          <w:b/>
        </w:rPr>
        <w:t>Safety</w:t>
      </w:r>
      <w:r w:rsidRPr="00D26D90">
        <w:rPr>
          <w:b/>
          <w:bCs w:val="0"/>
        </w:rPr>
        <w:t xml:space="preserve"> </w:t>
      </w:r>
    </w:p>
    <w:p w14:paraId="645857CE" w14:textId="18E37FD0" w:rsidR="00AD3DA8" w:rsidRDefault="004A1950" w:rsidP="00D26D90">
      <w:pPr>
        <w:ind w:left="360" w:hanging="360"/>
      </w:pPr>
      <w:r>
        <w:t>1</w:t>
      </w:r>
      <w:r w:rsidR="00885C4C">
        <w:t>.</w:t>
      </w:r>
      <w:r w:rsidR="00885C4C">
        <w:tab/>
      </w:r>
      <w:r w:rsidR="0088144D">
        <w:t>R</w:t>
      </w:r>
      <w:r w:rsidR="00AD3DA8">
        <w:t xml:space="preserve">efer to the instrument manuals for safety information </w:t>
      </w:r>
      <w:r w:rsidR="007D0D59">
        <w:t>specific to the NO</w:t>
      </w:r>
      <w:r w:rsidR="007D0D59" w:rsidRPr="00D26D90">
        <w:rPr>
          <w:vertAlign w:val="subscript"/>
        </w:rPr>
        <w:t>2</w:t>
      </w:r>
      <w:r w:rsidR="007D0D59">
        <w:t xml:space="preserve"> instrument </w:t>
      </w:r>
      <w:r w:rsidR="00595D35">
        <w:t xml:space="preserve">and DDC </w:t>
      </w:r>
      <w:r w:rsidR="007D0D59">
        <w:t xml:space="preserve">manufacturer and model and </w:t>
      </w:r>
      <w:r w:rsidR="00AD3DA8">
        <w:t xml:space="preserve">support equipment. </w:t>
      </w:r>
    </w:p>
    <w:p w14:paraId="6298954A" w14:textId="3885DC26" w:rsidR="004F3F3B" w:rsidRDefault="004A1950" w:rsidP="00D26D90">
      <w:pPr>
        <w:ind w:left="360" w:hanging="360"/>
      </w:pPr>
      <w:r>
        <w:t xml:space="preserve">2. </w:t>
      </w:r>
      <w:r w:rsidR="007D0D59">
        <w:tab/>
      </w:r>
      <w:r w:rsidR="00AD3DA8">
        <w:t xml:space="preserve">The zero air generation </w:t>
      </w:r>
      <w:r w:rsidR="00595D35">
        <w:t xml:space="preserve">(ZAG) </w:t>
      </w:r>
      <w:r w:rsidR="00AD3DA8">
        <w:t xml:space="preserve">system </w:t>
      </w:r>
      <w:r w:rsidR="00C27DA4">
        <w:t xml:space="preserve">consists of </w:t>
      </w:r>
      <w:r w:rsidR="00AD3DA8">
        <w:t>an air compressor</w:t>
      </w:r>
      <w:r w:rsidR="007D0D59">
        <w:t xml:space="preserve"> and high pressure storage tank</w:t>
      </w:r>
      <w:r w:rsidR="00AD3DA8">
        <w:t xml:space="preserve">. Rupture </w:t>
      </w:r>
      <w:r w:rsidR="00C27DA4">
        <w:t xml:space="preserve">of </w:t>
      </w:r>
      <w:r w:rsidR="00AD3DA8">
        <w:t xml:space="preserve">the </w:t>
      </w:r>
      <w:r w:rsidR="007D0D59">
        <w:t xml:space="preserve">storage </w:t>
      </w:r>
      <w:r w:rsidR="00AD3DA8">
        <w:t xml:space="preserve">tank or </w:t>
      </w:r>
      <w:r w:rsidR="007D0D59">
        <w:t xml:space="preserve">compressor </w:t>
      </w:r>
      <w:r w:rsidR="00AD3DA8">
        <w:t>connection lines can result in injury to persons in close proximity</w:t>
      </w:r>
      <w:r w:rsidR="007D0D59">
        <w:t>.</w:t>
      </w:r>
      <w:r w:rsidR="00AD3DA8">
        <w:t xml:space="preserve"> </w:t>
      </w:r>
      <w:r w:rsidR="007D0D59">
        <w:t xml:space="preserve">The zero air generation system is </w:t>
      </w:r>
      <w:r w:rsidR="00AD3DA8">
        <w:t>heavy and require</w:t>
      </w:r>
      <w:r w:rsidR="007D0D59">
        <w:t>s</w:t>
      </w:r>
      <w:r w:rsidR="00AD3DA8">
        <w:t xml:space="preserve"> caution when moving. </w:t>
      </w:r>
    </w:p>
    <w:p w14:paraId="53333D16" w14:textId="07D38018" w:rsidR="000334EE" w:rsidRDefault="004A1950" w:rsidP="00D26D90">
      <w:pPr>
        <w:ind w:left="360" w:hanging="360"/>
      </w:pPr>
      <w:r>
        <w:t xml:space="preserve">3. </w:t>
      </w:r>
      <w:r w:rsidR="000334EE">
        <w:tab/>
      </w:r>
      <w:r w:rsidR="00876425" w:rsidRPr="00876425">
        <w:t>Standard gases</w:t>
      </w:r>
      <w:r w:rsidR="00AD3DA8">
        <w:t xml:space="preserve"> and support gases</w:t>
      </w:r>
      <w:r w:rsidR="00876425" w:rsidRPr="00876425">
        <w:t xml:space="preserve"> are contained within high pressure cylinders.  Staff working with high pressure cylinders must be trained on the</w:t>
      </w:r>
      <w:r w:rsidR="00C27DA4">
        <w:t>ir</w:t>
      </w:r>
      <w:r w:rsidR="00876425" w:rsidRPr="00876425">
        <w:t xml:space="preserve"> proper handling and </w:t>
      </w:r>
      <w:r w:rsidR="00C27DA4">
        <w:t>use</w:t>
      </w:r>
      <w:r w:rsidR="00876425">
        <w:t>.</w:t>
      </w:r>
      <w:r w:rsidR="00AD3DA8">
        <w:t xml:space="preserve"> Steel</w:t>
      </w:r>
      <w:r w:rsidR="000334EE">
        <w:t>-</w:t>
      </w:r>
      <w:r w:rsidR="00AD3DA8">
        <w:t xml:space="preserve">toed shoes and leather gloves are recommended </w:t>
      </w:r>
      <w:r w:rsidR="000334EE">
        <w:t>personal protective equipment (</w:t>
      </w:r>
      <w:r w:rsidR="00AD3DA8">
        <w:t>PPE</w:t>
      </w:r>
      <w:r w:rsidR="000334EE">
        <w:t>)</w:t>
      </w:r>
      <w:r w:rsidR="00AD3DA8">
        <w:t xml:space="preserve"> when </w:t>
      </w:r>
      <w:r w:rsidR="000334EE">
        <w:t>handling and moving high pressure cylinders</w:t>
      </w:r>
      <w:r w:rsidR="00AD3DA8">
        <w:t xml:space="preserve">. </w:t>
      </w:r>
    </w:p>
    <w:p w14:paraId="7DF0496D" w14:textId="57E5D1F7" w:rsidR="00063AB5" w:rsidRDefault="000334EE" w:rsidP="00D26D90">
      <w:pPr>
        <w:ind w:left="360" w:hanging="360"/>
      </w:pPr>
      <w:r>
        <w:t>4.</w:t>
      </w:r>
      <w:r>
        <w:tab/>
      </w:r>
      <w:r w:rsidR="00D96719" w:rsidRPr="00D96719">
        <w:t xml:space="preserve">Do not vent </w:t>
      </w:r>
      <w:r w:rsidR="008369E4">
        <w:t xml:space="preserve">gases </w:t>
      </w:r>
      <w:r w:rsidR="00D96719" w:rsidRPr="00D96719">
        <w:t>into enclosed areas</w:t>
      </w:r>
      <w:r w:rsidR="008369E4">
        <w:t xml:space="preserve"> such as within a monitoring shelter</w:t>
      </w:r>
      <w:r w:rsidR="00D96719" w:rsidRPr="00D96719">
        <w:t xml:space="preserve">. </w:t>
      </w:r>
      <w:r w:rsidR="00CA584B">
        <w:t>Vent lines for excess gas flow and i</w:t>
      </w:r>
      <w:r w:rsidR="00D96719" w:rsidRPr="00D96719">
        <w:t xml:space="preserve">nstrument </w:t>
      </w:r>
      <w:r w:rsidR="008369E4">
        <w:t>exhausts</w:t>
      </w:r>
      <w:r w:rsidR="00D96719" w:rsidRPr="00D96719">
        <w:t xml:space="preserve"> should </w:t>
      </w:r>
      <w:r w:rsidR="00B22718">
        <w:t xml:space="preserve">terminate </w:t>
      </w:r>
      <w:r w:rsidR="00D96719" w:rsidRPr="00D96719">
        <w:t>outside the monitoring shelter.</w:t>
      </w:r>
      <w:r w:rsidR="008369E4">
        <w:t xml:space="preserve"> Note that exhausts should be routed sufficiently far from sampling inlet</w:t>
      </w:r>
      <w:r w:rsidR="00595D35">
        <w:t xml:space="preserve"> probes</w:t>
      </w:r>
      <w:r w:rsidR="008369E4">
        <w:t xml:space="preserve"> to prevent entrainment of exhaust gases into the sampling inlet.</w:t>
      </w:r>
    </w:p>
    <w:p w14:paraId="452479FE" w14:textId="1A6C90DC" w:rsidR="004F3F3B" w:rsidRDefault="008369E4" w:rsidP="00D26D90">
      <w:pPr>
        <w:ind w:left="360" w:hanging="360"/>
      </w:pPr>
      <w:r>
        <w:t>5.</w:t>
      </w:r>
      <w:r>
        <w:tab/>
      </w:r>
      <w:r w:rsidR="00B342B1">
        <w:t xml:space="preserve">Follow precautions for electrical safety, including </w:t>
      </w:r>
      <w:r>
        <w:t xml:space="preserve">use of </w:t>
      </w:r>
      <w:r w:rsidR="00B342B1">
        <w:t xml:space="preserve">properly grounded power connections. Turn off the analyzer power before disconnecting or connecting electrical subassemblies. Do not operate the analyzer with the cover </w:t>
      </w:r>
      <w:r>
        <w:t>removed</w:t>
      </w:r>
      <w:r w:rsidR="00B342B1">
        <w:t xml:space="preserve">. Disconnect </w:t>
      </w:r>
      <w:r>
        <w:t xml:space="preserve">the </w:t>
      </w:r>
      <w:r w:rsidR="00B342B1">
        <w:t xml:space="preserve">power source before working inside the analyzer housing. </w:t>
      </w:r>
    </w:p>
    <w:p w14:paraId="674D52AF" w14:textId="02F0C000" w:rsidR="00400E98" w:rsidRDefault="008369E4" w:rsidP="00AE2CFA">
      <w:pPr>
        <w:spacing w:after="0"/>
        <w:ind w:left="360" w:hanging="360"/>
      </w:pPr>
      <w:r>
        <w:lastRenderedPageBreak/>
        <w:t>6.</w:t>
      </w:r>
      <w:r>
        <w:tab/>
        <w:t>Instrument o</w:t>
      </w:r>
      <w:r w:rsidR="0007730E">
        <w:t xml:space="preserve">perators </w:t>
      </w:r>
      <w:r>
        <w:t>should don</w:t>
      </w:r>
      <w:r w:rsidR="0007730E">
        <w:t xml:space="preserve"> standard eye protection </w:t>
      </w:r>
      <w:r>
        <w:t xml:space="preserve">when working with equipment and compressed gases. </w:t>
      </w:r>
    </w:p>
    <w:p w14:paraId="3C574C91" w14:textId="77777777" w:rsidR="00B22718" w:rsidRDefault="00B22718" w:rsidP="00F60D38">
      <w:pPr>
        <w:spacing w:after="0"/>
        <w:ind w:left="360" w:hanging="360"/>
      </w:pPr>
    </w:p>
    <w:p w14:paraId="618D9F06" w14:textId="5F8DE4C3" w:rsidR="00B75FD6" w:rsidRPr="005C4256" w:rsidRDefault="004F4C8F" w:rsidP="00D26D90">
      <w:pPr>
        <w:pStyle w:val="Style1"/>
        <w:numPr>
          <w:ilvl w:val="0"/>
          <w:numId w:val="20"/>
        </w:numPr>
        <w:tabs>
          <w:tab w:val="clear" w:pos="720"/>
        </w:tabs>
        <w:ind w:left="0"/>
        <w:contextualSpacing w:val="0"/>
        <w:rPr>
          <w:b/>
          <w:bCs w:val="0"/>
        </w:rPr>
      </w:pPr>
      <w:r>
        <w:rPr>
          <w:b/>
          <w:bCs w:val="0"/>
        </w:rPr>
        <w:t xml:space="preserve">Apparatus and Materials </w:t>
      </w:r>
    </w:p>
    <w:p w14:paraId="34733693" w14:textId="2A2953FC" w:rsidR="0052708C" w:rsidRDefault="00B41C21" w:rsidP="00D26D90">
      <w:pPr>
        <w:pStyle w:val="Style1"/>
        <w:numPr>
          <w:ilvl w:val="0"/>
          <w:numId w:val="24"/>
        </w:numPr>
        <w:tabs>
          <w:tab w:val="clear" w:pos="720"/>
        </w:tabs>
        <w:ind w:left="360"/>
        <w:contextualSpacing w:val="0"/>
      </w:pPr>
      <w:r>
        <w:t>D</w:t>
      </w:r>
      <w:r w:rsidR="004B074A">
        <w:t>ynamic Dilution Calibrator (DDC)</w:t>
      </w:r>
    </w:p>
    <w:p w14:paraId="6FC338FF" w14:textId="20792573" w:rsidR="00E54E0C" w:rsidRDefault="00E54E0C" w:rsidP="00D26D90">
      <w:pPr>
        <w:pStyle w:val="Style1"/>
        <w:numPr>
          <w:ilvl w:val="0"/>
          <w:numId w:val="0"/>
        </w:numPr>
        <w:tabs>
          <w:tab w:val="clear" w:pos="720"/>
        </w:tabs>
        <w:ind w:left="360"/>
      </w:pPr>
      <w:r>
        <w:t xml:space="preserve">A DDC is needed to provide standard </w:t>
      </w:r>
      <w:r w:rsidR="00595D35">
        <w:t>NO</w:t>
      </w:r>
      <w:r w:rsidR="00595D35" w:rsidRPr="00D26D90">
        <w:rPr>
          <w:vertAlign w:val="subscript"/>
        </w:rPr>
        <w:t>2</w:t>
      </w:r>
      <w:r w:rsidR="00595D35">
        <w:t xml:space="preserve"> </w:t>
      </w:r>
      <w:r>
        <w:t>gas to the true NO</w:t>
      </w:r>
      <w:r w:rsidRPr="00D26D90">
        <w:rPr>
          <w:vertAlign w:val="subscript"/>
        </w:rPr>
        <w:t>2</w:t>
      </w:r>
      <w:r>
        <w:t xml:space="preserve"> analyzer. DDCs typically </w:t>
      </w:r>
      <w:r w:rsidR="00B22718">
        <w:t xml:space="preserve">consist of </w:t>
      </w:r>
      <w:r>
        <w:t xml:space="preserve">several mass flow controllers (MFCs) to meter standard gas </w:t>
      </w:r>
      <w:r w:rsidR="00B22718">
        <w:t xml:space="preserve">containing </w:t>
      </w:r>
      <w:r>
        <w:t>either NO or NO</w:t>
      </w:r>
      <w:r w:rsidRPr="00D26D90">
        <w:rPr>
          <w:vertAlign w:val="subscript"/>
        </w:rPr>
        <w:t>2</w:t>
      </w:r>
      <w:r>
        <w:t xml:space="preserve"> and zero air diluent gas. </w:t>
      </w:r>
      <w:r w:rsidR="00BF22EA">
        <w:t>Metered gases are mixed in a mixing chamber/space to ensure thorough mixing of the combined gas streams. If employing GPT of NO gas with ozone to produce NO</w:t>
      </w:r>
      <w:r w:rsidR="00BF22EA" w:rsidRPr="00D26D90">
        <w:rPr>
          <w:vertAlign w:val="subscript"/>
        </w:rPr>
        <w:t>2</w:t>
      </w:r>
      <w:r w:rsidR="00BF22EA">
        <w:t xml:space="preserve"> standard gas, the DDC will also comprise a calibrated onboard ozone generator. </w:t>
      </w:r>
      <w:r>
        <w:t xml:space="preserve">If </w:t>
      </w:r>
      <w:r w:rsidR="00BF22EA">
        <w:t xml:space="preserve">standard gas provided to </w:t>
      </w:r>
      <w:r w:rsidR="00D74D3C">
        <w:t xml:space="preserve">the </w:t>
      </w:r>
      <w:r>
        <w:t>NO</w:t>
      </w:r>
      <w:r w:rsidRPr="00D26D90">
        <w:rPr>
          <w:vertAlign w:val="subscript"/>
        </w:rPr>
        <w:t>2</w:t>
      </w:r>
      <w:r>
        <w:t xml:space="preserve"> analyzer</w:t>
      </w:r>
      <w:r w:rsidR="00BF22EA">
        <w:t xml:space="preserve"> is</w:t>
      </w:r>
      <w:r>
        <w:t xml:space="preserve"> </w:t>
      </w:r>
      <w:r w:rsidR="003B62CC">
        <w:t>sourced from a high pressure cylinder of NO</w:t>
      </w:r>
      <w:r w:rsidR="003B62CC" w:rsidRPr="00D26D90">
        <w:rPr>
          <w:vertAlign w:val="subscript"/>
        </w:rPr>
        <w:t>2</w:t>
      </w:r>
      <w:r w:rsidR="003B62CC">
        <w:t xml:space="preserve"> standard gas, the DDC need not comprise an ozone generator. </w:t>
      </w:r>
    </w:p>
    <w:p w14:paraId="4BD34063" w14:textId="563C3708" w:rsidR="004C1381" w:rsidRDefault="007E70E9" w:rsidP="00D26D90">
      <w:pPr>
        <w:pStyle w:val="ListParagraph"/>
        <w:numPr>
          <w:ilvl w:val="1"/>
          <w:numId w:val="24"/>
        </w:numPr>
        <w:ind w:left="720"/>
        <w:contextualSpacing w:val="0"/>
      </w:pPr>
      <w:r>
        <w:t xml:space="preserve">Mass Flow Controllers </w:t>
      </w:r>
    </w:p>
    <w:p w14:paraId="304CBDA2" w14:textId="74F00077" w:rsidR="00AE133D" w:rsidRDefault="00BF22EA" w:rsidP="00D26D90">
      <w:pPr>
        <w:pStyle w:val="ListParagraph"/>
        <w:contextualSpacing w:val="0"/>
      </w:pPr>
      <w:r>
        <w:t>DDCs employ a com</w:t>
      </w:r>
      <w:r w:rsidR="002E2442">
        <w:t xml:space="preserve">bination of </w:t>
      </w:r>
      <w:r>
        <w:t>MFCs</w:t>
      </w:r>
      <w:r w:rsidR="002E2442">
        <w:t xml:space="preserve"> </w:t>
      </w:r>
      <w:r w:rsidR="00115D13">
        <w:t>to control flows</w:t>
      </w:r>
      <w:r w:rsidR="002E2442">
        <w:t xml:space="preserve"> </w:t>
      </w:r>
      <w:r w:rsidR="00115D13">
        <w:t xml:space="preserve">of </w:t>
      </w:r>
      <w:r w:rsidR="002E2442">
        <w:t xml:space="preserve">compressed </w:t>
      </w:r>
      <w:r w:rsidR="00115D13">
        <w:t>diluent and</w:t>
      </w:r>
      <w:r w:rsidR="002E2442">
        <w:t xml:space="preserve"> standard gas</w:t>
      </w:r>
      <w:r w:rsidR="00115D13">
        <w:t>(es)</w:t>
      </w:r>
      <w:r w:rsidR="002E2442">
        <w:t xml:space="preserve"> to generate calibration standards for </w:t>
      </w:r>
      <w:r w:rsidR="00115D13">
        <w:t>calibration and ongoing quality control</w:t>
      </w:r>
      <w:r w:rsidR="00595D35">
        <w:t xml:space="preserve"> (QC)</w:t>
      </w:r>
      <w:r w:rsidR="00115D13">
        <w:t xml:space="preserve"> checks</w:t>
      </w:r>
      <w:r w:rsidR="000E5290">
        <w:t xml:space="preserve"> of the NO</w:t>
      </w:r>
      <w:r w:rsidR="000E5290" w:rsidRPr="00D26D90">
        <w:rPr>
          <w:vertAlign w:val="subscript"/>
        </w:rPr>
        <w:t>2</w:t>
      </w:r>
      <w:r w:rsidR="000E5290">
        <w:t xml:space="preserve"> analyzer</w:t>
      </w:r>
      <w:r w:rsidR="00115D13">
        <w:t xml:space="preserve">. </w:t>
      </w:r>
      <w:bookmarkStart w:id="0" w:name="_Hlk43376957"/>
      <w:r w:rsidR="00115D13">
        <w:t>MFC</w:t>
      </w:r>
      <w:r w:rsidR="0052708C" w:rsidRPr="007E70E9">
        <w:t xml:space="preserve">s </w:t>
      </w:r>
      <w:r w:rsidR="000E5290">
        <w:t>must have</w:t>
      </w:r>
      <w:r w:rsidR="0045052B">
        <w:t xml:space="preserve"> be</w:t>
      </w:r>
      <w:r w:rsidR="000E5290">
        <w:t>en</w:t>
      </w:r>
      <w:r w:rsidR="0045052B">
        <w:t xml:space="preserve"> calibrated at their range of use within the previous 12 months</w:t>
      </w:r>
      <w:bookmarkEnd w:id="0"/>
      <w:r w:rsidR="0045052B">
        <w:t xml:space="preserve"> and </w:t>
      </w:r>
      <w:r w:rsidR="008E548E">
        <w:t xml:space="preserve">the flow calibration </w:t>
      </w:r>
      <w:r w:rsidR="0045052B">
        <w:t>verified quarterly</w:t>
      </w:r>
      <w:r w:rsidR="008E548E">
        <w:t xml:space="preserve"> (this frequency will be prescribed in the </w:t>
      </w:r>
      <w:r w:rsidR="00595D35">
        <w:t xml:space="preserve">governing </w:t>
      </w:r>
      <w:r w:rsidR="008E548E">
        <w:t>program QAPP)</w:t>
      </w:r>
      <w:r w:rsidR="0045052B">
        <w:t xml:space="preserve">. </w:t>
      </w:r>
      <w:r w:rsidR="008E548E">
        <w:t>The DDC i</w:t>
      </w:r>
      <w:r w:rsidR="0045052B">
        <w:t xml:space="preserve">s employed to </w:t>
      </w:r>
      <w:r w:rsidR="008E548E">
        <w:t xml:space="preserve">provide </w:t>
      </w:r>
      <w:r w:rsidR="0045052B">
        <w:t>calibration standard</w:t>
      </w:r>
      <w:r w:rsidR="008E548E">
        <w:t xml:space="preserve"> gase</w:t>
      </w:r>
      <w:r w:rsidR="0045052B">
        <w:t xml:space="preserve">s </w:t>
      </w:r>
      <w:r w:rsidR="008E548E">
        <w:t xml:space="preserve">at desired user-defined concentrations </w:t>
      </w:r>
      <w:r w:rsidR="007E70E9">
        <w:t>by either dilution of a</w:t>
      </w:r>
      <w:r w:rsidR="008E548E">
        <w:t xml:space="preserve"> standard NO</w:t>
      </w:r>
      <w:r w:rsidR="008E548E" w:rsidRPr="00D26D90">
        <w:rPr>
          <w:vertAlign w:val="subscript"/>
        </w:rPr>
        <w:t>2</w:t>
      </w:r>
      <w:r w:rsidR="008E548E">
        <w:t xml:space="preserve"> </w:t>
      </w:r>
      <w:r w:rsidR="007E70E9">
        <w:t>gas or by GPT</w:t>
      </w:r>
      <w:r w:rsidR="008E548E">
        <w:t xml:space="preserve">. </w:t>
      </w:r>
      <w:r w:rsidR="007E70E9">
        <w:t xml:space="preserve">Specific flow rate criteria </w:t>
      </w:r>
      <w:r w:rsidR="008E548E">
        <w:t xml:space="preserve">for diluent and standard gas channels </w:t>
      </w:r>
      <w:r w:rsidR="00115D13">
        <w:t>are</w:t>
      </w:r>
      <w:r w:rsidR="007E70E9">
        <w:t xml:space="preserve"> dependent on the </w:t>
      </w:r>
      <w:r w:rsidR="008E548E">
        <w:t xml:space="preserve">concentration of the standard gases desired, the stock standard gas concentrations, and </w:t>
      </w:r>
      <w:r w:rsidR="007E70E9">
        <w:t>dilution factors required</w:t>
      </w:r>
      <w:r w:rsidR="008E548E">
        <w:t xml:space="preserve"> to obtain the desired concent</w:t>
      </w:r>
      <w:r w:rsidR="008E548E" w:rsidRPr="008E548E">
        <w:t>rations</w:t>
      </w:r>
      <w:r w:rsidR="007E70E9" w:rsidRPr="008E548E">
        <w:t xml:space="preserve">. </w:t>
      </w:r>
      <w:r w:rsidR="008E548E" w:rsidRPr="008E548E">
        <w:t xml:space="preserve">DDCs typically </w:t>
      </w:r>
      <w:r w:rsidR="00B22718">
        <w:t xml:space="preserve">include </w:t>
      </w:r>
      <w:r w:rsidR="008E548E" w:rsidRPr="008E548E">
        <w:t xml:space="preserve">an MFC for the diluent channel capable of operating at </w:t>
      </w:r>
      <w:r w:rsidR="00595D35">
        <w:t xml:space="preserve">1 to 10 L/minute or </w:t>
      </w:r>
      <w:r w:rsidR="008E548E" w:rsidRPr="008E548E">
        <w:t xml:space="preserve">2 to 20 L/minute and one or more MFCs for </w:t>
      </w:r>
      <w:r w:rsidR="00B22718">
        <w:t xml:space="preserve">delivering </w:t>
      </w:r>
      <w:r w:rsidR="008E548E" w:rsidRPr="008E548E">
        <w:t xml:space="preserve">standard gases at ranges of </w:t>
      </w:r>
      <w:r w:rsidR="007E70E9" w:rsidRPr="008E548E">
        <w:t>2 to 20 mL/min</w:t>
      </w:r>
      <w:r w:rsidR="008E548E" w:rsidRPr="00D26D90">
        <w:t>ute</w:t>
      </w:r>
      <w:r w:rsidR="007E70E9" w:rsidRPr="008E548E">
        <w:t>, 5 to 50 mL/min</w:t>
      </w:r>
      <w:r w:rsidR="008E548E" w:rsidRPr="00D26D90">
        <w:t>ute</w:t>
      </w:r>
      <w:r w:rsidR="007E70E9" w:rsidRPr="008E548E">
        <w:t xml:space="preserve">, </w:t>
      </w:r>
      <w:r w:rsidR="008E548E" w:rsidRPr="00D26D90">
        <w:t>and/</w:t>
      </w:r>
      <w:r w:rsidR="007E70E9" w:rsidRPr="008E548E">
        <w:t>or 10</w:t>
      </w:r>
      <w:r w:rsidR="004840C0" w:rsidRPr="00D26D90">
        <w:t xml:space="preserve"> to </w:t>
      </w:r>
      <w:r w:rsidR="007E70E9" w:rsidRPr="008E548E">
        <w:t>100 mL/min</w:t>
      </w:r>
      <w:r w:rsidR="00595D35">
        <w:t>ute</w:t>
      </w:r>
      <w:r w:rsidR="007E70E9" w:rsidRPr="008E548E">
        <w:t>.</w:t>
      </w:r>
      <w:r w:rsidR="007E70E9">
        <w:t xml:space="preserve"> </w:t>
      </w:r>
      <w:r w:rsidR="00D74D3C">
        <w:t>T</w:t>
      </w:r>
      <w:r w:rsidR="00D74D3C" w:rsidRPr="00595D35">
        <w:t xml:space="preserve">he </w:t>
      </w:r>
      <w:r w:rsidR="00010FFC" w:rsidRPr="00595D35">
        <w:t xml:space="preserve">DDC must be equipped with an ozone generator for </w:t>
      </w:r>
      <w:r w:rsidR="006036DD" w:rsidRPr="00595D35">
        <w:t xml:space="preserve">accurate and precise </w:t>
      </w:r>
      <w:r w:rsidR="00010FFC" w:rsidRPr="00595D35">
        <w:t>deliver</w:t>
      </w:r>
      <w:r w:rsidR="006036DD" w:rsidRPr="00595D35">
        <w:t xml:space="preserve">y of </w:t>
      </w:r>
      <w:r w:rsidR="00010FFC" w:rsidRPr="00595D35">
        <w:t xml:space="preserve">ozone </w:t>
      </w:r>
      <w:r w:rsidR="00F63F89" w:rsidRPr="00595D35">
        <w:t>as well as a</w:t>
      </w:r>
      <w:r w:rsidR="00010FFC" w:rsidRPr="00595D35">
        <w:t xml:space="preserve"> reaction/mixing chamber for the GPT of </w:t>
      </w:r>
      <w:r w:rsidR="006036DD" w:rsidRPr="00595D35">
        <w:t xml:space="preserve">ozone with excess </w:t>
      </w:r>
      <w:r w:rsidR="00010FFC" w:rsidRPr="00595D35">
        <w:t>NO to produce NO</w:t>
      </w:r>
      <w:r w:rsidR="00010FFC" w:rsidRPr="00595D35">
        <w:rPr>
          <w:vertAlign w:val="subscript"/>
        </w:rPr>
        <w:t>2</w:t>
      </w:r>
      <w:r w:rsidR="00010FFC" w:rsidRPr="00595D35">
        <w:t xml:space="preserve">. Several commercially-available DDCs </w:t>
      </w:r>
      <w:r w:rsidR="00BC2BEE" w:rsidRPr="00595D35">
        <w:t>incorporate such an ozone generator</w:t>
      </w:r>
      <w:r w:rsidR="00010FFC" w:rsidRPr="00595D35">
        <w:t xml:space="preserve"> for this application</w:t>
      </w:r>
      <w:r w:rsidR="006036DD" w:rsidRPr="00595D35">
        <w:t xml:space="preserve">, some of which include </w:t>
      </w:r>
      <w:r w:rsidR="007244D3" w:rsidRPr="00595D35">
        <w:t xml:space="preserve">ozone photometers for measuring the ozone output and employ </w:t>
      </w:r>
      <w:r w:rsidR="006036DD" w:rsidRPr="00595D35">
        <w:t xml:space="preserve">feedback loops </w:t>
      </w:r>
      <w:r w:rsidR="007244D3" w:rsidRPr="00595D35">
        <w:t>to</w:t>
      </w:r>
      <w:r w:rsidR="006036DD" w:rsidRPr="00595D35">
        <w:t xml:space="preserve"> adjust </w:t>
      </w:r>
      <w:r w:rsidR="007244D3" w:rsidRPr="00595D35">
        <w:t>ozone lamp output</w:t>
      </w:r>
      <w:r w:rsidR="00BC2BEE" w:rsidRPr="00595D35">
        <w:t>, resulting in</w:t>
      </w:r>
      <w:r w:rsidR="007244D3" w:rsidRPr="00595D35">
        <w:t xml:space="preserve"> improv</w:t>
      </w:r>
      <w:r w:rsidR="00BC2BEE" w:rsidRPr="00595D35">
        <w:t>ed</w:t>
      </w:r>
      <w:r w:rsidR="007244D3" w:rsidRPr="00595D35">
        <w:t xml:space="preserve"> </w:t>
      </w:r>
      <w:r w:rsidR="006036DD" w:rsidRPr="00595D35">
        <w:t>ozone production</w:t>
      </w:r>
      <w:r w:rsidR="007244D3" w:rsidRPr="00595D35">
        <w:t xml:space="preserve"> accuracy. Such models with ozone photometers are typically marketed as “trace level” calibrators capable of stable ozone generation to approximately 3 ppb</w:t>
      </w:r>
      <w:r w:rsidR="00BC2BEE" w:rsidRPr="00595D35">
        <w:t xml:space="preserve">. Note that “regular range” calibrators typically cannot reliably generate ozone at concentrations below </w:t>
      </w:r>
      <w:r w:rsidR="00595D35">
        <w:t xml:space="preserve">approximately </w:t>
      </w:r>
      <w:r w:rsidR="00BC2BEE" w:rsidRPr="00595D35">
        <w:t>10 ppb. The instrument manual will provide information on</w:t>
      </w:r>
      <w:r w:rsidR="00BC2BEE">
        <w:t xml:space="preserve"> the minimum level at which ozone can be reliably generated and quarterly calibration verification will verify the ozone generator performance.</w:t>
      </w:r>
      <w:r w:rsidR="007244D3">
        <w:t xml:space="preserve"> </w:t>
      </w:r>
      <w:r w:rsidR="006036DD">
        <w:t xml:space="preserve">DDCs with </w:t>
      </w:r>
      <w:r w:rsidR="007244D3">
        <w:t xml:space="preserve">onboard </w:t>
      </w:r>
      <w:r w:rsidR="006036DD">
        <w:t>ozone generator capability i</w:t>
      </w:r>
      <w:r w:rsidR="00010FFC">
        <w:t>nclud</w:t>
      </w:r>
      <w:r w:rsidR="006036DD">
        <w:t>e</w:t>
      </w:r>
      <w:r w:rsidR="00BC2BEE">
        <w:t xml:space="preserve"> the following</w:t>
      </w:r>
      <w:r w:rsidR="006C13D7">
        <w:t xml:space="preserve"> (list not exhaustive)</w:t>
      </w:r>
      <w:r w:rsidR="00010FFC">
        <w:t>:</w:t>
      </w:r>
    </w:p>
    <w:p w14:paraId="2C01EDC6" w14:textId="54A4205C" w:rsidR="007244D3" w:rsidRDefault="00EA32AD" w:rsidP="007244D3">
      <w:pPr>
        <w:pStyle w:val="ListParagraph"/>
        <w:numPr>
          <w:ilvl w:val="0"/>
          <w:numId w:val="41"/>
        </w:numPr>
        <w:ind w:left="1440"/>
      </w:pPr>
      <w:r>
        <w:t xml:space="preserve">Environics Series </w:t>
      </w:r>
      <w:r w:rsidR="007244D3">
        <w:t xml:space="preserve">6100, 6103, and </w:t>
      </w:r>
      <w:r>
        <w:t>9100</w:t>
      </w:r>
    </w:p>
    <w:p w14:paraId="45075486" w14:textId="411F300A" w:rsidR="00EA32AD" w:rsidRDefault="00EA32AD" w:rsidP="00D26D90">
      <w:pPr>
        <w:pStyle w:val="ListParagraph"/>
        <w:numPr>
          <w:ilvl w:val="0"/>
          <w:numId w:val="41"/>
        </w:numPr>
        <w:ind w:left="1440"/>
      </w:pPr>
      <w:r>
        <w:t>Teledyne</w:t>
      </w:r>
      <w:r w:rsidR="005C4256">
        <w:t xml:space="preserve"> </w:t>
      </w:r>
      <w:r>
        <w:t>API Model</w:t>
      </w:r>
      <w:r w:rsidR="007244D3">
        <w:t>s</w:t>
      </w:r>
      <w:r>
        <w:t xml:space="preserve"> </w:t>
      </w:r>
      <w:r w:rsidR="007244D3">
        <w:t xml:space="preserve">T700 and </w:t>
      </w:r>
      <w:r>
        <w:t>T700</w:t>
      </w:r>
      <w:r w:rsidR="006036DD">
        <w:t>U</w:t>
      </w:r>
      <w:r>
        <w:t xml:space="preserve"> </w:t>
      </w:r>
    </w:p>
    <w:p w14:paraId="7983A716" w14:textId="0E3B717A" w:rsidR="006036DD" w:rsidRDefault="006036DD" w:rsidP="007244D3">
      <w:pPr>
        <w:pStyle w:val="ListParagraph"/>
        <w:numPr>
          <w:ilvl w:val="0"/>
          <w:numId w:val="41"/>
        </w:numPr>
        <w:ind w:left="1440"/>
      </w:pPr>
      <w:r>
        <w:t xml:space="preserve">Thermo </w:t>
      </w:r>
      <w:proofErr w:type="spellStart"/>
      <w:r>
        <w:t>Scientific</w:t>
      </w:r>
      <w:r w:rsidRPr="00D26D90">
        <w:rPr>
          <w:vertAlign w:val="superscript"/>
        </w:rPr>
        <w:t>TM</w:t>
      </w:r>
      <w:proofErr w:type="spellEnd"/>
      <w:r>
        <w:t xml:space="preserve"> Model 146i</w:t>
      </w:r>
    </w:p>
    <w:p w14:paraId="320D4062" w14:textId="4077871B" w:rsidR="007244D3" w:rsidRDefault="007244D3" w:rsidP="007244D3">
      <w:pPr>
        <w:pStyle w:val="ListParagraph"/>
        <w:numPr>
          <w:ilvl w:val="0"/>
          <w:numId w:val="41"/>
        </w:numPr>
        <w:ind w:left="1440"/>
      </w:pPr>
      <w:proofErr w:type="spellStart"/>
      <w:r>
        <w:lastRenderedPageBreak/>
        <w:t>Ecotech</w:t>
      </w:r>
      <w:proofErr w:type="spellEnd"/>
      <w:r>
        <w:t xml:space="preserve"> </w:t>
      </w:r>
      <w:proofErr w:type="spellStart"/>
      <w:r>
        <w:t>Serinus</w:t>
      </w:r>
      <w:proofErr w:type="spellEnd"/>
      <w:r>
        <w:t xml:space="preserve"> Cal Models 2000 and 3000</w:t>
      </w:r>
    </w:p>
    <w:p w14:paraId="4486E615" w14:textId="2F9B2B21" w:rsidR="003402C3" w:rsidRDefault="003402C3" w:rsidP="007244D3">
      <w:pPr>
        <w:pStyle w:val="ListParagraph"/>
        <w:numPr>
          <w:ilvl w:val="0"/>
          <w:numId w:val="41"/>
        </w:numPr>
        <w:ind w:left="1440"/>
      </w:pPr>
      <w:proofErr w:type="spellStart"/>
      <w:r>
        <w:t>Envea</w:t>
      </w:r>
      <w:proofErr w:type="spellEnd"/>
      <w:r>
        <w:t xml:space="preserve"> Model MGC101</w:t>
      </w:r>
    </w:p>
    <w:p w14:paraId="558C4214" w14:textId="6482BB62" w:rsidR="00010FFC" w:rsidRDefault="003402C3" w:rsidP="00D26D90">
      <w:pPr>
        <w:pStyle w:val="ListParagraph"/>
        <w:numPr>
          <w:ilvl w:val="0"/>
          <w:numId w:val="41"/>
        </w:numPr>
        <w:ind w:left="1440"/>
        <w:contextualSpacing w:val="0"/>
      </w:pPr>
      <w:proofErr w:type="spellStart"/>
      <w:r>
        <w:t>Sabio</w:t>
      </w:r>
      <w:proofErr w:type="spellEnd"/>
      <w:r>
        <w:t xml:space="preserve"> Model 4010M</w:t>
      </w:r>
    </w:p>
    <w:p w14:paraId="13C5395E" w14:textId="785D6051" w:rsidR="00B34E09" w:rsidRDefault="00F63F89" w:rsidP="00D26D90">
      <w:pPr>
        <w:pStyle w:val="ListParagraph"/>
        <w:numPr>
          <w:ilvl w:val="0"/>
          <w:numId w:val="24"/>
        </w:numPr>
        <w:ind w:left="720"/>
      </w:pPr>
      <w:r>
        <w:t>F</w:t>
      </w:r>
      <w:r w:rsidR="009627E0">
        <w:t xml:space="preserve">low </w:t>
      </w:r>
      <w:r>
        <w:t>T</w:t>
      </w:r>
      <w:r w:rsidR="009627E0">
        <w:t xml:space="preserve">ransfer </w:t>
      </w:r>
      <w:r>
        <w:t>S</w:t>
      </w:r>
      <w:r w:rsidR="009627E0">
        <w:t>tandard</w:t>
      </w:r>
    </w:p>
    <w:p w14:paraId="0752D125" w14:textId="09904A1E" w:rsidR="00DC3D89" w:rsidRDefault="002C1B09" w:rsidP="00D26D90">
      <w:pPr>
        <w:ind w:left="720"/>
      </w:pPr>
      <w:r>
        <w:t xml:space="preserve">To measure and verify flow rates of the DDC MFCs, a </w:t>
      </w:r>
      <w:r w:rsidR="00D74D3C">
        <w:t>National Institute of Standards and Technology (</w:t>
      </w:r>
      <w:r>
        <w:t>NIST</w:t>
      </w:r>
      <w:r w:rsidR="00D74D3C">
        <w:t>)</w:t>
      </w:r>
      <w:r>
        <w:t xml:space="preserve">-certifiably traceable flow transfer standard meter or combination of meters </w:t>
      </w:r>
      <w:r w:rsidR="009627E0">
        <w:t xml:space="preserve">with calibrated flow </w:t>
      </w:r>
      <w:r>
        <w:t xml:space="preserve">rate </w:t>
      </w:r>
      <w:r w:rsidR="009627E0">
        <w:t xml:space="preserve">range covering the </w:t>
      </w:r>
      <w:r>
        <w:t xml:space="preserve">flow </w:t>
      </w:r>
      <w:r w:rsidR="009627E0">
        <w:t>range of the DDC flows</w:t>
      </w:r>
      <w:r>
        <w:t xml:space="preserve"> </w:t>
      </w:r>
      <w:r w:rsidR="00B75FD6">
        <w:t xml:space="preserve">with accuracy of ±1% </w:t>
      </w:r>
      <w:r>
        <w:t xml:space="preserve">is </w:t>
      </w:r>
      <w:r w:rsidR="00B75FD6">
        <w:t>requir</w:t>
      </w:r>
      <w:r>
        <w:t>ed</w:t>
      </w:r>
      <w:r w:rsidR="00FA3C4B">
        <w:t xml:space="preserve">. </w:t>
      </w:r>
    </w:p>
    <w:p w14:paraId="705B9FFE" w14:textId="1ACC223F" w:rsidR="002E1DB2" w:rsidRDefault="002E1DB2" w:rsidP="00D26D90">
      <w:pPr>
        <w:pStyle w:val="ListParagraph"/>
        <w:numPr>
          <w:ilvl w:val="0"/>
          <w:numId w:val="24"/>
        </w:numPr>
        <w:ind w:left="720"/>
        <w:contextualSpacing w:val="0"/>
      </w:pPr>
      <w:r>
        <w:t xml:space="preserve">High </w:t>
      </w:r>
      <w:r w:rsidR="00B75FD6">
        <w:t xml:space="preserve">purity, high </w:t>
      </w:r>
      <w:r>
        <w:t>pressure</w:t>
      </w:r>
      <w:r w:rsidR="00B75FD6">
        <w:t xml:space="preserve"> gas cylinder</w:t>
      </w:r>
      <w:r>
        <w:t xml:space="preserve"> regulators</w:t>
      </w:r>
    </w:p>
    <w:p w14:paraId="51379B0D" w14:textId="4EB0375E" w:rsidR="00BF0B98" w:rsidRDefault="008D62B4" w:rsidP="00D26D90">
      <w:pPr>
        <w:pStyle w:val="ListParagraph"/>
        <w:numPr>
          <w:ilvl w:val="1"/>
          <w:numId w:val="20"/>
        </w:numPr>
        <w:ind w:left="1080"/>
        <w:contextualSpacing w:val="0"/>
      </w:pPr>
      <w:r>
        <w:t>For NO</w:t>
      </w:r>
      <w:r w:rsidRPr="00D26D90">
        <w:rPr>
          <w:vertAlign w:val="subscript"/>
        </w:rPr>
        <w:t>2</w:t>
      </w:r>
      <w:r>
        <w:t xml:space="preserve"> or NO, r</w:t>
      </w:r>
      <w:r w:rsidR="002E1DB2">
        <w:t>egulator</w:t>
      </w:r>
      <w:r>
        <w:t xml:space="preserve"> constructed of 316 stainless steel with 316 stainless steel diaphragm, CGA660 cylinder fitting, and </w:t>
      </w:r>
      <w:r w:rsidR="00A673E8">
        <w:t>polytetrafluoroethylene (</w:t>
      </w:r>
      <w:r>
        <w:t>PTFE</w:t>
      </w:r>
      <w:r w:rsidR="00A673E8">
        <w:t>)</w:t>
      </w:r>
      <w:r>
        <w:t xml:space="preserve"> Teflon</w:t>
      </w:r>
      <w:r w:rsidRPr="00D26D90">
        <w:rPr>
          <w:vertAlign w:val="superscript"/>
        </w:rPr>
        <w:t>®</w:t>
      </w:r>
      <w:r>
        <w:t xml:space="preserve"> seals</w:t>
      </w:r>
      <w:r w:rsidR="006C13D7">
        <w:t xml:space="preserve"> (or equivalent)</w:t>
      </w:r>
    </w:p>
    <w:p w14:paraId="63DE97D4" w14:textId="33FEFABA" w:rsidR="009B661E" w:rsidRDefault="002E1DB2" w:rsidP="00D26D90">
      <w:pPr>
        <w:pStyle w:val="ListParagraph"/>
        <w:numPr>
          <w:ilvl w:val="1"/>
          <w:numId w:val="20"/>
        </w:numPr>
        <w:ind w:left="1080"/>
        <w:contextualSpacing w:val="0"/>
      </w:pPr>
      <w:r>
        <w:t xml:space="preserve">For zero air </w:t>
      </w:r>
      <w:r w:rsidR="00B34E09">
        <w:t xml:space="preserve">high pressure </w:t>
      </w:r>
      <w:r>
        <w:t xml:space="preserve">cylinders, </w:t>
      </w:r>
      <w:r w:rsidR="00B34E09">
        <w:t xml:space="preserve">regulator of </w:t>
      </w:r>
      <w:r w:rsidR="006C13D7">
        <w:t xml:space="preserve">stainless steel </w:t>
      </w:r>
      <w:r w:rsidR="00CA529D">
        <w:t xml:space="preserve">(preferred) </w:t>
      </w:r>
      <w:r w:rsidR="006C13D7">
        <w:t xml:space="preserve">or </w:t>
      </w:r>
      <w:r w:rsidR="00B34E09">
        <w:t xml:space="preserve">brass construction with 316 stainless steel diaphragm, </w:t>
      </w:r>
      <w:r>
        <w:t xml:space="preserve">CGA590 </w:t>
      </w:r>
      <w:r w:rsidR="00B34E09">
        <w:t>cylinder fitting, and PTFE Teflon</w:t>
      </w:r>
      <w:r w:rsidR="00B34E09" w:rsidRPr="00D26D90">
        <w:rPr>
          <w:vertAlign w:val="superscript"/>
        </w:rPr>
        <w:t>®</w:t>
      </w:r>
      <w:r w:rsidR="00B34E09">
        <w:t xml:space="preserve"> seals</w:t>
      </w:r>
      <w:r w:rsidR="006C13D7">
        <w:t xml:space="preserve"> (or equivalent)</w:t>
      </w:r>
    </w:p>
    <w:p w14:paraId="763BCFE2" w14:textId="532ABC5A" w:rsidR="004920D4" w:rsidRDefault="004B074A" w:rsidP="00D26D90">
      <w:pPr>
        <w:pStyle w:val="ListParagraph"/>
        <w:numPr>
          <w:ilvl w:val="0"/>
          <w:numId w:val="24"/>
        </w:numPr>
        <w:ind w:left="720"/>
        <w:contextualSpacing w:val="0"/>
      </w:pPr>
      <w:r>
        <w:t>Zero Air Sourc</w:t>
      </w:r>
      <w:r w:rsidR="004920D4">
        <w:t>e</w:t>
      </w:r>
    </w:p>
    <w:p w14:paraId="40494964" w14:textId="364ED954" w:rsidR="00B34E09" w:rsidRDefault="004920D4" w:rsidP="00D26D90">
      <w:pPr>
        <w:pStyle w:val="ListParagraph"/>
        <w:contextualSpacing w:val="0"/>
      </w:pPr>
      <w:r>
        <w:t xml:space="preserve">Zero air </w:t>
      </w:r>
      <w:r w:rsidR="00B34E09">
        <w:t>meeting the specific</w:t>
      </w:r>
      <w:r w:rsidR="00B34E09" w:rsidRPr="006C13D7">
        <w:t xml:space="preserve">ations in Section G.1 </w:t>
      </w:r>
      <w:r w:rsidRPr="006C13D7">
        <w:t>ca</w:t>
      </w:r>
      <w:r>
        <w:t xml:space="preserve">n be </w:t>
      </w:r>
      <w:r w:rsidR="00B34E09">
        <w:t xml:space="preserve">supplied from a </w:t>
      </w:r>
      <w:r>
        <w:t xml:space="preserve">compressed </w:t>
      </w:r>
      <w:r w:rsidR="00B34E09">
        <w:t xml:space="preserve">gas </w:t>
      </w:r>
      <w:r>
        <w:t xml:space="preserve">cylinder </w:t>
      </w:r>
      <w:r w:rsidR="00A431A0">
        <w:t xml:space="preserve">(typically synthetic air matrix composed of </w:t>
      </w:r>
      <w:r w:rsidR="00E03415">
        <w:t>7</w:t>
      </w:r>
      <w:r w:rsidR="00A431A0">
        <w:t>8</w:t>
      </w:r>
      <w:r w:rsidR="00D74D3C">
        <w:t xml:space="preserve"> to </w:t>
      </w:r>
      <w:r w:rsidR="00A431A0">
        <w:t>8</w:t>
      </w:r>
      <w:r w:rsidR="00E03415">
        <w:t>2</w:t>
      </w:r>
      <w:r w:rsidR="00A431A0">
        <w:t xml:space="preserve">% nitrogen and </w:t>
      </w:r>
      <w:r w:rsidR="0093434D">
        <w:t>18</w:t>
      </w:r>
      <w:r w:rsidR="00D74D3C">
        <w:t xml:space="preserve"> to </w:t>
      </w:r>
      <w:r w:rsidR="00A431A0">
        <w:t>2</w:t>
      </w:r>
      <w:r w:rsidR="0093434D">
        <w:t>2</w:t>
      </w:r>
      <w:r w:rsidR="00A431A0">
        <w:t xml:space="preserve">% oxygen) </w:t>
      </w:r>
      <w:r>
        <w:t xml:space="preserve">or </w:t>
      </w:r>
      <w:r w:rsidR="00B34E09">
        <w:t>a</w:t>
      </w:r>
      <w:r>
        <w:t xml:space="preserve"> </w:t>
      </w:r>
      <w:r w:rsidR="00D74D3C">
        <w:t>ZAG</w:t>
      </w:r>
      <w:r w:rsidR="00A431A0">
        <w:t xml:space="preserve"> (ambient air scrubbed of contaminants and water)</w:t>
      </w:r>
      <w:r>
        <w:t>.</w:t>
      </w:r>
      <w:r w:rsidR="00A431A0" w:rsidRPr="00A431A0">
        <w:t xml:space="preserve"> </w:t>
      </w:r>
      <w:r w:rsidR="00A431A0" w:rsidRPr="00FF3E68">
        <w:t>The zero air source should be capable of providing zero air at a flow rate</w:t>
      </w:r>
      <w:r w:rsidR="00F155A5">
        <w:t xml:space="preserve"> and pressure</w:t>
      </w:r>
      <w:r w:rsidR="00A431A0" w:rsidRPr="00A0702C">
        <w:t xml:space="preserve"> sufficient</w:t>
      </w:r>
      <w:r w:rsidR="00A431A0" w:rsidRPr="00FF3E68">
        <w:t xml:space="preserve"> </w:t>
      </w:r>
      <w:r w:rsidR="006C13D7">
        <w:t xml:space="preserve">to supply the DDC </w:t>
      </w:r>
      <w:r w:rsidR="00B22718">
        <w:t xml:space="preserve">such that it is able to achieve the </w:t>
      </w:r>
      <w:r w:rsidR="00A431A0" w:rsidRPr="00FF3E68">
        <w:t>desir</w:t>
      </w:r>
      <w:r w:rsidR="00A431A0" w:rsidRPr="00A0702C">
        <w:t>ed</w:t>
      </w:r>
      <w:r w:rsidR="00A431A0" w:rsidRPr="00FF3E68">
        <w:t xml:space="preserve"> dilution </w:t>
      </w:r>
      <w:r w:rsidR="00B22718">
        <w:t xml:space="preserve">factor </w:t>
      </w:r>
      <w:r w:rsidR="00A431A0" w:rsidRPr="00A0702C">
        <w:t>of calibration standards</w:t>
      </w:r>
      <w:r w:rsidR="00A431A0">
        <w:t xml:space="preserve"> and to meet the flow demand of the associated analyzers</w:t>
      </w:r>
      <w:r w:rsidR="00A431A0" w:rsidRPr="00A0702C">
        <w:t>.</w:t>
      </w:r>
    </w:p>
    <w:p w14:paraId="6EDC72C9" w14:textId="04F05F25" w:rsidR="00A431A0" w:rsidRDefault="00C2261D" w:rsidP="00D26D90">
      <w:pPr>
        <w:pStyle w:val="ListParagraph"/>
        <w:numPr>
          <w:ilvl w:val="1"/>
          <w:numId w:val="24"/>
        </w:numPr>
        <w:ind w:left="1080"/>
        <w:contextualSpacing w:val="0"/>
      </w:pPr>
      <w:r>
        <w:t>Compressed gas cylinder</w:t>
      </w:r>
      <w:r w:rsidR="00A431A0">
        <w:t>(</w:t>
      </w:r>
      <w:r>
        <w:t>s</w:t>
      </w:r>
      <w:r w:rsidR="00A431A0">
        <w:t>)</w:t>
      </w:r>
      <w:r>
        <w:t xml:space="preserve">:  </w:t>
      </w:r>
      <w:r w:rsidR="004920D4">
        <w:t>If zero air is s</w:t>
      </w:r>
      <w:r>
        <w:t>ourc</w:t>
      </w:r>
      <w:r w:rsidR="004920D4">
        <w:t xml:space="preserve">ed </w:t>
      </w:r>
      <w:r>
        <w:t>from</w:t>
      </w:r>
      <w:r w:rsidR="004920D4">
        <w:t xml:space="preserve"> compressed gas cylinder</w:t>
      </w:r>
      <w:r>
        <w:t>s</w:t>
      </w:r>
      <w:r w:rsidR="004920D4">
        <w:t xml:space="preserve">, it should be </w:t>
      </w:r>
      <w:r w:rsidR="00B22718">
        <w:t xml:space="preserve">procured </w:t>
      </w:r>
      <w:r w:rsidR="004920D4">
        <w:t xml:space="preserve">from </w:t>
      </w:r>
      <w:r w:rsidR="00B22718">
        <w:t xml:space="preserve">a </w:t>
      </w:r>
      <w:r w:rsidR="004920D4">
        <w:t>reputable supplier</w:t>
      </w:r>
      <w:r>
        <w:t xml:space="preserve"> </w:t>
      </w:r>
      <w:r w:rsidR="004920D4">
        <w:t xml:space="preserve">and </w:t>
      </w:r>
      <w:r w:rsidR="00CA529D">
        <w:t xml:space="preserve">will </w:t>
      </w:r>
      <w:r w:rsidR="00A431A0">
        <w:t>include a certificate of analysis (COA) indicating the composition and specifications for levels of impurities (NO, NO</w:t>
      </w:r>
      <w:r w:rsidR="00A431A0" w:rsidRPr="00D26D90">
        <w:rPr>
          <w:vertAlign w:val="subscript"/>
        </w:rPr>
        <w:t>2</w:t>
      </w:r>
      <w:r w:rsidR="00A431A0">
        <w:t>, hydrocarbons, and water)</w:t>
      </w:r>
      <w:r w:rsidR="004920D4" w:rsidRPr="00D26D90">
        <w:t>.</w:t>
      </w:r>
    </w:p>
    <w:p w14:paraId="1DD74899" w14:textId="147EC4EB" w:rsidR="005C4256" w:rsidRDefault="006C13D7" w:rsidP="00D26D90">
      <w:pPr>
        <w:pStyle w:val="ListParagraph"/>
        <w:numPr>
          <w:ilvl w:val="1"/>
          <w:numId w:val="24"/>
        </w:numPr>
        <w:ind w:left="1080"/>
        <w:contextualSpacing w:val="0"/>
      </w:pPr>
      <w:r>
        <w:t>ZAG</w:t>
      </w:r>
      <w:r w:rsidR="00A431A0">
        <w:t xml:space="preserve">: </w:t>
      </w:r>
      <w:r w:rsidR="00F155A5">
        <w:t>Gas generation component employing various scrubbers</w:t>
      </w:r>
      <w:r w:rsidR="002F2BDB">
        <w:t xml:space="preserve"> (e.g., graphitized carbon, </w:t>
      </w:r>
      <w:proofErr w:type="spellStart"/>
      <w:r w:rsidR="002F2BDB">
        <w:t>Purafil</w:t>
      </w:r>
      <w:proofErr w:type="spellEnd"/>
      <w:r w:rsidR="002F2BDB">
        <w:t xml:space="preserve"> SP</w:t>
      </w:r>
      <w:r w:rsidR="002F2BDB" w:rsidRPr="00D26D90">
        <w:rPr>
          <w:vertAlign w:val="superscript"/>
        </w:rPr>
        <w:t>TM</w:t>
      </w:r>
      <w:r w:rsidR="002F2BDB">
        <w:t>, and</w:t>
      </w:r>
      <w:r>
        <w:t>/or</w:t>
      </w:r>
      <w:r w:rsidR="002F2BDB">
        <w:t xml:space="preserve"> catalytic oxidation)</w:t>
      </w:r>
      <w:r w:rsidR="00F155A5">
        <w:t xml:space="preserve"> to remove particulates and impurities (e.g., hydrocarbons, </w:t>
      </w:r>
      <w:r w:rsidR="00CA529D">
        <w:t>oxides of nitrogen [</w:t>
      </w:r>
      <w:r w:rsidR="005C4256">
        <w:t>NO, NO</w:t>
      </w:r>
      <w:r w:rsidR="00B22718">
        <w:rPr>
          <w:vertAlign w:val="subscript"/>
        </w:rPr>
        <w:t>2</w:t>
      </w:r>
      <w:r w:rsidR="005C4256">
        <w:t>,</w:t>
      </w:r>
      <w:r w:rsidR="00CA529D">
        <w:t xml:space="preserve"> etc.],</w:t>
      </w:r>
      <w:r w:rsidR="005C4256">
        <w:t xml:space="preserve"> H</w:t>
      </w:r>
      <w:r w:rsidR="005C4256" w:rsidRPr="00D26D90">
        <w:rPr>
          <w:vertAlign w:val="subscript"/>
        </w:rPr>
        <w:t>2</w:t>
      </w:r>
      <w:r w:rsidR="005C4256">
        <w:t>S, CO</w:t>
      </w:r>
      <w:r w:rsidR="005C4256" w:rsidRPr="00D26D90">
        <w:rPr>
          <w:vertAlign w:val="subscript"/>
        </w:rPr>
        <w:t>2</w:t>
      </w:r>
      <w:r w:rsidR="00F155A5">
        <w:t xml:space="preserve">, and water) from ambient air to provide a continual supply of clean, dry air. Appropriate </w:t>
      </w:r>
      <w:r w:rsidR="00D74D3C">
        <w:t>ZAGs</w:t>
      </w:r>
      <w:r w:rsidR="00F155A5">
        <w:t xml:space="preserve"> are </w:t>
      </w:r>
      <w:r w:rsidR="005C4256">
        <w:t>commercially available from several providers and include the following</w:t>
      </w:r>
      <w:r>
        <w:t xml:space="preserve"> (list not exhaustive)</w:t>
      </w:r>
      <w:r w:rsidR="005C4256">
        <w:t>:</w:t>
      </w:r>
    </w:p>
    <w:p w14:paraId="222681FA" w14:textId="08191EE6" w:rsidR="005C4256" w:rsidRDefault="005C4256" w:rsidP="00D26D90">
      <w:pPr>
        <w:pStyle w:val="ListParagraph"/>
        <w:numPr>
          <w:ilvl w:val="0"/>
          <w:numId w:val="42"/>
        </w:numPr>
        <w:ind w:left="1800"/>
      </w:pPr>
      <w:r>
        <w:t>Environics Series 7000</w:t>
      </w:r>
    </w:p>
    <w:p w14:paraId="3A5515FC" w14:textId="350059E4" w:rsidR="005C4256" w:rsidRDefault="005C4256" w:rsidP="00D26D90">
      <w:pPr>
        <w:pStyle w:val="ListParagraph"/>
        <w:numPr>
          <w:ilvl w:val="0"/>
          <w:numId w:val="42"/>
        </w:numPr>
        <w:ind w:left="1800"/>
      </w:pPr>
      <w:r>
        <w:t xml:space="preserve">Teledyne API Models T701 and T701H </w:t>
      </w:r>
    </w:p>
    <w:p w14:paraId="6D3926EE" w14:textId="2C187FFF" w:rsidR="005C4256" w:rsidRDefault="005C4256" w:rsidP="00D26D90">
      <w:pPr>
        <w:pStyle w:val="ListParagraph"/>
        <w:numPr>
          <w:ilvl w:val="0"/>
          <w:numId w:val="42"/>
        </w:numPr>
        <w:ind w:left="1800"/>
      </w:pPr>
      <w:r>
        <w:t xml:space="preserve">Thermo </w:t>
      </w:r>
      <w:proofErr w:type="spellStart"/>
      <w:r>
        <w:t>Scientific</w:t>
      </w:r>
      <w:r w:rsidRPr="00A0702C">
        <w:rPr>
          <w:vertAlign w:val="superscript"/>
        </w:rPr>
        <w:t>TM</w:t>
      </w:r>
      <w:proofErr w:type="spellEnd"/>
      <w:r>
        <w:t xml:space="preserve"> Models 111 and 111iQ</w:t>
      </w:r>
    </w:p>
    <w:p w14:paraId="4497761E" w14:textId="36F0F6E7" w:rsidR="005C4256" w:rsidRDefault="005C4256" w:rsidP="00D26D90">
      <w:pPr>
        <w:pStyle w:val="ListParagraph"/>
        <w:numPr>
          <w:ilvl w:val="0"/>
          <w:numId w:val="42"/>
        </w:numPr>
        <w:ind w:left="1800"/>
      </w:pPr>
      <w:proofErr w:type="spellStart"/>
      <w:r>
        <w:t>Ecotech</w:t>
      </w:r>
      <w:proofErr w:type="spellEnd"/>
      <w:r>
        <w:t xml:space="preserve"> Series 8301</w:t>
      </w:r>
    </w:p>
    <w:p w14:paraId="019B27E8" w14:textId="7A3C145C" w:rsidR="005C4256" w:rsidRDefault="005C4256" w:rsidP="00D26D90">
      <w:pPr>
        <w:pStyle w:val="ListParagraph"/>
        <w:numPr>
          <w:ilvl w:val="0"/>
          <w:numId w:val="42"/>
        </w:numPr>
        <w:spacing w:after="0"/>
        <w:ind w:left="1800"/>
        <w:contextualSpacing w:val="0"/>
      </w:pPr>
      <w:proofErr w:type="spellStart"/>
      <w:r>
        <w:t>Envea</w:t>
      </w:r>
      <w:proofErr w:type="spellEnd"/>
      <w:r>
        <w:t xml:space="preserve"> Model ZAG7001</w:t>
      </w:r>
    </w:p>
    <w:p w14:paraId="18F3634F" w14:textId="3D0EE29B" w:rsidR="005C4256" w:rsidRDefault="005C4256" w:rsidP="007427C0">
      <w:pPr>
        <w:pStyle w:val="ListParagraph"/>
        <w:numPr>
          <w:ilvl w:val="0"/>
          <w:numId w:val="42"/>
        </w:numPr>
        <w:ind w:left="1800"/>
        <w:contextualSpacing w:val="0"/>
      </w:pPr>
      <w:proofErr w:type="spellStart"/>
      <w:r>
        <w:t>Sabio</w:t>
      </w:r>
      <w:proofErr w:type="spellEnd"/>
      <w:r>
        <w:t xml:space="preserve"> Models 1001 and 2020</w:t>
      </w:r>
      <w:r w:rsidR="007427C0">
        <w:br w:type="page"/>
      </w:r>
    </w:p>
    <w:p w14:paraId="3B34A808" w14:textId="77777777" w:rsidR="00D25996" w:rsidRDefault="00612D74" w:rsidP="00D26D90">
      <w:pPr>
        <w:pStyle w:val="ListParagraph"/>
        <w:numPr>
          <w:ilvl w:val="0"/>
          <w:numId w:val="24"/>
        </w:numPr>
        <w:ind w:left="720"/>
      </w:pPr>
      <w:r>
        <w:lastRenderedPageBreak/>
        <w:t>Data Acquisition System (DAS)</w:t>
      </w:r>
    </w:p>
    <w:p w14:paraId="66DB4061" w14:textId="4BCAF8C6" w:rsidR="00696492" w:rsidRDefault="00B47758" w:rsidP="00D26D90">
      <w:pPr>
        <w:ind w:left="720"/>
      </w:pPr>
      <w:r>
        <w:t xml:space="preserve">The </w:t>
      </w:r>
      <w:r w:rsidR="00AB7BF1">
        <w:t>NO</w:t>
      </w:r>
      <w:r w:rsidR="00AB7BF1" w:rsidRPr="00D26D90">
        <w:rPr>
          <w:vertAlign w:val="subscript"/>
        </w:rPr>
        <w:t>2</w:t>
      </w:r>
      <w:r w:rsidR="00AB7BF1">
        <w:t xml:space="preserve"> analyzer will have an </w:t>
      </w:r>
      <w:r>
        <w:t>internal</w:t>
      </w:r>
      <w:r w:rsidR="00AB7BF1">
        <w:t xml:space="preserve"> onboard DAS for storing multiple calibration routines and collected measurement data. The monitoring site should also employ a standalone DAS unit for acquiring, storing, and handling data. Modern DAS units connect to analyzers via Cat5 ethernet cables, USB cables, or RS232 serial cables.</w:t>
      </w:r>
    </w:p>
    <w:p w14:paraId="483BDB7D" w14:textId="3A966870" w:rsidR="000B2054" w:rsidRDefault="0089490E" w:rsidP="00D26D90">
      <w:pPr>
        <w:pStyle w:val="ListParagraph"/>
        <w:numPr>
          <w:ilvl w:val="0"/>
          <w:numId w:val="24"/>
        </w:numPr>
        <w:ind w:left="720"/>
        <w:contextualSpacing w:val="0"/>
      </w:pPr>
      <w:r>
        <w:t>True NO</w:t>
      </w:r>
      <w:r w:rsidRPr="00DF243B">
        <w:rPr>
          <w:vertAlign w:val="subscript"/>
        </w:rPr>
        <w:t>2</w:t>
      </w:r>
      <w:r>
        <w:t xml:space="preserve"> Analyzer</w:t>
      </w:r>
    </w:p>
    <w:p w14:paraId="3369E56A" w14:textId="2812002C" w:rsidR="00AB7BF1" w:rsidRPr="00D26D90" w:rsidRDefault="00AB7BF1" w:rsidP="00D26D90">
      <w:pPr>
        <w:ind w:left="720"/>
        <w:rPr>
          <w:highlight w:val="yellow"/>
        </w:rPr>
      </w:pPr>
      <w:r>
        <w:t>Suitable NO</w:t>
      </w:r>
      <w:r w:rsidRPr="00D26D90">
        <w:rPr>
          <w:vertAlign w:val="subscript"/>
        </w:rPr>
        <w:t>2</w:t>
      </w:r>
      <w:r>
        <w:t xml:space="preserve"> analyzers will have been designated as an FEM and include those listed in Section </w:t>
      </w:r>
      <w:r w:rsidR="00656571">
        <w:t>B.2.</w:t>
      </w:r>
    </w:p>
    <w:p w14:paraId="784904BF" w14:textId="2CD7FFDA" w:rsidR="00696492" w:rsidRDefault="00656571" w:rsidP="00D26D90">
      <w:pPr>
        <w:pStyle w:val="ListParagraph"/>
        <w:numPr>
          <w:ilvl w:val="0"/>
          <w:numId w:val="24"/>
        </w:numPr>
        <w:ind w:left="720"/>
        <w:contextualSpacing w:val="0"/>
      </w:pPr>
      <w:r>
        <w:t xml:space="preserve">Gas connection tubing: </w:t>
      </w:r>
      <w:r w:rsidR="000B2054">
        <w:t>PTFE Teflon</w:t>
      </w:r>
      <w:r w:rsidRPr="00D26D90">
        <w:rPr>
          <w:vertAlign w:val="superscript"/>
        </w:rPr>
        <w:t>®</w:t>
      </w:r>
      <w:r>
        <w:t xml:space="preserve"> </w:t>
      </w:r>
      <w:r w:rsidR="000B2054">
        <w:t xml:space="preserve">tubing – </w:t>
      </w:r>
      <w:r w:rsidR="00D74D3C">
        <w:t xml:space="preserve">¼-inch </w:t>
      </w:r>
      <w:r w:rsidR="006970F3">
        <w:t xml:space="preserve">outer </w:t>
      </w:r>
      <w:r w:rsidR="000B2054">
        <w:t>diameter (</w:t>
      </w:r>
      <w:r>
        <w:t>OD</w:t>
      </w:r>
      <w:r w:rsidR="000B2054">
        <w:t>)</w:t>
      </w:r>
    </w:p>
    <w:p w14:paraId="1ED9031F" w14:textId="757F1B38" w:rsidR="00696492" w:rsidRDefault="00696492" w:rsidP="00D26D90">
      <w:pPr>
        <w:pStyle w:val="ListParagraph"/>
        <w:numPr>
          <w:ilvl w:val="0"/>
          <w:numId w:val="24"/>
        </w:numPr>
        <w:ind w:left="720"/>
        <w:contextualSpacing w:val="0"/>
      </w:pPr>
      <w:r>
        <w:t>Ferrules and other plumbing connection hardware</w:t>
      </w:r>
      <w:r w:rsidR="00AA4BA5">
        <w:t xml:space="preserve"> to connect gas cylinder regulators and </w:t>
      </w:r>
      <w:r w:rsidR="00D74D3C">
        <w:t>ZAG</w:t>
      </w:r>
      <w:r w:rsidR="00AA4BA5">
        <w:t xml:space="preserve"> to the DDC, DDC output to the NO</w:t>
      </w:r>
      <w:r w:rsidR="00AA4BA5" w:rsidRPr="00D26D90">
        <w:rPr>
          <w:vertAlign w:val="subscript"/>
        </w:rPr>
        <w:t>2</w:t>
      </w:r>
      <w:r w:rsidR="00AA4BA5">
        <w:t xml:space="preserve"> analyzer, and venting of these components. Refer to equipment manuals for specific connection, composition, and </w:t>
      </w:r>
      <w:r w:rsidR="006C13D7">
        <w:t xml:space="preserve">fitting </w:t>
      </w:r>
      <w:r w:rsidR="00AA4BA5">
        <w:t>torque requirements.</w:t>
      </w:r>
    </w:p>
    <w:p w14:paraId="40FDD37A" w14:textId="3B820BB6" w:rsidR="00963EDC" w:rsidRDefault="00696492" w:rsidP="00D26D90">
      <w:pPr>
        <w:pStyle w:val="ListParagraph"/>
        <w:numPr>
          <w:ilvl w:val="0"/>
          <w:numId w:val="24"/>
        </w:numPr>
        <w:ind w:left="720"/>
      </w:pPr>
      <w:r>
        <w:t xml:space="preserve">Uninterrupted power supply (UPS), optional.  </w:t>
      </w:r>
    </w:p>
    <w:p w14:paraId="11F78467" w14:textId="0708100D" w:rsidR="00416D92" w:rsidRPr="00D26D90" w:rsidRDefault="004B25EC" w:rsidP="00D26D90">
      <w:pPr>
        <w:pStyle w:val="Style1"/>
        <w:numPr>
          <w:ilvl w:val="0"/>
          <w:numId w:val="20"/>
        </w:numPr>
        <w:tabs>
          <w:tab w:val="clear" w:pos="720"/>
          <w:tab w:val="left" w:pos="360"/>
        </w:tabs>
        <w:ind w:left="360"/>
        <w:rPr>
          <w:bCs w:val="0"/>
        </w:rPr>
      </w:pPr>
      <w:r w:rsidRPr="00EA46CD">
        <w:rPr>
          <w:b/>
        </w:rPr>
        <w:t>Reagents and Ch</w:t>
      </w:r>
      <w:r w:rsidR="00EF7B6B">
        <w:rPr>
          <w:b/>
        </w:rPr>
        <w:t>e</w:t>
      </w:r>
      <w:r w:rsidRPr="00EA46CD">
        <w:rPr>
          <w:b/>
        </w:rPr>
        <w:t xml:space="preserve">micals </w:t>
      </w:r>
    </w:p>
    <w:p w14:paraId="1D2E6357" w14:textId="04D63836" w:rsidR="007574CE" w:rsidRDefault="004B074A" w:rsidP="007574CE">
      <w:pPr>
        <w:pStyle w:val="ListParagraph"/>
        <w:numPr>
          <w:ilvl w:val="3"/>
          <w:numId w:val="20"/>
        </w:numPr>
        <w:ind w:left="720"/>
      </w:pPr>
      <w:r w:rsidRPr="00416D92">
        <w:t>Zero Air</w:t>
      </w:r>
    </w:p>
    <w:p w14:paraId="7B09C965" w14:textId="02DAD904" w:rsidR="00945C14" w:rsidRDefault="004920D4" w:rsidP="00D26D90">
      <w:pPr>
        <w:ind w:left="720"/>
      </w:pPr>
      <w:r w:rsidRPr="004920D4">
        <w:t xml:space="preserve">Zero air </w:t>
      </w:r>
      <w:r w:rsidR="00CE4E5F">
        <w:t xml:space="preserve">consists of a </w:t>
      </w:r>
      <w:r w:rsidR="008B77B4">
        <w:t>dry (</w:t>
      </w:r>
      <w:r w:rsidR="006247F7">
        <w:t>&lt; ~7 ppm H</w:t>
      </w:r>
      <w:r w:rsidR="006247F7" w:rsidRPr="00D26D90">
        <w:rPr>
          <w:vertAlign w:val="subscript"/>
        </w:rPr>
        <w:t>2</w:t>
      </w:r>
      <w:r w:rsidR="006247F7">
        <w:t>O</w:t>
      </w:r>
      <w:r w:rsidR="008B77B4">
        <w:t xml:space="preserve">), clean air </w:t>
      </w:r>
      <w:r w:rsidR="00CE4E5F">
        <w:t xml:space="preserve">matrix of nitrogen and approximately </w:t>
      </w:r>
      <w:r w:rsidR="006C13D7">
        <w:t>18</w:t>
      </w:r>
      <w:r w:rsidR="00CE4E5F">
        <w:t xml:space="preserve"> to 2</w:t>
      </w:r>
      <w:r w:rsidR="006C13D7">
        <w:t>2</w:t>
      </w:r>
      <w:r w:rsidR="00CE4E5F">
        <w:t>% oxygen without significant impuritie</w:t>
      </w:r>
      <w:r w:rsidR="008B77B4">
        <w:t>s</w:t>
      </w:r>
      <w:r w:rsidR="002745B8">
        <w:t xml:space="preserve"> (e.g., PM</w:t>
      </w:r>
      <w:r w:rsidR="00CB0B66">
        <w:t xml:space="preserve"> or </w:t>
      </w:r>
      <w:r w:rsidR="002745B8">
        <w:t>oxides of nitrogen</w:t>
      </w:r>
      <w:r w:rsidR="00CB0B66">
        <w:t>)</w:t>
      </w:r>
      <w:r w:rsidR="008B77B4">
        <w:t xml:space="preserve">, having </w:t>
      </w:r>
      <w:r w:rsidR="006247F7">
        <w:t>&lt;</w:t>
      </w:r>
      <w:r w:rsidR="008B77B4">
        <w:t xml:space="preserve"> 1 </w:t>
      </w:r>
      <w:r w:rsidR="00D74D3C">
        <w:t>part per million (</w:t>
      </w:r>
      <w:r w:rsidR="008B77B4">
        <w:t>ppm</w:t>
      </w:r>
      <w:r w:rsidR="00D74D3C">
        <w:t>)</w:t>
      </w:r>
      <w:r w:rsidR="008B77B4">
        <w:t xml:space="preserve"> of total hydrocarbons (HC). The zero air should not have </w:t>
      </w:r>
      <w:r w:rsidRPr="004920D4">
        <w:t>contaminants that are detectable on the NO</w:t>
      </w:r>
      <w:r w:rsidRPr="00D26D90">
        <w:rPr>
          <w:vertAlign w:val="subscript"/>
        </w:rPr>
        <w:t>2</w:t>
      </w:r>
      <w:r w:rsidRPr="004920D4">
        <w:t xml:space="preserve"> analyzer or that </w:t>
      </w:r>
      <w:r w:rsidR="008B77B4">
        <w:t xml:space="preserve">interfere </w:t>
      </w:r>
      <w:r w:rsidR="00BE4D41">
        <w:t xml:space="preserve">(by reaction) </w:t>
      </w:r>
      <w:r w:rsidR="008B77B4">
        <w:t xml:space="preserve">with </w:t>
      </w:r>
      <w:r w:rsidR="00BE4D41">
        <w:t>dilution of NO</w:t>
      </w:r>
      <w:r w:rsidR="00BE4D41" w:rsidRPr="00D26D90">
        <w:rPr>
          <w:vertAlign w:val="subscript"/>
        </w:rPr>
        <w:t>2</w:t>
      </w:r>
      <w:r w:rsidR="00BE4D41">
        <w:t xml:space="preserve"> standard gases or </w:t>
      </w:r>
      <w:r w:rsidR="008B77B4">
        <w:t xml:space="preserve">the </w:t>
      </w:r>
      <w:r w:rsidR="00BE4D41">
        <w:t>preparation of NO</w:t>
      </w:r>
      <w:r w:rsidR="00BE4D41" w:rsidRPr="00D26D90">
        <w:rPr>
          <w:vertAlign w:val="subscript"/>
        </w:rPr>
        <w:t>2</w:t>
      </w:r>
      <w:r w:rsidR="00BE4D41">
        <w:t xml:space="preserve"> by GPT (i.e., </w:t>
      </w:r>
      <w:r w:rsidR="005D741B">
        <w:t xml:space="preserve">contaminants that may </w:t>
      </w:r>
      <w:r w:rsidRPr="004920D4">
        <w:t>react with NO, O</w:t>
      </w:r>
      <w:r w:rsidRPr="00D26D90">
        <w:rPr>
          <w:vertAlign w:val="subscript"/>
        </w:rPr>
        <w:t>3</w:t>
      </w:r>
      <w:r w:rsidRPr="004920D4">
        <w:t xml:space="preserve">, </w:t>
      </w:r>
      <w:r w:rsidR="00CE4E5F">
        <w:t>and/</w:t>
      </w:r>
      <w:r w:rsidRPr="004920D4">
        <w:t>or NO</w:t>
      </w:r>
      <w:r w:rsidRPr="00D26D90">
        <w:rPr>
          <w:vertAlign w:val="subscript"/>
        </w:rPr>
        <w:t>2</w:t>
      </w:r>
      <w:r w:rsidR="00BE4D41">
        <w:t>)</w:t>
      </w:r>
      <w:r w:rsidRPr="004920D4">
        <w:t xml:space="preserve">. </w:t>
      </w:r>
      <w:r w:rsidR="00C84E18">
        <w:t>Zero air for use in true NO</w:t>
      </w:r>
      <w:r w:rsidR="00C84E18">
        <w:rPr>
          <w:vertAlign w:val="subscript"/>
        </w:rPr>
        <w:t xml:space="preserve">2 </w:t>
      </w:r>
      <w:r w:rsidR="00C84E18">
        <w:t>monitoring should contain</w:t>
      </w:r>
      <w:r w:rsidR="00CE4E5F">
        <w:t xml:space="preserve"> </w:t>
      </w:r>
      <w:r w:rsidR="00C84E18">
        <w:t>≤ 1.0 ppb NO</w:t>
      </w:r>
      <w:r w:rsidR="00C84E18">
        <w:rPr>
          <w:vertAlign w:val="subscript"/>
        </w:rPr>
        <w:t>2</w:t>
      </w:r>
      <w:r w:rsidR="0074421A">
        <w:rPr>
          <w:vertAlign w:val="subscript"/>
        </w:rPr>
        <w:t xml:space="preserve"> </w:t>
      </w:r>
      <w:r w:rsidR="002F17A8">
        <w:t>when employed as a diluent gas for compressed NO</w:t>
      </w:r>
      <w:r w:rsidR="002F17A8" w:rsidRPr="00D26D90">
        <w:rPr>
          <w:vertAlign w:val="subscript"/>
        </w:rPr>
        <w:t>2</w:t>
      </w:r>
      <w:r w:rsidR="002F17A8">
        <w:t xml:space="preserve"> standards, and ≤ 1.0 ppb of </w:t>
      </w:r>
      <w:r w:rsidR="0074421A">
        <w:t>NO and</w:t>
      </w:r>
      <w:r w:rsidR="00CE4E5F">
        <w:t>/or</w:t>
      </w:r>
      <w:r w:rsidR="0074421A">
        <w:t xml:space="preserve"> ozone for use in </w:t>
      </w:r>
      <w:r w:rsidR="00CE4E5F">
        <w:t xml:space="preserve">GPT </w:t>
      </w:r>
      <w:r w:rsidR="0074421A">
        <w:t xml:space="preserve">standard generation. </w:t>
      </w:r>
      <w:r w:rsidR="00C84E18">
        <w:t xml:space="preserve">Zero air must be provided at a sufficient flow </w:t>
      </w:r>
      <w:r w:rsidR="005D741B">
        <w:t xml:space="preserve">rate </w:t>
      </w:r>
      <w:r w:rsidR="0074421A">
        <w:t xml:space="preserve">to achieve </w:t>
      </w:r>
      <w:r w:rsidR="005D741B">
        <w:t xml:space="preserve">the </w:t>
      </w:r>
      <w:r w:rsidR="0074421A">
        <w:t>desired dilution of calibrated gas</w:t>
      </w:r>
      <w:r w:rsidR="002F17A8">
        <w:t xml:space="preserve"> and to satisfy the </w:t>
      </w:r>
      <w:r w:rsidR="006247F7">
        <w:t xml:space="preserve">DDC and </w:t>
      </w:r>
      <w:r w:rsidR="002F17A8">
        <w:t>NO</w:t>
      </w:r>
      <w:r w:rsidR="002F17A8" w:rsidRPr="00D26D90">
        <w:rPr>
          <w:vertAlign w:val="subscript"/>
        </w:rPr>
        <w:t>2</w:t>
      </w:r>
      <w:r w:rsidR="002F17A8">
        <w:t xml:space="preserve"> analyzer </w:t>
      </w:r>
      <w:r w:rsidR="00CE4E5F">
        <w:t xml:space="preserve">flow </w:t>
      </w:r>
      <w:r w:rsidR="002F17A8">
        <w:t>demand</w:t>
      </w:r>
      <w:r w:rsidR="0074421A">
        <w:t>.</w:t>
      </w:r>
    </w:p>
    <w:p w14:paraId="7BC4A765" w14:textId="52A35B31" w:rsidR="00DF1EA7" w:rsidRDefault="00945C14" w:rsidP="00D74C5C">
      <w:pPr>
        <w:pStyle w:val="ListParagraph"/>
        <w:numPr>
          <w:ilvl w:val="3"/>
          <w:numId w:val="20"/>
        </w:numPr>
        <w:ind w:left="720"/>
      </w:pPr>
      <w:r>
        <w:t>Standard Gases</w:t>
      </w:r>
      <w:r w:rsidR="002B6E63">
        <w:t xml:space="preserve"> – NO</w:t>
      </w:r>
      <w:r w:rsidR="002B6E63" w:rsidRPr="00D26D90">
        <w:rPr>
          <w:vertAlign w:val="subscript"/>
        </w:rPr>
        <w:t>2</w:t>
      </w:r>
      <w:r w:rsidR="002B6E63">
        <w:t>,</w:t>
      </w:r>
      <w:r w:rsidR="00061540">
        <w:t xml:space="preserve"> </w:t>
      </w:r>
      <w:r w:rsidR="002B6E63">
        <w:t>NO, and Ozone</w:t>
      </w:r>
    </w:p>
    <w:p w14:paraId="58AC78B4" w14:textId="18BCA598" w:rsidR="00945C14" w:rsidRDefault="006A6761" w:rsidP="00D26D90">
      <w:pPr>
        <w:ind w:left="720"/>
      </w:pPr>
      <w:r>
        <w:t xml:space="preserve">Standard gases </w:t>
      </w:r>
      <w:r w:rsidR="00FE292F">
        <w:t>used</w:t>
      </w:r>
      <w:r>
        <w:t xml:space="preserve"> to generate calibration standards and </w:t>
      </w:r>
      <w:r w:rsidR="00AA4BA5">
        <w:t>standard (span)</w:t>
      </w:r>
      <w:r>
        <w:t xml:space="preserve"> gases</w:t>
      </w:r>
      <w:r w:rsidR="00920A28">
        <w:t xml:space="preserve"> for routine QC checks may</w:t>
      </w:r>
      <w:r>
        <w:t xml:space="preserve"> be provided by several sources</w:t>
      </w:r>
      <w:r w:rsidR="00920A28">
        <w:t xml:space="preserve"> including compressed gas standard cylinders </w:t>
      </w:r>
      <w:r w:rsidR="00D74D3C">
        <w:t>and</w:t>
      </w:r>
      <w:r w:rsidR="005D741B">
        <w:t>/or</w:t>
      </w:r>
      <w:r w:rsidR="00D74D3C">
        <w:t xml:space="preserve"> </w:t>
      </w:r>
      <w:r w:rsidR="00920A28">
        <w:t>dynamic dilution calibrator equipped with an ozone generator</w:t>
      </w:r>
      <w:r>
        <w:t xml:space="preserve">. </w:t>
      </w:r>
      <w:r w:rsidR="001416B1">
        <w:t xml:space="preserve">Compressed gas standard cylinders should be </w:t>
      </w:r>
      <w:bookmarkStart w:id="1" w:name="_Hlk43302664"/>
      <w:r w:rsidR="005D741B">
        <w:t xml:space="preserve">procured </w:t>
      </w:r>
      <w:r w:rsidR="001416B1">
        <w:t xml:space="preserve">from reputable suppliers, and the sourced standards </w:t>
      </w:r>
      <w:r w:rsidR="00CA529D">
        <w:t xml:space="preserve">will </w:t>
      </w:r>
      <w:r w:rsidR="001416B1">
        <w:t>indicate acc</w:t>
      </w:r>
      <w:r w:rsidR="001416B1" w:rsidRPr="006247F7">
        <w:t>eptably low levels of contaminants or interferences</w:t>
      </w:r>
      <w:r w:rsidR="00AB1F41" w:rsidRPr="006247F7">
        <w:t>. Gas standards</w:t>
      </w:r>
      <w:r w:rsidR="001416B1" w:rsidRPr="006247F7">
        <w:t xml:space="preserve"> should comply with the </w:t>
      </w:r>
      <w:bookmarkEnd w:id="1"/>
      <w:r w:rsidR="006247F7" w:rsidRPr="00D26D90">
        <w:t>EPA Traceability Protocol for Assay and Certification of Gaseous Calibration Standards.</w:t>
      </w:r>
      <w:r w:rsidR="007427C0">
        <w:rPr>
          <w:vertAlign w:val="superscript"/>
        </w:rPr>
        <w:t>6</w:t>
      </w:r>
      <w:r w:rsidR="006247F7" w:rsidRPr="00D26D90">
        <w:t xml:space="preserve"> </w:t>
      </w:r>
    </w:p>
    <w:p w14:paraId="65D689FB" w14:textId="77EA46F0" w:rsidR="00712E2C" w:rsidRDefault="00945C14" w:rsidP="00D26D90">
      <w:pPr>
        <w:pStyle w:val="ListParagraph"/>
        <w:numPr>
          <w:ilvl w:val="4"/>
          <w:numId w:val="20"/>
        </w:numPr>
        <w:ind w:left="1080"/>
        <w:contextualSpacing w:val="0"/>
      </w:pPr>
      <w:r>
        <w:t>N</w:t>
      </w:r>
      <w:r w:rsidR="00AC3C29">
        <w:t>itrogen dioxide (N</w:t>
      </w:r>
      <w:r>
        <w:t>O</w:t>
      </w:r>
      <w:r w:rsidRPr="00AA4BA5">
        <w:rPr>
          <w:vertAlign w:val="subscript"/>
        </w:rPr>
        <w:t>2</w:t>
      </w:r>
      <w:r w:rsidR="00AC3C29">
        <w:t>)</w:t>
      </w:r>
    </w:p>
    <w:p w14:paraId="4B34A04E" w14:textId="182973A4" w:rsidR="00AC22F6" w:rsidRDefault="00130482" w:rsidP="00D26D90">
      <w:pPr>
        <w:pStyle w:val="ListParagraph"/>
        <w:ind w:left="1080"/>
        <w:contextualSpacing w:val="0"/>
      </w:pPr>
      <w:r>
        <w:t>When opting to perform standard gas generation using dilution of NO</w:t>
      </w:r>
      <w:r w:rsidRPr="00D26D90">
        <w:rPr>
          <w:vertAlign w:val="subscript"/>
        </w:rPr>
        <w:t>2</w:t>
      </w:r>
      <w:r w:rsidR="006247F7">
        <w:t xml:space="preserve"> standard gas</w:t>
      </w:r>
      <w:r>
        <w:t xml:space="preserve">, the </w:t>
      </w:r>
      <w:r w:rsidR="006247F7">
        <w:t>operato</w:t>
      </w:r>
      <w:r>
        <w:t xml:space="preserve">r must procure the cylinder from a reputable supplier and certified concentrations </w:t>
      </w:r>
      <w:r w:rsidR="00CA529D">
        <w:t xml:space="preserve">must </w:t>
      </w:r>
      <w:r>
        <w:t xml:space="preserve">be traceable to a reference material, such as </w:t>
      </w:r>
      <w:r>
        <w:lastRenderedPageBreak/>
        <w:t xml:space="preserve">those prepared by the NIST or the Van Swinden </w:t>
      </w:r>
      <w:proofErr w:type="spellStart"/>
      <w:r>
        <w:t>Laboratorium</w:t>
      </w:r>
      <w:proofErr w:type="spellEnd"/>
      <w:r>
        <w:t xml:space="preserve"> (VSL). Although the EPA has not designated gas vendor approval to prepare </w:t>
      </w:r>
      <w:r w:rsidR="006247F7">
        <w:t>Protocol Gas Verification Program (</w:t>
      </w:r>
      <w:r>
        <w:t>PGVP</w:t>
      </w:r>
      <w:r w:rsidR="006247F7">
        <w:t xml:space="preserve">) </w:t>
      </w:r>
      <w:r>
        <w:t>compliant high-pressure cylinders of NO</w:t>
      </w:r>
      <w:r w:rsidRPr="00D26D90">
        <w:rPr>
          <w:vertAlign w:val="subscript"/>
        </w:rPr>
        <w:t>2</w:t>
      </w:r>
      <w:r>
        <w:t>, several gas vendors</w:t>
      </w:r>
      <w:r w:rsidR="006247F7">
        <w:t xml:space="preserve"> providing NO PGVP-compliant gases</w:t>
      </w:r>
      <w:r>
        <w:t xml:space="preserve"> offer a high-quality NO</w:t>
      </w:r>
      <w:r w:rsidRPr="00D26D90">
        <w:rPr>
          <w:vertAlign w:val="subscript"/>
        </w:rPr>
        <w:t>2</w:t>
      </w:r>
      <w:r>
        <w:t xml:space="preserve"> gas standard product. Such NO</w:t>
      </w:r>
      <w:r w:rsidRPr="00D26D90">
        <w:rPr>
          <w:vertAlign w:val="subscript"/>
        </w:rPr>
        <w:t>2</w:t>
      </w:r>
      <w:r>
        <w:t xml:space="preserve"> standard gases will</w:t>
      </w:r>
      <w:r w:rsidR="00AC22F6">
        <w:t xml:space="preserve"> be accompanied by a certificate of analysis</w:t>
      </w:r>
      <w:r w:rsidR="006247F7">
        <w:t xml:space="preserve"> (COA)</w:t>
      </w:r>
      <w:r w:rsidR="00AC22F6">
        <w:t xml:space="preserve"> indicating the levels of impurities, and will </w:t>
      </w:r>
      <w:r w:rsidR="006247F7">
        <w:t>contain</w:t>
      </w:r>
      <w:r w:rsidR="00AC22F6">
        <w:t xml:space="preserve"> less than 1 ppm of </w:t>
      </w:r>
      <w:r w:rsidR="006247F7">
        <w:t xml:space="preserve">residual </w:t>
      </w:r>
      <w:r w:rsidR="00AC22F6">
        <w:t>NO. The NO</w:t>
      </w:r>
      <w:r w:rsidR="00AC22F6" w:rsidRPr="00D26D90">
        <w:rPr>
          <w:vertAlign w:val="subscript"/>
        </w:rPr>
        <w:t>2</w:t>
      </w:r>
      <w:r w:rsidR="00AC22F6">
        <w:t xml:space="preserve"> standard will typically</w:t>
      </w:r>
      <w:r>
        <w:t xml:space="preserve"> have been prepared in a specially-prepared cylinder</w:t>
      </w:r>
      <w:r w:rsidR="00D74D3C">
        <w:t>, that is,</w:t>
      </w:r>
      <w:r w:rsidR="00AC22F6">
        <w:t xml:space="preserve"> </w:t>
      </w:r>
      <w:r>
        <w:t>the internal</w:t>
      </w:r>
      <w:r w:rsidR="00AC22F6">
        <w:t xml:space="preserve"> cylinder</w:t>
      </w:r>
      <w:r>
        <w:t xml:space="preserve"> surfaces coated with an inert substance to reduce degradation of NO</w:t>
      </w:r>
      <w:r w:rsidRPr="00D26D90">
        <w:rPr>
          <w:vertAlign w:val="subscript"/>
        </w:rPr>
        <w:t>2</w:t>
      </w:r>
      <w:r>
        <w:t xml:space="preserve">. </w:t>
      </w:r>
    </w:p>
    <w:p w14:paraId="234E45F7" w14:textId="5FD25E0A" w:rsidR="00712E2C" w:rsidRPr="00D74C5C" w:rsidRDefault="00130482" w:rsidP="00D26D90">
      <w:pPr>
        <w:pStyle w:val="ListParagraph"/>
        <w:ind w:left="1080"/>
        <w:contextualSpacing w:val="0"/>
      </w:pPr>
      <w:r>
        <w:t>The concentration of NO</w:t>
      </w:r>
      <w:r w:rsidRPr="00D26D90">
        <w:rPr>
          <w:vertAlign w:val="subscript"/>
        </w:rPr>
        <w:t>2</w:t>
      </w:r>
      <w:r>
        <w:t xml:space="preserve"> in the certified standard gas should be selected such that the desired diluted concentrations can be prepared by operating the DDC MFCs within the </w:t>
      </w:r>
      <w:r w:rsidR="007E15FD">
        <w:t xml:space="preserve">approximate </w:t>
      </w:r>
      <w:r>
        <w:t xml:space="preserve">middle of their flow range. </w:t>
      </w:r>
      <w:r w:rsidR="005D741B">
        <w:t xml:space="preserve"> In this way, the accuracy and stability of the concentration of the diluted gas is maximized. </w:t>
      </w:r>
      <w:r>
        <w:t xml:space="preserve">For example, if a span concentration of 80 ppb is desired and the DDC comprises a 2 to 20 L/minute diluent channel and a 10 to 100 </w:t>
      </w:r>
      <w:r w:rsidR="006247F7">
        <w:t>mL/minute</w:t>
      </w:r>
      <w:r>
        <w:t xml:space="preserve"> standard channel, </w:t>
      </w:r>
      <w:r w:rsidR="00AC22F6">
        <w:t xml:space="preserve">a 200-fold dilution factor is achievable (10 L/minute diluent flow and 50 </w:t>
      </w:r>
      <w:r w:rsidR="008F7FF9">
        <w:t>ml/minute</w:t>
      </w:r>
      <w:r w:rsidR="00AF6A08">
        <w:t xml:space="preserve"> </w:t>
      </w:r>
      <w:r w:rsidR="00AC22F6">
        <w:t>standard flow). Thus, a 16</w:t>
      </w:r>
      <w:r w:rsidR="006247F7">
        <w:t>,000</w:t>
      </w:r>
      <w:r w:rsidR="00AC22F6">
        <w:t xml:space="preserve"> pp</w:t>
      </w:r>
      <w:r w:rsidR="006247F7">
        <w:t>b</w:t>
      </w:r>
      <w:r w:rsidR="00AC22F6">
        <w:t xml:space="preserve"> </w:t>
      </w:r>
      <w:r w:rsidR="006247F7">
        <w:t xml:space="preserve">(16 </w:t>
      </w:r>
      <w:r w:rsidR="00D74D3C">
        <w:t>ppm</w:t>
      </w:r>
      <w:r w:rsidR="006247F7">
        <w:t xml:space="preserve">) </w:t>
      </w:r>
      <w:r w:rsidR="00AC22F6">
        <w:t>standard cylinder of NO</w:t>
      </w:r>
      <w:r w:rsidR="00AC22F6" w:rsidRPr="00D26D90">
        <w:rPr>
          <w:vertAlign w:val="subscript"/>
        </w:rPr>
        <w:t>2</w:t>
      </w:r>
      <w:r w:rsidR="00AC22F6">
        <w:t xml:space="preserve"> would be appropriate. </w:t>
      </w:r>
    </w:p>
    <w:p w14:paraId="0D6398A9" w14:textId="2BA03216" w:rsidR="00712E2C" w:rsidRDefault="00945C14" w:rsidP="00D26D90">
      <w:pPr>
        <w:pStyle w:val="ListParagraph"/>
        <w:numPr>
          <w:ilvl w:val="1"/>
          <w:numId w:val="20"/>
        </w:numPr>
        <w:ind w:left="1080"/>
        <w:contextualSpacing w:val="0"/>
      </w:pPr>
      <w:r>
        <w:t>N</w:t>
      </w:r>
      <w:r w:rsidR="00AC3C29">
        <w:t xml:space="preserve">itric Oxide (NO) </w:t>
      </w:r>
    </w:p>
    <w:p w14:paraId="2F3C25AA" w14:textId="42530622" w:rsidR="002B6E63" w:rsidRDefault="007E15FD" w:rsidP="00D26D90">
      <w:pPr>
        <w:pStyle w:val="ListParagraph"/>
        <w:ind w:left="1080"/>
        <w:contextualSpacing w:val="0"/>
      </w:pPr>
      <w:r>
        <w:t>When opting to provide calibration gases to the NO</w:t>
      </w:r>
      <w:r w:rsidRPr="00D26D90">
        <w:rPr>
          <w:vertAlign w:val="subscript"/>
        </w:rPr>
        <w:t>2</w:t>
      </w:r>
      <w:r>
        <w:t xml:space="preserve"> analyzer by </w:t>
      </w:r>
      <w:r w:rsidR="007022F7" w:rsidRPr="00AA3D99">
        <w:t>performing</w:t>
      </w:r>
      <w:r w:rsidR="007022F7" w:rsidRPr="00D26D90">
        <w:t xml:space="preserve"> </w:t>
      </w:r>
      <w:r>
        <w:t>GPT</w:t>
      </w:r>
      <w:r w:rsidR="007022F7" w:rsidRPr="00AA3D99">
        <w:t xml:space="preserve"> of ozone and NO to generate NO</w:t>
      </w:r>
      <w:r w:rsidR="007022F7" w:rsidRPr="00D26D90">
        <w:rPr>
          <w:vertAlign w:val="subscript"/>
        </w:rPr>
        <w:t>2</w:t>
      </w:r>
      <w:r w:rsidR="007022F7" w:rsidRPr="00AA3D99">
        <w:t xml:space="preserve"> calibration gas, </w:t>
      </w:r>
      <w:r>
        <w:t xml:space="preserve">the NO standard gas concentration will exceed the ozone concentration (ozone will be the limiting reagent and the process will assume 100% of the ozone </w:t>
      </w:r>
      <w:r w:rsidR="005D741B">
        <w:t xml:space="preserve">reacted with the NO to generate </w:t>
      </w:r>
      <w:r>
        <w:t>NO</w:t>
      </w:r>
      <w:r w:rsidRPr="00D26D90">
        <w:rPr>
          <w:vertAlign w:val="subscript"/>
        </w:rPr>
        <w:t>2</w:t>
      </w:r>
      <w:r>
        <w:t xml:space="preserve"> </w:t>
      </w:r>
      <w:r w:rsidRPr="006247F7">
        <w:t xml:space="preserve">with </w:t>
      </w:r>
      <w:r w:rsidR="005D741B">
        <w:t xml:space="preserve">a slight </w:t>
      </w:r>
      <w:r w:rsidRPr="006247F7">
        <w:t xml:space="preserve">excess </w:t>
      </w:r>
      <w:r w:rsidR="005D741B">
        <w:t xml:space="preserve">of </w:t>
      </w:r>
      <w:r w:rsidRPr="006247F7">
        <w:t>NO remaining</w:t>
      </w:r>
      <w:r w:rsidR="002B6E63" w:rsidRPr="006247F7">
        <w:t>)</w:t>
      </w:r>
      <w:r w:rsidRPr="006247F7">
        <w:t xml:space="preserve">. </w:t>
      </w:r>
      <w:r w:rsidR="00435323" w:rsidRPr="006247F7">
        <w:t xml:space="preserve">NO standard gas must be of </w:t>
      </w:r>
      <w:r w:rsidR="006247F7" w:rsidRPr="00D26D90">
        <w:t>Standard Reference Material (</w:t>
      </w:r>
      <w:r w:rsidR="00435323" w:rsidRPr="006247F7">
        <w:t>SRM</w:t>
      </w:r>
      <w:r w:rsidR="006247F7" w:rsidRPr="00D26D90">
        <w:t xml:space="preserve">) or Certified Reference Material (CRM) </w:t>
      </w:r>
      <w:r w:rsidR="00435323" w:rsidRPr="006247F7">
        <w:t>quality and compliant with Protocol 2 of the PGVP requirements listed above in Section G.2.</w:t>
      </w:r>
    </w:p>
    <w:p w14:paraId="58822F32" w14:textId="41D54630" w:rsidR="003E4A32" w:rsidRPr="000E74A3" w:rsidRDefault="005D741B" w:rsidP="00D26D90">
      <w:pPr>
        <w:pStyle w:val="ListParagraph"/>
        <w:ind w:left="1080"/>
        <w:contextualSpacing w:val="0"/>
      </w:pPr>
      <w:r>
        <w:t xml:space="preserve">The concentration of </w:t>
      </w:r>
      <w:r w:rsidR="000E74A3" w:rsidRPr="00D26D90">
        <w:t xml:space="preserve">NO </w:t>
      </w:r>
      <w:r>
        <w:t xml:space="preserve">should be greater than </w:t>
      </w:r>
      <w:r w:rsidR="000E74A3" w:rsidRPr="00D26D90">
        <w:t>ozone</w:t>
      </w:r>
      <w:r>
        <w:t>,</w:t>
      </w:r>
      <w:r w:rsidR="000E74A3" w:rsidRPr="00D26D90">
        <w:t xml:space="preserve"> minimally by </w:t>
      </w:r>
      <w:r w:rsidR="006247F7" w:rsidRPr="00D26D90">
        <w:t>2</w:t>
      </w:r>
      <w:r w:rsidR="000E74A3" w:rsidRPr="00D26D90">
        <w:t xml:space="preserve">0%. </w:t>
      </w:r>
      <w:r w:rsidR="006247F7">
        <w:t xml:space="preserve">Similar to the discussion </w:t>
      </w:r>
      <w:r w:rsidR="00435323">
        <w:t xml:space="preserve">above in Section G.2.a, the concentration of NO in the standard gas should be selected to provide the desired diluted concentration at flow rates in the approximate mid-range of the diluent and standard MFC channels. The </w:t>
      </w:r>
      <w:r w:rsidR="006247F7">
        <w:t>COA</w:t>
      </w:r>
      <w:r w:rsidR="00435323">
        <w:t xml:space="preserve"> must indicate the concentration</w:t>
      </w:r>
      <w:r w:rsidR="00AA3D99" w:rsidRPr="00D26D90">
        <w:t xml:space="preserve"> </w:t>
      </w:r>
      <w:r w:rsidR="007022F7" w:rsidRPr="00AA3D99">
        <w:t>of residual</w:t>
      </w:r>
      <w:r w:rsidR="007022F7" w:rsidRPr="00D26D90">
        <w:t xml:space="preserve"> </w:t>
      </w:r>
      <w:r w:rsidR="007022F7" w:rsidRPr="00AA3D99">
        <w:t>NO</w:t>
      </w:r>
      <w:r w:rsidR="007022F7" w:rsidRPr="00D26D90">
        <w:rPr>
          <w:vertAlign w:val="subscript"/>
        </w:rPr>
        <w:t>2</w:t>
      </w:r>
      <w:r w:rsidR="007022F7" w:rsidRPr="00AA3D99">
        <w:t xml:space="preserve"> in the NO </w:t>
      </w:r>
      <w:r w:rsidR="00435323">
        <w:t xml:space="preserve">standard </w:t>
      </w:r>
      <w:r w:rsidR="007022F7" w:rsidRPr="00AA3D99">
        <w:t xml:space="preserve">cylinder </w:t>
      </w:r>
      <w:r w:rsidR="00435323">
        <w:t xml:space="preserve">which </w:t>
      </w:r>
      <w:r w:rsidR="007022F7" w:rsidRPr="00AA3D99">
        <w:t>should not exceed 1% of the NO concentration</w:t>
      </w:r>
      <w:r w:rsidR="00435323">
        <w:t>.</w:t>
      </w:r>
    </w:p>
    <w:p w14:paraId="3FF38AD3" w14:textId="277B0824" w:rsidR="00AC3C29" w:rsidRDefault="00AC3C29" w:rsidP="00D26D90">
      <w:pPr>
        <w:pStyle w:val="ListParagraph"/>
        <w:numPr>
          <w:ilvl w:val="1"/>
          <w:numId w:val="20"/>
        </w:numPr>
        <w:tabs>
          <w:tab w:val="left" w:pos="1440"/>
        </w:tabs>
        <w:ind w:left="1080"/>
        <w:contextualSpacing w:val="0"/>
      </w:pPr>
      <w:r>
        <w:t>Ozone (</w:t>
      </w:r>
      <w:r w:rsidR="00945C14">
        <w:t>O</w:t>
      </w:r>
      <w:r w:rsidR="00945C14" w:rsidRPr="00CA584B">
        <w:rPr>
          <w:vertAlign w:val="subscript"/>
        </w:rPr>
        <w:t>3</w:t>
      </w:r>
      <w:r>
        <w:t>)</w:t>
      </w:r>
    </w:p>
    <w:p w14:paraId="19914A72" w14:textId="4B17BF79" w:rsidR="004B074A" w:rsidRDefault="0071565E" w:rsidP="00D26D90">
      <w:pPr>
        <w:pStyle w:val="ListParagraph"/>
        <w:ind w:left="1080"/>
        <w:contextualSpacing w:val="0"/>
      </w:pPr>
      <w:r>
        <w:t xml:space="preserve">Ozone is </w:t>
      </w:r>
      <w:r w:rsidR="00AA3D99">
        <w:t>supplied</w:t>
      </w:r>
      <w:r>
        <w:t xml:space="preserve"> as the limiting reagent during reaction with NO to yield </w:t>
      </w:r>
      <w:r w:rsidRPr="00D74C5C">
        <w:t>N</w:t>
      </w:r>
      <w:r>
        <w:t>O</w:t>
      </w:r>
      <w:r>
        <w:rPr>
          <w:vertAlign w:val="subscript"/>
        </w:rPr>
        <w:t>2</w:t>
      </w:r>
      <w:r>
        <w:t xml:space="preserve"> by </w:t>
      </w:r>
      <w:r w:rsidR="00CA584B">
        <w:t>GPT</w:t>
      </w:r>
      <w:r>
        <w:t xml:space="preserve">. </w:t>
      </w:r>
      <w:r w:rsidR="00424F7D">
        <w:t>Users of this SOP will not require ozone if they are not generating NO</w:t>
      </w:r>
      <w:r w:rsidR="00424F7D" w:rsidRPr="00D26D90">
        <w:rPr>
          <w:vertAlign w:val="subscript"/>
        </w:rPr>
        <w:t>2</w:t>
      </w:r>
      <w:r w:rsidR="00424F7D">
        <w:t xml:space="preserve"> standard gases by GPT. </w:t>
      </w:r>
      <w:r w:rsidR="00AC3C29">
        <w:t xml:space="preserve">Ozone </w:t>
      </w:r>
      <w:r w:rsidR="00424F7D">
        <w:t xml:space="preserve">will be generated at the time of use with the onboard </w:t>
      </w:r>
      <w:r w:rsidR="006247F7">
        <w:t xml:space="preserve">ozone </w:t>
      </w:r>
      <w:r w:rsidR="00424F7D">
        <w:t xml:space="preserve">generator in the DDC employing the ozone lamp and zero air source. The ozone generator in the DDC will be calibrated annually (settings adjusted) and the calibration verified quarterly </w:t>
      </w:r>
      <w:r w:rsidR="00E94126">
        <w:t>against</w:t>
      </w:r>
      <w:r w:rsidR="00424F7D">
        <w:t xml:space="preserve"> a Level 1 or Level 2 ozone standard</w:t>
      </w:r>
      <w:r w:rsidR="006247F7">
        <w:t>.</w:t>
      </w:r>
      <w:r w:rsidR="007427C0">
        <w:rPr>
          <w:vertAlign w:val="superscript"/>
        </w:rPr>
        <w:t>7</w:t>
      </w:r>
      <w:r w:rsidR="00E94126">
        <w:t xml:space="preserve"> N</w:t>
      </w:r>
      <w:r w:rsidR="00256F0F">
        <w:t>o</w:t>
      </w:r>
      <w:r w:rsidR="00E94126">
        <w:t xml:space="preserve">te that </w:t>
      </w:r>
      <w:r w:rsidR="00256F0F">
        <w:t>agencies employing the DDC to calibrate ozone analyzer</w:t>
      </w:r>
      <w:r w:rsidR="00D1377B">
        <w:t>s</w:t>
      </w:r>
      <w:r w:rsidR="00256F0F">
        <w:t xml:space="preserve"> will already be performing these calibrations and calibration verifications.</w:t>
      </w:r>
    </w:p>
    <w:p w14:paraId="1736E0D5" w14:textId="36F91B4B" w:rsidR="004C7DE3" w:rsidRPr="00A0702C" w:rsidRDefault="004C7DE3" w:rsidP="00D26D90">
      <w:pPr>
        <w:pStyle w:val="ListParagraph"/>
        <w:numPr>
          <w:ilvl w:val="0"/>
          <w:numId w:val="20"/>
        </w:numPr>
        <w:ind w:left="360"/>
        <w:contextualSpacing w:val="0"/>
        <w:rPr>
          <w:b/>
        </w:rPr>
      </w:pPr>
      <w:r w:rsidRPr="00A0702C">
        <w:rPr>
          <w:b/>
        </w:rPr>
        <w:lastRenderedPageBreak/>
        <w:t>Installation</w:t>
      </w:r>
    </w:p>
    <w:p w14:paraId="0DF1FB00" w14:textId="771C96C8" w:rsidR="00400E98" w:rsidRDefault="004C7DE3" w:rsidP="00D26D90">
      <w:pPr>
        <w:pStyle w:val="ListParagraph"/>
        <w:ind w:left="360"/>
        <w:contextualSpacing w:val="0"/>
      </w:pPr>
      <w:r>
        <w:t xml:space="preserve">Per manufacturer instructions, unpack the instrument and inspect the analyzer </w:t>
      </w:r>
      <w:r w:rsidR="00D1377B">
        <w:t xml:space="preserve">to ascertain that </w:t>
      </w:r>
      <w:r>
        <w:t xml:space="preserve">is in good physical condition and that there are no missing components or loose fasteners.  </w:t>
      </w:r>
      <w:r w:rsidR="00B71C21">
        <w:t xml:space="preserve">Ensure proper installation and electrical connections per the manufacturer instrument manual. </w:t>
      </w:r>
      <w:r>
        <w:t xml:space="preserve">Prior to use, the analyzer should be powered on and allowed to warm up for approximately </w:t>
      </w:r>
      <w:r w:rsidR="00147CCD">
        <w:t>6</w:t>
      </w:r>
      <w:r>
        <w:t xml:space="preserve">0 minutes before </w:t>
      </w:r>
      <w:r w:rsidR="00D1377B">
        <w:t xml:space="preserve">commencing monitoring and/or </w:t>
      </w:r>
      <w:r w:rsidR="00B71C21">
        <w:t>calibration</w:t>
      </w:r>
      <w:r>
        <w:t>.</w:t>
      </w:r>
    </w:p>
    <w:p w14:paraId="12BD9419" w14:textId="3745B4D7" w:rsidR="005D510D" w:rsidRDefault="004B25EC">
      <w:pPr>
        <w:pStyle w:val="ListParagraph"/>
        <w:numPr>
          <w:ilvl w:val="0"/>
          <w:numId w:val="20"/>
        </w:numPr>
        <w:ind w:left="360"/>
        <w:contextualSpacing w:val="0"/>
        <w:rPr>
          <w:b/>
        </w:rPr>
      </w:pPr>
      <w:r w:rsidRPr="00D26D90">
        <w:rPr>
          <w:rStyle w:val="Style1Char"/>
          <w:b/>
          <w:bCs w:val="0"/>
        </w:rPr>
        <w:t>Sample</w:t>
      </w:r>
      <w:r w:rsidRPr="00D26D90">
        <w:rPr>
          <w:b/>
        </w:rPr>
        <w:t xml:space="preserve"> Collection and Handling</w:t>
      </w:r>
    </w:p>
    <w:p w14:paraId="6ABA2C6C" w14:textId="7C27B63B" w:rsidR="0047756D" w:rsidRDefault="0047756D" w:rsidP="00D26D90">
      <w:pPr>
        <w:pStyle w:val="ListParagraph"/>
        <w:numPr>
          <w:ilvl w:val="3"/>
          <w:numId w:val="20"/>
        </w:numPr>
        <w:ind w:left="720"/>
      </w:pPr>
      <w:r>
        <w:t>Probe Construction</w:t>
      </w:r>
    </w:p>
    <w:p w14:paraId="548A4C51" w14:textId="519ADE55" w:rsidR="0047756D" w:rsidRDefault="005D510D" w:rsidP="0047756D">
      <w:pPr>
        <w:ind w:left="720"/>
      </w:pPr>
      <w:r>
        <w:t xml:space="preserve">All components </w:t>
      </w:r>
      <w:r w:rsidR="0047756D">
        <w:t xml:space="preserve">comprising </w:t>
      </w:r>
      <w:r>
        <w:t xml:space="preserve">the </w:t>
      </w:r>
      <w:r w:rsidR="000B2054">
        <w:t xml:space="preserve">inlet </w:t>
      </w:r>
      <w:r>
        <w:t xml:space="preserve">flow path from the inlet probe through to the back of the analyzer </w:t>
      </w:r>
      <w:r w:rsidR="00EA37DE">
        <w:t xml:space="preserve">(BOA) </w:t>
      </w:r>
      <w:r w:rsidR="0089490E">
        <w:t xml:space="preserve">must be constructed of </w:t>
      </w:r>
      <w:r w:rsidR="000B2054">
        <w:t xml:space="preserve">borosilicate glass, </w:t>
      </w:r>
      <w:r w:rsidR="00535C79">
        <w:t>fluorinated ethylene propylene (</w:t>
      </w:r>
      <w:r w:rsidR="00EA37DE">
        <w:t>FEP</w:t>
      </w:r>
      <w:r w:rsidR="00535C79">
        <w:t>)</w:t>
      </w:r>
      <w:r w:rsidR="00EA37DE">
        <w:t xml:space="preserve"> Teflon</w:t>
      </w:r>
      <w:r w:rsidR="00EA37DE" w:rsidRPr="00D26D90">
        <w:rPr>
          <w:vertAlign w:val="superscript"/>
        </w:rPr>
        <w:t>®</w:t>
      </w:r>
      <w:r w:rsidR="00EA37DE">
        <w:t>, or equivalent (</w:t>
      </w:r>
      <w:r w:rsidR="000B2054">
        <w:t>PTFE or PFA Teflon</w:t>
      </w:r>
      <w:r w:rsidR="00EA37DE" w:rsidRPr="00D26D90">
        <w:rPr>
          <w:vertAlign w:val="superscript"/>
        </w:rPr>
        <w:t>®</w:t>
      </w:r>
      <w:r w:rsidR="00EA37DE">
        <w:t>)</w:t>
      </w:r>
      <w:r w:rsidR="000B2054">
        <w:t>.</w:t>
      </w:r>
      <w:r w:rsidR="00BF7878">
        <w:t xml:space="preserve"> Note that other commonly available materials such as rubber, brass, aluminum, and copper are not suitable and must not be in the sampling flow path.</w:t>
      </w:r>
    </w:p>
    <w:p w14:paraId="05913F24" w14:textId="5E33B346" w:rsidR="008D7505" w:rsidRDefault="00CE3A32" w:rsidP="00D26D90">
      <w:pPr>
        <w:ind w:left="720"/>
      </w:pPr>
      <w:r>
        <w:t xml:space="preserve">The sampling inlet line can </w:t>
      </w:r>
      <w:r w:rsidR="005D510D">
        <w:t xml:space="preserve">consist of a standalone line that extends to the </w:t>
      </w:r>
      <w:r>
        <w:t>exterior of the monitoring shelter or can be connected to a</w:t>
      </w:r>
      <w:r w:rsidR="005D510D">
        <w:t xml:space="preserve"> laminar flow</w:t>
      </w:r>
      <w:r>
        <w:t xml:space="preserve"> inlet manifold</w:t>
      </w:r>
      <w:r w:rsidR="005D510D">
        <w:t xml:space="preserve"> to which other instrument inlets are connected</w:t>
      </w:r>
      <w:r>
        <w:t xml:space="preserve">. Consideration must be given to the </w:t>
      </w:r>
      <w:r w:rsidR="005D510D">
        <w:t>volume (</w:t>
      </w:r>
      <w:r>
        <w:t xml:space="preserve">length </w:t>
      </w:r>
      <w:r w:rsidR="005D510D">
        <w:t xml:space="preserve">and internal diameter [ID]) </w:t>
      </w:r>
      <w:r>
        <w:t xml:space="preserve">of the sampling inlet </w:t>
      </w:r>
      <w:r w:rsidR="005D510D">
        <w:t xml:space="preserve">pathway </w:t>
      </w:r>
      <w:r>
        <w:t xml:space="preserve">to ensure that the </w:t>
      </w:r>
      <w:r w:rsidR="005D510D">
        <w:t xml:space="preserve">sample </w:t>
      </w:r>
      <w:r>
        <w:t>residence time</w:t>
      </w:r>
      <w:r w:rsidR="008C258A">
        <w:t xml:space="preserve"> to the BOA </w:t>
      </w:r>
      <w:r>
        <w:t>is kept to 20 seconds or less.</w:t>
      </w:r>
      <w:r w:rsidR="000920BE">
        <w:t xml:space="preserve"> </w:t>
      </w:r>
      <w:r w:rsidR="005D510D">
        <w:t xml:space="preserve">Note that sample ingestion rates of laminar flow manifolds assume that air within the manifold is </w:t>
      </w:r>
      <w:r w:rsidR="008C258A">
        <w:t>equivalent to the ambient outside atmosphere, therefore the residence time calculation should begin from the NO</w:t>
      </w:r>
      <w:r w:rsidR="008C258A" w:rsidRPr="00D26D90">
        <w:rPr>
          <w:vertAlign w:val="subscript"/>
        </w:rPr>
        <w:t>2</w:t>
      </w:r>
      <w:r w:rsidR="008C258A">
        <w:t xml:space="preserve"> analyzer port on the manifold. </w:t>
      </w:r>
      <w:r w:rsidR="000920BE">
        <w:t>Consideration should also be given to minimize intrusion of water int</w:t>
      </w:r>
      <w:r w:rsidR="00A73280">
        <w:t>o the sampling line which can effectively be reduced by inverting the inlet and installing a rain shield (such as inverted funnel) on the inlet probe. For connections to an inlet manifold, the analyzer can be connected to any port.</w:t>
      </w:r>
      <w:r w:rsidR="008C258A">
        <w:t xml:space="preserve"> </w:t>
      </w:r>
    </w:p>
    <w:p w14:paraId="10638CCB" w14:textId="60F573D8" w:rsidR="0047756D" w:rsidRDefault="00EE1859" w:rsidP="00D26D90">
      <w:pPr>
        <w:ind w:left="720"/>
      </w:pPr>
      <w:r>
        <w:t>Though many of the FEM NO</w:t>
      </w:r>
      <w:r w:rsidRPr="00D26D90">
        <w:rPr>
          <w:vertAlign w:val="subscript"/>
        </w:rPr>
        <w:t>2</w:t>
      </w:r>
      <w:r>
        <w:t xml:space="preserve"> analyzers incorporate an integrated </w:t>
      </w:r>
      <w:r w:rsidR="001A0151">
        <w:t>particulate matter (</w:t>
      </w:r>
      <w:r>
        <w:t>PM</w:t>
      </w:r>
      <w:r w:rsidR="001A0151">
        <w:t>)</w:t>
      </w:r>
      <w:r>
        <w:t xml:space="preserve"> filter on the sample inlet, i</w:t>
      </w:r>
      <w:r w:rsidR="008C258A">
        <w:t>nstallation of a PTFE particulate filter in the analyzer inlet line is strongly recommended</w:t>
      </w:r>
      <w:r>
        <w:t xml:space="preserve"> for reducing PM to the analyzer</w:t>
      </w:r>
      <w:r w:rsidR="008C258A">
        <w:t>, and the monitoring agency should prescribe a frequency for inspecting and changing the filter</w:t>
      </w:r>
      <w:r>
        <w:t>(s)</w:t>
      </w:r>
      <w:r w:rsidR="008C258A">
        <w:t xml:space="preserve"> to avoid filter clogging and reduced sample flows.</w:t>
      </w:r>
      <w:r w:rsidR="008D7505">
        <w:t xml:space="preserve"> Additionally, the monitoring agency will prescribe frequencies for visually inspecting and cleaning or replacing inlet line tubing to the NO</w:t>
      </w:r>
      <w:r w:rsidR="008D7505" w:rsidRPr="00D26D90">
        <w:rPr>
          <w:vertAlign w:val="subscript"/>
        </w:rPr>
        <w:t>2</w:t>
      </w:r>
      <w:r w:rsidR="008D7505">
        <w:t xml:space="preserve"> analyzer. Particulate residue buildup in inlet pathways can scrub NO</w:t>
      </w:r>
      <w:r w:rsidR="008D7505" w:rsidRPr="00D26D90">
        <w:rPr>
          <w:vertAlign w:val="subscript"/>
        </w:rPr>
        <w:t>2</w:t>
      </w:r>
      <w:r w:rsidR="008D7505">
        <w:t xml:space="preserve"> from the sampled air and result in a </w:t>
      </w:r>
      <w:r w:rsidR="00C66482">
        <w:t xml:space="preserve">negative </w:t>
      </w:r>
      <w:r w:rsidR="008D7505">
        <w:t xml:space="preserve">bias for associated measurements. Inlet manifolds are particularly susceptible to </w:t>
      </w:r>
      <w:r>
        <w:t>PM</w:t>
      </w:r>
      <w:r w:rsidR="008D7505">
        <w:t xml:space="preserve"> buildup due to the high flow rate and large volume of </w:t>
      </w:r>
      <w:r w:rsidR="002B225A">
        <w:t xml:space="preserve">air </w:t>
      </w:r>
      <w:r w:rsidR="008D7505">
        <w:t>ingested</w:t>
      </w:r>
      <w:r w:rsidR="00C66482">
        <w:t>;</w:t>
      </w:r>
      <w:r w:rsidR="008D7505">
        <w:t xml:space="preserve"> therefore, the monitoring agency will prescribe an inspection (visual) and cleaning schedule for employed inlet manifolds. </w:t>
      </w:r>
    </w:p>
    <w:p w14:paraId="589EAF25" w14:textId="5251F35F" w:rsidR="0047756D" w:rsidRDefault="004F71B4" w:rsidP="00D26D90">
      <w:pPr>
        <w:pStyle w:val="ListParagraph"/>
        <w:numPr>
          <w:ilvl w:val="3"/>
          <w:numId w:val="20"/>
        </w:numPr>
        <w:ind w:left="720"/>
      </w:pPr>
      <w:r>
        <w:t>Inlet Probe Siting</w:t>
      </w:r>
    </w:p>
    <w:p w14:paraId="0EF9E1B6" w14:textId="4369FEA2" w:rsidR="0047756D" w:rsidRDefault="0047756D" w:rsidP="0047756D">
      <w:pPr>
        <w:ind w:left="720"/>
      </w:pPr>
      <w:r>
        <w:t xml:space="preserve">Siting of the inlet probe will comply with the requirements in 40 </w:t>
      </w:r>
      <w:r w:rsidR="001A0151">
        <w:t>Code of Federal Regulations (</w:t>
      </w:r>
      <w:r>
        <w:t>CFR</w:t>
      </w:r>
      <w:r w:rsidR="001A0151">
        <w:t>)</w:t>
      </w:r>
      <w:r>
        <w:t xml:space="preserve"> Part 58 Appendix E. These requirements are summarized </w:t>
      </w:r>
      <w:r w:rsidR="004F71B4">
        <w:t>below</w:t>
      </w:r>
      <w:r>
        <w:t>.</w:t>
      </w:r>
    </w:p>
    <w:p w14:paraId="5AB1F19C" w14:textId="2C029BE3" w:rsidR="00400E98" w:rsidRDefault="004F71B4" w:rsidP="00D26D90">
      <w:pPr>
        <w:ind w:left="720"/>
      </w:pPr>
      <w:r>
        <w:lastRenderedPageBreak/>
        <w:t>T</w:t>
      </w:r>
      <w:r w:rsidR="0047756D">
        <w:t xml:space="preserve">he inlet probe </w:t>
      </w:r>
      <w:r>
        <w:t xml:space="preserve">will be </w:t>
      </w:r>
      <w:r w:rsidR="0047756D">
        <w:t>2 to 15 m above ground</w:t>
      </w:r>
      <w:r>
        <w:t xml:space="preserve"> level (AGL)</w:t>
      </w:r>
      <w:r w:rsidR="0047756D">
        <w:t xml:space="preserve"> and at least 1 m horizontally and vertically from any supporting structures. The inlet must also be more than 10 m </w:t>
      </w:r>
      <w:r>
        <w:t xml:space="preserve">(preferably 20 m) </w:t>
      </w:r>
      <w:r w:rsidR="0047756D">
        <w:t xml:space="preserve">from </w:t>
      </w:r>
      <w:r w:rsidR="00EA37DE">
        <w:t xml:space="preserve">the dripline of the nearest </w:t>
      </w:r>
      <w:r w:rsidR="0047756D">
        <w:t>tree to avoid impacts from adsorption and surface reactions</w:t>
      </w:r>
      <w:r w:rsidR="00EA37DE">
        <w:t>.</w:t>
      </w:r>
      <w:r>
        <w:t xml:space="preserve"> The inlet probe will be minimally 10 meters from the nearest roadway traffic lane – greater distances are required for roadways with average daily traffic (ADT) counts greater than 15,000</w:t>
      </w:r>
      <w:r w:rsidR="00632576">
        <w:t xml:space="preserve"> as defined by the monitoring site measurement scale and the ADT of the surrounding roadways</w:t>
      </w:r>
      <w:r>
        <w:t xml:space="preserve">. Lastly, inlet probes will be positioned such that any object that could obstruct the flow of air to the probe is minimally twice as far horizontally from the inlet probe as the obstruction extends </w:t>
      </w:r>
      <w:r w:rsidR="00C66482">
        <w:t xml:space="preserve">vertically </w:t>
      </w:r>
      <w:r>
        <w:t>above the inlet probe.</w:t>
      </w:r>
    </w:p>
    <w:p w14:paraId="4F4DD0B8" w14:textId="77777777" w:rsidR="00EE1859" w:rsidRDefault="00EE1859" w:rsidP="00EE1859">
      <w:pPr>
        <w:pStyle w:val="ListParagraph"/>
        <w:numPr>
          <w:ilvl w:val="3"/>
          <w:numId w:val="20"/>
        </w:numPr>
        <w:ind w:left="720"/>
        <w:contextualSpacing w:val="0"/>
      </w:pPr>
      <w:r>
        <w:t>Sampling and Measurement Frequency</w:t>
      </w:r>
    </w:p>
    <w:p w14:paraId="6DFE17A5" w14:textId="7B231E51" w:rsidR="00E80AA0" w:rsidRPr="00EE1859" w:rsidRDefault="00EE1859" w:rsidP="00D26D90">
      <w:pPr>
        <w:pStyle w:val="ListParagraph"/>
        <w:contextualSpacing w:val="0"/>
      </w:pPr>
      <w:r>
        <w:t>The true NO</w:t>
      </w:r>
      <w:r w:rsidRPr="00A0702C">
        <w:rPr>
          <w:vertAlign w:val="subscript"/>
        </w:rPr>
        <w:t>2</w:t>
      </w:r>
      <w:r>
        <w:t xml:space="preserve"> analyzer will run continuously measuring ambient air except when performing routine quality checks. Instruments should be configured to report one-minute data and the hourly average for each sampling hour is to be reported to EPA AQS. A valid sampling hour will minimally include 45 valid minutes of data and a valid sampling day will include minimally 18 valid hourly averages.</w:t>
      </w:r>
      <w:r w:rsidR="007427C0">
        <w:rPr>
          <w:vertAlign w:val="superscript"/>
        </w:rPr>
        <w:t>3</w:t>
      </w:r>
    </w:p>
    <w:p w14:paraId="5EDB47A3" w14:textId="3CACFDF7" w:rsidR="0061213D" w:rsidRPr="00D26D90" w:rsidRDefault="0061213D" w:rsidP="00D26D90">
      <w:pPr>
        <w:pStyle w:val="ListParagraph"/>
        <w:numPr>
          <w:ilvl w:val="0"/>
          <w:numId w:val="20"/>
        </w:numPr>
        <w:ind w:left="360"/>
        <w:contextualSpacing w:val="0"/>
        <w:rPr>
          <w:b/>
          <w:bCs/>
        </w:rPr>
      </w:pPr>
      <w:r w:rsidRPr="00D26D90">
        <w:rPr>
          <w:b/>
          <w:bCs/>
        </w:rPr>
        <w:t>Quality Assurance</w:t>
      </w:r>
    </w:p>
    <w:p w14:paraId="27FD190C" w14:textId="2914FB23" w:rsidR="001A7673" w:rsidRPr="00D26D90" w:rsidRDefault="001A7673" w:rsidP="00D26D90">
      <w:pPr>
        <w:pStyle w:val="ListParagraph"/>
        <w:ind w:left="360"/>
        <w:contextualSpacing w:val="0"/>
      </w:pPr>
      <w:r>
        <w:t xml:space="preserve">Independent assessments, whether by </w:t>
      </w:r>
      <w:r w:rsidR="00465376">
        <w:t>quality assurance (</w:t>
      </w:r>
      <w:r>
        <w:t>QA</w:t>
      </w:r>
      <w:r w:rsidR="00465376">
        <w:t>)</w:t>
      </w:r>
      <w:r>
        <w:t xml:space="preserve"> staff internal to the monitoring organization or external from the EPA or associated contractor, will be performed according to the frequency prescribed in the governing monitoring agency QAPP. </w:t>
      </w:r>
      <w:r w:rsidR="00C66482">
        <w:t>A detailed description of these</w:t>
      </w:r>
      <w:r>
        <w:t xml:space="preserve"> QA assessments </w:t>
      </w:r>
      <w:r w:rsidR="00C66482">
        <w:t xml:space="preserve">is </w:t>
      </w:r>
      <w:r>
        <w:t>outside the scope of this SOP. Typical QA assessments include the following:</w:t>
      </w:r>
    </w:p>
    <w:p w14:paraId="43F0D65E" w14:textId="31290AA7" w:rsidR="00C4272B" w:rsidRPr="001A7673" w:rsidRDefault="001D2AA3" w:rsidP="00D26D90">
      <w:pPr>
        <w:pStyle w:val="ListParagraph"/>
        <w:numPr>
          <w:ilvl w:val="3"/>
          <w:numId w:val="20"/>
        </w:numPr>
        <w:ind w:left="720"/>
        <w:contextualSpacing w:val="0"/>
      </w:pPr>
      <w:r w:rsidRPr="00D26D90">
        <w:t>Annual Performance Evaluation</w:t>
      </w:r>
      <w:r w:rsidR="001A7673" w:rsidRPr="00D26D90">
        <w:t xml:space="preserve"> (PE)</w:t>
      </w:r>
      <w:r w:rsidRPr="00D26D90">
        <w:t xml:space="preserve">:  </w:t>
      </w:r>
      <w:r w:rsidR="001A7673" w:rsidRPr="00D26D90">
        <w:t xml:space="preserve">The monitoring agency is required to annually conduct the PE per 40 CFR Part 58 </w:t>
      </w:r>
      <w:r w:rsidR="001A7673" w:rsidRPr="001A7673">
        <w:t>Section 3.1.2</w:t>
      </w:r>
      <w:r w:rsidR="001A7673" w:rsidRPr="00D26D90">
        <w:t xml:space="preserve">. </w:t>
      </w:r>
    </w:p>
    <w:p w14:paraId="002C3722" w14:textId="20BB90B3" w:rsidR="001D2AA3" w:rsidRDefault="001D2AA3" w:rsidP="00D26D90">
      <w:pPr>
        <w:pStyle w:val="ListParagraph"/>
        <w:numPr>
          <w:ilvl w:val="3"/>
          <w:numId w:val="20"/>
        </w:numPr>
        <w:ind w:left="720"/>
        <w:contextualSpacing w:val="0"/>
      </w:pPr>
      <w:r>
        <w:t xml:space="preserve">National Performance Audit Program (NPAP) Evaluations: </w:t>
      </w:r>
      <w:r w:rsidR="00EE1859">
        <w:t xml:space="preserve"> </w:t>
      </w:r>
      <w:r>
        <w:t>Each monitoring site must be subjected to an external performance audit every 6 years per 40 CFR Part 58 Section 3.1.3.</w:t>
      </w:r>
    </w:p>
    <w:p w14:paraId="656CB691" w14:textId="7ECC18EE" w:rsidR="001D2AA3" w:rsidRDefault="001A7673" w:rsidP="00D26D90">
      <w:pPr>
        <w:pStyle w:val="ListParagraph"/>
        <w:numPr>
          <w:ilvl w:val="3"/>
          <w:numId w:val="20"/>
        </w:numPr>
        <w:ind w:left="720"/>
        <w:contextualSpacing w:val="0"/>
      </w:pPr>
      <w:r>
        <w:t xml:space="preserve">Audit of Data Quality (ADQ):  </w:t>
      </w:r>
      <w:r w:rsidR="001D2AA3">
        <w:t>The monitoring agency is encourage</w:t>
      </w:r>
      <w:r>
        <w:t>d</w:t>
      </w:r>
      <w:r w:rsidR="001D2AA3">
        <w:t xml:space="preserve"> to have a member of the QA office perform an </w:t>
      </w:r>
      <w:r>
        <w:t>ADQ</w:t>
      </w:r>
      <w:r w:rsidR="001D2AA3">
        <w:t xml:space="preserve"> annually whereby the QA staff member reviews</w:t>
      </w:r>
      <w:r>
        <w:t>/verifies</w:t>
      </w:r>
      <w:r w:rsidR="001D2AA3">
        <w:t xml:space="preserve"> all portions of the measurement system, starting with calibration</w:t>
      </w:r>
      <w:r w:rsidR="00061540">
        <w:t>s</w:t>
      </w:r>
      <w:r w:rsidR="001D2AA3">
        <w:t xml:space="preserve"> of the DDC and NO</w:t>
      </w:r>
      <w:r w:rsidR="001D2AA3" w:rsidRPr="00D26D90">
        <w:rPr>
          <w:vertAlign w:val="subscript"/>
        </w:rPr>
        <w:t>2</w:t>
      </w:r>
      <w:r w:rsidR="001D2AA3">
        <w:t xml:space="preserve"> analyzer and flow</w:t>
      </w:r>
      <w:r>
        <w:t>ing</w:t>
      </w:r>
      <w:r w:rsidR="001D2AA3">
        <w:t xml:space="preserve"> through </w:t>
      </w:r>
      <w:r>
        <w:t xml:space="preserve">calculations and data transformations </w:t>
      </w:r>
      <w:r w:rsidR="001D2AA3">
        <w:t>to final reported measurements.</w:t>
      </w:r>
    </w:p>
    <w:p w14:paraId="5397CF43" w14:textId="319AA130" w:rsidR="0061213D" w:rsidRPr="00D26D90" w:rsidRDefault="001A7673" w:rsidP="00D26D90">
      <w:pPr>
        <w:pStyle w:val="ListParagraph"/>
        <w:numPr>
          <w:ilvl w:val="3"/>
          <w:numId w:val="20"/>
        </w:numPr>
        <w:ind w:left="720"/>
        <w:contextualSpacing w:val="0"/>
      </w:pPr>
      <w:r>
        <w:t>Technical Systems Audit (TSA):  The monitoring agency is encourage</w:t>
      </w:r>
      <w:r w:rsidR="00465376">
        <w:t>d</w:t>
      </w:r>
      <w:r>
        <w:t xml:space="preserve"> to have a member of the QA office perform a TSA annually whereby the QA staff member observes the instrument operator performing calibration, MPV, and/or routine QC checks to ensure the operator follows the prescribed procedures according to this SOP.</w:t>
      </w:r>
    </w:p>
    <w:p w14:paraId="440E686A" w14:textId="58A826AE" w:rsidR="00F249E6" w:rsidRPr="00D26D90" w:rsidRDefault="00F249E6" w:rsidP="00D26D90">
      <w:pPr>
        <w:pStyle w:val="ListParagraph"/>
        <w:numPr>
          <w:ilvl w:val="0"/>
          <w:numId w:val="20"/>
        </w:numPr>
        <w:ind w:left="360"/>
        <w:contextualSpacing w:val="0"/>
        <w:rPr>
          <w:b/>
          <w:bCs/>
        </w:rPr>
      </w:pPr>
      <w:r w:rsidRPr="00D26D90">
        <w:rPr>
          <w:b/>
          <w:bCs/>
        </w:rPr>
        <w:t>Stability of Measurements</w:t>
      </w:r>
    </w:p>
    <w:p w14:paraId="79E425A4" w14:textId="77777777" w:rsidR="005E5D42" w:rsidRDefault="00F249E6" w:rsidP="005E5D42">
      <w:pPr>
        <w:pStyle w:val="ListParagraph"/>
        <w:ind w:left="360"/>
        <w:contextualSpacing w:val="0"/>
      </w:pPr>
      <w:r>
        <w:t>NO</w:t>
      </w:r>
      <w:r w:rsidRPr="00D26D90">
        <w:rPr>
          <w:vertAlign w:val="subscript"/>
        </w:rPr>
        <w:t>2</w:t>
      </w:r>
      <w:r>
        <w:t xml:space="preserve"> measurements for QC purposes (calibration, MPV, span, precision, MDL, and zero) employing true NO</w:t>
      </w:r>
      <w:r w:rsidRPr="00D26D90">
        <w:rPr>
          <w:vertAlign w:val="subscript"/>
        </w:rPr>
        <w:t>2</w:t>
      </w:r>
      <w:r>
        <w:t xml:space="preserve"> analyzers will require the instrument readings to be stable – that an introduced test gas of known concentration shows a consistent measurement </w:t>
      </w:r>
      <w:r>
        <w:lastRenderedPageBreak/>
        <w:t>reading. Such measurement stability will be defined in the monitoring agency governing QAPP or within an appropriate SOP.</w:t>
      </w:r>
    </w:p>
    <w:p w14:paraId="45E0CA1C" w14:textId="24F32550" w:rsidR="00400E98" w:rsidRDefault="005E5D42" w:rsidP="00D26D90">
      <w:pPr>
        <w:pStyle w:val="ListParagraph"/>
        <w:ind w:left="360"/>
        <w:contextualSpacing w:val="0"/>
      </w:pPr>
      <w:r>
        <w:t>In lieu of a specific stability definition, general guidance is that the instrument reading is considered to be stable if there is no general increasing or decreasing trend and the measurements indicate that the 10 most recent one-minute averages are within 1 ppb of the average of the five most recent 1-minute data points. Once stable, the operator may record the next one-minute datapoint or may begin the averaging period (e.g., the average over the next 10 minutes)</w:t>
      </w:r>
      <w:r w:rsidR="00147CCD">
        <w:t>, as defined in the monitoring agency governing QAPP</w:t>
      </w:r>
      <w:r>
        <w:t>.</w:t>
      </w:r>
    </w:p>
    <w:p w14:paraId="48A62844" w14:textId="2262D191" w:rsidR="00254926" w:rsidRPr="00D26D90" w:rsidRDefault="009A0790" w:rsidP="00D26D90">
      <w:pPr>
        <w:pStyle w:val="ListParagraph"/>
        <w:numPr>
          <w:ilvl w:val="0"/>
          <w:numId w:val="20"/>
        </w:numPr>
        <w:ind w:left="360"/>
        <w:rPr>
          <w:b/>
          <w:bCs/>
        </w:rPr>
      </w:pPr>
      <w:r w:rsidRPr="00D26D90">
        <w:rPr>
          <w:b/>
          <w:bCs/>
        </w:rPr>
        <w:t>Method Detection Limit</w:t>
      </w:r>
    </w:p>
    <w:p w14:paraId="4CEA46FC" w14:textId="686B84D4" w:rsidR="00593F7D" w:rsidRDefault="00BF7878" w:rsidP="00593F7D">
      <w:pPr>
        <w:ind w:left="360"/>
      </w:pPr>
      <w:r>
        <w:t>Limitations for determining the MDL for true NO</w:t>
      </w:r>
      <w:r w:rsidRPr="00D26D90">
        <w:rPr>
          <w:vertAlign w:val="subscript"/>
        </w:rPr>
        <w:t>2</w:t>
      </w:r>
      <w:r>
        <w:t xml:space="preserve"> analyzers depend on the ability of monitoring agencies to provide low concentration (e.g., ~ 1 ppb or less) NO</w:t>
      </w:r>
      <w:r w:rsidRPr="00D26D90">
        <w:rPr>
          <w:vertAlign w:val="subscript"/>
        </w:rPr>
        <w:t>2</w:t>
      </w:r>
      <w:r>
        <w:t xml:space="preserve"> gas to the analyzer in order to gauge the measurement precision for low concentration standards approaching, but above, the detection limit. Due to these limitations, experimental determination of the MDL is recommended for agencies with suitable </w:t>
      </w:r>
      <w:proofErr w:type="gramStart"/>
      <w:r>
        <w:t>capability, but</w:t>
      </w:r>
      <w:proofErr w:type="gramEnd"/>
      <w:r>
        <w:t xml:space="preserve"> is not required. </w:t>
      </w:r>
      <w:r w:rsidR="0061213D">
        <w:t>Analyzer manufacturer</w:t>
      </w:r>
      <w:r w:rsidR="00593F7D">
        <w:t>s</w:t>
      </w:r>
      <w:r w:rsidR="0061213D">
        <w:t xml:space="preserve"> typically report a minimum detection level or similar metric in their instrument literature; however, these </w:t>
      </w:r>
      <w:r w:rsidR="00593F7D">
        <w:t xml:space="preserve">concentration </w:t>
      </w:r>
      <w:r w:rsidR="0061213D">
        <w:t xml:space="preserve">values are </w:t>
      </w:r>
      <w:r w:rsidR="00081905">
        <w:t xml:space="preserve">typically </w:t>
      </w:r>
      <w:r w:rsidR="0061213D">
        <w:t>not representative of the real</w:t>
      </w:r>
      <w:r w:rsidR="00EE1859">
        <w:t>-</w:t>
      </w:r>
      <w:r w:rsidR="0061213D">
        <w:t>world instrument operation</w:t>
      </w:r>
      <w:r w:rsidR="00593F7D">
        <w:t xml:space="preserve"> and </w:t>
      </w:r>
      <w:r w:rsidR="00081905">
        <w:t xml:space="preserve">often </w:t>
      </w:r>
      <w:r w:rsidR="00593F7D">
        <w:t xml:space="preserve">underestimate </w:t>
      </w:r>
      <w:r w:rsidR="00EE1859">
        <w:t>concentrations</w:t>
      </w:r>
      <w:r w:rsidR="00593F7D">
        <w:t xml:space="preserve"> </w:t>
      </w:r>
      <w:r w:rsidR="00EE1859">
        <w:t xml:space="preserve">that </w:t>
      </w:r>
      <w:r w:rsidR="00593F7D">
        <w:t xml:space="preserve">can </w:t>
      </w:r>
      <w:r w:rsidR="00EE1859">
        <w:t xml:space="preserve">be </w:t>
      </w:r>
      <w:r w:rsidR="00593F7D">
        <w:t>reliably measure</w:t>
      </w:r>
      <w:r w:rsidR="00EE1859">
        <w:t>d</w:t>
      </w:r>
      <w:r w:rsidR="00593F7D">
        <w:t xml:space="preserve"> in ambient air</w:t>
      </w:r>
      <w:r w:rsidR="0061213D">
        <w:t xml:space="preserve">. Providing </w:t>
      </w:r>
      <w:r w:rsidR="00593F7D">
        <w:t xml:space="preserve">suitably </w:t>
      </w:r>
      <w:r w:rsidR="0061213D">
        <w:t xml:space="preserve">low concentration standards </w:t>
      </w:r>
      <w:r w:rsidR="00593F7D">
        <w:t xml:space="preserve">when </w:t>
      </w:r>
      <w:r w:rsidR="0061213D">
        <w:t xml:space="preserve">employing GPT is not practical, as the ozone generator in most DDCs </w:t>
      </w:r>
      <w:r w:rsidR="00593F7D">
        <w:t>is</w:t>
      </w:r>
      <w:r w:rsidR="0061213D">
        <w:t xml:space="preserve"> unable to reliably or accurately produce </w:t>
      </w:r>
      <w:r w:rsidR="00081905">
        <w:t>an NO</w:t>
      </w:r>
      <w:r w:rsidR="00081905" w:rsidRPr="00F60D38">
        <w:rPr>
          <w:vertAlign w:val="subscript"/>
        </w:rPr>
        <w:t>2</w:t>
      </w:r>
      <w:r w:rsidR="00081905">
        <w:t xml:space="preserve"> concentration </w:t>
      </w:r>
      <w:r w:rsidR="0061213D">
        <w:t xml:space="preserve">below approximately 5 </w:t>
      </w:r>
      <w:r w:rsidR="00593F7D">
        <w:t xml:space="preserve">or 10 </w:t>
      </w:r>
      <w:r w:rsidR="0061213D">
        <w:t>ppb (note that some DDCs with onboard ozone photometers and ozone measurement feedback loops may be able to reliably generate ozone</w:t>
      </w:r>
      <w:r w:rsidR="00081905">
        <w:t>, and therefore NO</w:t>
      </w:r>
      <w:r w:rsidR="00081905" w:rsidRPr="00F60D38">
        <w:rPr>
          <w:vertAlign w:val="subscript"/>
        </w:rPr>
        <w:t>2</w:t>
      </w:r>
      <w:r w:rsidR="00081905">
        <w:t>,</w:t>
      </w:r>
      <w:r w:rsidR="0061213D">
        <w:t xml:space="preserve"> down to approximately 3 ppb)</w:t>
      </w:r>
      <w:r w:rsidR="00593F7D">
        <w:t>. Such concentrations are not sufficiently low to properly gauge the variability of the NO</w:t>
      </w:r>
      <w:r w:rsidR="00593F7D" w:rsidRPr="00D26D90">
        <w:rPr>
          <w:vertAlign w:val="subscript"/>
        </w:rPr>
        <w:t>2</w:t>
      </w:r>
      <w:r w:rsidR="00593F7D">
        <w:t xml:space="preserve"> analyzer measurements</w:t>
      </w:r>
      <w:r w:rsidR="00E215C4">
        <w:t xml:space="preserve"> </w:t>
      </w:r>
      <w:r w:rsidR="00081905">
        <w:t xml:space="preserve">near the MDL </w:t>
      </w:r>
      <w:r w:rsidR="00E215C4">
        <w:t>and generate meaningful MDL data</w:t>
      </w:r>
      <w:r w:rsidR="00593F7D">
        <w:t>. Low concentration standards in the appropriate concentration range are more reliably generated by dilution of gaseous NO</w:t>
      </w:r>
      <w:r w:rsidR="00593F7D" w:rsidRPr="00D26D90">
        <w:rPr>
          <w:vertAlign w:val="subscript"/>
        </w:rPr>
        <w:t>2</w:t>
      </w:r>
      <w:r w:rsidR="00593F7D">
        <w:t xml:space="preserve"> standards, as they are not subject to the limitations of onboard ozone generators. </w:t>
      </w:r>
      <w:r w:rsidR="0015392E">
        <w:t>Monitoring agencies would ideally experimentally determine the NO</w:t>
      </w:r>
      <w:r w:rsidR="0015392E" w:rsidRPr="00D26D90">
        <w:rPr>
          <w:vertAlign w:val="subscript"/>
        </w:rPr>
        <w:t>2</w:t>
      </w:r>
      <w:r w:rsidR="0015392E">
        <w:t xml:space="preserve"> analyzer MDL for each deployed NO</w:t>
      </w:r>
      <w:r w:rsidR="0015392E" w:rsidRPr="00D26D90">
        <w:rPr>
          <w:vertAlign w:val="subscript"/>
        </w:rPr>
        <w:t>2</w:t>
      </w:r>
      <w:r w:rsidR="0015392E">
        <w:t xml:space="preserve"> analyzer; however, agencies employing GPT for standards preparation may not be able to successfully conduct an MDL determination study.</w:t>
      </w:r>
      <w:r w:rsidR="00E215C4">
        <w:t xml:space="preserve"> Furthermore, monitoring agencies employing dilution of compressed NO</w:t>
      </w:r>
      <w:r w:rsidR="00E215C4" w:rsidRPr="00D26D90">
        <w:rPr>
          <w:vertAlign w:val="subscript"/>
        </w:rPr>
        <w:t>2</w:t>
      </w:r>
      <w:r w:rsidR="00E215C4">
        <w:t xml:space="preserve"> gas standards may not possess a DDC with the proper dilution factor range to generate NO</w:t>
      </w:r>
      <w:r w:rsidR="00E215C4" w:rsidRPr="00D26D90">
        <w:rPr>
          <w:vertAlign w:val="subscript"/>
        </w:rPr>
        <w:t>2</w:t>
      </w:r>
      <w:r w:rsidR="00E215C4">
        <w:t xml:space="preserve"> gas with concentrations in the sub-1 ppb range. It is for these reasons that EPA has not required monitoring agencies to determine the MDL for the NO</w:t>
      </w:r>
      <w:r w:rsidR="00E215C4" w:rsidRPr="00D26D90">
        <w:rPr>
          <w:vertAlign w:val="subscript"/>
        </w:rPr>
        <w:t>2</w:t>
      </w:r>
      <w:r w:rsidR="00E215C4">
        <w:t xml:space="preserve"> analyzers as of the publication of this SOP</w:t>
      </w:r>
      <w:r w:rsidR="008B1D62">
        <w:t>;</w:t>
      </w:r>
      <w:r w:rsidR="00E215C4">
        <w:t xml:space="preserve"> therefore</w:t>
      </w:r>
      <w:r w:rsidR="008B1D62">
        <w:t>,</w:t>
      </w:r>
      <w:r w:rsidR="00E215C4">
        <w:t xml:space="preserve"> the </w:t>
      </w:r>
      <w:r w:rsidR="008B1D62">
        <w:t xml:space="preserve">reader is </w:t>
      </w:r>
      <w:r w:rsidR="00E215C4">
        <w:t xml:space="preserve">referred elsewhere </w:t>
      </w:r>
      <w:r w:rsidR="004A2821">
        <w:rPr>
          <w:vertAlign w:val="superscript"/>
        </w:rPr>
        <w:t>1</w:t>
      </w:r>
      <w:r w:rsidR="004A2821">
        <w:t xml:space="preserve"> </w:t>
      </w:r>
      <w:r w:rsidR="00E215C4">
        <w:t>for the MDL procedure.</w:t>
      </w:r>
    </w:p>
    <w:p w14:paraId="5117C81A" w14:textId="55030A2F" w:rsidR="0015392E" w:rsidRDefault="0015392E" w:rsidP="00593F7D">
      <w:pPr>
        <w:ind w:left="360"/>
      </w:pPr>
      <w:r>
        <w:t>Monitoring agencies that are able to produce acceptably low concentration standards should determine the MDL for their true NO</w:t>
      </w:r>
      <w:r w:rsidR="00A11DAC" w:rsidRPr="00D26D90">
        <w:rPr>
          <w:vertAlign w:val="subscript"/>
        </w:rPr>
        <w:t>2</w:t>
      </w:r>
      <w:r>
        <w:t xml:space="preserve"> analyzers</w:t>
      </w:r>
      <w:r w:rsidR="00E215C4">
        <w:t xml:space="preserve"> annually</w:t>
      </w:r>
      <w:r w:rsidR="00A11DAC">
        <w:t xml:space="preserve">, </w:t>
      </w:r>
      <w:r w:rsidRPr="0001557A">
        <w:t>preferably prior to PAMS season. The MDL should be re-determined when changes to the instrument would reasonably expect to affect the sensitivity (such may include replacing a detector lamp, detector, and/or flow cell mirrors, for example).</w:t>
      </w:r>
      <w:r w:rsidR="00E215C4">
        <w:t xml:space="preserve"> Typically, such changes would require recalibration of the analyzer.</w:t>
      </w:r>
    </w:p>
    <w:p w14:paraId="70AA8C61" w14:textId="2E5D8901" w:rsidR="00E215C4" w:rsidRDefault="00E215C4">
      <w:pPr>
        <w:ind w:left="360"/>
      </w:pPr>
      <w:r>
        <w:t>A brief summary of the MDL process follows:</w:t>
      </w:r>
    </w:p>
    <w:p w14:paraId="0AA25E30" w14:textId="775E978F" w:rsidR="0015392E" w:rsidRDefault="00593F7D" w:rsidP="0061213D">
      <w:pPr>
        <w:ind w:left="360"/>
      </w:pPr>
      <w:r>
        <w:lastRenderedPageBreak/>
        <w:t>The MDL for true NO</w:t>
      </w:r>
      <w:r w:rsidRPr="00D26D90">
        <w:rPr>
          <w:vertAlign w:val="subscript"/>
        </w:rPr>
        <w:t>2</w:t>
      </w:r>
      <w:r>
        <w:t xml:space="preserve"> analyzers is determined </w:t>
      </w:r>
      <w:r w:rsidR="000E33A7" w:rsidRPr="0001557A">
        <w:t xml:space="preserve">according to the </w:t>
      </w:r>
      <w:r>
        <w:t xml:space="preserve">Method Update Rule </w:t>
      </w:r>
      <w:r w:rsidR="00465376">
        <w:t>(</w:t>
      </w:r>
      <w:r w:rsidR="000E33A7" w:rsidRPr="00F36A6F">
        <w:t>MUR</w:t>
      </w:r>
      <w:r w:rsidR="00465376" w:rsidRPr="00F36A6F">
        <w:t>)</w:t>
      </w:r>
      <w:r w:rsidR="000E33A7" w:rsidRPr="00F36A6F">
        <w:t xml:space="preserve"> as described in Section 3.3.5.1</w:t>
      </w:r>
      <w:r w:rsidR="005529E0" w:rsidRPr="00F36A6F">
        <w:t xml:space="preserve"> of the PAMS Technical Assistance </w:t>
      </w:r>
      <w:r w:rsidR="004A2821" w:rsidRPr="00F36A6F">
        <w:t>Document</w:t>
      </w:r>
      <w:r w:rsidR="004A2821">
        <w:rPr>
          <w:vertAlign w:val="superscript"/>
        </w:rPr>
        <w:t>1</w:t>
      </w:r>
      <w:r w:rsidR="000E33A7" w:rsidRPr="00F36A6F">
        <w:t xml:space="preserve">, where </w:t>
      </w:r>
      <w:r w:rsidRPr="00F36A6F">
        <w:t>users</w:t>
      </w:r>
      <w:r>
        <w:t xml:space="preserve"> </w:t>
      </w:r>
      <w:r w:rsidR="008B1D62">
        <w:t xml:space="preserve">(1) </w:t>
      </w:r>
      <w:r>
        <w:t xml:space="preserve">measure </w:t>
      </w:r>
      <w:r w:rsidR="0015392E">
        <w:t>zero air to estimate the MDL attributable to background (whether chemical, instrument electronic noise, or instrument drift) in the absence of NO</w:t>
      </w:r>
      <w:r w:rsidR="0015392E" w:rsidRPr="00D26D90">
        <w:rPr>
          <w:vertAlign w:val="subscript"/>
        </w:rPr>
        <w:t>2</w:t>
      </w:r>
      <w:r w:rsidR="0015392E">
        <w:t xml:space="preserve"> and </w:t>
      </w:r>
      <w:r w:rsidR="008B1D62">
        <w:t xml:space="preserve">(2) </w:t>
      </w:r>
      <w:r w:rsidR="0015392E">
        <w:t xml:space="preserve">measure a </w:t>
      </w:r>
      <w:r w:rsidR="000E33A7" w:rsidRPr="0001557A">
        <w:t xml:space="preserve">low concentration </w:t>
      </w:r>
      <w:r w:rsidR="0015392E">
        <w:t>NO</w:t>
      </w:r>
      <w:r w:rsidR="0015392E" w:rsidRPr="00D26D90">
        <w:rPr>
          <w:vertAlign w:val="subscript"/>
        </w:rPr>
        <w:t>2</w:t>
      </w:r>
      <w:r w:rsidR="0015392E">
        <w:t xml:space="preserve"> </w:t>
      </w:r>
      <w:r w:rsidR="000E33A7" w:rsidRPr="0001557A">
        <w:t xml:space="preserve">standard to </w:t>
      </w:r>
      <w:r w:rsidR="0015392E">
        <w:t>characterize</w:t>
      </w:r>
      <w:r w:rsidR="000E33A7" w:rsidRPr="0001557A">
        <w:t xml:space="preserve"> instrument variability</w:t>
      </w:r>
      <w:r w:rsidR="0015392E">
        <w:t xml:space="preserve"> in the presence of a low concentration of NO</w:t>
      </w:r>
      <w:r w:rsidR="0015392E" w:rsidRPr="00D26D90">
        <w:rPr>
          <w:vertAlign w:val="subscript"/>
        </w:rPr>
        <w:t>2</w:t>
      </w:r>
      <w:r w:rsidR="000E33A7" w:rsidRPr="0001557A">
        <w:t>.</w:t>
      </w:r>
      <w:r w:rsidR="00E215C4">
        <w:t xml:space="preserve"> Neither the zero drift nor span are adjusted during the MDL procedure.</w:t>
      </w:r>
    </w:p>
    <w:p w14:paraId="51721B89" w14:textId="1A0BBC64" w:rsidR="00A11DAC" w:rsidRDefault="00A11DAC" w:rsidP="0061213D">
      <w:pPr>
        <w:ind w:left="360"/>
      </w:pPr>
      <w:r>
        <w:t>The monitoring agency will generate low concentration NO</w:t>
      </w:r>
      <w:r w:rsidRPr="00D26D90">
        <w:rPr>
          <w:vertAlign w:val="subscript"/>
        </w:rPr>
        <w:t>2</w:t>
      </w:r>
      <w:r>
        <w:t xml:space="preserve"> standards in the 0.3 to 1.0 ppb range and make discrete measurements covering a stable period of instrument operation, </w:t>
      </w:r>
      <w:r w:rsidR="008B1D62">
        <w:t xml:space="preserve">over </w:t>
      </w:r>
      <w:r>
        <w:t xml:space="preserve">minimally 5 to 20 minutes of measurement (typically the standard is provided for 5 to 10 minutes to allow the analyzer reading to stabilize, then measurements are made for approximately 10 minutes). A minimum of </w:t>
      </w:r>
      <w:r w:rsidR="00465376">
        <w:t xml:space="preserve">seven </w:t>
      </w:r>
      <w:r>
        <w:t>such measurements is required and should be performed over the course of 3 preferably non-consecutive</w:t>
      </w:r>
      <w:r w:rsidR="008B1D62">
        <w:t xml:space="preserve"> days</w:t>
      </w:r>
      <w:r>
        <w:t>. Likewise, for the zeroes/blanks, zero gas is introduced to the NO</w:t>
      </w:r>
      <w:r w:rsidRPr="00D26D90">
        <w:rPr>
          <w:vertAlign w:val="subscript"/>
        </w:rPr>
        <w:t>2</w:t>
      </w:r>
      <w:r>
        <w:t xml:space="preserve"> analyzer and once stable readings are attained, the measurements are recorded for approximately 10 minutes. The average concentration over the measurement period is assigned as the measurement for that “sample.”</w:t>
      </w:r>
    </w:p>
    <w:p w14:paraId="2307F33F" w14:textId="5A849ABA" w:rsidR="0015392E" w:rsidRDefault="00A11DAC" w:rsidP="0061213D">
      <w:pPr>
        <w:ind w:left="360"/>
      </w:pPr>
      <w:r>
        <w:t>These averaged m</w:t>
      </w:r>
      <w:r w:rsidR="0015392E">
        <w:t xml:space="preserve">easured concentrations for the zeroes and low level standards are </w:t>
      </w:r>
      <w:r w:rsidR="000E33A7" w:rsidRPr="0001557A">
        <w:t xml:space="preserve">input into the </w:t>
      </w:r>
      <w:r w:rsidR="0015392E">
        <w:t xml:space="preserve">defined calculations </w:t>
      </w:r>
      <w:r w:rsidR="008B1D62">
        <w:t xml:space="preserve">in the PAMS TAD </w:t>
      </w:r>
      <w:r w:rsidR="000E33A7" w:rsidRPr="0001557A">
        <w:t xml:space="preserve">to establish the lowest concentration that is distinguishable from background with 99% confidence. </w:t>
      </w:r>
    </w:p>
    <w:p w14:paraId="593FE0CB" w14:textId="5E1F8A39" w:rsidR="00C4272B" w:rsidRDefault="00C4272B" w:rsidP="00C4272B">
      <w:pPr>
        <w:pStyle w:val="ListParagraph"/>
        <w:numPr>
          <w:ilvl w:val="0"/>
          <w:numId w:val="20"/>
        </w:numPr>
        <w:ind w:left="360"/>
        <w:contextualSpacing w:val="0"/>
        <w:rPr>
          <w:b/>
          <w:bCs/>
        </w:rPr>
      </w:pPr>
      <w:r w:rsidRPr="00A0702C">
        <w:rPr>
          <w:b/>
          <w:bCs/>
        </w:rPr>
        <w:t>Calibration</w:t>
      </w:r>
      <w:r w:rsidR="00BE5F37">
        <w:rPr>
          <w:b/>
          <w:bCs/>
        </w:rPr>
        <w:t xml:space="preserve"> and Calibration Verification</w:t>
      </w:r>
    </w:p>
    <w:p w14:paraId="4874EF94" w14:textId="2D4BD04B" w:rsidR="00992030" w:rsidRDefault="00504B5F" w:rsidP="00061540">
      <w:pPr>
        <w:pStyle w:val="ListParagraph"/>
        <w:ind w:left="360"/>
        <w:contextualSpacing w:val="0"/>
      </w:pPr>
      <w:r>
        <w:t>The NO</w:t>
      </w:r>
      <w:r w:rsidRPr="00D26D90">
        <w:rPr>
          <w:vertAlign w:val="subscript"/>
        </w:rPr>
        <w:t>2</w:t>
      </w:r>
      <w:r>
        <w:t xml:space="preserve"> analyzer must be calibrated</w:t>
      </w:r>
      <w:r w:rsidR="00992030">
        <w:t xml:space="preserve"> (the instrument response adjusted</w:t>
      </w:r>
      <w:r w:rsidR="00260616">
        <w:t xml:space="preserve"> for zero and span</w:t>
      </w:r>
      <w:r w:rsidR="00992030">
        <w:t>):</w:t>
      </w:r>
    </w:p>
    <w:p w14:paraId="75B38EEF" w14:textId="77777777" w:rsidR="00992030" w:rsidRDefault="00992030" w:rsidP="00D26D90">
      <w:pPr>
        <w:pStyle w:val="ListParagraph"/>
        <w:numPr>
          <w:ilvl w:val="0"/>
          <w:numId w:val="45"/>
        </w:numPr>
      </w:pPr>
      <w:bookmarkStart w:id="2" w:name="_Hlk44537847"/>
      <w:r>
        <w:t>Initially when placed into service</w:t>
      </w:r>
    </w:p>
    <w:p w14:paraId="26D05C42" w14:textId="0B26F14F" w:rsidR="00992030" w:rsidRDefault="009D24FE" w:rsidP="00D26D90">
      <w:pPr>
        <w:pStyle w:val="ListParagraph"/>
        <w:numPr>
          <w:ilvl w:val="0"/>
          <w:numId w:val="45"/>
        </w:numPr>
      </w:pPr>
      <w:r>
        <w:t>Minimally e</w:t>
      </w:r>
      <w:r w:rsidR="00992030">
        <w:t>very 365 days</w:t>
      </w:r>
    </w:p>
    <w:p w14:paraId="5A266132" w14:textId="5CFE382B" w:rsidR="00992030" w:rsidRDefault="00992030" w:rsidP="00D26D90">
      <w:pPr>
        <w:pStyle w:val="ListParagraph"/>
        <w:numPr>
          <w:ilvl w:val="0"/>
          <w:numId w:val="45"/>
        </w:numPr>
      </w:pPr>
      <w:r>
        <w:t>F</w:t>
      </w:r>
      <w:r w:rsidR="00504B5F">
        <w:t xml:space="preserve">ollowing failure of </w:t>
      </w:r>
      <w:r>
        <w:t>span check</w:t>
      </w:r>
      <w:r w:rsidR="008B1D62">
        <w:t xml:space="preserve">, i.e. where the </w:t>
      </w:r>
      <w:r w:rsidR="00D01469">
        <w:t xml:space="preserve">percent difference </w:t>
      </w:r>
      <w:r w:rsidR="008B1D62">
        <w:t xml:space="preserve">in the observed concentration is </w:t>
      </w:r>
      <w:r>
        <w:t>&gt; ±</w:t>
      </w:r>
      <w:r w:rsidR="00260616">
        <w:t>10</w:t>
      </w:r>
      <w:r>
        <w:t>%</w:t>
      </w:r>
      <w:r w:rsidR="00D01469">
        <w:t xml:space="preserve"> from theoretical</w:t>
      </w:r>
    </w:p>
    <w:p w14:paraId="15991EB6" w14:textId="7E07F8C0" w:rsidR="00992030" w:rsidRDefault="00992030" w:rsidP="00D26D90">
      <w:pPr>
        <w:pStyle w:val="ListParagraph"/>
        <w:numPr>
          <w:ilvl w:val="0"/>
          <w:numId w:val="45"/>
        </w:numPr>
      </w:pPr>
      <w:r>
        <w:t>Following zero drift &gt; ±</w:t>
      </w:r>
      <w:r w:rsidR="00C71A8F">
        <w:t xml:space="preserve"> 0.5</w:t>
      </w:r>
      <w:r>
        <w:t xml:space="preserve"> ppb</w:t>
      </w:r>
    </w:p>
    <w:p w14:paraId="5E82C417" w14:textId="1C33B2C5" w:rsidR="00992030" w:rsidRDefault="00992030" w:rsidP="00D26D90">
      <w:pPr>
        <w:pStyle w:val="ListParagraph"/>
        <w:numPr>
          <w:ilvl w:val="0"/>
          <w:numId w:val="45"/>
        </w:numPr>
      </w:pPr>
      <w:r>
        <w:t xml:space="preserve">Following operations interruptions ≥ </w:t>
      </w:r>
      <w:r w:rsidR="00C71A8F">
        <w:t xml:space="preserve">several days (e.g., </w:t>
      </w:r>
      <w:r>
        <w:t>48 hours</w:t>
      </w:r>
      <w:r w:rsidR="00C71A8F">
        <w:t>)</w:t>
      </w:r>
    </w:p>
    <w:p w14:paraId="70597421" w14:textId="3BB28D2A" w:rsidR="00504B5F" w:rsidRDefault="00992030" w:rsidP="00D26D90">
      <w:pPr>
        <w:pStyle w:val="ListParagraph"/>
        <w:numPr>
          <w:ilvl w:val="0"/>
          <w:numId w:val="45"/>
        </w:numPr>
        <w:contextualSpacing w:val="0"/>
      </w:pPr>
      <w:r>
        <w:t xml:space="preserve">Following maintenance of the instrument that would </w:t>
      </w:r>
      <w:r w:rsidR="00504B5F">
        <w:t>be expected to change the instrument response.</w:t>
      </w:r>
    </w:p>
    <w:bookmarkEnd w:id="2"/>
    <w:p w14:paraId="6F801E52" w14:textId="14D376E5" w:rsidR="00923ACC" w:rsidRPr="00D26D90" w:rsidRDefault="00923ACC" w:rsidP="00061540">
      <w:pPr>
        <w:pStyle w:val="ListParagraph"/>
        <w:ind w:left="360"/>
        <w:contextualSpacing w:val="0"/>
        <w:rPr>
          <w:i/>
          <w:iCs/>
        </w:rPr>
      </w:pPr>
      <w:r>
        <w:rPr>
          <w:i/>
          <w:iCs/>
        </w:rPr>
        <w:t xml:space="preserve">Note: Instrument operators should carefully consider timing of calibration and QC check </w:t>
      </w:r>
      <w:proofErr w:type="gramStart"/>
      <w:r>
        <w:rPr>
          <w:i/>
          <w:iCs/>
        </w:rPr>
        <w:t>routines</w:t>
      </w:r>
      <w:proofErr w:type="gramEnd"/>
      <w:r>
        <w:rPr>
          <w:i/>
          <w:iCs/>
        </w:rPr>
        <w:t xml:space="preserve"> so they are not performed during peak NO</w:t>
      </w:r>
      <w:r w:rsidRPr="00D26D90">
        <w:rPr>
          <w:i/>
          <w:iCs/>
          <w:vertAlign w:val="subscript"/>
        </w:rPr>
        <w:t>2</w:t>
      </w:r>
      <w:r>
        <w:rPr>
          <w:i/>
          <w:iCs/>
        </w:rPr>
        <w:t xml:space="preserve"> measurement hours, e.g., during morning or evening commuting periods</w:t>
      </w:r>
      <w:r w:rsidR="008B1D62">
        <w:rPr>
          <w:i/>
          <w:iCs/>
        </w:rPr>
        <w:t xml:space="preserve"> when NO</w:t>
      </w:r>
      <w:r w:rsidR="008B1D62" w:rsidRPr="00F60D38">
        <w:rPr>
          <w:i/>
          <w:iCs/>
          <w:vertAlign w:val="subscript"/>
        </w:rPr>
        <w:t>2</w:t>
      </w:r>
      <w:r w:rsidR="008B1D62">
        <w:rPr>
          <w:i/>
          <w:iCs/>
        </w:rPr>
        <w:t xml:space="preserve"> concentrations are expected to be elevated</w:t>
      </w:r>
      <w:r>
        <w:rPr>
          <w:i/>
          <w:iCs/>
        </w:rPr>
        <w:t xml:space="preserve">. </w:t>
      </w:r>
    </w:p>
    <w:p w14:paraId="360BD445" w14:textId="71CD2A2F" w:rsidR="00D16B64" w:rsidRDefault="00D16B64" w:rsidP="00D26D90">
      <w:pPr>
        <w:pStyle w:val="ListParagraph"/>
        <w:numPr>
          <w:ilvl w:val="3"/>
          <w:numId w:val="20"/>
        </w:numPr>
        <w:ind w:left="720"/>
        <w:contextualSpacing w:val="0"/>
      </w:pPr>
      <w:r>
        <w:t>Pre</w:t>
      </w:r>
      <w:r w:rsidR="00465376">
        <w:t>-</w:t>
      </w:r>
      <w:r>
        <w:t>calibration Activities</w:t>
      </w:r>
    </w:p>
    <w:p w14:paraId="51039955" w14:textId="489F3E44" w:rsidR="003A66E4" w:rsidRDefault="003A66E4" w:rsidP="00D26D90">
      <w:pPr>
        <w:pStyle w:val="ListParagraph"/>
        <w:contextualSpacing w:val="0"/>
      </w:pPr>
      <w:r>
        <w:t>Prior to performing calibration of the NO</w:t>
      </w:r>
      <w:r w:rsidRPr="00D26D90">
        <w:rPr>
          <w:vertAlign w:val="subscript"/>
        </w:rPr>
        <w:t>2</w:t>
      </w:r>
      <w:r>
        <w:t xml:space="preserve"> analyzer, it should be powered on and operating for a minimum of several hours and preferably overnight. Operators should also verify that the NO</w:t>
      </w:r>
      <w:r w:rsidRPr="00D26D90">
        <w:rPr>
          <w:vertAlign w:val="subscript"/>
        </w:rPr>
        <w:t>2</w:t>
      </w:r>
      <w:r>
        <w:t xml:space="preserve"> analyzer does not show alarms or error messages that would impact the calibration process. If the NO</w:t>
      </w:r>
      <w:r w:rsidRPr="00D26D90">
        <w:rPr>
          <w:vertAlign w:val="subscript"/>
        </w:rPr>
        <w:t>2</w:t>
      </w:r>
      <w:r>
        <w:t xml:space="preserve"> analyzer has more than one measurement range (e.g., </w:t>
      </w:r>
      <w:r w:rsidR="009D24FE">
        <w:t>single [0 to 500 ppb] v</w:t>
      </w:r>
      <w:r w:rsidR="00AB3980">
        <w:t>ersu</w:t>
      </w:r>
      <w:r w:rsidR="009D24FE">
        <w:t>s dual [0 to 1000 ppb] range</w:t>
      </w:r>
      <w:r>
        <w:t xml:space="preserve"> as is the case for the T500U)</w:t>
      </w:r>
      <w:r w:rsidR="00BF7878">
        <w:t xml:space="preserve"> the operator must specify the instrument settings for </w:t>
      </w:r>
      <w:r w:rsidR="00BF7878">
        <w:lastRenderedPageBreak/>
        <w:t>the measurement range and this setting be maintained throughout calibration and routine operation</w:t>
      </w:r>
      <w:r w:rsidR="00D065C6">
        <w:t>.</w:t>
      </w:r>
    </w:p>
    <w:p w14:paraId="029FBE51" w14:textId="2489AECC" w:rsidR="00C4272B" w:rsidRDefault="00C4272B" w:rsidP="00D26D90">
      <w:pPr>
        <w:pStyle w:val="ListParagraph"/>
        <w:contextualSpacing w:val="0"/>
      </w:pPr>
      <w:r>
        <w:t>When performing calibration routines and multipoint verification (MPV) routines on the NO</w:t>
      </w:r>
      <w:r w:rsidRPr="00A0702C">
        <w:rPr>
          <w:vertAlign w:val="subscript"/>
        </w:rPr>
        <w:t>2</w:t>
      </w:r>
      <w:r>
        <w:t xml:space="preserve"> analyzer, the instrument should be taken “offline” on the DAS or the </w:t>
      </w:r>
      <w:r w:rsidR="00061540">
        <w:t xml:space="preserve">associated measurement </w:t>
      </w:r>
      <w:r>
        <w:t>data marked as null to ensure the instrument output is not inadvertently reported to AQS</w:t>
      </w:r>
      <w:r w:rsidR="00061540">
        <w:t xml:space="preserve"> as ambient measurement data</w:t>
      </w:r>
      <w:r>
        <w:t>.</w:t>
      </w:r>
    </w:p>
    <w:p w14:paraId="621BCD91" w14:textId="5D80D23C" w:rsidR="00C4272B" w:rsidRDefault="00C4272B" w:rsidP="00D26D90">
      <w:pPr>
        <w:pStyle w:val="ListParagraph"/>
        <w:contextualSpacing w:val="0"/>
      </w:pPr>
      <w:r>
        <w:t>Prior to performing a calibration on the NO</w:t>
      </w:r>
      <w:r w:rsidRPr="00D26D90">
        <w:rPr>
          <w:vertAlign w:val="subscript"/>
        </w:rPr>
        <w:t>2</w:t>
      </w:r>
      <w:r>
        <w:t xml:space="preserve"> analyzer when the instrument is in routine operation, the instrument should be subjected to an instrument performance audit (</w:t>
      </w:r>
      <w:r w:rsidR="00061540">
        <w:t xml:space="preserve">equivalent to the PE described above in Section </w:t>
      </w:r>
      <w:r w:rsidR="009D24FE">
        <w:t>J</w:t>
      </w:r>
      <w:r w:rsidR="00061540">
        <w:t xml:space="preserve"> where </w:t>
      </w:r>
      <w:r>
        <w:t xml:space="preserve">zero and upscale </w:t>
      </w:r>
      <w:r w:rsidR="007B286A">
        <w:t>NO</w:t>
      </w:r>
      <w:r w:rsidR="007B286A" w:rsidRPr="00D26D90">
        <w:rPr>
          <w:vertAlign w:val="subscript"/>
        </w:rPr>
        <w:t>2</w:t>
      </w:r>
      <w:r w:rsidR="007B286A">
        <w:t xml:space="preserve"> concentration </w:t>
      </w:r>
      <w:r>
        <w:t xml:space="preserve">points </w:t>
      </w:r>
      <w:r w:rsidR="00061540">
        <w:t>are introduced to the analyzer)</w:t>
      </w:r>
      <w:r>
        <w:t xml:space="preserve"> to verify NO</w:t>
      </w:r>
      <w:r w:rsidRPr="00D26D90">
        <w:rPr>
          <w:vertAlign w:val="subscript"/>
        </w:rPr>
        <w:t>2</w:t>
      </w:r>
      <w:r>
        <w:t xml:space="preserve"> analyzer performance. Such an independent check should be performed prior to making adjustment to the NO</w:t>
      </w:r>
      <w:r w:rsidRPr="00D26D90">
        <w:rPr>
          <w:vertAlign w:val="subscript"/>
        </w:rPr>
        <w:t>2</w:t>
      </w:r>
      <w:r>
        <w:t xml:space="preserve"> analyzer and is useful in downstream data handling and validation procedures as it brackets measurement data to demonstrate that the NO</w:t>
      </w:r>
      <w:r w:rsidRPr="00D26D90">
        <w:rPr>
          <w:vertAlign w:val="subscript"/>
        </w:rPr>
        <w:t>2</w:t>
      </w:r>
      <w:r>
        <w:t xml:space="preserve"> analyzer calibration and background were within control</w:t>
      </w:r>
      <w:r w:rsidR="009D24FE">
        <w:t xml:space="preserve"> prior to the adjustment</w:t>
      </w:r>
      <w:r>
        <w:t xml:space="preserve">. </w:t>
      </w:r>
    </w:p>
    <w:p w14:paraId="38FAB2D7" w14:textId="77777777" w:rsidR="00D16B64" w:rsidRPr="00A0702C" w:rsidRDefault="00D16B64" w:rsidP="00D16B64">
      <w:pPr>
        <w:pStyle w:val="ListParagraph"/>
        <w:numPr>
          <w:ilvl w:val="3"/>
          <w:numId w:val="20"/>
        </w:numPr>
        <w:ind w:left="720"/>
        <w:contextualSpacing w:val="0"/>
      </w:pPr>
      <w:r>
        <w:t>DDC Setup and Operation</w:t>
      </w:r>
    </w:p>
    <w:p w14:paraId="5D62FCCC" w14:textId="3357525D" w:rsidR="00D16B64" w:rsidRDefault="00D16B64" w:rsidP="00D16B64">
      <w:pPr>
        <w:pStyle w:val="ListParagraph"/>
        <w:contextualSpacing w:val="0"/>
      </w:pPr>
      <w:r>
        <w:t>Configuration</w:t>
      </w:r>
      <w:r w:rsidR="007A682B">
        <w:t>, calibration,</w:t>
      </w:r>
      <w:r>
        <w:t xml:space="preserve"> and operation of the DDC will comply with the monitoring agency SOP for DDC operation. MFCs in the DDC will have been flow calibrated within the previous year and flow calibrations will have been verified within the previous </w:t>
      </w:r>
      <w:r w:rsidR="007A682B">
        <w:t>three</w:t>
      </w:r>
      <w:r>
        <w:t xml:space="preserve"> months (calendar quarter)</w:t>
      </w:r>
      <w:r w:rsidR="007A682B">
        <w:t xml:space="preserve"> against a NIST-traceable flow transfer standard</w:t>
      </w:r>
      <w:r w:rsidR="006B5F69">
        <w:t>.  F</w:t>
      </w:r>
      <w:r w:rsidR="007A682B">
        <w:t>low</w:t>
      </w:r>
      <w:r w:rsidR="006B5F69">
        <w:t xml:space="preserve"> rates in the DDC must be </w:t>
      </w:r>
      <w:r w:rsidR="007A682B">
        <w:t xml:space="preserve">shown to be within ±2% of the flow </w:t>
      </w:r>
      <w:r w:rsidR="006B5F69">
        <w:t xml:space="preserve">transfer </w:t>
      </w:r>
      <w:r w:rsidR="007A682B">
        <w:t>standard</w:t>
      </w:r>
      <w:r>
        <w:t>. MFCs in the DDC should be operated within 10 to 90% of the full-scale flow range to ensure stable and consistent gas metering. Instrument operators should ensure that at all times the NO</w:t>
      </w:r>
      <w:r w:rsidRPr="00A0702C">
        <w:rPr>
          <w:vertAlign w:val="subscript"/>
        </w:rPr>
        <w:t>2</w:t>
      </w:r>
      <w:r>
        <w:t xml:space="preserve"> analyzer flow demand </w:t>
      </w:r>
      <w:r w:rsidR="009D24FE">
        <w:t>is</w:t>
      </w:r>
      <w:r>
        <w:t xml:space="preserve"> exceeded and the excess flow vented to atmosphere to ensure the NO</w:t>
      </w:r>
      <w:r w:rsidRPr="00A0702C">
        <w:rPr>
          <w:vertAlign w:val="subscript"/>
        </w:rPr>
        <w:t>2</w:t>
      </w:r>
      <w:r>
        <w:t xml:space="preserve"> analyzer experiences the test gases at ambient pressure and do not experience an over pressure or vacuum condition</w:t>
      </w:r>
      <w:r w:rsidR="009D24FE">
        <w:t xml:space="preserve"> (refer to instrument manual for vent requirements)</w:t>
      </w:r>
      <w:r>
        <w:t>.</w:t>
      </w:r>
    </w:p>
    <w:p w14:paraId="04ABBBA6" w14:textId="7A857EA3" w:rsidR="00D16B64" w:rsidRDefault="00D16B64" w:rsidP="00D16B64">
      <w:pPr>
        <w:pStyle w:val="ListParagraph"/>
        <w:contextualSpacing w:val="0"/>
      </w:pPr>
      <w:r>
        <w:t>The DDC should be connected to the NO</w:t>
      </w:r>
      <w:r w:rsidRPr="00D26D90">
        <w:rPr>
          <w:vertAlign w:val="subscript"/>
        </w:rPr>
        <w:t>2</w:t>
      </w:r>
      <w:r>
        <w:t xml:space="preserve"> analyzer through the same inlet as the ambient (sample) air and should also be routed through the particulate filter</w:t>
      </w:r>
      <w:r w:rsidR="009D24FE">
        <w:t>(s)</w:t>
      </w:r>
      <w:r>
        <w:t xml:space="preserve"> to account for any scrubbing or bias imparted by the filter. Ideally, the DDC output would be plumbed into the inlet probe to calibrate and verify calibration of the NO</w:t>
      </w:r>
      <w:r w:rsidRPr="00D26D90">
        <w:rPr>
          <w:vertAlign w:val="subscript"/>
        </w:rPr>
        <w:t>2</w:t>
      </w:r>
      <w:r>
        <w:t xml:space="preserve"> analyzer by introducing gas through the entire sampling flow path (this is also referred to as </w:t>
      </w:r>
      <w:r w:rsidR="006B5F69">
        <w:t xml:space="preserve">sample introduction </w:t>
      </w:r>
      <w:r>
        <w:t>through the probe [TTP]).</w:t>
      </w:r>
    </w:p>
    <w:p w14:paraId="4B4A851A" w14:textId="77777777" w:rsidR="00D16B64" w:rsidRDefault="00D16B64" w:rsidP="00D16B64">
      <w:pPr>
        <w:pStyle w:val="ListParagraph"/>
        <w:contextualSpacing w:val="0"/>
      </w:pPr>
      <w:r>
        <w:t xml:space="preserve">The following are general instructions for instrument operator consideration. </w:t>
      </w:r>
    </w:p>
    <w:p w14:paraId="6AF4A9D8" w14:textId="77777777" w:rsidR="00D16B64" w:rsidRDefault="00D16B64" w:rsidP="00D16B64">
      <w:pPr>
        <w:pStyle w:val="ListParagraph"/>
        <w:numPr>
          <w:ilvl w:val="0"/>
          <w:numId w:val="33"/>
        </w:numPr>
        <w:ind w:left="1080" w:hanging="187"/>
        <w:contextualSpacing w:val="0"/>
      </w:pPr>
      <w:r>
        <w:t>Regulator Connection and Purging</w:t>
      </w:r>
    </w:p>
    <w:p w14:paraId="04E12053" w14:textId="469ACAF9" w:rsidR="00D16B64" w:rsidRDefault="00D16B64" w:rsidP="00D26D90">
      <w:pPr>
        <w:pStyle w:val="ListParagraph"/>
        <w:ind w:left="1080"/>
        <w:contextualSpacing w:val="0"/>
      </w:pPr>
      <w:r>
        <w:t>Regulators installed on the NO or NO</w:t>
      </w:r>
      <w:r w:rsidRPr="00A0702C">
        <w:rPr>
          <w:vertAlign w:val="subscript"/>
        </w:rPr>
        <w:t>2</w:t>
      </w:r>
      <w:r>
        <w:t xml:space="preserve"> standard cylinder must be purged prior to connection to the </w:t>
      </w:r>
      <w:r w:rsidR="009D24FE">
        <w:t>DDC</w:t>
      </w:r>
      <w:r>
        <w:t xml:space="preserve"> inlet to remove ambient air entrained in the regulator and inlet lines. Proper purging and cylinder hygiene </w:t>
      </w:r>
      <w:r w:rsidR="009D24FE">
        <w:t>are</w:t>
      </w:r>
      <w:r>
        <w:t xml:space="preserve"> critical in preventing backflow of ambient air and other contaminants into the standard cylinder. The following steps will ensure proper regulator purging (refer to Figure </w:t>
      </w:r>
      <w:r w:rsidR="009D24FE">
        <w:t>1</w:t>
      </w:r>
      <w:r>
        <w:t xml:space="preserve">): </w:t>
      </w:r>
    </w:p>
    <w:p w14:paraId="4BA1B684" w14:textId="77777777" w:rsidR="00D16B64" w:rsidRDefault="00D16B64" w:rsidP="00D16B64">
      <w:pPr>
        <w:pStyle w:val="ListParagraph"/>
        <w:ind w:left="0"/>
        <w:contextualSpacing w:val="0"/>
        <w:jc w:val="center"/>
      </w:pPr>
      <w:r>
        <w:rPr>
          <w:noProof/>
        </w:rPr>
        <w:lastRenderedPageBreak/>
        <w:drawing>
          <wp:inline distT="0" distB="0" distL="0" distR="0" wp14:anchorId="3BC490C8" wp14:editId="13EABC88">
            <wp:extent cx="3273552" cy="2523744"/>
            <wp:effectExtent l="0" t="0" r="3175" b="0"/>
            <wp:docPr id="1" name="Picture 1" descr="The top of a high pressure gas cylinder is shown with a regulator connected. The components of the cylinder valve and regulator are labe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top of a high pressure gas cylinder is shown with a regulator connected. The components of the cylinder valve and regulator are label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3273552" cy="2523744"/>
                    </a:xfrm>
                    <a:prstGeom prst="rect">
                      <a:avLst/>
                    </a:prstGeom>
                    <a:noFill/>
                    <a:ln>
                      <a:noFill/>
                    </a:ln>
                    <a:extLst>
                      <a:ext uri="{53640926-AAD7-44D8-BBD7-CCE9431645EC}">
                        <a14:shadowObscured xmlns:a14="http://schemas.microsoft.com/office/drawing/2010/main"/>
                      </a:ext>
                    </a:extLst>
                  </pic:spPr>
                </pic:pic>
              </a:graphicData>
            </a:graphic>
          </wp:inline>
        </w:drawing>
      </w:r>
    </w:p>
    <w:p w14:paraId="15E3BFCC" w14:textId="6AB5B524" w:rsidR="00D16B64" w:rsidRPr="00A0702C" w:rsidRDefault="00D16B64" w:rsidP="00D16B64">
      <w:pPr>
        <w:pStyle w:val="ListParagraph"/>
        <w:ind w:left="0"/>
        <w:contextualSpacing w:val="0"/>
        <w:jc w:val="center"/>
        <w:rPr>
          <w:b/>
          <w:bCs/>
        </w:rPr>
      </w:pPr>
      <w:r>
        <w:rPr>
          <w:b/>
          <w:bCs/>
        </w:rPr>
        <w:t xml:space="preserve">Figure </w:t>
      </w:r>
      <w:r w:rsidR="009D24FE">
        <w:rPr>
          <w:b/>
          <w:bCs/>
        </w:rPr>
        <w:t>1</w:t>
      </w:r>
      <w:r>
        <w:rPr>
          <w:b/>
          <w:bCs/>
        </w:rPr>
        <w:t>. Cylinder and Regulator</w:t>
      </w:r>
      <w:r w:rsidR="009D24FE">
        <w:rPr>
          <w:b/>
          <w:bCs/>
        </w:rPr>
        <w:t xml:space="preserve"> Components</w:t>
      </w:r>
    </w:p>
    <w:p w14:paraId="5D41A06B" w14:textId="77777777" w:rsidR="00D16B64" w:rsidRDefault="00D16B64" w:rsidP="00D16B64">
      <w:pPr>
        <w:pStyle w:val="ListParagraph"/>
        <w:numPr>
          <w:ilvl w:val="0"/>
          <w:numId w:val="44"/>
        </w:numPr>
        <w:ind w:left="1440"/>
        <w:contextualSpacing w:val="0"/>
      </w:pPr>
      <w:r>
        <w:t>Connect a vent line to the regulator outlet connection to ensure the vented gas is exhausted outside the monitoring shelter.</w:t>
      </w:r>
    </w:p>
    <w:p w14:paraId="39B40243" w14:textId="77777777" w:rsidR="00D16B64" w:rsidRDefault="00D16B64" w:rsidP="00D16B64">
      <w:pPr>
        <w:pStyle w:val="ListParagraph"/>
        <w:numPr>
          <w:ilvl w:val="0"/>
          <w:numId w:val="44"/>
        </w:numPr>
        <w:ind w:left="1440"/>
        <w:contextualSpacing w:val="0"/>
      </w:pPr>
      <w:r>
        <w:t>Ensure the regulator outlet valve and cylinder valve are closed.</w:t>
      </w:r>
    </w:p>
    <w:p w14:paraId="49C79291" w14:textId="77777777" w:rsidR="00D16B64" w:rsidRDefault="00D16B64" w:rsidP="00D16B64">
      <w:pPr>
        <w:pStyle w:val="ListParagraph"/>
        <w:numPr>
          <w:ilvl w:val="0"/>
          <w:numId w:val="44"/>
        </w:numPr>
        <w:ind w:left="1440"/>
        <w:contextualSpacing w:val="0"/>
      </w:pPr>
      <w:r>
        <w:t>Attach the regulator to the cylinder valve and hand tighten the regulator inlet fitting.</w:t>
      </w:r>
    </w:p>
    <w:p w14:paraId="084E906F" w14:textId="77777777" w:rsidR="00D16B64" w:rsidRDefault="00D16B64" w:rsidP="00D16B64">
      <w:pPr>
        <w:pStyle w:val="ListParagraph"/>
        <w:numPr>
          <w:ilvl w:val="0"/>
          <w:numId w:val="44"/>
        </w:numPr>
        <w:ind w:left="1440"/>
        <w:contextualSpacing w:val="0"/>
      </w:pPr>
      <w:r>
        <w:t>Securely tighten the regulator inlet fitting connection with a wrench.</w:t>
      </w:r>
    </w:p>
    <w:p w14:paraId="490797F0" w14:textId="7A1508A5" w:rsidR="00D16B64" w:rsidRDefault="00D16B64" w:rsidP="00D16B64">
      <w:pPr>
        <w:pStyle w:val="ListParagraph"/>
        <w:numPr>
          <w:ilvl w:val="0"/>
          <w:numId w:val="44"/>
        </w:numPr>
        <w:ind w:left="1440"/>
        <w:contextualSpacing w:val="0"/>
      </w:pPr>
      <w:r>
        <w:t xml:space="preserve">Turn the pressure adjusting knob </w:t>
      </w:r>
      <w:r w:rsidR="006B5F69">
        <w:t xml:space="preserve">(typically counterclockwise) </w:t>
      </w:r>
      <w:r>
        <w:t>to minimize output pressure until the knob turns freely.</w:t>
      </w:r>
    </w:p>
    <w:p w14:paraId="435CB312" w14:textId="77777777" w:rsidR="00D16B64" w:rsidRDefault="00D16B64" w:rsidP="00D16B64">
      <w:pPr>
        <w:pStyle w:val="ListParagraph"/>
        <w:numPr>
          <w:ilvl w:val="0"/>
          <w:numId w:val="44"/>
        </w:numPr>
        <w:ind w:left="1440"/>
        <w:contextualSpacing w:val="0"/>
      </w:pPr>
      <w:r>
        <w:t>Fully open the regulator outlet valve.</w:t>
      </w:r>
    </w:p>
    <w:p w14:paraId="564E8E0F" w14:textId="5C18A328" w:rsidR="00D16B64" w:rsidRDefault="00D16B64" w:rsidP="00D16B64">
      <w:pPr>
        <w:pStyle w:val="ListParagraph"/>
        <w:numPr>
          <w:ilvl w:val="0"/>
          <w:numId w:val="44"/>
        </w:numPr>
        <w:ind w:left="1440"/>
        <w:contextualSpacing w:val="0"/>
      </w:pPr>
      <w:r>
        <w:t xml:space="preserve">Slowly open the cylinder valve (gas will </w:t>
      </w:r>
      <w:r w:rsidR="009D24FE">
        <w:t>rush</w:t>
      </w:r>
      <w:r>
        <w:t xml:space="preserve"> from the regulator) and quickly close the cylinder valve.</w:t>
      </w:r>
    </w:p>
    <w:p w14:paraId="1EACAB18" w14:textId="77777777" w:rsidR="00D16B64" w:rsidRDefault="00D16B64" w:rsidP="00D16B64">
      <w:pPr>
        <w:pStyle w:val="ListParagraph"/>
        <w:numPr>
          <w:ilvl w:val="0"/>
          <w:numId w:val="44"/>
        </w:numPr>
        <w:ind w:left="1440"/>
        <w:contextualSpacing w:val="0"/>
      </w:pPr>
      <w:r>
        <w:t>Close the regulator outlet valve.</w:t>
      </w:r>
    </w:p>
    <w:p w14:paraId="612C82CC" w14:textId="77777777" w:rsidR="00D16B64" w:rsidRDefault="00D16B64" w:rsidP="00D16B64">
      <w:pPr>
        <w:pStyle w:val="ListParagraph"/>
        <w:numPr>
          <w:ilvl w:val="0"/>
          <w:numId w:val="44"/>
        </w:numPr>
        <w:ind w:left="1440"/>
        <w:contextualSpacing w:val="0"/>
      </w:pPr>
      <w:r>
        <w:t>Wait 1 minute to allow cylinder gas to passivate the interior wetted surfaces of the regulator.</w:t>
      </w:r>
    </w:p>
    <w:p w14:paraId="03A2A61A" w14:textId="3AE15EA6" w:rsidR="00D16B64" w:rsidRDefault="00D16B64" w:rsidP="00D16B64">
      <w:pPr>
        <w:pStyle w:val="ListParagraph"/>
        <w:numPr>
          <w:ilvl w:val="0"/>
          <w:numId w:val="44"/>
        </w:numPr>
        <w:ind w:left="1440"/>
        <w:contextualSpacing w:val="0"/>
      </w:pPr>
      <w:r>
        <w:t xml:space="preserve">Repeat </w:t>
      </w:r>
      <w:r w:rsidR="00AB3980">
        <w:t xml:space="preserve">Steps </w:t>
      </w:r>
      <w:r>
        <w:t>6 through 9 two more times.</w:t>
      </w:r>
    </w:p>
    <w:p w14:paraId="11CAECB2" w14:textId="447CDB2F" w:rsidR="00D16B64" w:rsidRDefault="00D16B64" w:rsidP="00D16B64">
      <w:pPr>
        <w:pStyle w:val="ListParagraph"/>
        <w:numPr>
          <w:ilvl w:val="0"/>
          <w:numId w:val="33"/>
        </w:numPr>
        <w:ind w:left="1080"/>
        <w:contextualSpacing w:val="0"/>
      </w:pPr>
      <w:r>
        <w:t>Gas Connections to DDC</w:t>
      </w:r>
    </w:p>
    <w:p w14:paraId="30E71373" w14:textId="3D33C072" w:rsidR="00D16B64" w:rsidRDefault="00D16B64" w:rsidP="00D16B64">
      <w:pPr>
        <w:pStyle w:val="ListParagraph"/>
        <w:ind w:left="1094"/>
        <w:contextualSpacing w:val="0"/>
      </w:pPr>
      <w:r>
        <w:t xml:space="preserve">Consult the DDC operation manual for the correct inlet pressure range for the standard and diluent gases (DDCs typically require inlet gas pressures of approximately </w:t>
      </w:r>
      <w:r w:rsidRPr="00FA3C4B">
        <w:t xml:space="preserve">25 </w:t>
      </w:r>
      <w:r>
        <w:t>to</w:t>
      </w:r>
      <w:r w:rsidRPr="00FA3C4B">
        <w:t xml:space="preserve"> 35 </w:t>
      </w:r>
      <w:r w:rsidR="00AB3980">
        <w:t>pounds per square inch [</w:t>
      </w:r>
      <w:r w:rsidRPr="00A0702C">
        <w:t>psi</w:t>
      </w:r>
      <w:r w:rsidR="00AB3980">
        <w:t>]</w:t>
      </w:r>
      <w:r>
        <w:t>).</w:t>
      </w:r>
    </w:p>
    <w:p w14:paraId="2BE1F1C1" w14:textId="2AD980C9" w:rsidR="00D16B64" w:rsidRDefault="00D16B64" w:rsidP="00D16B64">
      <w:pPr>
        <w:pStyle w:val="ListParagraph"/>
        <w:numPr>
          <w:ilvl w:val="0"/>
          <w:numId w:val="43"/>
        </w:numPr>
        <w:contextualSpacing w:val="0"/>
      </w:pPr>
      <w:r>
        <w:t>Standard gas cylinder:  After the regulator and transfer lines have been purged, connect the standard gas line (either NO or NO</w:t>
      </w:r>
      <w:r w:rsidRPr="00A0702C">
        <w:rPr>
          <w:vertAlign w:val="subscript"/>
        </w:rPr>
        <w:t>2</w:t>
      </w:r>
      <w:r>
        <w:t>) to the appropriate standard gas inlet on the DDC. Connection of the standard gas to the DDC should be with appropriately pressure-rated PTFE, PFA, or FEP Teflon</w:t>
      </w:r>
      <w:r w:rsidRPr="00A0702C">
        <w:rPr>
          <w:vertAlign w:val="superscript"/>
        </w:rPr>
        <w:t>®</w:t>
      </w:r>
      <w:r>
        <w:t xml:space="preserve"> tubing of appropriate OD. </w:t>
      </w:r>
      <w:r w:rsidR="00BF7878">
        <w:t>Use of other materials such as copper, rubber, brass, etc. is not acceptable.</w:t>
      </w:r>
    </w:p>
    <w:p w14:paraId="16043DD3" w14:textId="77777777" w:rsidR="00D16B64" w:rsidRDefault="00D16B64" w:rsidP="00D16B64">
      <w:pPr>
        <w:pStyle w:val="ListParagraph"/>
        <w:numPr>
          <w:ilvl w:val="0"/>
          <w:numId w:val="43"/>
        </w:numPr>
        <w:contextualSpacing w:val="0"/>
      </w:pPr>
      <w:r>
        <w:lastRenderedPageBreak/>
        <w:t>Zero air supply:  Connect the zero air supply to the diluent gas inlet on the DDC using appropriately pressure-rated tubing. Tubing can consist of chromatographic grade stainless steel or PTFE, PFA, or FEP Teflon</w:t>
      </w:r>
      <w:r w:rsidRPr="00A0702C">
        <w:rPr>
          <w:vertAlign w:val="superscript"/>
        </w:rPr>
        <w:t>®</w:t>
      </w:r>
      <w:r>
        <w:t xml:space="preserve">. </w:t>
      </w:r>
    </w:p>
    <w:p w14:paraId="3CF9A46E" w14:textId="77777777" w:rsidR="00C4272B" w:rsidRDefault="00C4272B" w:rsidP="00C4272B">
      <w:pPr>
        <w:pStyle w:val="ListParagraph"/>
        <w:numPr>
          <w:ilvl w:val="3"/>
          <w:numId w:val="20"/>
        </w:numPr>
        <w:ind w:left="720"/>
      </w:pPr>
      <w:r>
        <w:t xml:space="preserve">Generation of </w:t>
      </w:r>
      <w:r w:rsidRPr="00A0702C">
        <w:t>NO</w:t>
      </w:r>
      <w:r w:rsidRPr="00A0702C">
        <w:rPr>
          <w:vertAlign w:val="subscript"/>
        </w:rPr>
        <w:t xml:space="preserve">2 </w:t>
      </w:r>
      <w:r w:rsidRPr="00A0702C">
        <w:t>Standard Gas</w:t>
      </w:r>
    </w:p>
    <w:p w14:paraId="5025F51D" w14:textId="039C3B0B" w:rsidR="00C4272B" w:rsidRDefault="00C4272B" w:rsidP="00D26D90">
      <w:pPr>
        <w:ind w:left="720"/>
      </w:pPr>
      <w:r>
        <w:t xml:space="preserve">Calibration of the </w:t>
      </w:r>
      <w:r w:rsidR="009D31C3">
        <w:t>NO</w:t>
      </w:r>
      <w:r w:rsidR="009D31C3" w:rsidRPr="00D26D90">
        <w:rPr>
          <w:vertAlign w:val="subscript"/>
        </w:rPr>
        <w:t>2</w:t>
      </w:r>
      <w:r w:rsidR="009D31C3">
        <w:t xml:space="preserve"> </w:t>
      </w:r>
      <w:r>
        <w:t>analyzer involves standardizing the response of the analyzer by introduction of a known co</w:t>
      </w:r>
      <w:r w:rsidRPr="00B327AA">
        <w:t>ncentration of NO</w:t>
      </w:r>
      <w:r w:rsidRPr="00B327AA">
        <w:rPr>
          <w:vertAlign w:val="subscript"/>
        </w:rPr>
        <w:t>2</w:t>
      </w:r>
      <w:r w:rsidRPr="00B327AA">
        <w:t xml:space="preserve"> and a zero</w:t>
      </w:r>
      <w:r w:rsidR="00715FF1">
        <w:t xml:space="preserve"> air point</w:t>
      </w:r>
      <w:r w:rsidRPr="00B327AA">
        <w:t>. As discussed previously</w:t>
      </w:r>
      <w:r w:rsidR="00B327AA" w:rsidRPr="00B327AA">
        <w:t xml:space="preserve"> in Section B</w:t>
      </w:r>
      <w:r w:rsidRPr="00B327AA">
        <w:t>, standard</w:t>
      </w:r>
      <w:r>
        <w:t xml:space="preserve"> gases can be generated either by dilution of an</w:t>
      </w:r>
      <w:r w:rsidRPr="0048454F">
        <w:t xml:space="preserve"> </w:t>
      </w:r>
      <w:r>
        <w:t>NO</w:t>
      </w:r>
      <w:r w:rsidRPr="00E6556B">
        <w:rPr>
          <w:vertAlign w:val="subscript"/>
        </w:rPr>
        <w:t>2</w:t>
      </w:r>
      <w:r>
        <w:rPr>
          <w:vertAlign w:val="subscript"/>
        </w:rPr>
        <w:t xml:space="preserve"> </w:t>
      </w:r>
      <w:r>
        <w:t xml:space="preserve">standard gas supplied in a high-pressure cylinder or by generation of standards by GPT of ozone with NO. </w:t>
      </w:r>
    </w:p>
    <w:p w14:paraId="5B393B9D" w14:textId="29EB8F23" w:rsidR="00C4272B" w:rsidRDefault="00C4272B" w:rsidP="00D26D90">
      <w:pPr>
        <w:ind w:left="720"/>
      </w:pPr>
      <w:r>
        <w:t>While both methods to generate NO</w:t>
      </w:r>
      <w:r w:rsidRPr="00E6556B">
        <w:rPr>
          <w:vertAlign w:val="subscript"/>
        </w:rPr>
        <w:t>2</w:t>
      </w:r>
      <w:r>
        <w:t xml:space="preserve"> calibration standards are acceptable, dilution of</w:t>
      </w:r>
      <w:r w:rsidRPr="0048454F">
        <w:t xml:space="preserve"> </w:t>
      </w:r>
      <w:r>
        <w:t>NO</w:t>
      </w:r>
      <w:r w:rsidRPr="00E6556B">
        <w:rPr>
          <w:vertAlign w:val="subscript"/>
        </w:rPr>
        <w:t>2</w:t>
      </w:r>
      <w:r>
        <w:rPr>
          <w:vertAlign w:val="subscript"/>
        </w:rPr>
        <w:t xml:space="preserve"> </w:t>
      </w:r>
      <w:r>
        <w:t>from a cylinder requires specific equipment configurations and procedures to ensure quantitative transfer of NO</w:t>
      </w:r>
      <w:r w:rsidRPr="00A0702C">
        <w:rPr>
          <w:vertAlign w:val="subscript"/>
        </w:rPr>
        <w:t>2</w:t>
      </w:r>
      <w:r>
        <w:t xml:space="preserve"> to the NO</w:t>
      </w:r>
      <w:r w:rsidRPr="00A0702C">
        <w:rPr>
          <w:vertAlign w:val="subscript"/>
        </w:rPr>
        <w:t>2</w:t>
      </w:r>
      <w:r>
        <w:t xml:space="preserve"> analyzer, generally requiring longer passivation and equilibration times. GPT, by contrast, is more complicated from a procedural standpoint, requiring gas metering, gas generation (production of ozone), and gas mixing; however, </w:t>
      </w:r>
      <w:r w:rsidR="00AB3980">
        <w:t xml:space="preserve">it </w:t>
      </w:r>
      <w:r>
        <w:t>does not typically exhibit extended passivation times observed when diluting NO</w:t>
      </w:r>
      <w:r w:rsidRPr="00A0702C">
        <w:rPr>
          <w:vertAlign w:val="subscript"/>
        </w:rPr>
        <w:t>2</w:t>
      </w:r>
      <w:r>
        <w:t xml:space="preserve"> gases from high pressure cylinders. </w:t>
      </w:r>
    </w:p>
    <w:p w14:paraId="3DB0ED52" w14:textId="77777777" w:rsidR="00C4272B" w:rsidRDefault="00C4272B" w:rsidP="00D26D90">
      <w:pPr>
        <w:ind w:left="720"/>
      </w:pPr>
      <w:r>
        <w:t xml:space="preserve">A detailed overview of each option is described below. </w:t>
      </w:r>
    </w:p>
    <w:p w14:paraId="1158B2C8" w14:textId="317909EA" w:rsidR="00C4272B" w:rsidRDefault="00C4272B" w:rsidP="00D26D90">
      <w:pPr>
        <w:pStyle w:val="ListParagraph"/>
        <w:numPr>
          <w:ilvl w:val="1"/>
          <w:numId w:val="24"/>
        </w:numPr>
        <w:tabs>
          <w:tab w:val="left" w:pos="720"/>
        </w:tabs>
        <w:ind w:left="1080"/>
        <w:contextualSpacing w:val="0"/>
      </w:pPr>
      <w:r>
        <w:t>Dilution of an NO</w:t>
      </w:r>
      <w:r w:rsidRPr="007B286A">
        <w:rPr>
          <w:vertAlign w:val="subscript"/>
        </w:rPr>
        <w:t xml:space="preserve">2 </w:t>
      </w:r>
      <w:r>
        <w:t>Standard Gas Cylinder</w:t>
      </w:r>
    </w:p>
    <w:p w14:paraId="3A3BC497" w14:textId="37FF7CD9" w:rsidR="00C4272B" w:rsidRDefault="00C4272B" w:rsidP="00D26D90">
      <w:pPr>
        <w:pStyle w:val="ListParagraph"/>
        <w:ind w:left="1080"/>
        <w:contextualSpacing w:val="0"/>
      </w:pPr>
      <w:r>
        <w:t>Passivation time for diluting NO</w:t>
      </w:r>
      <w:r w:rsidRPr="00E6556B">
        <w:rPr>
          <w:vertAlign w:val="subscript"/>
        </w:rPr>
        <w:t>2</w:t>
      </w:r>
      <w:r>
        <w:t xml:space="preserve"> </w:t>
      </w:r>
      <w:r w:rsidR="009D31C3">
        <w:t xml:space="preserve">standard gas </w:t>
      </w:r>
      <w:r>
        <w:t xml:space="preserve">from a high-pressure cylinder tends to be longer than when generating standards by GPT. Minimizing passivation time can be achieved by ensuring the connecting tubing from the standard cylinder to the DDC is as short as </w:t>
      </w:r>
      <w:r w:rsidR="006B5F69">
        <w:t xml:space="preserve">possible </w:t>
      </w:r>
      <w:r>
        <w:t>and of small internal diameter (1/4</w:t>
      </w:r>
      <w:r w:rsidR="00AB3980">
        <w:t xml:space="preserve">-inch </w:t>
      </w:r>
      <w:r>
        <w:t xml:space="preserve">OD PTFE tubing is </w:t>
      </w:r>
      <w:r w:rsidR="00B327AA">
        <w:t>commonly available</w:t>
      </w:r>
      <w:r>
        <w:t xml:space="preserve"> with IDs from 3/16</w:t>
      </w:r>
      <w:r w:rsidR="00AB3980">
        <w:t xml:space="preserve"> inch </w:t>
      </w:r>
      <w:r>
        <w:t>down to 1/8</w:t>
      </w:r>
      <w:r w:rsidR="00AB3980">
        <w:t xml:space="preserve"> inch).</w:t>
      </w:r>
    </w:p>
    <w:p w14:paraId="4D3851D2" w14:textId="5A98D138" w:rsidR="00C4272B" w:rsidRPr="00B327AA" w:rsidRDefault="00C4272B" w:rsidP="00D26D90">
      <w:pPr>
        <w:pStyle w:val="ListParagraph"/>
        <w:ind w:left="1080"/>
        <w:contextualSpacing w:val="0"/>
      </w:pPr>
      <w:r>
        <w:t>NO</w:t>
      </w:r>
      <w:r w:rsidRPr="00D26D90">
        <w:rPr>
          <w:vertAlign w:val="subscript"/>
        </w:rPr>
        <w:t>2</w:t>
      </w:r>
      <w:r>
        <w:t xml:space="preserve"> is a “sticky” gas that adsorbs to the interior walls of the gas delivery flow path, and th</w:t>
      </w:r>
      <w:r w:rsidR="00B327AA">
        <w:t>is may</w:t>
      </w:r>
      <w:r>
        <w:t xml:space="preserve"> result in a slow instrument response for each </w:t>
      </w:r>
      <w:r w:rsidR="00B327AA">
        <w:t>generated calibration, span, or MPV concentration</w:t>
      </w:r>
      <w:r>
        <w:t xml:space="preserve"> point. The </w:t>
      </w:r>
      <w:r w:rsidR="00B327AA">
        <w:t>analyzer-</w:t>
      </w:r>
      <w:r>
        <w:t xml:space="preserve">measured concentration will typically </w:t>
      </w:r>
      <w:r w:rsidR="009D31C3">
        <w:t xml:space="preserve">initially </w:t>
      </w:r>
      <w:r>
        <w:t>be approximately 10 to 15% lower than for the same concentration generated by GPT of NO with ozone</w:t>
      </w:r>
      <w:r w:rsidR="009D31C3">
        <w:t xml:space="preserve"> until given sufficient time to passivate the transfer tubing</w:t>
      </w:r>
      <w:r>
        <w:t>.</w:t>
      </w:r>
      <w:r w:rsidR="007923E0">
        <w:t xml:space="preserve"> </w:t>
      </w:r>
    </w:p>
    <w:p w14:paraId="0BEDBBE4" w14:textId="101819EC" w:rsidR="00C4272B" w:rsidRDefault="00C4272B" w:rsidP="00D26D90">
      <w:pPr>
        <w:pStyle w:val="ListParagraph"/>
        <w:numPr>
          <w:ilvl w:val="1"/>
          <w:numId w:val="24"/>
        </w:numPr>
        <w:ind w:left="1080"/>
        <w:contextualSpacing w:val="0"/>
      </w:pPr>
      <w:r>
        <w:t xml:space="preserve">Gas Phase Titration of NO with Ozone: </w:t>
      </w:r>
    </w:p>
    <w:p w14:paraId="23B98AE5" w14:textId="77777777" w:rsidR="00066FDC" w:rsidRDefault="00C4272B" w:rsidP="007B286A">
      <w:pPr>
        <w:pStyle w:val="ListParagraph"/>
        <w:ind w:left="1080"/>
        <w:contextualSpacing w:val="0"/>
      </w:pPr>
      <w:r>
        <w:t>Generation of NO</w:t>
      </w:r>
      <w:r w:rsidRPr="000E1CFF">
        <w:rPr>
          <w:vertAlign w:val="subscript"/>
        </w:rPr>
        <w:t>2</w:t>
      </w:r>
      <w:r>
        <w:t xml:space="preserve"> concentrations by GPT is accomplished by providing a desired standard concentration of ozone and mixing excess NO. </w:t>
      </w:r>
    </w:p>
    <w:p w14:paraId="3A4DD120" w14:textId="62B1AC92" w:rsidR="00C4272B" w:rsidRDefault="00066FDC" w:rsidP="00D26D90">
      <w:pPr>
        <w:pStyle w:val="ListParagraph"/>
        <w:ind w:left="1080"/>
        <w:contextualSpacing w:val="0"/>
      </w:pPr>
      <w:r>
        <w:rPr>
          <w:i/>
          <w:iCs/>
        </w:rPr>
        <w:t xml:space="preserve">Note: GPT performed by providing excess ozone and employing NO as the limiting reagent is not recommended. </w:t>
      </w:r>
      <w:r w:rsidR="00C4272B" w:rsidRPr="00D26D90">
        <w:rPr>
          <w:i/>
          <w:iCs/>
        </w:rPr>
        <w:t>EPA collaborated with several monitoring agencies in 2019 to investigate the feasibility of employing NO as the limiting reagent and providing excess ozone</w:t>
      </w:r>
      <w:r w:rsidR="00AB3980">
        <w:rPr>
          <w:i/>
          <w:iCs/>
        </w:rPr>
        <w:t>;</w:t>
      </w:r>
      <w:r w:rsidR="00C4272B" w:rsidRPr="00D26D90">
        <w:rPr>
          <w:i/>
          <w:iCs/>
        </w:rPr>
        <w:t xml:space="preserve"> however, this convention proved to be inconsistent at best and demonstrated poor correlation to the conventional method of GPT with ozone as the limiting reagent with excess NO. This </w:t>
      </w:r>
      <w:r w:rsidR="00B327AA">
        <w:rPr>
          <w:i/>
          <w:iCs/>
        </w:rPr>
        <w:t xml:space="preserve">poor </w:t>
      </w:r>
      <w:r w:rsidR="006B5F69">
        <w:rPr>
          <w:i/>
          <w:iCs/>
        </w:rPr>
        <w:t xml:space="preserve">correlation </w:t>
      </w:r>
      <w:r w:rsidR="00C4272B" w:rsidRPr="00D26D90">
        <w:rPr>
          <w:i/>
          <w:iCs/>
        </w:rPr>
        <w:t xml:space="preserve">is </w:t>
      </w:r>
      <w:r w:rsidR="006B5F69">
        <w:rPr>
          <w:i/>
          <w:iCs/>
        </w:rPr>
        <w:t xml:space="preserve">presumed to be </w:t>
      </w:r>
      <w:r w:rsidR="00C4272B" w:rsidRPr="00D26D90">
        <w:rPr>
          <w:i/>
          <w:iCs/>
        </w:rPr>
        <w:t>due to the further reaction/consumption of NO</w:t>
      </w:r>
      <w:r w:rsidR="00C4272B" w:rsidRPr="00D26D90">
        <w:rPr>
          <w:i/>
          <w:iCs/>
          <w:vertAlign w:val="subscript"/>
        </w:rPr>
        <w:t>2</w:t>
      </w:r>
      <w:r w:rsidR="00C4272B" w:rsidRPr="00D26D90">
        <w:rPr>
          <w:i/>
          <w:iCs/>
        </w:rPr>
        <w:t xml:space="preserve"> with </w:t>
      </w:r>
      <w:r w:rsidR="00687BDE">
        <w:rPr>
          <w:i/>
          <w:iCs/>
        </w:rPr>
        <w:t xml:space="preserve">excess </w:t>
      </w:r>
      <w:r w:rsidR="00C4272B" w:rsidRPr="00D26D90">
        <w:rPr>
          <w:i/>
          <w:iCs/>
        </w:rPr>
        <w:t>ozone in or downstream of the reaction chamber to form higher order nitrogen oxides.</w:t>
      </w:r>
      <w:r w:rsidR="00C4272B">
        <w:t xml:space="preserve"> </w:t>
      </w:r>
    </w:p>
    <w:p w14:paraId="565C9469" w14:textId="71B41296" w:rsidR="00C4272B" w:rsidRDefault="00C4272B" w:rsidP="00D26D90">
      <w:pPr>
        <w:pStyle w:val="ListParagraph"/>
        <w:ind w:left="1080"/>
      </w:pPr>
      <w:r>
        <w:lastRenderedPageBreak/>
        <w:t>Efficiency of the reaction between NO and O</w:t>
      </w:r>
      <w:r w:rsidRPr="00A0702C">
        <w:rPr>
          <w:vertAlign w:val="subscript"/>
        </w:rPr>
        <w:t>3</w:t>
      </w:r>
      <w:r>
        <w:t xml:space="preserve"> is such that one mole of NO</w:t>
      </w:r>
      <w:r w:rsidRPr="00A0702C">
        <w:rPr>
          <w:vertAlign w:val="subscript"/>
        </w:rPr>
        <w:t>2</w:t>
      </w:r>
      <w:r>
        <w:t xml:space="preserve"> is produced for every mole of the limiting reagent </w:t>
      </w:r>
      <w:r w:rsidR="00066FDC">
        <w:t>(O</w:t>
      </w:r>
      <w:r w:rsidR="00066FDC" w:rsidRPr="00D26D90">
        <w:rPr>
          <w:vertAlign w:val="subscript"/>
        </w:rPr>
        <w:t>3</w:t>
      </w:r>
      <w:r w:rsidR="00066FDC">
        <w:t xml:space="preserve">) </w:t>
      </w:r>
      <w:r>
        <w:t xml:space="preserve">consumed per the following reaction: </w:t>
      </w:r>
    </w:p>
    <w:p w14:paraId="38B66D8A" w14:textId="77777777" w:rsidR="00C4272B" w:rsidRDefault="00C4272B" w:rsidP="00D26D90">
      <w:pPr>
        <w:pStyle w:val="ListParagraph"/>
        <w:ind w:left="1080"/>
      </w:pPr>
    </w:p>
    <w:p w14:paraId="49952877" w14:textId="77777777" w:rsidR="00C4272B" w:rsidRDefault="00C4272B" w:rsidP="00D26D90">
      <w:pPr>
        <w:pStyle w:val="ListParagraph"/>
        <w:ind w:left="1080"/>
        <w:contextualSpacing w:val="0"/>
      </w:pPr>
      <w:r>
        <w:tab/>
      </w:r>
      <w:r>
        <w:tab/>
      </w:r>
      <w:r>
        <w:tab/>
      </w:r>
      <w:r>
        <w:tab/>
        <w:t>NO + O</w:t>
      </w:r>
      <w:r w:rsidRPr="00470637">
        <w:rPr>
          <w:vertAlign w:val="subscript"/>
        </w:rPr>
        <w:t>3</w:t>
      </w:r>
      <w:r>
        <w:t xml:space="preserve"> </w:t>
      </w:r>
      <w:r w:rsidRPr="00470637">
        <w:rPr>
          <w:rFonts w:ascii="Calibri" w:hAnsi="Calibri"/>
          <w:sz w:val="20"/>
          <w:szCs w:val="20"/>
        </w:rPr>
        <w:t>→</w:t>
      </w:r>
      <w:r>
        <w:rPr>
          <w:rFonts w:ascii="Calibri" w:hAnsi="Calibri"/>
        </w:rPr>
        <w:t xml:space="preserve"> </w:t>
      </w:r>
      <w:r>
        <w:t>NO</w:t>
      </w:r>
      <w:r w:rsidRPr="00470637">
        <w:rPr>
          <w:vertAlign w:val="subscript"/>
        </w:rPr>
        <w:t>2</w:t>
      </w:r>
      <w:r>
        <w:t xml:space="preserve"> + O</w:t>
      </w:r>
      <w:r w:rsidRPr="00470637">
        <w:rPr>
          <w:vertAlign w:val="subscript"/>
        </w:rPr>
        <w:t>2</w:t>
      </w:r>
    </w:p>
    <w:p w14:paraId="3DCF69C1" w14:textId="606D9946" w:rsidR="00400E98" w:rsidRDefault="00C4272B" w:rsidP="00D26D90">
      <w:pPr>
        <w:pStyle w:val="ListParagraph"/>
        <w:ind w:left="1080"/>
        <w:contextualSpacing w:val="0"/>
      </w:pPr>
      <w:r>
        <w:t>When employing GPT, users should program the DDC to provide excess NO such that a minimum of 20% (and no more than 80 ppb) NO remains after the GPT. For example, when a 1</w:t>
      </w:r>
      <w:r w:rsidR="00066FDC">
        <w:t>6</w:t>
      </w:r>
      <w:r>
        <w:t>0 ppb NO</w:t>
      </w:r>
      <w:r w:rsidRPr="00D26D90">
        <w:rPr>
          <w:vertAlign w:val="subscript"/>
        </w:rPr>
        <w:t>2</w:t>
      </w:r>
      <w:r>
        <w:t xml:space="preserve"> standard is desired, the DDC should be programmed to provide 1</w:t>
      </w:r>
      <w:r w:rsidR="00066FDC">
        <w:t>6</w:t>
      </w:r>
      <w:r>
        <w:t>0 ppb of ozone and 1</w:t>
      </w:r>
      <w:r w:rsidR="00066FDC">
        <w:t>9</w:t>
      </w:r>
      <w:r>
        <w:t xml:space="preserve">0 to </w:t>
      </w:r>
      <w:r w:rsidR="00066FDC">
        <w:t>200</w:t>
      </w:r>
      <w:r>
        <w:t xml:space="preserve"> ppb of NO. If a conventional </w:t>
      </w:r>
      <w:r w:rsidR="00066FDC">
        <w:t xml:space="preserve">(molybdenum conversion chemiluminescent) </w:t>
      </w:r>
      <w:r w:rsidR="00B327AA">
        <w:t xml:space="preserve">calibrated </w:t>
      </w:r>
      <w:r>
        <w:t>NOx analyzer with an NO measurement channel is available, it is prudent to verify the concentrations of NO and NO</w:t>
      </w:r>
      <w:r w:rsidRPr="00A0702C">
        <w:rPr>
          <w:vertAlign w:val="subscript"/>
        </w:rPr>
        <w:t>2</w:t>
      </w:r>
      <w:r>
        <w:t xml:space="preserve"> in the produced standard gas</w:t>
      </w:r>
      <w:r w:rsidR="00066FDC">
        <w:t xml:space="preserve"> by measurement with the NOx analyzer</w:t>
      </w:r>
      <w:r>
        <w:t xml:space="preserve">. Measurement with a </w:t>
      </w:r>
      <w:r w:rsidR="00B327AA">
        <w:t xml:space="preserve">calibrated </w:t>
      </w:r>
      <w:r>
        <w:t xml:space="preserve">NOx analyzer will demonstrate that the amount of NOx </w:t>
      </w:r>
      <w:r w:rsidR="001906D9">
        <w:t>measured</w:t>
      </w:r>
      <w:r w:rsidR="00BF7878">
        <w:t xml:space="preserve"> </w:t>
      </w:r>
      <w:r>
        <w:t>should equal the amount of NO</w:t>
      </w:r>
      <w:r w:rsidRPr="00D26D90">
        <w:rPr>
          <w:vertAlign w:val="subscript"/>
        </w:rPr>
        <w:t>2</w:t>
      </w:r>
      <w:r>
        <w:t xml:space="preserve"> produced </w:t>
      </w:r>
      <w:r w:rsidR="001906D9">
        <w:t>plus the amount of excess remaining NO after GPT. The amount of NO</w:t>
      </w:r>
      <w:r w:rsidR="001906D9" w:rsidRPr="00F60D38">
        <w:rPr>
          <w:vertAlign w:val="subscript"/>
        </w:rPr>
        <w:t>2</w:t>
      </w:r>
      <w:r w:rsidR="001906D9">
        <w:t xml:space="preserve"> produced via GPT can be verified by subtraction of the NO channel measurement which</w:t>
      </w:r>
      <w:r>
        <w:t xml:space="preserve"> should be equal to the expected </w:t>
      </w:r>
      <w:r w:rsidR="00BF7878">
        <w:t xml:space="preserve">excess </w:t>
      </w:r>
      <w:r>
        <w:t xml:space="preserve">remaining NO after GPT. </w:t>
      </w:r>
    </w:p>
    <w:p w14:paraId="62C5373B" w14:textId="7A18846D" w:rsidR="00C4272B" w:rsidRDefault="00504B5F" w:rsidP="00504B5F">
      <w:pPr>
        <w:pStyle w:val="ListParagraph"/>
        <w:numPr>
          <w:ilvl w:val="3"/>
          <w:numId w:val="20"/>
        </w:numPr>
        <w:ind w:left="720"/>
        <w:contextualSpacing w:val="0"/>
      </w:pPr>
      <w:r>
        <w:t>Establishing Calibration</w:t>
      </w:r>
      <w:r w:rsidR="00260616">
        <w:t xml:space="preserve"> – Setting the Zero and Span</w:t>
      </w:r>
    </w:p>
    <w:p w14:paraId="660BF93A" w14:textId="7C653059" w:rsidR="00E41D92" w:rsidRPr="00D26D90" w:rsidRDefault="007923E0" w:rsidP="00504B5F">
      <w:pPr>
        <w:pStyle w:val="ListParagraph"/>
        <w:contextualSpacing w:val="0"/>
      </w:pPr>
      <w:r w:rsidRPr="00D26D90">
        <w:t>Calibrati</w:t>
      </w:r>
      <w:r w:rsidR="00A45173">
        <w:t>on of the NO</w:t>
      </w:r>
      <w:r w:rsidR="00A45173" w:rsidRPr="00D26D90">
        <w:rPr>
          <w:vertAlign w:val="subscript"/>
        </w:rPr>
        <w:t>2</w:t>
      </w:r>
      <w:r w:rsidR="00A45173">
        <w:t xml:space="preserve"> analyzer</w:t>
      </w:r>
      <w:r w:rsidRPr="00D26D90">
        <w:t xml:space="preserve"> </w:t>
      </w:r>
      <w:r w:rsidR="00A45173">
        <w:t>involves standardizing the NO</w:t>
      </w:r>
      <w:r w:rsidR="00A45173" w:rsidRPr="00D26D90">
        <w:rPr>
          <w:vertAlign w:val="subscript"/>
        </w:rPr>
        <w:t>2</w:t>
      </w:r>
      <w:r w:rsidR="00A45173">
        <w:t xml:space="preserve"> analyzer response with a two-point response curve where the</w:t>
      </w:r>
      <w:r w:rsidRPr="00D26D90">
        <w:t xml:space="preserve"> </w:t>
      </w:r>
      <w:r w:rsidR="00A45173">
        <w:t>t</w:t>
      </w:r>
      <w:r w:rsidR="00731DE1">
        <w:t>wo points include a</w:t>
      </w:r>
      <w:r w:rsidR="00E41D92" w:rsidRPr="00D26D90">
        <w:t xml:space="preserve"> zero and </w:t>
      </w:r>
      <w:r w:rsidR="00EB5DE4">
        <w:t xml:space="preserve">a </w:t>
      </w:r>
      <w:r w:rsidR="00CF2F66">
        <w:t>standard</w:t>
      </w:r>
      <w:r w:rsidR="00EB5DE4">
        <w:t xml:space="preserve"> concentration of</w:t>
      </w:r>
      <w:r w:rsidR="00E41D92" w:rsidRPr="00D26D90">
        <w:t xml:space="preserve"> NO</w:t>
      </w:r>
      <w:r w:rsidR="00E41D92" w:rsidRPr="00D26D90">
        <w:rPr>
          <w:vertAlign w:val="subscript"/>
        </w:rPr>
        <w:t>2</w:t>
      </w:r>
      <w:r w:rsidR="00E41D92" w:rsidRPr="00D26D90">
        <w:t xml:space="preserve"> gas in the </w:t>
      </w:r>
      <w:r w:rsidR="00260616">
        <w:t>span</w:t>
      </w:r>
      <w:r w:rsidR="00E41D92" w:rsidRPr="00D26D90">
        <w:t xml:space="preserve"> range, </w:t>
      </w:r>
      <w:r w:rsidR="00CF2F66">
        <w:t xml:space="preserve">at </w:t>
      </w:r>
      <w:r w:rsidR="00E41D92" w:rsidRPr="00D26D90">
        <w:t>approximately 80% of the intended measurement scale range.</w:t>
      </w:r>
      <w:r w:rsidR="00687C1B">
        <w:t xml:space="preserve"> </w:t>
      </w:r>
      <w:r w:rsidR="00CF2F66">
        <w:t>For example, for NO</w:t>
      </w:r>
      <w:r w:rsidR="00CF2F66" w:rsidRPr="00D26D90">
        <w:rPr>
          <w:vertAlign w:val="subscript"/>
        </w:rPr>
        <w:t>2</w:t>
      </w:r>
      <w:r w:rsidR="00CF2F66">
        <w:t xml:space="preserve"> analyzers</w:t>
      </w:r>
      <w:r w:rsidR="00B327AA">
        <w:t xml:space="preserve"> intended to </w:t>
      </w:r>
      <w:r w:rsidR="00BE5F37">
        <w:t>operat</w:t>
      </w:r>
      <w:r w:rsidR="00B327AA">
        <w:t>e</w:t>
      </w:r>
      <w:r w:rsidR="00CF2F66">
        <w:t xml:space="preserve"> in the 0 to 200 ppb range, the calibration </w:t>
      </w:r>
      <w:r w:rsidR="00260616">
        <w:t>span</w:t>
      </w:r>
      <w:r w:rsidR="00CF2F66">
        <w:t xml:space="preserve"> point </w:t>
      </w:r>
      <w:r w:rsidR="00B327AA">
        <w:t xml:space="preserve">concentration </w:t>
      </w:r>
      <w:r w:rsidR="00CF2F66">
        <w:t xml:space="preserve">should be 160 ppb. </w:t>
      </w:r>
      <w:r w:rsidR="00687C1B">
        <w:t>Once the calibration response has been set in the instrument, the operator will verify the calibration by performing the multi-point verification (MPV)</w:t>
      </w:r>
      <w:r w:rsidR="00BE5F37">
        <w:t xml:space="preserve"> as described </w:t>
      </w:r>
      <w:r w:rsidR="00715FF1">
        <w:t xml:space="preserve">below </w:t>
      </w:r>
      <w:r w:rsidR="00BE5F37">
        <w:t xml:space="preserve">in Section </w:t>
      </w:r>
      <w:r w:rsidR="00715FF1">
        <w:t>M</w:t>
      </w:r>
      <w:r w:rsidR="00B327AA">
        <w:t>.5</w:t>
      </w:r>
      <w:r w:rsidR="00687C1B">
        <w:t>.</w:t>
      </w:r>
    </w:p>
    <w:p w14:paraId="4C5AAAA8" w14:textId="50FCCD81" w:rsidR="00687C1B" w:rsidRDefault="00687C1B" w:rsidP="00D26D90">
      <w:pPr>
        <w:pStyle w:val="ListParagraph"/>
        <w:numPr>
          <w:ilvl w:val="4"/>
          <w:numId w:val="20"/>
        </w:numPr>
        <w:ind w:left="1080"/>
        <w:contextualSpacing w:val="0"/>
      </w:pPr>
      <w:r w:rsidRPr="00687C1B">
        <w:t xml:space="preserve">Power on the </w:t>
      </w:r>
      <w:r>
        <w:t>DDC</w:t>
      </w:r>
      <w:r w:rsidRPr="00687C1B">
        <w:t xml:space="preserve"> and allow 30 to 60 minutes </w:t>
      </w:r>
      <w:r w:rsidR="00B327AA">
        <w:t>for</w:t>
      </w:r>
      <w:r w:rsidRPr="00687C1B">
        <w:t xml:space="preserve"> warmup.</w:t>
      </w:r>
    </w:p>
    <w:p w14:paraId="6984603F" w14:textId="158DE65B" w:rsidR="00A06DC6" w:rsidRDefault="00BE5F37" w:rsidP="00D26D90">
      <w:pPr>
        <w:pStyle w:val="ListParagraph"/>
        <w:numPr>
          <w:ilvl w:val="4"/>
          <w:numId w:val="20"/>
        </w:numPr>
        <w:ind w:left="1080"/>
        <w:contextualSpacing w:val="0"/>
      </w:pPr>
      <w:r>
        <w:t>Provide</w:t>
      </w:r>
      <w:r w:rsidR="00E41D92" w:rsidRPr="00D26D90">
        <w:t xml:space="preserve"> zero air </w:t>
      </w:r>
      <w:r>
        <w:t>to the NO</w:t>
      </w:r>
      <w:r w:rsidRPr="00D26D90">
        <w:rPr>
          <w:vertAlign w:val="subscript"/>
        </w:rPr>
        <w:t>2</w:t>
      </w:r>
      <w:r>
        <w:t xml:space="preserve"> analyzer from the DDC </w:t>
      </w:r>
      <w:r w:rsidR="00E41D92" w:rsidRPr="00D26D90">
        <w:t>and wait for the NO</w:t>
      </w:r>
      <w:r w:rsidR="00E41D92" w:rsidRPr="00D26D90">
        <w:rPr>
          <w:vertAlign w:val="subscript"/>
        </w:rPr>
        <w:t>2</w:t>
      </w:r>
      <w:r w:rsidR="00E41D92" w:rsidRPr="00D26D90">
        <w:t xml:space="preserve"> analyzer reading to stabilize. </w:t>
      </w:r>
    </w:p>
    <w:p w14:paraId="36D01257" w14:textId="40D22553" w:rsidR="00504B5F" w:rsidRDefault="00E41D92" w:rsidP="00D26D90">
      <w:pPr>
        <w:pStyle w:val="ListParagraph"/>
        <w:numPr>
          <w:ilvl w:val="4"/>
          <w:numId w:val="20"/>
        </w:numPr>
        <w:ind w:left="1080"/>
        <w:contextualSpacing w:val="0"/>
      </w:pPr>
      <w:r w:rsidRPr="00D26D90">
        <w:t>Once the reading is stable, reset the zero reading to show 0.000 ppb</w:t>
      </w:r>
      <w:r w:rsidR="00B327AA">
        <w:t xml:space="preserve"> and wait several minutes to ensure the reading remains stable</w:t>
      </w:r>
      <w:r w:rsidRPr="00D26D90">
        <w:t>.</w:t>
      </w:r>
    </w:p>
    <w:p w14:paraId="650177AA" w14:textId="398A5655" w:rsidR="00FF0E5A" w:rsidRDefault="00A06DC6" w:rsidP="00BE5F37">
      <w:pPr>
        <w:pStyle w:val="ListParagraph"/>
        <w:numPr>
          <w:ilvl w:val="4"/>
          <w:numId w:val="20"/>
        </w:numPr>
        <w:ind w:left="1080"/>
        <w:contextualSpacing w:val="0"/>
      </w:pPr>
      <w:r>
        <w:t xml:space="preserve">Begin to generate the </w:t>
      </w:r>
      <w:r w:rsidR="00260616">
        <w:t>span</w:t>
      </w:r>
      <w:r>
        <w:t xml:space="preserve"> concentration </w:t>
      </w:r>
      <w:r w:rsidR="00FF0E5A">
        <w:t xml:space="preserve">(e.g., 160 ppb) </w:t>
      </w:r>
      <w:r>
        <w:t>of NO</w:t>
      </w:r>
      <w:r w:rsidRPr="00D26D90">
        <w:rPr>
          <w:vertAlign w:val="subscript"/>
        </w:rPr>
        <w:t>2</w:t>
      </w:r>
      <w:r>
        <w:t xml:space="preserve"> with the DDC and allow the </w:t>
      </w:r>
      <w:r w:rsidR="00687C1B">
        <w:t>NO</w:t>
      </w:r>
      <w:r w:rsidR="00687C1B" w:rsidRPr="00D26D90">
        <w:rPr>
          <w:vertAlign w:val="subscript"/>
        </w:rPr>
        <w:t>2</w:t>
      </w:r>
      <w:r w:rsidR="00687C1B">
        <w:t xml:space="preserve"> analyzer</w:t>
      </w:r>
      <w:r>
        <w:t xml:space="preserve"> reading to stabilize</w:t>
      </w:r>
      <w:r w:rsidR="00687C1B">
        <w:t xml:space="preserve"> (note this may take </w:t>
      </w:r>
      <w:r w:rsidR="00FF0E5A">
        <w:t>several minutes</w:t>
      </w:r>
      <w:r w:rsidR="00687C1B">
        <w:t xml:space="preserve"> if employing dilution of an NO</w:t>
      </w:r>
      <w:r w:rsidR="00687C1B" w:rsidRPr="00D26D90">
        <w:rPr>
          <w:vertAlign w:val="subscript"/>
        </w:rPr>
        <w:t>2</w:t>
      </w:r>
      <w:r w:rsidR="00687C1B">
        <w:t xml:space="preserve"> compressed gas standard).</w:t>
      </w:r>
    </w:p>
    <w:p w14:paraId="2CC3A55C" w14:textId="1A364A07" w:rsidR="00687C1B" w:rsidRDefault="00687C1B" w:rsidP="00D26D90">
      <w:pPr>
        <w:pStyle w:val="ListParagraph"/>
        <w:ind w:left="1080"/>
        <w:contextualSpacing w:val="0"/>
      </w:pPr>
      <w:r>
        <w:t>Set flows on the diluent gas MFC and the standard gas MFC as appropriate</w:t>
      </w:r>
      <w:r w:rsidR="00FF0E5A">
        <w:t>, o</w:t>
      </w:r>
      <w:r w:rsidRPr="00504B5F">
        <w:t>perat</w:t>
      </w:r>
      <w:r w:rsidR="00FF0E5A">
        <w:t>ing</w:t>
      </w:r>
      <w:r w:rsidRPr="00504B5F">
        <w:t xml:space="preserve"> MFCs within their calibrated </w:t>
      </w:r>
      <w:r w:rsidR="00FF0E5A">
        <w:t xml:space="preserve">flow </w:t>
      </w:r>
      <w:r w:rsidRPr="00504B5F">
        <w:t>range and within the 10 to 90% full scale flow range.</w:t>
      </w:r>
    </w:p>
    <w:p w14:paraId="32D81FA6" w14:textId="6AA827E1" w:rsidR="00A06DC6" w:rsidRDefault="00FF0E5A" w:rsidP="00FF0E5A">
      <w:pPr>
        <w:pStyle w:val="ListParagraph"/>
        <w:numPr>
          <w:ilvl w:val="4"/>
          <w:numId w:val="20"/>
        </w:numPr>
        <w:ind w:left="1080"/>
        <w:contextualSpacing w:val="0"/>
      </w:pPr>
      <w:r>
        <w:t>Once the NO</w:t>
      </w:r>
      <w:r w:rsidRPr="00D26D90">
        <w:rPr>
          <w:vertAlign w:val="subscript"/>
        </w:rPr>
        <w:t>2</w:t>
      </w:r>
      <w:r>
        <w:t xml:space="preserve"> analyzer </w:t>
      </w:r>
      <w:r w:rsidR="00260616">
        <w:t>reading is stable, input the theoretical concentration into the analyzer to set the span concentration</w:t>
      </w:r>
      <w:r w:rsidR="00B327AA">
        <w:t xml:space="preserve"> and assign the analyzer response</w:t>
      </w:r>
      <w:r w:rsidR="00A06DC6">
        <w:t>.</w:t>
      </w:r>
    </w:p>
    <w:p w14:paraId="624B06E4" w14:textId="0D649B6B" w:rsidR="00260616" w:rsidRDefault="00260616" w:rsidP="00D26D90">
      <w:pPr>
        <w:pStyle w:val="ListParagraph"/>
        <w:numPr>
          <w:ilvl w:val="4"/>
          <w:numId w:val="20"/>
        </w:numPr>
        <w:ind w:left="1080"/>
        <w:contextualSpacing w:val="0"/>
      </w:pPr>
      <w:r>
        <w:lastRenderedPageBreak/>
        <w:t>The NO</w:t>
      </w:r>
      <w:r w:rsidRPr="00D26D90">
        <w:rPr>
          <w:vertAlign w:val="subscript"/>
        </w:rPr>
        <w:t>2</w:t>
      </w:r>
      <w:r>
        <w:t xml:space="preserve"> analyzer response is now set and the operator can begin the </w:t>
      </w:r>
      <w:r w:rsidR="00E36C84">
        <w:t>MPV</w:t>
      </w:r>
      <w:r>
        <w:t xml:space="preserve"> to verify the calibration.</w:t>
      </w:r>
    </w:p>
    <w:p w14:paraId="628CABE5" w14:textId="675C6582" w:rsidR="007923E0" w:rsidRDefault="005C3876" w:rsidP="00D26D90">
      <w:pPr>
        <w:pStyle w:val="ListParagraph"/>
        <w:numPr>
          <w:ilvl w:val="3"/>
          <w:numId w:val="20"/>
        </w:numPr>
        <w:ind w:left="720"/>
        <w:contextualSpacing w:val="0"/>
      </w:pPr>
      <w:r>
        <w:t xml:space="preserve">Verifying Calibration - </w:t>
      </w:r>
      <w:r w:rsidR="00FF0E5A">
        <w:t>Multi-Point Verification (MPV)</w:t>
      </w:r>
    </w:p>
    <w:p w14:paraId="018176ED" w14:textId="0727C188" w:rsidR="00F9280C" w:rsidRDefault="00FF0E5A" w:rsidP="00C273F0">
      <w:pPr>
        <w:pStyle w:val="ListParagraph"/>
        <w:contextualSpacing w:val="0"/>
      </w:pPr>
      <w:r>
        <w:t>The MPV follows the initial calibration to verify the NO</w:t>
      </w:r>
      <w:r w:rsidRPr="00D26D90">
        <w:rPr>
          <w:vertAlign w:val="subscript"/>
        </w:rPr>
        <w:t>2</w:t>
      </w:r>
      <w:r>
        <w:t xml:space="preserve"> analyzer response</w:t>
      </w:r>
      <w:r w:rsidR="005C3876">
        <w:t xml:space="preserve"> over the measurement range by analyzing</w:t>
      </w:r>
      <w:r>
        <w:t xml:space="preserve"> </w:t>
      </w:r>
      <w:r w:rsidR="005C3876">
        <w:t xml:space="preserve">gases </w:t>
      </w:r>
      <w:r w:rsidR="00C273F0">
        <w:t>absen</w:t>
      </w:r>
      <w:r w:rsidR="005C3876">
        <w:t>t</w:t>
      </w:r>
      <w:r w:rsidR="00C273F0">
        <w:t xml:space="preserve"> of NO</w:t>
      </w:r>
      <w:r w:rsidR="00C273F0" w:rsidRPr="00D26D90">
        <w:rPr>
          <w:vertAlign w:val="subscript"/>
        </w:rPr>
        <w:t>2</w:t>
      </w:r>
      <w:r w:rsidR="00C273F0">
        <w:t xml:space="preserve"> </w:t>
      </w:r>
      <w:r w:rsidR="00260616">
        <w:t xml:space="preserve">(zero) </w:t>
      </w:r>
      <w:r w:rsidR="00C273F0">
        <w:t xml:space="preserve">and </w:t>
      </w:r>
      <w:r w:rsidR="005C3876">
        <w:t>with NO</w:t>
      </w:r>
      <w:r w:rsidR="005C3876" w:rsidRPr="00D26D90">
        <w:rPr>
          <w:vertAlign w:val="subscript"/>
        </w:rPr>
        <w:t>2</w:t>
      </w:r>
      <w:r w:rsidR="005C3876">
        <w:t xml:space="preserve"> </w:t>
      </w:r>
      <w:r w:rsidR="00C273F0">
        <w:t xml:space="preserve">at four </w:t>
      </w:r>
      <w:r>
        <w:t xml:space="preserve">concentrations covering the </w:t>
      </w:r>
      <w:r w:rsidR="005C3876">
        <w:t xml:space="preserve">desired </w:t>
      </w:r>
      <w:r>
        <w:t>measurement range.</w:t>
      </w:r>
      <w:r w:rsidR="00C273F0">
        <w:t xml:space="preserve"> The </w:t>
      </w:r>
      <w:r w:rsidR="00260616">
        <w:t>NO</w:t>
      </w:r>
      <w:r w:rsidR="00260616" w:rsidRPr="00D26D90">
        <w:rPr>
          <w:vertAlign w:val="subscript"/>
        </w:rPr>
        <w:t>2</w:t>
      </w:r>
      <w:r w:rsidR="00260616">
        <w:t xml:space="preserve"> </w:t>
      </w:r>
      <w:r w:rsidR="00C273F0">
        <w:t xml:space="preserve">concentrations </w:t>
      </w:r>
      <w:r w:rsidR="00F9280C">
        <w:t xml:space="preserve">chosen </w:t>
      </w:r>
      <w:r w:rsidR="00B327AA">
        <w:t>are to</w:t>
      </w:r>
      <w:r w:rsidR="00C273F0">
        <w:t xml:space="preserve"> cover </w:t>
      </w:r>
      <w:r w:rsidR="00F9280C">
        <w:t xml:space="preserve">approximately 10 to </w:t>
      </w:r>
      <w:r w:rsidR="00C273F0">
        <w:t>90% of the measurement range. A recommended suite of NO</w:t>
      </w:r>
      <w:r w:rsidR="00C273F0" w:rsidRPr="00D26D90">
        <w:rPr>
          <w:vertAlign w:val="subscript"/>
        </w:rPr>
        <w:t>2</w:t>
      </w:r>
      <w:r w:rsidR="00C273F0">
        <w:t xml:space="preserve"> concentration levels for an NO</w:t>
      </w:r>
      <w:r w:rsidR="00C273F0" w:rsidRPr="00D26D90">
        <w:rPr>
          <w:vertAlign w:val="subscript"/>
        </w:rPr>
        <w:t>2</w:t>
      </w:r>
      <w:r w:rsidR="00C273F0">
        <w:t xml:space="preserve"> analyzer measurement range </w:t>
      </w:r>
      <w:r w:rsidR="00260616">
        <w:t xml:space="preserve">of 0 to </w:t>
      </w:r>
      <w:r w:rsidR="00C273F0">
        <w:t>200 ppb would include</w:t>
      </w:r>
      <w:r w:rsidR="005C3876">
        <w:t xml:space="preserve"> the following MPV sequence</w:t>
      </w:r>
      <w:r w:rsidR="00C273F0">
        <w:t xml:space="preserve">:  </w:t>
      </w:r>
    </w:p>
    <w:p w14:paraId="08E35CC3" w14:textId="77777777" w:rsidR="005C3876" w:rsidRPr="00D26D90" w:rsidRDefault="005C3876" w:rsidP="005C3876">
      <w:pPr>
        <w:pStyle w:val="ListParagraph"/>
        <w:numPr>
          <w:ilvl w:val="0"/>
          <w:numId w:val="45"/>
        </w:numPr>
        <w:spacing w:after="0"/>
        <w:ind w:left="1800"/>
        <w:contextualSpacing w:val="0"/>
      </w:pPr>
      <w:r w:rsidRPr="00D26D90">
        <w:t>0 ppb – zero air</w:t>
      </w:r>
    </w:p>
    <w:p w14:paraId="56485A1F" w14:textId="42EC9380" w:rsidR="005C3876" w:rsidRPr="00D26D90" w:rsidRDefault="005C3876" w:rsidP="005C3876">
      <w:pPr>
        <w:pStyle w:val="ListParagraph"/>
        <w:numPr>
          <w:ilvl w:val="0"/>
          <w:numId w:val="45"/>
        </w:numPr>
        <w:spacing w:after="0"/>
        <w:ind w:left="1800"/>
        <w:contextualSpacing w:val="0"/>
      </w:pPr>
      <w:r w:rsidRPr="00D26D90">
        <w:t>175 ppb (80 to 90% full scale)</w:t>
      </w:r>
    </w:p>
    <w:p w14:paraId="01028254" w14:textId="6BF1104E" w:rsidR="005C3876" w:rsidRPr="00D26D90" w:rsidRDefault="005C3876" w:rsidP="005C3876">
      <w:pPr>
        <w:pStyle w:val="ListParagraph"/>
        <w:numPr>
          <w:ilvl w:val="0"/>
          <w:numId w:val="45"/>
        </w:numPr>
        <w:spacing w:after="0"/>
        <w:ind w:left="1800"/>
        <w:contextualSpacing w:val="0"/>
      </w:pPr>
      <w:r w:rsidRPr="00D26D90">
        <w:t xml:space="preserve">125 ppb (60 to 70% full scale) </w:t>
      </w:r>
    </w:p>
    <w:p w14:paraId="42FE2425" w14:textId="1B382A2B" w:rsidR="00F9280C" w:rsidRPr="00B327AA" w:rsidRDefault="00C273F0" w:rsidP="00D26D90">
      <w:pPr>
        <w:pStyle w:val="ListParagraph"/>
        <w:numPr>
          <w:ilvl w:val="0"/>
          <w:numId w:val="45"/>
        </w:numPr>
        <w:spacing w:after="0"/>
        <w:ind w:left="1800"/>
        <w:contextualSpacing w:val="0"/>
      </w:pPr>
      <w:r w:rsidRPr="00B327AA">
        <w:t>75</w:t>
      </w:r>
      <w:r w:rsidR="00923ACC" w:rsidRPr="00B327AA">
        <w:t xml:space="preserve"> </w:t>
      </w:r>
      <w:r w:rsidR="005C3876" w:rsidRPr="00D26D90">
        <w:t xml:space="preserve">ppb </w:t>
      </w:r>
      <w:r w:rsidR="00923ACC" w:rsidRPr="00B327AA">
        <w:t>(20 to 30% full scale)</w:t>
      </w:r>
      <w:r w:rsidR="005C3876" w:rsidRPr="00D26D90">
        <w:t>, and</w:t>
      </w:r>
    </w:p>
    <w:p w14:paraId="0C698BEE" w14:textId="4B52BD03" w:rsidR="00923ACC" w:rsidRPr="00B327AA" w:rsidRDefault="005C3876" w:rsidP="00D26D90">
      <w:pPr>
        <w:pStyle w:val="ListParagraph"/>
        <w:numPr>
          <w:ilvl w:val="0"/>
          <w:numId w:val="45"/>
        </w:numPr>
        <w:ind w:left="1800"/>
        <w:contextualSpacing w:val="0"/>
      </w:pPr>
      <w:r w:rsidRPr="00D26D90">
        <w:t>25 ppb (10 to 15% full scale)</w:t>
      </w:r>
    </w:p>
    <w:p w14:paraId="61A32DDA" w14:textId="22471941" w:rsidR="00FF0E5A" w:rsidRDefault="00C273F0" w:rsidP="00C273F0">
      <w:pPr>
        <w:pStyle w:val="ListParagraph"/>
        <w:contextualSpacing w:val="0"/>
      </w:pPr>
      <w:r>
        <w:t xml:space="preserve">The measured concentrations </w:t>
      </w:r>
      <w:r w:rsidR="005C3876">
        <w:t>for</w:t>
      </w:r>
      <w:r>
        <w:t xml:space="preserve"> the zero and each subsequent NO</w:t>
      </w:r>
      <w:r w:rsidRPr="00D26D90">
        <w:rPr>
          <w:vertAlign w:val="subscript"/>
        </w:rPr>
        <w:t>2</w:t>
      </w:r>
      <w:r>
        <w:t xml:space="preserve"> concentration level are then plotted against the theoretical concentration </w:t>
      </w:r>
      <w:r w:rsidR="00A21B8F">
        <w:t xml:space="preserve">and the data points modeled by </w:t>
      </w:r>
      <w:r>
        <w:t>linear regression.</w:t>
      </w:r>
      <w:r w:rsidR="00B327AA">
        <w:t xml:space="preserve"> Linear regression can be performed with commonly available spreadsheet programs (e.g., Microsoft</w:t>
      </w:r>
      <w:r w:rsidR="00E36C84" w:rsidRPr="00F36A6F">
        <w:rPr>
          <w:vertAlign w:val="superscript"/>
        </w:rPr>
        <w:t>®</w:t>
      </w:r>
      <w:r w:rsidR="00B327AA">
        <w:t xml:space="preserve"> Excel) or other statistical software programs.</w:t>
      </w:r>
    </w:p>
    <w:p w14:paraId="6AA870CF" w14:textId="323FBD49" w:rsidR="005C3876" w:rsidRDefault="005C3876" w:rsidP="00D26D90">
      <w:pPr>
        <w:pStyle w:val="ListParagraph"/>
        <w:contextualSpacing w:val="0"/>
      </w:pPr>
      <w:r>
        <w:t>Conduct the MPV as follows:</w:t>
      </w:r>
    </w:p>
    <w:p w14:paraId="58B4DB76" w14:textId="41DF20F1" w:rsidR="00992030" w:rsidRDefault="00992030" w:rsidP="00D26D90">
      <w:pPr>
        <w:pStyle w:val="ListParagraph"/>
        <w:numPr>
          <w:ilvl w:val="0"/>
          <w:numId w:val="29"/>
        </w:numPr>
        <w:contextualSpacing w:val="0"/>
      </w:pPr>
      <w:r>
        <w:t>Provide zero air to the NO</w:t>
      </w:r>
      <w:r w:rsidRPr="00D26D90">
        <w:rPr>
          <w:vertAlign w:val="subscript"/>
        </w:rPr>
        <w:t>2</w:t>
      </w:r>
      <w:r>
        <w:t xml:space="preserve"> analyzer from the DDC and allow the NO</w:t>
      </w:r>
      <w:r w:rsidRPr="00D26D90">
        <w:rPr>
          <w:vertAlign w:val="subscript"/>
        </w:rPr>
        <w:t>2</w:t>
      </w:r>
      <w:r>
        <w:t xml:space="preserve"> analyzer reading to stabilize. Record this value for input into the regression.</w:t>
      </w:r>
    </w:p>
    <w:p w14:paraId="106819A5" w14:textId="27D04F47" w:rsidR="00A21B8F" w:rsidRDefault="00923ACC" w:rsidP="00D26D90">
      <w:pPr>
        <w:pStyle w:val="ListParagraph"/>
        <w:numPr>
          <w:ilvl w:val="0"/>
          <w:numId w:val="29"/>
        </w:numPr>
        <w:contextualSpacing w:val="0"/>
      </w:pPr>
      <w:r>
        <w:t xml:space="preserve">Starting with the </w:t>
      </w:r>
      <w:r w:rsidR="00BB7D17">
        <w:t>highest</w:t>
      </w:r>
      <w:r w:rsidR="00A21B8F">
        <w:t xml:space="preserve"> (</w:t>
      </w:r>
      <w:r w:rsidR="00BB7D17">
        <w:t>8</w:t>
      </w:r>
      <w:r w:rsidR="00A21B8F">
        <w:t xml:space="preserve">0 to </w:t>
      </w:r>
      <w:r w:rsidR="00BB7D17">
        <w:t>9</w:t>
      </w:r>
      <w:r w:rsidR="00A21B8F">
        <w:t xml:space="preserve">0% full </w:t>
      </w:r>
      <w:r w:rsidR="00BB7D17">
        <w:t xml:space="preserve">measurement </w:t>
      </w:r>
      <w:r w:rsidR="00A21B8F">
        <w:t xml:space="preserve">scale) concentration, program the DDC to provide the standard </w:t>
      </w:r>
      <w:r w:rsidR="00B327AA">
        <w:t xml:space="preserve">gas </w:t>
      </w:r>
      <w:r w:rsidR="00A21B8F">
        <w:t>to the NO</w:t>
      </w:r>
      <w:r w:rsidR="00A21B8F" w:rsidRPr="00D26D90">
        <w:rPr>
          <w:vertAlign w:val="subscript"/>
        </w:rPr>
        <w:t>2</w:t>
      </w:r>
      <w:r w:rsidR="00A21B8F">
        <w:t xml:space="preserve"> analyzer and allow the instrument reading to stabilize.</w:t>
      </w:r>
    </w:p>
    <w:p w14:paraId="14419D54" w14:textId="4A2A7434" w:rsidR="00A21B8F" w:rsidRPr="00D26D90" w:rsidRDefault="00A21B8F" w:rsidP="00D26D90">
      <w:pPr>
        <w:pStyle w:val="ListParagraph"/>
        <w:ind w:left="1440"/>
        <w:contextualSpacing w:val="0"/>
        <w:rPr>
          <w:i/>
          <w:iCs/>
        </w:rPr>
      </w:pPr>
      <w:r w:rsidRPr="00D26D90">
        <w:rPr>
          <w:i/>
          <w:iCs/>
        </w:rPr>
        <w:t>Note</w:t>
      </w:r>
      <w:r w:rsidR="005C3876">
        <w:rPr>
          <w:i/>
          <w:iCs/>
        </w:rPr>
        <w:t>:</w:t>
      </w:r>
      <w:r w:rsidRPr="00D26D90">
        <w:rPr>
          <w:i/>
          <w:iCs/>
        </w:rPr>
        <w:t xml:space="preserve"> </w:t>
      </w:r>
      <w:r w:rsidR="005C3876">
        <w:rPr>
          <w:i/>
          <w:iCs/>
        </w:rPr>
        <w:t xml:space="preserve"> Stabilization</w:t>
      </w:r>
      <w:r w:rsidRPr="00D26D90">
        <w:rPr>
          <w:i/>
          <w:iCs/>
        </w:rPr>
        <w:t xml:space="preserve"> may take several minutes for the internal flow path from the DDC to the NO</w:t>
      </w:r>
      <w:r w:rsidRPr="00D26D90">
        <w:rPr>
          <w:i/>
          <w:iCs/>
          <w:vertAlign w:val="subscript"/>
        </w:rPr>
        <w:t>2</w:t>
      </w:r>
      <w:r w:rsidRPr="00D26D90">
        <w:rPr>
          <w:i/>
          <w:iCs/>
        </w:rPr>
        <w:t xml:space="preserve"> analyzer to equilibrate and for the NO</w:t>
      </w:r>
      <w:r w:rsidRPr="00D26D90">
        <w:rPr>
          <w:i/>
          <w:iCs/>
          <w:vertAlign w:val="subscript"/>
        </w:rPr>
        <w:t>2</w:t>
      </w:r>
      <w:r w:rsidRPr="00D26D90">
        <w:rPr>
          <w:i/>
          <w:iCs/>
        </w:rPr>
        <w:t xml:space="preserve"> analyzer response to stabilize.</w:t>
      </w:r>
    </w:p>
    <w:p w14:paraId="57365CA3" w14:textId="413445FF" w:rsidR="00A21B8F" w:rsidRDefault="00A21B8F" w:rsidP="00D26D90">
      <w:pPr>
        <w:pStyle w:val="ListParagraph"/>
        <w:numPr>
          <w:ilvl w:val="0"/>
          <w:numId w:val="29"/>
        </w:numPr>
        <w:contextualSpacing w:val="0"/>
      </w:pPr>
      <w:r>
        <w:t>Record the stable corresponding NO</w:t>
      </w:r>
      <w:r w:rsidRPr="00D26D90">
        <w:rPr>
          <w:vertAlign w:val="subscript"/>
        </w:rPr>
        <w:t>2</w:t>
      </w:r>
      <w:r>
        <w:t xml:space="preserve"> analyzer reading and the theoretical standard concentration for entry into the linear regression.</w:t>
      </w:r>
    </w:p>
    <w:p w14:paraId="0D6E0DFF" w14:textId="67AB0B45" w:rsidR="00A21B8F" w:rsidRDefault="00A21B8F" w:rsidP="00D26D90">
      <w:pPr>
        <w:pStyle w:val="ListParagraph"/>
        <w:numPr>
          <w:ilvl w:val="0"/>
          <w:numId w:val="29"/>
        </w:numPr>
        <w:contextualSpacing w:val="0"/>
      </w:pPr>
      <w:r>
        <w:t xml:space="preserve">Follow </w:t>
      </w:r>
      <w:r w:rsidR="00E36C84">
        <w:t xml:space="preserve">Steps </w:t>
      </w:r>
      <w:r>
        <w:t xml:space="preserve">b and c above for the additional </w:t>
      </w:r>
      <w:r w:rsidR="00BB7D17">
        <w:t xml:space="preserve">three </w:t>
      </w:r>
      <w:r>
        <w:t>NO</w:t>
      </w:r>
      <w:r w:rsidRPr="00D26D90">
        <w:rPr>
          <w:vertAlign w:val="subscript"/>
        </w:rPr>
        <w:t>2</w:t>
      </w:r>
      <w:r>
        <w:t xml:space="preserve"> standard concentrations.</w:t>
      </w:r>
    </w:p>
    <w:p w14:paraId="19DB7677" w14:textId="35B5921B" w:rsidR="00A21B8F" w:rsidRDefault="00A21B8F" w:rsidP="00D26D90">
      <w:pPr>
        <w:pStyle w:val="ListParagraph"/>
        <w:numPr>
          <w:ilvl w:val="0"/>
          <w:numId w:val="29"/>
        </w:numPr>
        <w:contextualSpacing w:val="0"/>
      </w:pPr>
      <w:r>
        <w:t>Provide zero air to the NO</w:t>
      </w:r>
      <w:r w:rsidRPr="00D26D90">
        <w:rPr>
          <w:vertAlign w:val="subscript"/>
        </w:rPr>
        <w:t>2</w:t>
      </w:r>
      <w:r>
        <w:t xml:space="preserve"> analyzer and verify the instrument response returns to zero. </w:t>
      </w:r>
    </w:p>
    <w:p w14:paraId="603841D7" w14:textId="70613EF1" w:rsidR="00A21B8F" w:rsidRDefault="00A21B8F" w:rsidP="00D26D90">
      <w:pPr>
        <w:pStyle w:val="ListParagraph"/>
        <w:numPr>
          <w:ilvl w:val="0"/>
          <w:numId w:val="29"/>
        </w:numPr>
        <w:contextualSpacing w:val="0"/>
      </w:pPr>
      <w:r>
        <w:t xml:space="preserve">Plot the instrument readings </w:t>
      </w:r>
      <w:r w:rsidR="004C4BA4">
        <w:t xml:space="preserve">for the zero and standards </w:t>
      </w:r>
      <w:r>
        <w:t>on the y-axis against the theoretical NO</w:t>
      </w:r>
      <w:r w:rsidRPr="00D26D90">
        <w:rPr>
          <w:vertAlign w:val="subscript"/>
        </w:rPr>
        <w:t>2</w:t>
      </w:r>
      <w:r>
        <w:t xml:space="preserve"> standard concentrations on the x-axis and perform a </w:t>
      </w:r>
      <w:r w:rsidR="00A14F01">
        <w:t xml:space="preserve">2-parameter (intercept and slope) </w:t>
      </w:r>
      <w:r>
        <w:t xml:space="preserve">linear least-squares regression on the data points. </w:t>
      </w:r>
    </w:p>
    <w:p w14:paraId="16701C38" w14:textId="77777777" w:rsidR="00EE601C" w:rsidRDefault="004C4BA4" w:rsidP="00D26D90">
      <w:pPr>
        <w:pStyle w:val="ListParagraph"/>
        <w:numPr>
          <w:ilvl w:val="0"/>
          <w:numId w:val="29"/>
        </w:numPr>
        <w:contextualSpacing w:val="0"/>
      </w:pPr>
      <w:r>
        <w:t>The</w:t>
      </w:r>
      <w:r w:rsidR="00EE601C">
        <w:t xml:space="preserve"> results of the linear regression must show:</w:t>
      </w:r>
    </w:p>
    <w:p w14:paraId="0EDC9CDF" w14:textId="77777777" w:rsidR="00EE601C" w:rsidRDefault="00EE601C" w:rsidP="00D26D90">
      <w:pPr>
        <w:pStyle w:val="ListParagraph"/>
        <w:numPr>
          <w:ilvl w:val="5"/>
          <w:numId w:val="20"/>
        </w:numPr>
        <w:ind w:left="1541" w:hanging="187"/>
        <w:contextualSpacing w:val="0"/>
      </w:pPr>
      <w:r>
        <w:t xml:space="preserve">The </w:t>
      </w:r>
      <w:r w:rsidR="004C4BA4">
        <w:t>correlation coefficient (r</w:t>
      </w:r>
      <w:r w:rsidRPr="00D26D90">
        <w:rPr>
          <w:vertAlign w:val="superscript"/>
        </w:rPr>
        <w:t>2</w:t>
      </w:r>
      <w:r w:rsidR="004C4BA4">
        <w:t xml:space="preserve">) </w:t>
      </w:r>
      <w:r>
        <w:t>is</w:t>
      </w:r>
      <w:r w:rsidR="004C4BA4">
        <w:t xml:space="preserve"> ≥ 0.99</w:t>
      </w:r>
      <w:r w:rsidR="00A45173">
        <w:t>5</w:t>
      </w:r>
    </w:p>
    <w:p w14:paraId="6964478D" w14:textId="27DC4723" w:rsidR="004C4BA4" w:rsidRDefault="00EE601C" w:rsidP="00D26D90">
      <w:pPr>
        <w:pStyle w:val="ListParagraph"/>
        <w:numPr>
          <w:ilvl w:val="5"/>
          <w:numId w:val="20"/>
        </w:numPr>
        <w:ind w:left="1541" w:hanging="187"/>
        <w:contextualSpacing w:val="0"/>
      </w:pPr>
      <w:r>
        <w:lastRenderedPageBreak/>
        <w:t>T</w:t>
      </w:r>
      <w:r w:rsidR="004C4BA4">
        <w:t xml:space="preserve">he </w:t>
      </w:r>
      <w:r w:rsidR="00F15FA3">
        <w:t>percent difference</w:t>
      </w:r>
      <w:r w:rsidR="004C4BA4">
        <w:t xml:space="preserve"> for the instrument readings at each concentration level </w:t>
      </w:r>
      <w:r w:rsidR="002227CF">
        <w:t>is</w:t>
      </w:r>
      <w:r w:rsidR="004C4BA4">
        <w:t xml:space="preserve"> within </w:t>
      </w:r>
      <w:r w:rsidR="00A45173">
        <w:t>±10% of the theoretical concentration</w:t>
      </w:r>
    </w:p>
    <w:p w14:paraId="0DC6F60F" w14:textId="013D11BB" w:rsidR="00EE601C" w:rsidRDefault="00EE601C" w:rsidP="00D26D90">
      <w:pPr>
        <w:pStyle w:val="ListParagraph"/>
        <w:numPr>
          <w:ilvl w:val="5"/>
          <w:numId w:val="20"/>
        </w:numPr>
        <w:ind w:left="1541" w:hanging="187"/>
        <w:contextualSpacing w:val="0"/>
      </w:pPr>
      <w:r>
        <w:t xml:space="preserve">The x-intercept </w:t>
      </w:r>
      <w:r w:rsidR="00A14F01">
        <w:t xml:space="preserve">(which equals the y-intercept divided by the slope) </w:t>
      </w:r>
      <w:r>
        <w:t xml:space="preserve">of the linear regression </w:t>
      </w:r>
      <w:r w:rsidR="00F15FA3">
        <w:t>is</w:t>
      </w:r>
      <w:r>
        <w:t xml:space="preserve"> ≤ </w:t>
      </w:r>
      <w:r w:rsidR="00632576">
        <w:t>±</w:t>
      </w:r>
      <w:r>
        <w:t>0.2 ppb</w:t>
      </w:r>
    </w:p>
    <w:p w14:paraId="0F79255B" w14:textId="48A1C0DD" w:rsidR="00EE601C" w:rsidRDefault="00EE601C" w:rsidP="00D26D90">
      <w:pPr>
        <w:pStyle w:val="ListParagraph"/>
        <w:numPr>
          <w:ilvl w:val="0"/>
          <w:numId w:val="29"/>
        </w:numPr>
        <w:contextualSpacing w:val="0"/>
      </w:pPr>
      <w:r>
        <w:t>If any of these criteria are not met, the analyzer calibration must be re</w:t>
      </w:r>
      <w:r w:rsidR="00BB7D17">
        <w:t>-established</w:t>
      </w:r>
      <w:r>
        <w:t xml:space="preserve"> (follow the process in Section </w:t>
      </w:r>
      <w:r w:rsidR="00715FF1">
        <w:t>M</w:t>
      </w:r>
      <w:r w:rsidR="00F15FA3">
        <w:t>.4</w:t>
      </w:r>
      <w:r>
        <w:t>).</w:t>
      </w:r>
    </w:p>
    <w:p w14:paraId="6BCD05B9" w14:textId="5CF5DF75" w:rsidR="009A0790" w:rsidRPr="00D26D90" w:rsidRDefault="009A0790" w:rsidP="00D26D90">
      <w:pPr>
        <w:pStyle w:val="ListParagraph"/>
        <w:numPr>
          <w:ilvl w:val="0"/>
          <w:numId w:val="20"/>
        </w:numPr>
        <w:ind w:left="360"/>
        <w:rPr>
          <w:b/>
          <w:bCs/>
        </w:rPr>
      </w:pPr>
      <w:r w:rsidRPr="00D26D90">
        <w:rPr>
          <w:b/>
          <w:bCs/>
        </w:rPr>
        <w:t>Quality Control</w:t>
      </w:r>
      <w:r w:rsidR="007C3181" w:rsidRPr="00D26D90">
        <w:rPr>
          <w:b/>
          <w:bCs/>
        </w:rPr>
        <w:t xml:space="preserve"> Measurements</w:t>
      </w:r>
    </w:p>
    <w:p w14:paraId="30986F12" w14:textId="679E0598" w:rsidR="00527B95" w:rsidRDefault="00BB7D17" w:rsidP="00D26D90">
      <w:pPr>
        <w:ind w:left="360"/>
      </w:pPr>
      <w:r>
        <w:t xml:space="preserve">40 CFR Part 58, Appendix A Section 3.1.1 prescribes </w:t>
      </w:r>
      <w:r w:rsidR="000D4486">
        <w:t xml:space="preserve">that </w:t>
      </w:r>
      <w:r>
        <w:t xml:space="preserve">a one-point QC check </w:t>
      </w:r>
      <w:r w:rsidR="000D4486">
        <w:t xml:space="preserve">be </w:t>
      </w:r>
      <w:r w:rsidR="00C02DBA">
        <w:t>conduct</w:t>
      </w:r>
      <w:r w:rsidR="000D4486">
        <w:t xml:space="preserve">ed </w:t>
      </w:r>
      <w:r>
        <w:t xml:space="preserve">every </w:t>
      </w:r>
      <w:r w:rsidR="00F15FA3">
        <w:t>14 days</w:t>
      </w:r>
      <w:r>
        <w:t xml:space="preserve"> and strongly encourages more frequent checking. </w:t>
      </w:r>
      <w:r w:rsidR="00C4272B">
        <w:t>Details for the number of, frequency for, and acceptance criteria for true NO</w:t>
      </w:r>
      <w:r w:rsidR="00C4272B" w:rsidRPr="00D26D90">
        <w:rPr>
          <w:vertAlign w:val="subscript"/>
        </w:rPr>
        <w:t>2</w:t>
      </w:r>
      <w:r w:rsidR="00C4272B">
        <w:t xml:space="preserve"> analyzer QC measurements are prescribed in the governing monitoring agency QAPP.</w:t>
      </w:r>
      <w:r w:rsidR="004C1FE9">
        <w:t xml:space="preserve"> The</w:t>
      </w:r>
      <w:r w:rsidR="00C4272B">
        <w:t>se</w:t>
      </w:r>
      <w:r w:rsidR="004C1FE9">
        <w:t xml:space="preserve"> QC parameters </w:t>
      </w:r>
      <w:r w:rsidR="00C4272B">
        <w:t xml:space="preserve">are described below </w:t>
      </w:r>
      <w:r w:rsidR="004C1FE9">
        <w:t xml:space="preserve">and </w:t>
      </w:r>
      <w:r w:rsidR="00C4272B">
        <w:t xml:space="preserve">are summarized with associated </w:t>
      </w:r>
      <w:r w:rsidR="004C1FE9">
        <w:t>acceptance criteria in Ta</w:t>
      </w:r>
      <w:r w:rsidR="004C1FE9" w:rsidRPr="00F15FA3">
        <w:t xml:space="preserve">ble </w:t>
      </w:r>
      <w:r w:rsidR="007C442C" w:rsidRPr="00F15FA3">
        <w:t>2</w:t>
      </w:r>
      <w:r w:rsidR="004C1FE9" w:rsidRPr="00F15FA3">
        <w:t>.</w:t>
      </w:r>
      <w:r w:rsidR="004C1FE9">
        <w:t xml:space="preserve"> </w:t>
      </w:r>
    </w:p>
    <w:p w14:paraId="7854352E" w14:textId="77777777" w:rsidR="007C3181" w:rsidRDefault="007C3181" w:rsidP="00D26D90">
      <w:pPr>
        <w:pStyle w:val="ListParagraph"/>
        <w:numPr>
          <w:ilvl w:val="3"/>
          <w:numId w:val="20"/>
        </w:numPr>
        <w:ind w:left="720"/>
        <w:contextualSpacing w:val="0"/>
      </w:pPr>
      <w:r>
        <w:t>QC Measurement Timing</w:t>
      </w:r>
    </w:p>
    <w:p w14:paraId="3F0933CC" w14:textId="01B4CF19" w:rsidR="00715FF1" w:rsidRDefault="00527B95" w:rsidP="00F60D38">
      <w:pPr>
        <w:pStyle w:val="ListParagraph"/>
        <w:contextualSpacing w:val="0"/>
      </w:pPr>
      <w:r>
        <w:t xml:space="preserve">Performance of these QC checks should occur during overnight hours, typically between 2:00 and 4:00 a.m. </w:t>
      </w:r>
      <w:r w:rsidR="000D4486">
        <w:t xml:space="preserve">local </w:t>
      </w:r>
      <w:r w:rsidR="00C02DBA">
        <w:t xml:space="preserve">standard </w:t>
      </w:r>
      <w:r w:rsidR="000D4486">
        <w:t xml:space="preserve">time </w:t>
      </w:r>
      <w:r>
        <w:t xml:space="preserve">(02:00 and 04:00 hours) to avoid missing </w:t>
      </w:r>
      <w:r w:rsidR="003A66E4">
        <w:t xml:space="preserve">ambient air </w:t>
      </w:r>
      <w:r>
        <w:t xml:space="preserve">sampling hours of particular interest to the PAMS program. </w:t>
      </w:r>
    </w:p>
    <w:p w14:paraId="2CBEDDB3" w14:textId="00394A26" w:rsidR="007C2118" w:rsidRDefault="007C2118" w:rsidP="00D26D90">
      <w:pPr>
        <w:pStyle w:val="ListParagraph"/>
        <w:numPr>
          <w:ilvl w:val="3"/>
          <w:numId w:val="20"/>
        </w:numPr>
        <w:ind w:left="720"/>
        <w:contextualSpacing w:val="0"/>
      </w:pPr>
      <w:r>
        <w:t xml:space="preserve">Routine </w:t>
      </w:r>
      <w:r w:rsidR="000441D0">
        <w:t xml:space="preserve">QC </w:t>
      </w:r>
      <w:r>
        <w:t>C</w:t>
      </w:r>
      <w:r w:rsidR="000441D0">
        <w:t>hecks</w:t>
      </w:r>
    </w:p>
    <w:p w14:paraId="33691FCC" w14:textId="52CA1829" w:rsidR="00DE1B20" w:rsidRDefault="007C2118" w:rsidP="003355E8">
      <w:pPr>
        <w:pStyle w:val="ListParagraph"/>
        <w:contextualSpacing w:val="0"/>
      </w:pPr>
      <w:r>
        <w:t xml:space="preserve">Routine QC checks </w:t>
      </w:r>
      <w:r w:rsidR="000441D0">
        <w:t>for true NO</w:t>
      </w:r>
      <w:r w:rsidR="000441D0" w:rsidRPr="00D26D90">
        <w:rPr>
          <w:vertAlign w:val="subscript"/>
        </w:rPr>
        <w:t>2</w:t>
      </w:r>
      <w:r w:rsidR="000441D0">
        <w:t xml:space="preserve"> analysis include:</w:t>
      </w:r>
      <w:r w:rsidR="00527B95">
        <w:t xml:space="preserve">  z</w:t>
      </w:r>
      <w:r w:rsidR="000441D0">
        <w:t>ero</w:t>
      </w:r>
      <w:r w:rsidR="00527B95">
        <w:t>, span, and precision. The</w:t>
      </w:r>
      <w:r w:rsidR="0099037E">
        <w:t xml:space="preserve">se checks are performed sequentially </w:t>
      </w:r>
      <w:r>
        <w:t xml:space="preserve">(back-to-back) </w:t>
      </w:r>
      <w:r w:rsidR="0099037E">
        <w:t xml:space="preserve">where </w:t>
      </w:r>
      <w:r>
        <w:t>the zero check is performed first followed by upscale calibration check points</w:t>
      </w:r>
      <w:r w:rsidR="004C7DE3">
        <w:t xml:space="preserve"> (span and precision)</w:t>
      </w:r>
      <w:r>
        <w:t xml:space="preserve">. </w:t>
      </w:r>
      <w:r w:rsidR="003355E8">
        <w:t>The NO</w:t>
      </w:r>
      <w:r w:rsidR="003355E8" w:rsidRPr="00A0702C">
        <w:rPr>
          <w:vertAlign w:val="subscript"/>
        </w:rPr>
        <w:t>2</w:t>
      </w:r>
      <w:r w:rsidR="003355E8">
        <w:t xml:space="preserve"> analyzer is operated in the normal sampling mode for all QC checks, allowing the zero air</w:t>
      </w:r>
      <w:r w:rsidR="008A1889">
        <w:t xml:space="preserve"> or standard gas</w:t>
      </w:r>
      <w:r w:rsidR="003355E8">
        <w:t xml:space="preserve"> to pass through all filters, scrubbers, and other components employed during routine monitoring.</w:t>
      </w:r>
      <w:r w:rsidR="00A24D04">
        <w:t xml:space="preserve"> QC checks must be performed on the NO</w:t>
      </w:r>
      <w:r w:rsidR="00A24D04" w:rsidRPr="00D26D90">
        <w:rPr>
          <w:vertAlign w:val="subscript"/>
        </w:rPr>
        <w:t>2</w:t>
      </w:r>
      <w:r w:rsidR="00A24D04">
        <w:t xml:space="preserve"> analyzer in as-is condition; the operator must not adjust the NO</w:t>
      </w:r>
      <w:r w:rsidR="00A24D04" w:rsidRPr="00D26D90">
        <w:rPr>
          <w:vertAlign w:val="subscript"/>
        </w:rPr>
        <w:t>2</w:t>
      </w:r>
      <w:r w:rsidR="00A24D04">
        <w:t xml:space="preserve"> analyzer zero or span settings prior to conducting QC checks.</w:t>
      </w:r>
    </w:p>
    <w:p w14:paraId="7CB5BEE2" w14:textId="4774927F" w:rsidR="008C31B8" w:rsidRDefault="008C31B8" w:rsidP="00D26D90">
      <w:pPr>
        <w:pStyle w:val="ListParagraph"/>
        <w:contextualSpacing w:val="0"/>
      </w:pPr>
      <w:r>
        <w:t>Instrument operators will determine the time it takes for the NO</w:t>
      </w:r>
      <w:r w:rsidRPr="00D26D90">
        <w:rPr>
          <w:vertAlign w:val="subscript"/>
        </w:rPr>
        <w:t>2</w:t>
      </w:r>
      <w:r>
        <w:t xml:space="preserve"> analyzer reading to stabilize and this period will be programmed into automated QC check routines prior to measuring and subsequently measure the QC check for a minimum of 10 minutes. The average of this measurement period will be reported as the </w:t>
      </w:r>
      <w:r w:rsidR="00A24D04">
        <w:t>measured concentration of the given QC check.</w:t>
      </w:r>
    </w:p>
    <w:p w14:paraId="110000C6" w14:textId="7A228F7E" w:rsidR="00D77089" w:rsidRDefault="00DE1B20">
      <w:pPr>
        <w:pStyle w:val="ListParagraph"/>
        <w:contextualSpacing w:val="0"/>
      </w:pPr>
      <w:r>
        <w:t xml:space="preserve">A </w:t>
      </w:r>
      <w:r w:rsidR="0099037E">
        <w:t xml:space="preserve">zero/span check </w:t>
      </w:r>
      <w:r>
        <w:t xml:space="preserve">must be </w:t>
      </w:r>
      <w:r w:rsidR="0099037E">
        <w:t>performed minimally every 14 days</w:t>
      </w:r>
      <w:r>
        <w:t>.</w:t>
      </w:r>
      <w:r w:rsidR="003355E8">
        <w:t xml:space="preserve"> A z</w:t>
      </w:r>
      <w:r w:rsidR="0099037E">
        <w:t xml:space="preserve">ero/span/precision </w:t>
      </w:r>
      <w:r>
        <w:t xml:space="preserve">check is </w:t>
      </w:r>
      <w:r w:rsidR="003355E8">
        <w:t xml:space="preserve">optional, but </w:t>
      </w:r>
      <w:r w:rsidR="008A1889">
        <w:t xml:space="preserve">monitoring agencies are </w:t>
      </w:r>
      <w:r>
        <w:t>encouraged</w:t>
      </w:r>
      <w:r w:rsidR="003355E8">
        <w:t xml:space="preserve"> to </w:t>
      </w:r>
      <w:r w:rsidR="004C7DE3">
        <w:t xml:space="preserve">perform these checks </w:t>
      </w:r>
      <w:r w:rsidR="003355E8">
        <w:t xml:space="preserve">frequently </w:t>
      </w:r>
      <w:r w:rsidR="004C7DE3">
        <w:t xml:space="preserve">(i.e., nightly or every other night) </w:t>
      </w:r>
      <w:r w:rsidR="003355E8">
        <w:t xml:space="preserve">to reduce ambient data invalidation due to </w:t>
      </w:r>
      <w:r w:rsidR="004C7DE3">
        <w:t xml:space="preserve">unacceptable </w:t>
      </w:r>
      <w:r w:rsidR="003355E8">
        <w:t>zero and/or calibration drift</w:t>
      </w:r>
      <w:r>
        <w:t>.</w:t>
      </w:r>
      <w:r w:rsidR="00527B95">
        <w:t xml:space="preserve"> </w:t>
      </w:r>
    </w:p>
    <w:p w14:paraId="759B1255" w14:textId="6ED71F4B" w:rsidR="0099037E" w:rsidRDefault="00DE1B20" w:rsidP="00D26D90">
      <w:pPr>
        <w:pStyle w:val="ListParagraph"/>
        <w:numPr>
          <w:ilvl w:val="4"/>
          <w:numId w:val="20"/>
        </w:numPr>
        <w:ind w:left="1080"/>
      </w:pPr>
      <w:r>
        <w:t>Zero C</w:t>
      </w:r>
      <w:r w:rsidR="000441D0">
        <w:t>heck</w:t>
      </w:r>
    </w:p>
    <w:p w14:paraId="2169F07D" w14:textId="25CE50C1" w:rsidR="00BD4C4E" w:rsidRDefault="008526F6" w:rsidP="00D26D90">
      <w:pPr>
        <w:ind w:left="1080"/>
      </w:pPr>
      <w:r>
        <w:t xml:space="preserve">Zero checks </w:t>
      </w:r>
      <w:r w:rsidR="00E50E19">
        <w:t>assess the zero drift (instrument response in the absence of NO</w:t>
      </w:r>
      <w:r w:rsidR="00E50E19" w:rsidRPr="00D26D90">
        <w:rPr>
          <w:vertAlign w:val="subscript"/>
        </w:rPr>
        <w:t>2</w:t>
      </w:r>
      <w:r w:rsidR="00E50E19">
        <w:t>) of the NO</w:t>
      </w:r>
      <w:r w:rsidR="00E50E19" w:rsidRPr="00D26D90">
        <w:rPr>
          <w:vertAlign w:val="subscript"/>
        </w:rPr>
        <w:t>2</w:t>
      </w:r>
      <w:r w:rsidR="00E50E19">
        <w:t xml:space="preserve"> analyzer by </w:t>
      </w:r>
      <w:r>
        <w:t xml:space="preserve">analyzing </w:t>
      </w:r>
      <w:r w:rsidR="00E50E19">
        <w:t>zero air</w:t>
      </w:r>
      <w:r>
        <w:t xml:space="preserve">. </w:t>
      </w:r>
      <w:r w:rsidR="00BD4C4E">
        <w:t xml:space="preserve">A zero check </w:t>
      </w:r>
      <w:r w:rsidR="00BD4C4E" w:rsidRPr="00DB783F">
        <w:t xml:space="preserve">is to be conducted before any calibration or adjustment is made to the </w:t>
      </w:r>
      <w:r w:rsidR="00F15FA3">
        <w:t>analyzer</w:t>
      </w:r>
      <w:r w:rsidR="00BD4C4E" w:rsidRPr="00DB783F">
        <w:t>. The</w:t>
      </w:r>
      <w:r w:rsidR="00BD4C4E">
        <w:t xml:space="preserve"> </w:t>
      </w:r>
      <w:r w:rsidR="00E50E19">
        <w:t xml:space="preserve">instrument reading for the zero check should be </w:t>
      </w:r>
      <w:r w:rsidR="00BD4C4E" w:rsidRPr="00DB783F">
        <w:t xml:space="preserve">≤ </w:t>
      </w:r>
      <w:r w:rsidR="00E50E19">
        <w:t>±</w:t>
      </w:r>
      <w:r w:rsidR="00BD4C4E" w:rsidRPr="00DB783F">
        <w:t>0.</w:t>
      </w:r>
      <w:r w:rsidR="00E50E19">
        <w:t>3</w:t>
      </w:r>
      <w:r w:rsidR="00BD4C4E" w:rsidRPr="00DB783F">
        <w:t xml:space="preserve"> ppb</w:t>
      </w:r>
      <w:r w:rsidR="00E50E19">
        <w:t xml:space="preserve"> and must not exceed ±3 ppb over </w:t>
      </w:r>
      <w:r w:rsidR="00F15FA3">
        <w:t xml:space="preserve">≤ </w:t>
      </w:r>
      <w:r w:rsidR="00E50E19">
        <w:t>24 hours or ±5 ppb over &gt; 24 hours up to 14 days</w:t>
      </w:r>
      <w:r w:rsidR="00BD4C4E">
        <w:t>.</w:t>
      </w:r>
    </w:p>
    <w:p w14:paraId="288BC7B2" w14:textId="40C0C6D0" w:rsidR="00D209D2" w:rsidRDefault="00D209D2" w:rsidP="00D26D90">
      <w:pPr>
        <w:pStyle w:val="ListParagraph"/>
        <w:numPr>
          <w:ilvl w:val="1"/>
          <w:numId w:val="20"/>
        </w:numPr>
        <w:ind w:left="994"/>
        <w:contextualSpacing w:val="0"/>
      </w:pPr>
      <w:r>
        <w:lastRenderedPageBreak/>
        <w:t xml:space="preserve">Span </w:t>
      </w:r>
      <w:r w:rsidR="00E50E19">
        <w:t>Check</w:t>
      </w:r>
    </w:p>
    <w:p w14:paraId="7CBC87F9" w14:textId="5AE8577C" w:rsidR="0055038C" w:rsidRDefault="00E50E19" w:rsidP="00D26D90">
      <w:pPr>
        <w:pStyle w:val="ListParagraph"/>
        <w:ind w:left="994"/>
        <w:contextualSpacing w:val="0"/>
      </w:pPr>
      <w:bookmarkStart w:id="3" w:name="_Hlk45194254"/>
      <w:r>
        <w:t>S</w:t>
      </w:r>
      <w:r w:rsidR="00D209D2">
        <w:t xml:space="preserve">pan </w:t>
      </w:r>
      <w:r>
        <w:t xml:space="preserve">checks </w:t>
      </w:r>
      <w:r w:rsidR="003355E8">
        <w:t>assess the NO</w:t>
      </w:r>
      <w:r w:rsidR="003355E8" w:rsidRPr="00D26D90">
        <w:rPr>
          <w:vertAlign w:val="subscript"/>
        </w:rPr>
        <w:t>2</w:t>
      </w:r>
      <w:r w:rsidR="003355E8">
        <w:t xml:space="preserve"> analyzer calibration at approximately </w:t>
      </w:r>
      <w:r w:rsidR="00D209D2">
        <w:t xml:space="preserve">80 to 90% of the </w:t>
      </w:r>
      <w:r>
        <w:t>measurement</w:t>
      </w:r>
      <w:r w:rsidR="00D209D2">
        <w:t xml:space="preserve"> scale of the analyzer. </w:t>
      </w:r>
      <w:r>
        <w:t xml:space="preserve">Span checks should immediately follow a zero check. </w:t>
      </w:r>
      <w:r w:rsidR="00D209D2">
        <w:t xml:space="preserve">The </w:t>
      </w:r>
      <w:r>
        <w:t xml:space="preserve">selected </w:t>
      </w:r>
      <w:r w:rsidR="00D209D2">
        <w:t xml:space="preserve">span check concentration should be above 99% of the routine </w:t>
      </w:r>
      <w:r>
        <w:t xml:space="preserve">ambient measurement </w:t>
      </w:r>
      <w:r w:rsidR="00D209D2">
        <w:t xml:space="preserve">data over </w:t>
      </w:r>
      <w:r>
        <w:t>the previous</w:t>
      </w:r>
      <w:r w:rsidR="00D209D2">
        <w:t xml:space="preserve"> </w:t>
      </w:r>
      <w:r>
        <w:t>three</w:t>
      </w:r>
      <w:r w:rsidR="00D209D2">
        <w:t>-year period</w:t>
      </w:r>
      <w:r>
        <w:t>.</w:t>
      </w:r>
      <w:r w:rsidR="00D209D2">
        <w:t xml:space="preserve"> </w:t>
      </w:r>
      <w:r w:rsidR="003355E8">
        <w:t>The measured</w:t>
      </w:r>
      <w:r w:rsidR="00D209D2">
        <w:t xml:space="preserve"> concentration </w:t>
      </w:r>
      <w:r w:rsidR="003355E8">
        <w:t xml:space="preserve">of the span check </w:t>
      </w:r>
      <w:r w:rsidR="00F15FA3">
        <w:t xml:space="preserve">percent difference </w:t>
      </w:r>
      <w:r w:rsidR="003355E8">
        <w:t>must</w:t>
      </w:r>
      <w:r w:rsidR="00D209D2">
        <w:t xml:space="preserve"> be within ±10% of the </w:t>
      </w:r>
      <w:r w:rsidR="003355E8">
        <w:t>theoretic</w:t>
      </w:r>
      <w:r w:rsidR="00D209D2">
        <w:t>al concentration</w:t>
      </w:r>
      <w:r w:rsidR="003355E8">
        <w:t xml:space="preserve"> or recalibration of the NO</w:t>
      </w:r>
      <w:r w:rsidR="003355E8" w:rsidRPr="00D26D90">
        <w:rPr>
          <w:vertAlign w:val="subscript"/>
        </w:rPr>
        <w:t>2</w:t>
      </w:r>
      <w:r w:rsidR="003355E8">
        <w:t xml:space="preserve"> analyzer is required</w:t>
      </w:r>
      <w:r w:rsidR="00D209D2">
        <w:t>.</w:t>
      </w:r>
    </w:p>
    <w:bookmarkEnd w:id="3"/>
    <w:p w14:paraId="21BF25A0" w14:textId="7A38A301" w:rsidR="00611FAD" w:rsidRDefault="003355E8" w:rsidP="00D26D90">
      <w:pPr>
        <w:pStyle w:val="ListParagraph"/>
        <w:numPr>
          <w:ilvl w:val="1"/>
          <w:numId w:val="20"/>
        </w:numPr>
        <w:ind w:left="994"/>
        <w:contextualSpacing w:val="0"/>
      </w:pPr>
      <w:r>
        <w:t>Precision</w:t>
      </w:r>
      <w:r w:rsidR="0055038C">
        <w:t xml:space="preserve"> Check</w:t>
      </w:r>
    </w:p>
    <w:p w14:paraId="69D25B2A" w14:textId="56F3EBA7" w:rsidR="001906D9" w:rsidRDefault="001906D9" w:rsidP="00F60D38">
      <w:pPr>
        <w:pStyle w:val="ListParagraph"/>
        <w:ind w:left="994"/>
        <w:contextualSpacing w:val="0"/>
      </w:pPr>
      <w:r>
        <w:t>Precisio</w:t>
      </w:r>
      <w:r w:rsidRPr="001906D9">
        <w:t>n checks assess the NO</w:t>
      </w:r>
      <w:r w:rsidRPr="00F60D38">
        <w:rPr>
          <w:vertAlign w:val="subscript"/>
        </w:rPr>
        <w:t>2</w:t>
      </w:r>
      <w:r w:rsidRPr="001906D9">
        <w:t xml:space="preserve"> analyzer calibration at approximately </w:t>
      </w:r>
      <w:r>
        <w:t xml:space="preserve">the lower third </w:t>
      </w:r>
      <w:r w:rsidRPr="001906D9">
        <w:t xml:space="preserve">of the measurement scale of the analyzer. </w:t>
      </w:r>
      <w:r>
        <w:t>Precisio</w:t>
      </w:r>
      <w:r w:rsidRPr="001906D9">
        <w:t xml:space="preserve">n checks should immediately follow a </w:t>
      </w:r>
      <w:r>
        <w:t>span</w:t>
      </w:r>
      <w:r w:rsidRPr="001906D9">
        <w:t xml:space="preserve"> check. The measured concentration of the </w:t>
      </w:r>
      <w:r>
        <w:t>precisio</w:t>
      </w:r>
      <w:r w:rsidRPr="001906D9">
        <w:t>n check percent difference must be within ±10% of the theoretical concentration or recalibration of the NO</w:t>
      </w:r>
      <w:r w:rsidRPr="00F60D38">
        <w:rPr>
          <w:vertAlign w:val="subscript"/>
        </w:rPr>
        <w:t>2</w:t>
      </w:r>
      <w:r w:rsidRPr="001906D9">
        <w:t xml:space="preserve"> analyzer is required.</w:t>
      </w:r>
    </w:p>
    <w:p w14:paraId="475AC677" w14:textId="59136A5D" w:rsidR="00E80AA0" w:rsidRPr="00D26D90" w:rsidRDefault="00D3500D" w:rsidP="00D26D90">
      <w:pPr>
        <w:pStyle w:val="Style1"/>
        <w:numPr>
          <w:ilvl w:val="0"/>
          <w:numId w:val="20"/>
        </w:numPr>
        <w:tabs>
          <w:tab w:val="clear" w:pos="720"/>
        </w:tabs>
        <w:spacing w:before="120"/>
        <w:ind w:left="360"/>
        <w:contextualSpacing w:val="0"/>
        <w:rPr>
          <w:b/>
        </w:rPr>
      </w:pPr>
      <w:r w:rsidRPr="00D26D90">
        <w:rPr>
          <w:b/>
          <w:bCs w:val="0"/>
        </w:rPr>
        <w:t xml:space="preserve">Data Reporting </w:t>
      </w:r>
      <w:r w:rsidR="00165A9D">
        <w:rPr>
          <w:b/>
          <w:bCs w:val="0"/>
        </w:rPr>
        <w:t>and Calculations</w:t>
      </w:r>
    </w:p>
    <w:p w14:paraId="2634DC98" w14:textId="77777777" w:rsidR="00591AD8" w:rsidRDefault="004177C5" w:rsidP="00D26D90">
      <w:pPr>
        <w:pStyle w:val="ListParagraph"/>
        <w:numPr>
          <w:ilvl w:val="3"/>
          <w:numId w:val="20"/>
        </w:numPr>
        <w:ind w:left="720"/>
        <w:contextualSpacing w:val="0"/>
      </w:pPr>
      <w:r w:rsidRPr="00E6556B">
        <w:t>Data Reporting</w:t>
      </w:r>
    </w:p>
    <w:p w14:paraId="4A09B189" w14:textId="7DC75614" w:rsidR="004177C5" w:rsidRPr="00E6556B" w:rsidRDefault="00DF05BD" w:rsidP="00D26D90">
      <w:pPr>
        <w:pStyle w:val="ListParagraph"/>
        <w:contextualSpacing w:val="0"/>
      </w:pPr>
      <w:r w:rsidRPr="00E6556B">
        <w:t xml:space="preserve">Measured </w:t>
      </w:r>
      <w:r w:rsidR="00F15FA3">
        <w:t>NO</w:t>
      </w:r>
      <w:r w:rsidR="00F15FA3" w:rsidRPr="00D26D90">
        <w:rPr>
          <w:vertAlign w:val="subscript"/>
        </w:rPr>
        <w:t>2</w:t>
      </w:r>
      <w:r w:rsidR="00F15FA3">
        <w:t xml:space="preserve"> </w:t>
      </w:r>
      <w:r w:rsidRPr="00E6556B">
        <w:t xml:space="preserve">concentrations </w:t>
      </w:r>
      <w:r w:rsidR="00F15FA3">
        <w:t xml:space="preserve">(AQS parameter code 42602) </w:t>
      </w:r>
      <w:r w:rsidRPr="00E6556B">
        <w:t>are to be reported in units of ppb</w:t>
      </w:r>
      <w:r w:rsidR="00642307" w:rsidRPr="000E1CFF">
        <w:t xml:space="preserve"> </w:t>
      </w:r>
      <w:r w:rsidR="00F15FA3">
        <w:t xml:space="preserve">(AQS unit code 8) or ppm (AQS unit code 7) </w:t>
      </w:r>
      <w:r w:rsidR="00642307" w:rsidRPr="000E1CFF">
        <w:t>as hourly averages</w:t>
      </w:r>
      <w:r w:rsidR="00F15FA3">
        <w:t xml:space="preserve"> (AQS duration code 1)</w:t>
      </w:r>
      <w:r w:rsidRPr="000E1CFF">
        <w:t xml:space="preserve">. </w:t>
      </w:r>
    </w:p>
    <w:p w14:paraId="70ECAE9B" w14:textId="5363461C" w:rsidR="004177C5" w:rsidRPr="00D26D90" w:rsidRDefault="004177C5" w:rsidP="00D26D90">
      <w:pPr>
        <w:pStyle w:val="ListParagraph"/>
        <w:numPr>
          <w:ilvl w:val="3"/>
          <w:numId w:val="20"/>
        </w:numPr>
        <w:ind w:left="720"/>
        <w:contextualSpacing w:val="0"/>
      </w:pPr>
      <w:r w:rsidRPr="00591AD8">
        <w:rPr>
          <w:snapToGrid w:val="0"/>
        </w:rPr>
        <w:t>Calculations</w:t>
      </w:r>
    </w:p>
    <w:p w14:paraId="42F373CF" w14:textId="155F2FBF" w:rsidR="004177C5" w:rsidRPr="00E6556B" w:rsidRDefault="004177C5" w:rsidP="00D26D90">
      <w:pPr>
        <w:pStyle w:val="ListParagraph"/>
        <w:numPr>
          <w:ilvl w:val="4"/>
          <w:numId w:val="20"/>
        </w:numPr>
        <w:ind w:left="1080"/>
      </w:pPr>
      <w:r w:rsidRPr="00946CFC">
        <w:rPr>
          <w:snapToGrid w:val="0"/>
        </w:rPr>
        <w:t>Standard dilution concentration</w:t>
      </w:r>
      <w:r w:rsidR="00F15FA3">
        <w:rPr>
          <w:snapToGrid w:val="0"/>
        </w:rPr>
        <w:t xml:space="preserve"> using</w:t>
      </w:r>
      <w:r w:rsidRPr="00946CFC">
        <w:rPr>
          <w:snapToGrid w:val="0"/>
        </w:rPr>
        <w:t xml:space="preserve"> dynamic dilution:</w:t>
      </w:r>
    </w:p>
    <w:p w14:paraId="5BB58741" w14:textId="07BDF954" w:rsidR="00946CFC" w:rsidRPr="00D26D90" w:rsidRDefault="00051DA0" w:rsidP="00D26D90">
      <w:pPr>
        <w:tabs>
          <w:tab w:val="left" w:pos="2430"/>
        </w:tabs>
        <w:rPr>
          <w:iCs/>
          <w:snapToGrid w:val="0"/>
        </w:rPr>
      </w:pPr>
      <m:oMathPara>
        <m:oMath>
          <m:sSub>
            <m:sSubPr>
              <m:ctrlPr>
                <w:rPr>
                  <w:rFonts w:ascii="Cambria Math" w:hAnsi="Cambria Math"/>
                  <w:iCs/>
                  <w:snapToGrid w:val="0"/>
                </w:rPr>
              </m:ctrlPr>
            </m:sSubPr>
            <m:e>
              <m:r>
                <m:rPr>
                  <m:sty m:val="p"/>
                </m:rPr>
                <w:rPr>
                  <w:rFonts w:ascii="Cambria Math" w:hAnsi="Cambria Math"/>
                  <w:snapToGrid w:val="0"/>
                </w:rPr>
                <m:t>C</m:t>
              </m:r>
            </m:e>
            <m:sub>
              <m:r>
                <m:rPr>
                  <m:sty m:val="p"/>
                </m:rPr>
                <w:rPr>
                  <w:rFonts w:ascii="Cambria Math" w:hAnsi="Cambria Math"/>
                  <w:snapToGrid w:val="0"/>
                </w:rPr>
                <m:t>d</m:t>
              </m:r>
            </m:sub>
          </m:sSub>
          <m:r>
            <m:rPr>
              <m:sty m:val="p"/>
            </m:rPr>
            <w:rPr>
              <w:rFonts w:ascii="Cambria Math" w:hAnsi="Cambria Math"/>
              <w:snapToGrid w:val="0"/>
            </w:rPr>
            <m:t xml:space="preserve">= </m:t>
          </m:r>
          <m:f>
            <m:fPr>
              <m:ctrlPr>
                <w:rPr>
                  <w:rFonts w:ascii="Cambria Math" w:hAnsi="Cambria Math"/>
                  <w:iCs/>
                  <w:snapToGrid w:val="0"/>
                </w:rPr>
              </m:ctrlPr>
            </m:fPr>
            <m:num>
              <m:d>
                <m:dPr>
                  <m:ctrlPr>
                    <w:rPr>
                      <w:rFonts w:ascii="Cambria Math" w:hAnsi="Cambria Math"/>
                      <w:iCs/>
                      <w:snapToGrid w:val="0"/>
                    </w:rPr>
                  </m:ctrlPr>
                </m:dPr>
                <m:e>
                  <m:sSub>
                    <m:sSubPr>
                      <m:ctrlPr>
                        <w:rPr>
                          <w:rFonts w:ascii="Cambria Math" w:hAnsi="Cambria Math"/>
                          <w:iCs/>
                          <w:snapToGrid w:val="0"/>
                        </w:rPr>
                      </m:ctrlPr>
                    </m:sSubPr>
                    <m:e>
                      <m:r>
                        <m:rPr>
                          <m:sty m:val="p"/>
                        </m:rPr>
                        <w:rPr>
                          <w:rFonts w:ascii="Cambria Math" w:hAnsi="Cambria Math"/>
                          <w:snapToGrid w:val="0"/>
                        </w:rPr>
                        <m:t>F</m:t>
                      </m:r>
                    </m:e>
                    <m:sub>
                      <m:r>
                        <m:rPr>
                          <m:sty m:val="p"/>
                        </m:rPr>
                        <w:rPr>
                          <w:rFonts w:ascii="Cambria Math" w:hAnsi="Cambria Math"/>
                          <w:snapToGrid w:val="0"/>
                        </w:rPr>
                        <m:t>s</m:t>
                      </m:r>
                    </m:sub>
                  </m:sSub>
                  <m:r>
                    <m:rPr>
                      <m:sty m:val="p"/>
                    </m:rPr>
                    <w:rPr>
                      <w:rFonts w:ascii="Cambria Math" w:hAnsi="Cambria Math"/>
                      <w:snapToGrid w:val="0"/>
                    </w:rPr>
                    <m:t>∙</m:t>
                  </m:r>
                  <m:sSub>
                    <m:sSubPr>
                      <m:ctrlPr>
                        <w:rPr>
                          <w:rFonts w:ascii="Cambria Math" w:hAnsi="Cambria Math"/>
                          <w:iCs/>
                          <w:snapToGrid w:val="0"/>
                        </w:rPr>
                      </m:ctrlPr>
                    </m:sSubPr>
                    <m:e>
                      <m:r>
                        <m:rPr>
                          <m:sty m:val="p"/>
                        </m:rPr>
                        <w:rPr>
                          <w:rFonts w:ascii="Cambria Math" w:hAnsi="Cambria Math"/>
                          <w:snapToGrid w:val="0"/>
                        </w:rPr>
                        <m:t>C</m:t>
                      </m:r>
                    </m:e>
                    <m:sub>
                      <m:r>
                        <m:rPr>
                          <m:sty m:val="p"/>
                        </m:rPr>
                        <w:rPr>
                          <w:rFonts w:ascii="Cambria Math" w:hAnsi="Cambria Math"/>
                          <w:snapToGrid w:val="0"/>
                        </w:rPr>
                        <m:t>s</m:t>
                      </m:r>
                    </m:sub>
                  </m:sSub>
                </m:e>
              </m:d>
            </m:num>
            <m:den>
              <m:d>
                <m:dPr>
                  <m:ctrlPr>
                    <w:rPr>
                      <w:rFonts w:ascii="Cambria Math" w:hAnsi="Cambria Math"/>
                      <w:iCs/>
                      <w:snapToGrid w:val="0"/>
                    </w:rPr>
                  </m:ctrlPr>
                </m:dPr>
                <m:e>
                  <m:sSub>
                    <m:sSubPr>
                      <m:ctrlPr>
                        <w:rPr>
                          <w:rFonts w:ascii="Cambria Math" w:hAnsi="Cambria Math"/>
                          <w:iCs/>
                          <w:snapToGrid w:val="0"/>
                        </w:rPr>
                      </m:ctrlPr>
                    </m:sSubPr>
                    <m:e>
                      <m:r>
                        <m:rPr>
                          <m:sty m:val="p"/>
                        </m:rPr>
                        <w:rPr>
                          <w:rFonts w:ascii="Cambria Math" w:hAnsi="Cambria Math"/>
                          <w:snapToGrid w:val="0"/>
                        </w:rPr>
                        <m:t>F</m:t>
                      </m:r>
                    </m:e>
                    <m:sub>
                      <m:r>
                        <m:rPr>
                          <m:sty m:val="p"/>
                        </m:rPr>
                        <w:rPr>
                          <w:rFonts w:ascii="Cambria Math" w:hAnsi="Cambria Math"/>
                          <w:snapToGrid w:val="0"/>
                        </w:rPr>
                        <m:t>s</m:t>
                      </m:r>
                    </m:sub>
                  </m:sSub>
                  <m:r>
                    <m:rPr>
                      <m:sty m:val="p"/>
                    </m:rPr>
                    <w:rPr>
                      <w:rFonts w:ascii="Cambria Math" w:hAnsi="Cambria Math"/>
                      <w:snapToGrid w:val="0"/>
                    </w:rPr>
                    <m:t>+</m:t>
                  </m:r>
                  <m:sSub>
                    <m:sSubPr>
                      <m:ctrlPr>
                        <w:rPr>
                          <w:rFonts w:ascii="Cambria Math" w:hAnsi="Cambria Math"/>
                          <w:iCs/>
                          <w:snapToGrid w:val="0"/>
                        </w:rPr>
                      </m:ctrlPr>
                    </m:sSubPr>
                    <m:e>
                      <m:r>
                        <m:rPr>
                          <m:sty m:val="p"/>
                        </m:rPr>
                        <w:rPr>
                          <w:rFonts w:ascii="Cambria Math" w:hAnsi="Cambria Math"/>
                          <w:snapToGrid w:val="0"/>
                        </w:rPr>
                        <m:t>F</m:t>
                      </m:r>
                    </m:e>
                    <m:sub>
                      <m:r>
                        <m:rPr>
                          <m:sty m:val="p"/>
                        </m:rPr>
                        <w:rPr>
                          <w:rFonts w:ascii="Cambria Math" w:hAnsi="Cambria Math"/>
                          <w:snapToGrid w:val="0"/>
                        </w:rPr>
                        <m:t>d</m:t>
                      </m:r>
                    </m:sub>
                  </m:sSub>
                </m:e>
              </m:d>
            </m:den>
          </m:f>
        </m:oMath>
      </m:oMathPara>
    </w:p>
    <w:p w14:paraId="3431F8F9" w14:textId="1AE7BF66" w:rsidR="004177C5" w:rsidRPr="00E6556B" w:rsidRDefault="002227CF" w:rsidP="00D26D90">
      <w:pPr>
        <w:tabs>
          <w:tab w:val="left" w:pos="2430"/>
        </w:tabs>
        <w:ind w:left="1170"/>
        <w:rPr>
          <w:snapToGrid w:val="0"/>
        </w:rPr>
      </w:pPr>
      <w:r>
        <w:rPr>
          <w:snapToGrid w:val="0"/>
        </w:rPr>
        <w:t>w</w:t>
      </w:r>
      <w:r w:rsidRPr="00E6556B">
        <w:rPr>
          <w:snapToGrid w:val="0"/>
        </w:rPr>
        <w:t>here</w:t>
      </w:r>
      <w:r w:rsidR="004177C5" w:rsidRPr="00E6556B">
        <w:rPr>
          <w:snapToGrid w:val="0"/>
        </w:rPr>
        <w:t>:</w:t>
      </w:r>
    </w:p>
    <w:p w14:paraId="7C293315" w14:textId="1D4E34BF" w:rsidR="004177C5" w:rsidRPr="00E6556B" w:rsidRDefault="004177C5" w:rsidP="00D26D90">
      <w:pPr>
        <w:spacing w:after="0"/>
        <w:ind w:left="1350"/>
        <w:rPr>
          <w:snapToGrid w:val="0"/>
        </w:rPr>
      </w:pPr>
      <w:r w:rsidRPr="00E6556B">
        <w:rPr>
          <w:snapToGrid w:val="0"/>
        </w:rPr>
        <w:tab/>
        <w:t>C</w:t>
      </w:r>
      <w:r w:rsidRPr="00E6556B">
        <w:rPr>
          <w:snapToGrid w:val="0"/>
          <w:vertAlign w:val="subscript"/>
        </w:rPr>
        <w:t>d</w:t>
      </w:r>
      <w:r w:rsidRPr="00E6556B">
        <w:rPr>
          <w:snapToGrid w:val="0"/>
        </w:rPr>
        <w:t xml:space="preserve"> =</w:t>
      </w:r>
      <w:r w:rsidRPr="00E6556B">
        <w:rPr>
          <w:snapToGrid w:val="0"/>
        </w:rPr>
        <w:tab/>
        <w:t xml:space="preserve">diluted </w:t>
      </w:r>
      <w:r w:rsidR="00946CFC">
        <w:rPr>
          <w:snapToGrid w:val="0"/>
        </w:rPr>
        <w:t xml:space="preserve">standard </w:t>
      </w:r>
      <w:r w:rsidRPr="00E6556B">
        <w:rPr>
          <w:snapToGrid w:val="0"/>
        </w:rPr>
        <w:t>concentration (ppb)</w:t>
      </w:r>
    </w:p>
    <w:p w14:paraId="5399A989" w14:textId="0F281558" w:rsidR="004177C5" w:rsidRPr="00E6556B" w:rsidRDefault="004177C5" w:rsidP="00D26D90">
      <w:pPr>
        <w:spacing w:after="0"/>
        <w:ind w:left="1350"/>
        <w:rPr>
          <w:snapToGrid w:val="0"/>
        </w:rPr>
      </w:pPr>
      <w:r w:rsidRPr="00E6556B">
        <w:rPr>
          <w:snapToGrid w:val="0"/>
        </w:rPr>
        <w:tab/>
        <w:t>C</w:t>
      </w:r>
      <w:r w:rsidRPr="00E6556B">
        <w:rPr>
          <w:snapToGrid w:val="0"/>
          <w:vertAlign w:val="subscript"/>
        </w:rPr>
        <w:t>s</w:t>
      </w:r>
      <w:r w:rsidRPr="00E6556B">
        <w:rPr>
          <w:snapToGrid w:val="0"/>
        </w:rPr>
        <w:t xml:space="preserve"> =</w:t>
      </w:r>
      <w:r w:rsidRPr="00E6556B">
        <w:rPr>
          <w:snapToGrid w:val="0"/>
        </w:rPr>
        <w:tab/>
        <w:t>stock standard concentration (ppb)</w:t>
      </w:r>
    </w:p>
    <w:p w14:paraId="4909BED1" w14:textId="77777777" w:rsidR="004177C5" w:rsidRPr="00E6556B" w:rsidRDefault="004177C5" w:rsidP="00D26D90">
      <w:pPr>
        <w:spacing w:after="0"/>
        <w:ind w:left="1350"/>
        <w:rPr>
          <w:snapToGrid w:val="0"/>
        </w:rPr>
      </w:pPr>
      <w:r w:rsidRPr="00E6556B">
        <w:rPr>
          <w:snapToGrid w:val="0"/>
        </w:rPr>
        <w:tab/>
        <w:t>F</w:t>
      </w:r>
      <w:r w:rsidRPr="00E6556B">
        <w:rPr>
          <w:snapToGrid w:val="0"/>
          <w:vertAlign w:val="subscript"/>
        </w:rPr>
        <w:t>s</w:t>
      </w:r>
      <w:r w:rsidRPr="00E6556B">
        <w:rPr>
          <w:snapToGrid w:val="0"/>
        </w:rPr>
        <w:t xml:space="preserve"> = </w:t>
      </w:r>
      <w:r w:rsidRPr="00E6556B">
        <w:rPr>
          <w:snapToGrid w:val="0"/>
        </w:rPr>
        <w:tab/>
        <w:t>flow of stock standard gas (standard mL/minute)</w:t>
      </w:r>
    </w:p>
    <w:p w14:paraId="121B6790" w14:textId="5F7BBFB2" w:rsidR="004177C5" w:rsidRPr="00E6556B" w:rsidRDefault="004177C5" w:rsidP="00D26D90">
      <w:pPr>
        <w:ind w:left="1354"/>
      </w:pPr>
      <w:r w:rsidRPr="00E6556B">
        <w:rPr>
          <w:snapToGrid w:val="0"/>
        </w:rPr>
        <w:tab/>
      </w:r>
      <w:proofErr w:type="spellStart"/>
      <w:r w:rsidRPr="00E6556B">
        <w:rPr>
          <w:snapToGrid w:val="0"/>
        </w:rPr>
        <w:t>F</w:t>
      </w:r>
      <w:r w:rsidRPr="00E6556B">
        <w:rPr>
          <w:snapToGrid w:val="0"/>
          <w:vertAlign w:val="subscript"/>
        </w:rPr>
        <w:t>d</w:t>
      </w:r>
      <w:proofErr w:type="spellEnd"/>
      <w:r w:rsidRPr="00E6556B">
        <w:rPr>
          <w:snapToGrid w:val="0"/>
        </w:rPr>
        <w:t xml:space="preserve"> = </w:t>
      </w:r>
      <w:r w:rsidRPr="00E6556B">
        <w:rPr>
          <w:snapToGrid w:val="0"/>
        </w:rPr>
        <w:tab/>
        <w:t>flow of diluent gas (standard mL/minute)</w:t>
      </w:r>
    </w:p>
    <w:p w14:paraId="59C03528" w14:textId="2EC4C66C" w:rsidR="004177C5" w:rsidRPr="00E6556B" w:rsidRDefault="004177C5" w:rsidP="00D26D90">
      <w:pPr>
        <w:numPr>
          <w:ilvl w:val="1"/>
          <w:numId w:val="20"/>
        </w:numPr>
        <w:tabs>
          <w:tab w:val="left" w:pos="1800"/>
        </w:tabs>
        <w:ind w:left="1080"/>
      </w:pPr>
      <w:r w:rsidRPr="00E6556B">
        <w:t xml:space="preserve">Percent </w:t>
      </w:r>
      <w:r w:rsidR="00D01469">
        <w:t>difference (PD)</w:t>
      </w:r>
      <w:r w:rsidR="00D01469" w:rsidRPr="00E6556B">
        <w:t xml:space="preserve"> </w:t>
      </w:r>
      <w:r w:rsidRPr="00E6556B">
        <w:t>is calculated as:</w:t>
      </w:r>
    </w:p>
    <w:p w14:paraId="3DC41D6B" w14:textId="617C4AEA" w:rsidR="004177C5" w:rsidRPr="00E6556B" w:rsidRDefault="00165A9D" w:rsidP="00D26D90">
      <w:pPr>
        <w:tabs>
          <w:tab w:val="left" w:pos="1800"/>
        </w:tabs>
        <w:spacing w:after="0"/>
        <w:ind w:left="1627"/>
      </w:pPr>
      <w:r>
        <w:t>PD</w:t>
      </w:r>
      <w:r w:rsidRPr="00E6556B">
        <w:t xml:space="preserve"> </w:t>
      </w:r>
      <w:r w:rsidR="004177C5" w:rsidRPr="00E6556B">
        <w:t>=</w:t>
      </w:r>
      <w:r>
        <w:t xml:space="preserve"> (</w:t>
      </w:r>
      <w:r w:rsidR="004177C5" w:rsidRPr="00E6556B">
        <w:rPr>
          <w:u w:val="single"/>
        </w:rPr>
        <w:t>concentration measured</w:t>
      </w:r>
      <w:r>
        <w:rPr>
          <w:u w:val="single"/>
        </w:rPr>
        <w:t xml:space="preserve"> – theoretical concentration)</w:t>
      </w:r>
      <w:r w:rsidR="004177C5" w:rsidRPr="00E6556B">
        <w:t xml:space="preserve">  x 100</w:t>
      </w:r>
    </w:p>
    <w:p w14:paraId="27A95C34" w14:textId="7852DFBA" w:rsidR="004177C5" w:rsidRPr="006630F8" w:rsidRDefault="004177C5" w:rsidP="00BB41D3">
      <w:pPr>
        <w:tabs>
          <w:tab w:val="left" w:pos="1800"/>
        </w:tabs>
        <w:ind w:left="1620"/>
      </w:pPr>
      <w:r w:rsidRPr="006630F8">
        <w:tab/>
      </w:r>
      <w:r w:rsidRPr="006630F8">
        <w:tab/>
      </w:r>
      <w:r w:rsidRPr="006630F8">
        <w:tab/>
      </w:r>
      <w:r w:rsidR="004A1F19" w:rsidRPr="006630F8">
        <w:tab/>
      </w:r>
      <w:r w:rsidRPr="006630F8">
        <w:t xml:space="preserve"> </w:t>
      </w:r>
      <w:r w:rsidR="00165A9D">
        <w:t>theoretical concentration</w:t>
      </w:r>
    </w:p>
    <w:p w14:paraId="5BCF768C" w14:textId="093AA0AD" w:rsidR="002B4CC6" w:rsidRPr="00D26D90" w:rsidRDefault="002B4CC6" w:rsidP="00D26D90">
      <w:pPr>
        <w:pStyle w:val="ListParagraph"/>
        <w:numPr>
          <w:ilvl w:val="0"/>
          <w:numId w:val="20"/>
        </w:numPr>
        <w:contextualSpacing w:val="0"/>
        <w:rPr>
          <w:b/>
          <w:bCs/>
        </w:rPr>
      </w:pPr>
      <w:bookmarkStart w:id="4" w:name="_Hlk43279806"/>
      <w:r w:rsidRPr="00D26D90">
        <w:rPr>
          <w:b/>
          <w:bCs/>
        </w:rPr>
        <w:t>Troubleshooting</w:t>
      </w:r>
    </w:p>
    <w:p w14:paraId="5C723215" w14:textId="46EC4D32" w:rsidR="006630F8" w:rsidRDefault="006630F8" w:rsidP="00D26D90">
      <w:pPr>
        <w:pStyle w:val="ListParagraph"/>
        <w:contextualSpacing w:val="0"/>
      </w:pPr>
      <w:r>
        <w:t>For troubleshooting the NO</w:t>
      </w:r>
      <w:r w:rsidRPr="00D26D90">
        <w:rPr>
          <w:vertAlign w:val="subscript"/>
        </w:rPr>
        <w:t>2</w:t>
      </w:r>
      <w:r>
        <w:t xml:space="preserve"> analyzer</w:t>
      </w:r>
      <w:r w:rsidR="006E03DB">
        <w:t xml:space="preserve">, </w:t>
      </w:r>
      <w:r>
        <w:t xml:space="preserve">DDC, </w:t>
      </w:r>
      <w:r w:rsidR="006E03DB">
        <w:t xml:space="preserve">and/or ZAG, </w:t>
      </w:r>
      <w:r>
        <w:t>the operator should consult the manufacturer instrument manual for specific issues. General troubleshooting instructions are detailed below.</w:t>
      </w:r>
    </w:p>
    <w:p w14:paraId="6F60A7E2" w14:textId="343F58B2" w:rsidR="006630F8" w:rsidRDefault="006630F8" w:rsidP="00F36A6F">
      <w:pPr>
        <w:pStyle w:val="ListParagraph"/>
        <w:numPr>
          <w:ilvl w:val="3"/>
          <w:numId w:val="20"/>
        </w:numPr>
        <w:spacing w:before="120"/>
        <w:ind w:left="1080"/>
        <w:contextualSpacing w:val="0"/>
      </w:pPr>
      <w:r>
        <w:t>Displayed error</w:t>
      </w:r>
      <w:r w:rsidR="002537A0">
        <w:t>, fault,</w:t>
      </w:r>
      <w:r>
        <w:t xml:space="preserve"> or warning messages should prompt the operator to take corrective action to address the indicated condition. Refer to the relevant instrument manual</w:t>
      </w:r>
      <w:r w:rsidR="002537A0">
        <w:t xml:space="preserve"> for diagnosing and correcting error conditions</w:t>
      </w:r>
      <w:r>
        <w:t>.</w:t>
      </w:r>
      <w:r w:rsidR="002537A0">
        <w:t xml:space="preserve"> Note that warning messages are not uncommon during instrument warm-up periods.</w:t>
      </w:r>
    </w:p>
    <w:p w14:paraId="644CEB8C" w14:textId="102A52ED" w:rsidR="006630F8" w:rsidRDefault="006630F8" w:rsidP="00F36A6F">
      <w:pPr>
        <w:pStyle w:val="ListParagraph"/>
        <w:numPr>
          <w:ilvl w:val="3"/>
          <w:numId w:val="20"/>
        </w:numPr>
        <w:spacing w:before="120"/>
        <w:ind w:left="1080"/>
        <w:contextualSpacing w:val="0"/>
      </w:pPr>
      <w:r>
        <w:lastRenderedPageBreak/>
        <w:t>For failure to initiate automated QC checks or other remote</w:t>
      </w:r>
      <w:r w:rsidR="002B225A">
        <w:t>-</w:t>
      </w:r>
      <w:r>
        <w:t>controlled functions, ensure proper communications status with DDC and/or DAS and verify cables are firmly connected. Power outages may reset custom configured settings to factory defaults.</w:t>
      </w:r>
    </w:p>
    <w:p w14:paraId="0C6710A3" w14:textId="1C3CA28E" w:rsidR="006630F8" w:rsidRDefault="006630F8" w:rsidP="00F36A6F">
      <w:pPr>
        <w:pStyle w:val="ListParagraph"/>
        <w:numPr>
          <w:ilvl w:val="3"/>
          <w:numId w:val="20"/>
        </w:numPr>
        <w:spacing w:before="120"/>
        <w:ind w:left="1080"/>
        <w:contextualSpacing w:val="0"/>
      </w:pPr>
      <w:r>
        <w:t xml:space="preserve">Lower than expected </w:t>
      </w:r>
      <w:r w:rsidR="006E03DB">
        <w:t xml:space="preserve">span </w:t>
      </w:r>
      <w:r>
        <w:t xml:space="preserve">recoveries </w:t>
      </w:r>
      <w:r w:rsidR="006E03DB">
        <w:t xml:space="preserve">or elevated zero drift values </w:t>
      </w:r>
      <w:r>
        <w:t xml:space="preserve">may be the result of a leak in the system, which can occur at </w:t>
      </w:r>
      <w:r w:rsidR="006E03DB">
        <w:t xml:space="preserve">many </w:t>
      </w:r>
      <w:r>
        <w:t>places</w:t>
      </w:r>
      <w:r w:rsidR="006E03DB">
        <w:t xml:space="preserve"> in the system</w:t>
      </w:r>
      <w:r w:rsidR="002537A0">
        <w:t>. To evaluate whether a leak is present, follow the leak checking procedures in the relevant instrument or support equipment manual</w:t>
      </w:r>
      <w:r w:rsidR="006E03DB">
        <w:t xml:space="preserve"> (</w:t>
      </w:r>
      <w:r w:rsidR="006E03DB" w:rsidRPr="00D26D90">
        <w:rPr>
          <w:i/>
          <w:iCs/>
        </w:rPr>
        <w:t>note:  these require support equipment not described in this SOP</w:t>
      </w:r>
      <w:r w:rsidR="006E03DB">
        <w:t>)</w:t>
      </w:r>
      <w:r w:rsidR="002537A0">
        <w:t>.</w:t>
      </w:r>
      <w:r w:rsidR="006E03DB">
        <w:t xml:space="preserve"> Some common locations for leaks to occur include:</w:t>
      </w:r>
    </w:p>
    <w:p w14:paraId="7C5AB0D8" w14:textId="0D7B02B6" w:rsidR="006630F8" w:rsidRDefault="006630F8" w:rsidP="00D26D90">
      <w:pPr>
        <w:pStyle w:val="ListParagraph"/>
        <w:numPr>
          <w:ilvl w:val="4"/>
          <w:numId w:val="20"/>
        </w:numPr>
        <w:ind w:left="1440"/>
      </w:pPr>
      <w:r>
        <w:t>From the gas cylinder</w:t>
      </w:r>
      <w:r w:rsidR="002537A0">
        <w:t xml:space="preserve"> or zero air source</w:t>
      </w:r>
      <w:r>
        <w:t xml:space="preserve"> to the DDC</w:t>
      </w:r>
    </w:p>
    <w:p w14:paraId="334F3FAF" w14:textId="77777777" w:rsidR="006630F8" w:rsidRDefault="006630F8" w:rsidP="00D26D90">
      <w:pPr>
        <w:pStyle w:val="ListParagraph"/>
        <w:numPr>
          <w:ilvl w:val="4"/>
          <w:numId w:val="20"/>
        </w:numPr>
        <w:ind w:left="1440"/>
      </w:pPr>
      <w:r>
        <w:t>Within the DDC</w:t>
      </w:r>
    </w:p>
    <w:p w14:paraId="4BC8258B" w14:textId="77777777" w:rsidR="006630F8" w:rsidRDefault="006630F8" w:rsidP="00D26D90">
      <w:pPr>
        <w:pStyle w:val="ListParagraph"/>
        <w:numPr>
          <w:ilvl w:val="4"/>
          <w:numId w:val="20"/>
        </w:numPr>
        <w:ind w:left="1440"/>
      </w:pPr>
      <w:r>
        <w:t>From the DDC to the NO</w:t>
      </w:r>
      <w:r w:rsidRPr="00D26D90">
        <w:rPr>
          <w:vertAlign w:val="subscript"/>
        </w:rPr>
        <w:t>2</w:t>
      </w:r>
      <w:r>
        <w:t xml:space="preserve"> analyzer</w:t>
      </w:r>
    </w:p>
    <w:p w14:paraId="3E62BC86" w14:textId="2C3469DB" w:rsidR="006630F8" w:rsidRDefault="006630F8" w:rsidP="00D26D90">
      <w:pPr>
        <w:pStyle w:val="ListParagraph"/>
        <w:numPr>
          <w:ilvl w:val="4"/>
          <w:numId w:val="20"/>
        </w:numPr>
        <w:ind w:left="1440"/>
      </w:pPr>
      <w:r>
        <w:t xml:space="preserve">Within the </w:t>
      </w:r>
      <w:r w:rsidR="006E03DB">
        <w:t>NO</w:t>
      </w:r>
      <w:r w:rsidR="006E03DB" w:rsidRPr="00D26D90">
        <w:rPr>
          <w:vertAlign w:val="subscript"/>
        </w:rPr>
        <w:t>2</w:t>
      </w:r>
      <w:r w:rsidR="006E03DB">
        <w:t xml:space="preserve"> </w:t>
      </w:r>
      <w:r>
        <w:t>analyzer</w:t>
      </w:r>
    </w:p>
    <w:p w14:paraId="61B5DE81" w14:textId="1A6A732C" w:rsidR="006630F8" w:rsidRDefault="006630F8" w:rsidP="00D26D90">
      <w:pPr>
        <w:pStyle w:val="ListParagraph"/>
        <w:numPr>
          <w:ilvl w:val="5"/>
          <w:numId w:val="20"/>
        </w:numPr>
        <w:ind w:left="1800"/>
      </w:pPr>
      <w:r>
        <w:t>Pump connections and gaskets</w:t>
      </w:r>
    </w:p>
    <w:p w14:paraId="6D9304D0" w14:textId="506E31E5" w:rsidR="002537A0" w:rsidRDefault="006630F8" w:rsidP="00D26D90">
      <w:pPr>
        <w:pStyle w:val="ListParagraph"/>
        <w:numPr>
          <w:ilvl w:val="5"/>
          <w:numId w:val="20"/>
        </w:numPr>
        <w:ind w:left="1800"/>
      </w:pPr>
      <w:r>
        <w:t xml:space="preserve">Failing pump </w:t>
      </w:r>
      <w:r w:rsidR="002537A0">
        <w:t>and/</w:t>
      </w:r>
      <w:r>
        <w:t>or pump seals</w:t>
      </w:r>
    </w:p>
    <w:p w14:paraId="2E7CF389" w14:textId="4477FE23" w:rsidR="002537A0" w:rsidRDefault="002537A0" w:rsidP="00D26D90">
      <w:pPr>
        <w:pStyle w:val="ListParagraph"/>
        <w:numPr>
          <w:ilvl w:val="5"/>
          <w:numId w:val="20"/>
        </w:numPr>
        <w:ind w:left="1800"/>
      </w:pPr>
      <w:r>
        <w:t>Compromised internal tubing</w:t>
      </w:r>
    </w:p>
    <w:bookmarkEnd w:id="4"/>
    <w:p w14:paraId="2742F190" w14:textId="4866CB9A" w:rsidR="000B2054" w:rsidRDefault="000B2054"/>
    <w:p w14:paraId="256260EB" w14:textId="4A2CE4AE" w:rsidR="000C1481" w:rsidRDefault="000C1481" w:rsidP="00215075"/>
    <w:p w14:paraId="40BC0F88" w14:textId="77777777" w:rsidR="000B5D4D" w:rsidRDefault="000B5D4D" w:rsidP="000B5D4D">
      <w:pPr>
        <w:ind w:left="720"/>
      </w:pPr>
    </w:p>
    <w:p w14:paraId="3BF44521" w14:textId="77777777" w:rsidR="00C27E06" w:rsidRDefault="00C27E06" w:rsidP="00C27E06"/>
    <w:p w14:paraId="43AA8B9B" w14:textId="77777777" w:rsidR="002B225A" w:rsidRDefault="002B225A" w:rsidP="00165A9D">
      <w:pPr>
        <w:pStyle w:val="ListParagraph"/>
        <w:ind w:left="0"/>
        <w:jc w:val="center"/>
        <w:rPr>
          <w:b/>
          <w:sz w:val="22"/>
          <w:szCs w:val="22"/>
        </w:rPr>
      </w:pPr>
      <w:r>
        <w:rPr>
          <w:b/>
          <w:sz w:val="22"/>
          <w:szCs w:val="22"/>
        </w:rPr>
        <w:br w:type="page"/>
      </w:r>
    </w:p>
    <w:p w14:paraId="761989DF" w14:textId="184D9A99" w:rsidR="00C27E06" w:rsidRDefault="00C27E06" w:rsidP="00D26D90">
      <w:pPr>
        <w:pStyle w:val="ListParagraph"/>
        <w:spacing w:after="0"/>
        <w:ind w:left="0"/>
        <w:jc w:val="center"/>
      </w:pPr>
      <w:r>
        <w:rPr>
          <w:b/>
          <w:sz w:val="22"/>
          <w:szCs w:val="22"/>
        </w:rPr>
        <w:lastRenderedPageBreak/>
        <w:t xml:space="preserve">Table </w:t>
      </w:r>
      <w:r w:rsidRPr="00165A9D">
        <w:rPr>
          <w:b/>
          <w:sz w:val="22"/>
          <w:szCs w:val="22"/>
        </w:rPr>
        <w:t>2</w:t>
      </w:r>
      <w:r>
        <w:rPr>
          <w:b/>
          <w:sz w:val="22"/>
          <w:szCs w:val="22"/>
        </w:rPr>
        <w:t>:  Quality Control Parameter and Acceptance Criteria</w:t>
      </w:r>
    </w:p>
    <w:tbl>
      <w:tblPr>
        <w:tblStyle w:val="TableGrid"/>
        <w:tblW w:w="9270" w:type="dxa"/>
        <w:tblInd w:w="-27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850"/>
        <w:gridCol w:w="2138"/>
        <w:gridCol w:w="1700"/>
        <w:gridCol w:w="1732"/>
        <w:gridCol w:w="1850"/>
      </w:tblGrid>
      <w:tr w:rsidR="00C27E06" w:rsidRPr="007D384C" w14:paraId="6FD7B9D5" w14:textId="77777777" w:rsidTr="00F36A6F">
        <w:trPr>
          <w:tblHeader/>
        </w:trPr>
        <w:tc>
          <w:tcPr>
            <w:tcW w:w="1850" w:type="dxa"/>
            <w:shd w:val="clear" w:color="auto" w:fill="D9D9D9" w:themeFill="background1" w:themeFillShade="D9"/>
          </w:tcPr>
          <w:p w14:paraId="4CCB1E75" w14:textId="77777777" w:rsidR="00C27E06" w:rsidRPr="007D384C" w:rsidRDefault="00C27E06" w:rsidP="00D26D90">
            <w:pPr>
              <w:jc w:val="center"/>
              <w:rPr>
                <w:b/>
                <w:sz w:val="20"/>
                <w:szCs w:val="20"/>
              </w:rPr>
            </w:pPr>
            <w:r w:rsidRPr="007D384C">
              <w:rPr>
                <w:b/>
                <w:sz w:val="20"/>
                <w:szCs w:val="20"/>
              </w:rPr>
              <w:t>QC Parameter</w:t>
            </w:r>
          </w:p>
        </w:tc>
        <w:tc>
          <w:tcPr>
            <w:tcW w:w="2138" w:type="dxa"/>
            <w:shd w:val="clear" w:color="auto" w:fill="D9D9D9" w:themeFill="background1" w:themeFillShade="D9"/>
          </w:tcPr>
          <w:p w14:paraId="275C3E74" w14:textId="77777777" w:rsidR="00C27E06" w:rsidRPr="007D384C" w:rsidRDefault="00C27E06" w:rsidP="00D26D90">
            <w:pPr>
              <w:jc w:val="center"/>
              <w:rPr>
                <w:b/>
                <w:sz w:val="20"/>
                <w:szCs w:val="20"/>
              </w:rPr>
            </w:pPr>
            <w:r w:rsidRPr="007D384C">
              <w:rPr>
                <w:b/>
                <w:sz w:val="20"/>
                <w:szCs w:val="20"/>
              </w:rPr>
              <w:t>Description</w:t>
            </w:r>
          </w:p>
        </w:tc>
        <w:tc>
          <w:tcPr>
            <w:tcW w:w="1700" w:type="dxa"/>
            <w:shd w:val="clear" w:color="auto" w:fill="D9D9D9" w:themeFill="background1" w:themeFillShade="D9"/>
          </w:tcPr>
          <w:p w14:paraId="18D4BAB7" w14:textId="77777777" w:rsidR="00C27E06" w:rsidRPr="007D384C" w:rsidRDefault="00C27E06" w:rsidP="00D26D90">
            <w:pPr>
              <w:jc w:val="center"/>
              <w:rPr>
                <w:b/>
                <w:sz w:val="20"/>
                <w:szCs w:val="20"/>
              </w:rPr>
            </w:pPr>
            <w:r w:rsidRPr="007D384C">
              <w:rPr>
                <w:b/>
                <w:sz w:val="20"/>
                <w:szCs w:val="20"/>
              </w:rPr>
              <w:t>Required Frequency</w:t>
            </w:r>
          </w:p>
        </w:tc>
        <w:tc>
          <w:tcPr>
            <w:tcW w:w="1732" w:type="dxa"/>
            <w:shd w:val="clear" w:color="auto" w:fill="D9D9D9" w:themeFill="background1" w:themeFillShade="D9"/>
          </w:tcPr>
          <w:p w14:paraId="340BB867" w14:textId="6A31BD58" w:rsidR="00C27E06" w:rsidRPr="007D384C" w:rsidRDefault="00C27E06" w:rsidP="00D26D90">
            <w:pPr>
              <w:jc w:val="center"/>
              <w:rPr>
                <w:b/>
                <w:sz w:val="20"/>
                <w:szCs w:val="20"/>
              </w:rPr>
            </w:pPr>
            <w:r w:rsidRPr="007D384C">
              <w:rPr>
                <w:b/>
                <w:sz w:val="20"/>
                <w:szCs w:val="20"/>
              </w:rPr>
              <w:t>Acceptance Criteria</w:t>
            </w:r>
          </w:p>
        </w:tc>
        <w:tc>
          <w:tcPr>
            <w:tcW w:w="1850" w:type="dxa"/>
            <w:shd w:val="clear" w:color="auto" w:fill="D9D9D9" w:themeFill="background1" w:themeFillShade="D9"/>
          </w:tcPr>
          <w:p w14:paraId="40AE0A8E" w14:textId="77777777" w:rsidR="00C27E06" w:rsidRPr="007D384C" w:rsidRDefault="00C27E06" w:rsidP="00D26D90">
            <w:pPr>
              <w:jc w:val="center"/>
              <w:rPr>
                <w:b/>
                <w:sz w:val="20"/>
                <w:szCs w:val="20"/>
              </w:rPr>
            </w:pPr>
            <w:r w:rsidRPr="007D384C">
              <w:rPr>
                <w:b/>
                <w:sz w:val="20"/>
                <w:szCs w:val="20"/>
              </w:rPr>
              <w:t>Suggested Corrective Action</w:t>
            </w:r>
          </w:p>
        </w:tc>
      </w:tr>
      <w:tr w:rsidR="00C27E06" w:rsidRPr="007D384C" w14:paraId="4D3048DB" w14:textId="77777777" w:rsidTr="00F36A6F">
        <w:tc>
          <w:tcPr>
            <w:tcW w:w="1850" w:type="dxa"/>
          </w:tcPr>
          <w:p w14:paraId="42010ED3" w14:textId="0AD36698" w:rsidR="00C27E06" w:rsidRPr="00913D8A" w:rsidRDefault="0057365D" w:rsidP="00254926">
            <w:pPr>
              <w:rPr>
                <w:sz w:val="20"/>
                <w:szCs w:val="20"/>
              </w:rPr>
            </w:pPr>
            <w:r w:rsidRPr="00913D8A">
              <w:rPr>
                <w:sz w:val="20"/>
                <w:szCs w:val="20"/>
              </w:rPr>
              <w:t>C</w:t>
            </w:r>
            <w:r w:rsidR="00C27E06" w:rsidRPr="00913D8A">
              <w:rPr>
                <w:sz w:val="20"/>
                <w:szCs w:val="20"/>
              </w:rPr>
              <w:t xml:space="preserve">alibration </w:t>
            </w:r>
          </w:p>
        </w:tc>
        <w:tc>
          <w:tcPr>
            <w:tcW w:w="2138" w:type="dxa"/>
          </w:tcPr>
          <w:p w14:paraId="3DA2849A" w14:textId="25F2AD79" w:rsidR="00C27E06" w:rsidRPr="00913D8A" w:rsidRDefault="00C27E06" w:rsidP="00254926">
            <w:pPr>
              <w:rPr>
                <w:sz w:val="20"/>
                <w:szCs w:val="20"/>
              </w:rPr>
            </w:pPr>
            <w:r w:rsidRPr="00913D8A">
              <w:rPr>
                <w:sz w:val="20"/>
                <w:szCs w:val="20"/>
              </w:rPr>
              <w:t>Set</w:t>
            </w:r>
            <w:r w:rsidR="00591AD8" w:rsidRPr="00913D8A">
              <w:rPr>
                <w:sz w:val="20"/>
                <w:szCs w:val="20"/>
              </w:rPr>
              <w:t xml:space="preserve">ting </w:t>
            </w:r>
            <w:r w:rsidR="00D01469" w:rsidRPr="00913D8A">
              <w:rPr>
                <w:sz w:val="20"/>
                <w:szCs w:val="20"/>
              </w:rPr>
              <w:t>zero</w:t>
            </w:r>
            <w:r w:rsidRPr="00913D8A">
              <w:rPr>
                <w:sz w:val="20"/>
                <w:szCs w:val="20"/>
              </w:rPr>
              <w:t xml:space="preserve"> and </w:t>
            </w:r>
            <w:r w:rsidR="00D01469" w:rsidRPr="00913D8A">
              <w:rPr>
                <w:sz w:val="20"/>
                <w:szCs w:val="20"/>
              </w:rPr>
              <w:t>span</w:t>
            </w:r>
            <w:r w:rsidRPr="00913D8A">
              <w:rPr>
                <w:sz w:val="20"/>
                <w:szCs w:val="20"/>
              </w:rPr>
              <w:t xml:space="preserve"> levels on the </w:t>
            </w:r>
            <w:r w:rsidR="00591AD8" w:rsidRPr="00913D8A">
              <w:rPr>
                <w:sz w:val="20"/>
                <w:szCs w:val="20"/>
              </w:rPr>
              <w:t>t</w:t>
            </w:r>
            <w:r w:rsidRPr="00913D8A">
              <w:rPr>
                <w:sz w:val="20"/>
                <w:szCs w:val="20"/>
              </w:rPr>
              <w:t>rue NO</w:t>
            </w:r>
            <w:r w:rsidRPr="00913D8A">
              <w:rPr>
                <w:sz w:val="20"/>
                <w:szCs w:val="20"/>
                <w:vertAlign w:val="subscript"/>
              </w:rPr>
              <w:t>2</w:t>
            </w:r>
            <w:r w:rsidRPr="00913D8A">
              <w:rPr>
                <w:sz w:val="20"/>
                <w:szCs w:val="20"/>
              </w:rPr>
              <w:t xml:space="preserve"> analyzer </w:t>
            </w:r>
            <w:r w:rsidR="00147CCD" w:rsidRPr="00D26D90">
              <w:rPr>
                <w:sz w:val="20"/>
                <w:szCs w:val="20"/>
              </w:rPr>
              <w:t>by introducing</w:t>
            </w:r>
            <w:r w:rsidRPr="00913D8A">
              <w:rPr>
                <w:sz w:val="20"/>
                <w:szCs w:val="20"/>
              </w:rPr>
              <w:t xml:space="preserve"> zero air and an NO</w:t>
            </w:r>
            <w:r w:rsidRPr="00913D8A">
              <w:rPr>
                <w:sz w:val="20"/>
                <w:szCs w:val="20"/>
                <w:vertAlign w:val="subscript"/>
              </w:rPr>
              <w:t>2</w:t>
            </w:r>
            <w:r w:rsidRPr="00913D8A">
              <w:rPr>
                <w:sz w:val="20"/>
                <w:szCs w:val="20"/>
              </w:rPr>
              <w:t xml:space="preserve"> standard at 80% of the </w:t>
            </w:r>
            <w:r w:rsidR="00021CCA" w:rsidRPr="00913D8A">
              <w:rPr>
                <w:sz w:val="20"/>
                <w:szCs w:val="20"/>
              </w:rPr>
              <w:t xml:space="preserve">desired measurement range </w:t>
            </w:r>
            <w:r w:rsidR="00591AD8" w:rsidRPr="00913D8A">
              <w:rPr>
                <w:sz w:val="20"/>
                <w:szCs w:val="20"/>
              </w:rPr>
              <w:t>cover</w:t>
            </w:r>
            <w:r w:rsidR="00D01469" w:rsidRPr="00913D8A">
              <w:rPr>
                <w:sz w:val="20"/>
                <w:szCs w:val="20"/>
              </w:rPr>
              <w:t>ing</w:t>
            </w:r>
            <w:r w:rsidR="00591AD8" w:rsidRPr="00913D8A">
              <w:rPr>
                <w:sz w:val="20"/>
                <w:szCs w:val="20"/>
              </w:rPr>
              <w:t xml:space="preserve"> the </w:t>
            </w:r>
            <w:r w:rsidRPr="00913D8A">
              <w:rPr>
                <w:sz w:val="20"/>
                <w:szCs w:val="20"/>
              </w:rPr>
              <w:t xml:space="preserve">expected range of </w:t>
            </w:r>
            <w:r w:rsidR="00D01469" w:rsidRPr="00913D8A">
              <w:rPr>
                <w:sz w:val="20"/>
                <w:szCs w:val="20"/>
              </w:rPr>
              <w:t>ambient measurements</w:t>
            </w:r>
            <w:r w:rsidRPr="00913D8A">
              <w:rPr>
                <w:sz w:val="20"/>
                <w:szCs w:val="20"/>
              </w:rPr>
              <w:t xml:space="preserve"> (e.g., 160 ppb NO</w:t>
            </w:r>
            <w:r w:rsidRPr="00913D8A">
              <w:rPr>
                <w:sz w:val="20"/>
                <w:vertAlign w:val="subscript"/>
              </w:rPr>
              <w:t>2</w:t>
            </w:r>
            <w:r w:rsidRPr="00913D8A">
              <w:rPr>
                <w:sz w:val="20"/>
                <w:szCs w:val="20"/>
              </w:rPr>
              <w:t xml:space="preserve"> for a </w:t>
            </w:r>
            <w:r w:rsidR="00D01469" w:rsidRPr="00913D8A">
              <w:rPr>
                <w:sz w:val="20"/>
                <w:szCs w:val="20"/>
              </w:rPr>
              <w:t>measurement</w:t>
            </w:r>
            <w:r w:rsidRPr="00913D8A">
              <w:rPr>
                <w:sz w:val="20"/>
                <w:szCs w:val="20"/>
              </w:rPr>
              <w:t xml:space="preserve"> range of 0 to 200 ppb NO</w:t>
            </w:r>
            <w:r w:rsidRPr="00913D8A">
              <w:rPr>
                <w:sz w:val="20"/>
                <w:szCs w:val="20"/>
                <w:vertAlign w:val="subscript"/>
              </w:rPr>
              <w:t>2</w:t>
            </w:r>
            <w:r w:rsidRPr="00913D8A">
              <w:rPr>
                <w:sz w:val="20"/>
                <w:szCs w:val="20"/>
              </w:rPr>
              <w:t>)</w:t>
            </w:r>
          </w:p>
        </w:tc>
        <w:tc>
          <w:tcPr>
            <w:tcW w:w="1700" w:type="dxa"/>
          </w:tcPr>
          <w:p w14:paraId="1EC5DA85" w14:textId="7418D677" w:rsidR="00C27E06" w:rsidRPr="00913D8A" w:rsidRDefault="00C27E06" w:rsidP="00254926">
            <w:pPr>
              <w:rPr>
                <w:sz w:val="20"/>
                <w:szCs w:val="20"/>
              </w:rPr>
            </w:pPr>
            <w:r w:rsidRPr="00913D8A">
              <w:rPr>
                <w:sz w:val="20"/>
                <w:szCs w:val="20"/>
              </w:rPr>
              <w:t>Initially</w:t>
            </w:r>
            <w:r w:rsidR="00021CCA" w:rsidRPr="00913D8A">
              <w:rPr>
                <w:sz w:val="20"/>
                <w:szCs w:val="20"/>
              </w:rPr>
              <w:t xml:space="preserve"> when deployed, minimally every 365 days,</w:t>
            </w:r>
            <w:r w:rsidR="00021CCA" w:rsidRPr="00913D8A" w:rsidDel="00021CCA">
              <w:rPr>
                <w:sz w:val="20"/>
                <w:szCs w:val="20"/>
              </w:rPr>
              <w:t xml:space="preserve"> </w:t>
            </w:r>
            <w:r w:rsidRPr="00913D8A">
              <w:rPr>
                <w:sz w:val="20"/>
                <w:szCs w:val="20"/>
              </w:rPr>
              <w:t xml:space="preserve"> following maintenance to the instrument expected to alter the instrument response, </w:t>
            </w:r>
            <w:r w:rsidR="00147CCD" w:rsidRPr="00D26D90">
              <w:rPr>
                <w:sz w:val="20"/>
                <w:szCs w:val="20"/>
              </w:rPr>
              <w:t xml:space="preserve">following operation interruption of several days (e.g., 48 hours), </w:t>
            </w:r>
            <w:r w:rsidR="00591AD8" w:rsidRPr="00913D8A">
              <w:rPr>
                <w:sz w:val="20"/>
                <w:szCs w:val="20"/>
              </w:rPr>
              <w:t xml:space="preserve">and </w:t>
            </w:r>
            <w:r w:rsidRPr="00913D8A">
              <w:rPr>
                <w:sz w:val="20"/>
                <w:szCs w:val="20"/>
              </w:rPr>
              <w:t xml:space="preserve">following failing </w:t>
            </w:r>
            <w:r w:rsidR="00591AD8" w:rsidRPr="00913D8A">
              <w:rPr>
                <w:sz w:val="20"/>
                <w:szCs w:val="20"/>
              </w:rPr>
              <w:t>span</w:t>
            </w:r>
            <w:r w:rsidRPr="00913D8A">
              <w:rPr>
                <w:sz w:val="20"/>
                <w:szCs w:val="20"/>
              </w:rPr>
              <w:t xml:space="preserve"> check</w:t>
            </w:r>
            <w:r w:rsidR="00591AD8" w:rsidRPr="00913D8A">
              <w:rPr>
                <w:sz w:val="20"/>
                <w:szCs w:val="20"/>
              </w:rPr>
              <w:t xml:space="preserve"> or zero check</w:t>
            </w:r>
          </w:p>
        </w:tc>
        <w:tc>
          <w:tcPr>
            <w:tcW w:w="1732" w:type="dxa"/>
          </w:tcPr>
          <w:p w14:paraId="275CDA3D" w14:textId="77777777" w:rsidR="00C27E06" w:rsidRPr="00913D8A" w:rsidRDefault="00C27E06" w:rsidP="00254926">
            <w:pPr>
              <w:rPr>
                <w:sz w:val="20"/>
                <w:szCs w:val="20"/>
              </w:rPr>
            </w:pPr>
            <w:r w:rsidRPr="00913D8A">
              <w:rPr>
                <w:sz w:val="20"/>
                <w:szCs w:val="20"/>
              </w:rPr>
              <w:t>None. Verified by MPV.</w:t>
            </w:r>
          </w:p>
        </w:tc>
        <w:tc>
          <w:tcPr>
            <w:tcW w:w="1850" w:type="dxa"/>
          </w:tcPr>
          <w:p w14:paraId="302D194C" w14:textId="77E89B5F" w:rsidR="00C27E06" w:rsidRPr="00913D8A" w:rsidRDefault="00C27E06" w:rsidP="00254926">
            <w:pPr>
              <w:rPr>
                <w:sz w:val="20"/>
                <w:szCs w:val="20"/>
              </w:rPr>
            </w:pPr>
            <w:r w:rsidRPr="00913D8A">
              <w:rPr>
                <w:sz w:val="20"/>
                <w:szCs w:val="20"/>
              </w:rPr>
              <w:t>Repeat calibration</w:t>
            </w:r>
            <w:r w:rsidR="00147CCD" w:rsidRPr="00D26D90">
              <w:rPr>
                <w:sz w:val="20"/>
                <w:szCs w:val="20"/>
              </w:rPr>
              <w:t xml:space="preserve"> if indicated by MPV</w:t>
            </w:r>
            <w:r w:rsidRPr="00913D8A">
              <w:rPr>
                <w:sz w:val="20"/>
                <w:szCs w:val="20"/>
              </w:rPr>
              <w:t>. It may be necessary to investigate for system contamination or interferences resulting in suppression or enhancement</w:t>
            </w:r>
            <w:r w:rsidR="00021CCA" w:rsidRPr="00913D8A">
              <w:rPr>
                <w:sz w:val="20"/>
                <w:szCs w:val="20"/>
              </w:rPr>
              <w:t xml:space="preserve"> (check filters, perform leak checks, clean mirrors, etc.)</w:t>
            </w:r>
          </w:p>
        </w:tc>
      </w:tr>
      <w:tr w:rsidR="00C27E06" w:rsidRPr="007D384C" w14:paraId="67E771B4" w14:textId="77777777" w:rsidTr="00F36A6F">
        <w:tc>
          <w:tcPr>
            <w:tcW w:w="1850" w:type="dxa"/>
          </w:tcPr>
          <w:p w14:paraId="5067E801" w14:textId="77777777" w:rsidR="00C27E06" w:rsidRPr="00913D8A" w:rsidRDefault="00C27E06" w:rsidP="00254926">
            <w:pPr>
              <w:rPr>
                <w:sz w:val="20"/>
                <w:szCs w:val="20"/>
              </w:rPr>
            </w:pPr>
            <w:r w:rsidRPr="00913D8A">
              <w:rPr>
                <w:sz w:val="20"/>
                <w:szCs w:val="20"/>
              </w:rPr>
              <w:t>Multipoint Verification (MPV)</w:t>
            </w:r>
          </w:p>
        </w:tc>
        <w:tc>
          <w:tcPr>
            <w:tcW w:w="2138" w:type="dxa"/>
          </w:tcPr>
          <w:p w14:paraId="3D3C3E2A" w14:textId="14A8D26C" w:rsidR="00C27E06" w:rsidRPr="00913D8A" w:rsidRDefault="00147CCD" w:rsidP="00254926">
            <w:pPr>
              <w:rPr>
                <w:sz w:val="20"/>
                <w:szCs w:val="20"/>
              </w:rPr>
            </w:pPr>
            <w:r w:rsidRPr="00D26D90">
              <w:rPr>
                <w:sz w:val="20"/>
                <w:szCs w:val="20"/>
              </w:rPr>
              <w:t xml:space="preserve">Introduction of a zero </w:t>
            </w:r>
            <w:r w:rsidR="0057365D" w:rsidRPr="00D26D90">
              <w:rPr>
                <w:sz w:val="20"/>
                <w:szCs w:val="20"/>
              </w:rPr>
              <w:t>and four upscale NO</w:t>
            </w:r>
            <w:r w:rsidR="0057365D" w:rsidRPr="00D26D90">
              <w:rPr>
                <w:sz w:val="20"/>
                <w:szCs w:val="20"/>
                <w:vertAlign w:val="subscript"/>
              </w:rPr>
              <w:t>2</w:t>
            </w:r>
            <w:r w:rsidR="0057365D" w:rsidRPr="00D26D90">
              <w:rPr>
                <w:sz w:val="20"/>
                <w:szCs w:val="20"/>
              </w:rPr>
              <w:t xml:space="preserve"> </w:t>
            </w:r>
            <w:r w:rsidR="00C27E06" w:rsidRPr="00913D8A">
              <w:rPr>
                <w:sz w:val="20"/>
                <w:szCs w:val="20"/>
              </w:rPr>
              <w:t xml:space="preserve">concentration points covering the </w:t>
            </w:r>
            <w:r w:rsidR="0057365D" w:rsidRPr="00D26D90">
              <w:rPr>
                <w:sz w:val="20"/>
                <w:szCs w:val="20"/>
              </w:rPr>
              <w:t>measurement</w:t>
            </w:r>
            <w:r w:rsidR="00C27E06" w:rsidRPr="00913D8A">
              <w:rPr>
                <w:sz w:val="20"/>
                <w:szCs w:val="20"/>
              </w:rPr>
              <w:t xml:space="preserve"> range. (e.g., 0, </w:t>
            </w:r>
            <w:r w:rsidR="0057365D" w:rsidRPr="00D26D90">
              <w:rPr>
                <w:sz w:val="20"/>
                <w:szCs w:val="20"/>
              </w:rPr>
              <w:t xml:space="preserve">175, 125, 75, and </w:t>
            </w:r>
            <w:r w:rsidR="00C27E06" w:rsidRPr="00913D8A">
              <w:rPr>
                <w:sz w:val="20"/>
                <w:szCs w:val="20"/>
              </w:rPr>
              <w:t>25</w:t>
            </w:r>
            <w:r w:rsidR="0057365D" w:rsidRPr="00D26D90">
              <w:rPr>
                <w:sz w:val="20"/>
                <w:szCs w:val="20"/>
              </w:rPr>
              <w:t xml:space="preserve"> </w:t>
            </w:r>
            <w:r w:rsidR="00C27E06" w:rsidRPr="00913D8A">
              <w:rPr>
                <w:sz w:val="20"/>
                <w:szCs w:val="20"/>
              </w:rPr>
              <w:t>ppb)</w:t>
            </w:r>
          </w:p>
        </w:tc>
        <w:tc>
          <w:tcPr>
            <w:tcW w:w="1700" w:type="dxa"/>
          </w:tcPr>
          <w:p w14:paraId="4B2995E4" w14:textId="77777777" w:rsidR="00C27E06" w:rsidRPr="00913D8A" w:rsidRDefault="00C27E06" w:rsidP="00254926">
            <w:pPr>
              <w:rPr>
                <w:sz w:val="20"/>
                <w:szCs w:val="20"/>
              </w:rPr>
            </w:pPr>
            <w:r w:rsidRPr="00913D8A">
              <w:rPr>
                <w:sz w:val="20"/>
                <w:szCs w:val="20"/>
              </w:rPr>
              <w:t>Immediately following establishing a new calibration.</w:t>
            </w:r>
          </w:p>
        </w:tc>
        <w:tc>
          <w:tcPr>
            <w:tcW w:w="1732" w:type="dxa"/>
          </w:tcPr>
          <w:p w14:paraId="1568345B" w14:textId="355EFFC9" w:rsidR="00C27E06" w:rsidRPr="00913D8A" w:rsidRDefault="0057365D" w:rsidP="00254926">
            <w:pPr>
              <w:rPr>
                <w:sz w:val="20"/>
                <w:szCs w:val="20"/>
              </w:rPr>
            </w:pPr>
            <w:r w:rsidRPr="00D26D90">
              <w:rPr>
                <w:sz w:val="20"/>
                <w:szCs w:val="20"/>
              </w:rPr>
              <w:t>L</w:t>
            </w:r>
            <w:r w:rsidR="00C27E06" w:rsidRPr="00913D8A">
              <w:rPr>
                <w:sz w:val="20"/>
                <w:szCs w:val="20"/>
              </w:rPr>
              <w:t>inear regression</w:t>
            </w:r>
            <w:r w:rsidRPr="00D26D90">
              <w:rPr>
                <w:sz w:val="20"/>
                <w:szCs w:val="20"/>
              </w:rPr>
              <w:t xml:space="preserve"> of the measurements plotted against the theoretical</w:t>
            </w:r>
            <w:r w:rsidR="00C27E06" w:rsidRPr="00913D8A">
              <w:rPr>
                <w:sz w:val="20"/>
                <w:szCs w:val="20"/>
              </w:rPr>
              <w:t xml:space="preserve"> must show r</w:t>
            </w:r>
            <w:r w:rsidR="00C27E06" w:rsidRPr="00913D8A">
              <w:rPr>
                <w:sz w:val="20"/>
                <w:szCs w:val="20"/>
                <w:vertAlign w:val="superscript"/>
              </w:rPr>
              <w:t>2</w:t>
            </w:r>
            <w:r w:rsidR="00C27E06" w:rsidRPr="00913D8A">
              <w:rPr>
                <w:sz w:val="20"/>
                <w:szCs w:val="20"/>
              </w:rPr>
              <w:t xml:space="preserve"> of ≥ 0.995 and have an </w:t>
            </w:r>
            <w:r w:rsidR="00771050" w:rsidRPr="00D26D90">
              <w:rPr>
                <w:sz w:val="20"/>
                <w:szCs w:val="20"/>
              </w:rPr>
              <w:br/>
            </w:r>
            <w:r w:rsidR="00C27E06" w:rsidRPr="00913D8A">
              <w:rPr>
                <w:sz w:val="20"/>
                <w:szCs w:val="20"/>
              </w:rPr>
              <w:t>x-intercept within ± 0.</w:t>
            </w:r>
            <w:r w:rsidR="00AE4BA7" w:rsidRPr="00913D8A">
              <w:rPr>
                <w:sz w:val="20"/>
                <w:szCs w:val="20"/>
              </w:rPr>
              <w:t>2</w:t>
            </w:r>
            <w:r w:rsidR="00C27E06" w:rsidRPr="00913D8A">
              <w:rPr>
                <w:sz w:val="20"/>
                <w:szCs w:val="20"/>
              </w:rPr>
              <w:t xml:space="preserve"> ppb NO</w:t>
            </w:r>
            <w:r w:rsidR="00C27E06" w:rsidRPr="00913D8A">
              <w:rPr>
                <w:sz w:val="20"/>
                <w:szCs w:val="20"/>
                <w:vertAlign w:val="subscript"/>
              </w:rPr>
              <w:t>2</w:t>
            </w:r>
            <w:r w:rsidR="00C27E06" w:rsidRPr="00913D8A">
              <w:rPr>
                <w:sz w:val="20"/>
                <w:szCs w:val="20"/>
              </w:rPr>
              <w:t xml:space="preserve"> of the origin. </w:t>
            </w:r>
            <w:r w:rsidR="00D01469" w:rsidRPr="00913D8A">
              <w:rPr>
                <w:sz w:val="20"/>
                <w:szCs w:val="20"/>
              </w:rPr>
              <w:t xml:space="preserve">Percent difference </w:t>
            </w:r>
            <w:r w:rsidRPr="00D26D90">
              <w:rPr>
                <w:sz w:val="20"/>
                <w:szCs w:val="20"/>
              </w:rPr>
              <w:t xml:space="preserve">of each standard measurement </w:t>
            </w:r>
            <w:r w:rsidR="00C27E06" w:rsidRPr="00913D8A">
              <w:rPr>
                <w:sz w:val="20"/>
                <w:szCs w:val="20"/>
              </w:rPr>
              <w:t xml:space="preserve">must be within </w:t>
            </w:r>
            <w:r w:rsidR="00D01469" w:rsidRPr="00913D8A">
              <w:rPr>
                <w:sz w:val="20"/>
                <w:szCs w:val="20"/>
              </w:rPr>
              <w:t>±</w:t>
            </w:r>
            <w:r w:rsidR="00C27E06" w:rsidRPr="00913D8A">
              <w:rPr>
                <w:sz w:val="20"/>
                <w:szCs w:val="20"/>
              </w:rPr>
              <w:t xml:space="preserve">10% of the </w:t>
            </w:r>
            <w:r w:rsidR="00D01469" w:rsidRPr="00913D8A">
              <w:rPr>
                <w:sz w:val="20"/>
                <w:szCs w:val="20"/>
              </w:rPr>
              <w:t>theoretic</w:t>
            </w:r>
            <w:r w:rsidR="00C27E06" w:rsidRPr="00913D8A">
              <w:rPr>
                <w:sz w:val="20"/>
                <w:szCs w:val="20"/>
              </w:rPr>
              <w:t>al concentration.</w:t>
            </w:r>
          </w:p>
        </w:tc>
        <w:tc>
          <w:tcPr>
            <w:tcW w:w="1850" w:type="dxa"/>
          </w:tcPr>
          <w:p w14:paraId="59AD4972" w14:textId="77777777" w:rsidR="00C27E06" w:rsidRPr="00913D8A" w:rsidRDefault="00C27E06" w:rsidP="00254926">
            <w:pPr>
              <w:rPr>
                <w:sz w:val="20"/>
                <w:szCs w:val="20"/>
              </w:rPr>
            </w:pPr>
            <w:r w:rsidRPr="00913D8A">
              <w:rPr>
                <w:sz w:val="20"/>
                <w:szCs w:val="20"/>
              </w:rPr>
              <w:t>Repeat verification. It may be necessary to investigate for system contamination or interferences resulting in suppression or enhancement of analytes. Recalibration may be necessary.</w:t>
            </w:r>
          </w:p>
        </w:tc>
      </w:tr>
      <w:tr w:rsidR="00C27E06" w:rsidRPr="007D384C" w14:paraId="2AC8F224" w14:textId="77777777" w:rsidTr="00F36A6F">
        <w:tc>
          <w:tcPr>
            <w:tcW w:w="1850" w:type="dxa"/>
          </w:tcPr>
          <w:p w14:paraId="3501F7AF" w14:textId="1887A394" w:rsidR="00C27E06" w:rsidRPr="00913D8A" w:rsidRDefault="00C27E06" w:rsidP="00254926">
            <w:pPr>
              <w:rPr>
                <w:sz w:val="20"/>
                <w:szCs w:val="20"/>
              </w:rPr>
            </w:pPr>
            <w:r w:rsidRPr="00913D8A">
              <w:rPr>
                <w:sz w:val="20"/>
                <w:szCs w:val="20"/>
              </w:rPr>
              <w:t xml:space="preserve">Zero/Span </w:t>
            </w:r>
            <w:r w:rsidR="007069D8">
              <w:rPr>
                <w:sz w:val="20"/>
                <w:szCs w:val="20"/>
              </w:rPr>
              <w:t>Check</w:t>
            </w:r>
          </w:p>
        </w:tc>
        <w:tc>
          <w:tcPr>
            <w:tcW w:w="2138" w:type="dxa"/>
          </w:tcPr>
          <w:p w14:paraId="2787C0A1" w14:textId="269B2B46" w:rsidR="00C27E06" w:rsidRPr="00913D8A" w:rsidRDefault="00C27E06" w:rsidP="00254926">
            <w:pPr>
              <w:rPr>
                <w:sz w:val="20"/>
                <w:szCs w:val="20"/>
              </w:rPr>
            </w:pPr>
            <w:r w:rsidRPr="00913D8A">
              <w:rPr>
                <w:sz w:val="20"/>
                <w:szCs w:val="20"/>
              </w:rPr>
              <w:t xml:space="preserve">Analysis of zero air and </w:t>
            </w:r>
            <w:r w:rsidR="000E1FB6" w:rsidRPr="00D26D90">
              <w:rPr>
                <w:sz w:val="20"/>
                <w:szCs w:val="20"/>
              </w:rPr>
              <w:t>span</w:t>
            </w:r>
            <w:r w:rsidRPr="00913D8A">
              <w:rPr>
                <w:sz w:val="20"/>
                <w:szCs w:val="20"/>
              </w:rPr>
              <w:t xml:space="preserve"> NO</w:t>
            </w:r>
            <w:r w:rsidRPr="00913D8A">
              <w:rPr>
                <w:sz w:val="20"/>
                <w:szCs w:val="20"/>
                <w:vertAlign w:val="subscript"/>
              </w:rPr>
              <w:t>2</w:t>
            </w:r>
            <w:r w:rsidRPr="00913D8A">
              <w:rPr>
                <w:sz w:val="20"/>
                <w:szCs w:val="20"/>
              </w:rPr>
              <w:t xml:space="preserve"> standard </w:t>
            </w:r>
            <w:r w:rsidR="000E1FB6" w:rsidRPr="00D26D90">
              <w:rPr>
                <w:sz w:val="20"/>
                <w:szCs w:val="20"/>
              </w:rPr>
              <w:t xml:space="preserve">(~80% of measurement range) </w:t>
            </w:r>
            <w:r w:rsidRPr="00913D8A">
              <w:rPr>
                <w:sz w:val="20"/>
                <w:szCs w:val="20"/>
              </w:rPr>
              <w:t>to monitor for drift in zero and span levels.</w:t>
            </w:r>
            <w:r w:rsidR="00B068F3" w:rsidRPr="00D26D90">
              <w:rPr>
                <w:sz w:val="20"/>
                <w:szCs w:val="20"/>
              </w:rPr>
              <w:t xml:space="preserve"> Checks are performed on analyzer in as-is condition before modifying instrument settings.</w:t>
            </w:r>
          </w:p>
        </w:tc>
        <w:tc>
          <w:tcPr>
            <w:tcW w:w="1700" w:type="dxa"/>
          </w:tcPr>
          <w:p w14:paraId="1DF5A1FA" w14:textId="29D7F359" w:rsidR="00C27E06" w:rsidRPr="00913D8A" w:rsidRDefault="000E1FB6" w:rsidP="00254926">
            <w:pPr>
              <w:rPr>
                <w:sz w:val="20"/>
                <w:szCs w:val="20"/>
              </w:rPr>
            </w:pPr>
            <w:r w:rsidRPr="00D26D90">
              <w:rPr>
                <w:sz w:val="20"/>
                <w:szCs w:val="20"/>
              </w:rPr>
              <w:t xml:space="preserve">Required every 14 days. </w:t>
            </w:r>
            <w:r w:rsidR="00BF0CC6" w:rsidRPr="00D26D90">
              <w:rPr>
                <w:sz w:val="20"/>
                <w:szCs w:val="20"/>
              </w:rPr>
              <w:t>M</w:t>
            </w:r>
            <w:r w:rsidRPr="00D26D90">
              <w:rPr>
                <w:sz w:val="20"/>
                <w:szCs w:val="20"/>
              </w:rPr>
              <w:t>ore frequent checks</w:t>
            </w:r>
            <w:r w:rsidR="00BF0CC6" w:rsidRPr="00D26D90">
              <w:rPr>
                <w:sz w:val="20"/>
                <w:szCs w:val="20"/>
              </w:rPr>
              <w:t xml:space="preserve"> are recommended</w:t>
            </w:r>
            <w:r w:rsidRPr="00D26D90">
              <w:rPr>
                <w:sz w:val="20"/>
                <w:szCs w:val="20"/>
              </w:rPr>
              <w:t>.</w:t>
            </w:r>
          </w:p>
        </w:tc>
        <w:tc>
          <w:tcPr>
            <w:tcW w:w="1732" w:type="dxa"/>
          </w:tcPr>
          <w:p w14:paraId="38E5AD58" w14:textId="137A4D68" w:rsidR="00C27E06" w:rsidRPr="00913D8A" w:rsidRDefault="00C27E06" w:rsidP="00254926">
            <w:pPr>
              <w:rPr>
                <w:sz w:val="20"/>
                <w:szCs w:val="20"/>
              </w:rPr>
            </w:pPr>
            <w:r w:rsidRPr="00913D8A">
              <w:rPr>
                <w:sz w:val="20"/>
                <w:szCs w:val="20"/>
              </w:rPr>
              <w:t xml:space="preserve">Zero </w:t>
            </w:r>
            <w:r w:rsidR="000E1FB6" w:rsidRPr="00D26D90">
              <w:rPr>
                <w:sz w:val="20"/>
                <w:szCs w:val="20"/>
              </w:rPr>
              <w:t>drift must be l</w:t>
            </w:r>
            <w:r w:rsidRPr="00913D8A">
              <w:rPr>
                <w:sz w:val="20"/>
                <w:szCs w:val="20"/>
              </w:rPr>
              <w:t xml:space="preserve">ess than </w:t>
            </w:r>
            <w:r w:rsidR="000E1FB6" w:rsidRPr="00D26D90">
              <w:rPr>
                <w:sz w:val="20"/>
                <w:szCs w:val="20"/>
              </w:rPr>
              <w:t xml:space="preserve">± </w:t>
            </w:r>
            <w:r w:rsidRPr="00913D8A">
              <w:rPr>
                <w:sz w:val="20"/>
              </w:rPr>
              <w:t>0.</w:t>
            </w:r>
            <w:r w:rsidR="00A21F10" w:rsidRPr="00D26D90">
              <w:rPr>
                <w:sz w:val="20"/>
                <w:szCs w:val="20"/>
              </w:rPr>
              <w:t>3</w:t>
            </w:r>
            <w:r w:rsidRPr="00913D8A">
              <w:rPr>
                <w:sz w:val="20"/>
              </w:rPr>
              <w:t xml:space="preserve"> ppb</w:t>
            </w:r>
            <w:r w:rsidRPr="00913D8A">
              <w:rPr>
                <w:sz w:val="20"/>
                <w:szCs w:val="20"/>
              </w:rPr>
              <w:t xml:space="preserve">.  </w:t>
            </w:r>
          </w:p>
          <w:p w14:paraId="5E37CE6D" w14:textId="55F848DA" w:rsidR="00C27E06" w:rsidRPr="00913D8A" w:rsidRDefault="00C27E06" w:rsidP="00254926">
            <w:pPr>
              <w:rPr>
                <w:sz w:val="20"/>
                <w:szCs w:val="20"/>
              </w:rPr>
            </w:pPr>
            <w:r w:rsidRPr="00913D8A">
              <w:rPr>
                <w:sz w:val="20"/>
                <w:szCs w:val="20"/>
              </w:rPr>
              <w:t xml:space="preserve">Span level must be within </w:t>
            </w:r>
            <w:r w:rsidR="000E1FB6" w:rsidRPr="00D26D90">
              <w:rPr>
                <w:sz w:val="20"/>
                <w:szCs w:val="20"/>
              </w:rPr>
              <w:t>±</w:t>
            </w:r>
            <w:r w:rsidRPr="00913D8A">
              <w:rPr>
                <w:sz w:val="20"/>
                <w:szCs w:val="20"/>
              </w:rPr>
              <w:t xml:space="preserve">10% of the </w:t>
            </w:r>
            <w:r w:rsidR="000E1FB6" w:rsidRPr="00D26D90">
              <w:rPr>
                <w:sz w:val="20"/>
                <w:szCs w:val="20"/>
              </w:rPr>
              <w:t>theoretic</w:t>
            </w:r>
            <w:r w:rsidRPr="00913D8A">
              <w:rPr>
                <w:sz w:val="20"/>
                <w:szCs w:val="20"/>
              </w:rPr>
              <w:t>al concentration.</w:t>
            </w:r>
          </w:p>
        </w:tc>
        <w:tc>
          <w:tcPr>
            <w:tcW w:w="1850" w:type="dxa"/>
          </w:tcPr>
          <w:p w14:paraId="1DF7140D" w14:textId="1A532E49" w:rsidR="00C27E06" w:rsidRPr="00913D8A" w:rsidRDefault="00C27E06" w:rsidP="00254926">
            <w:pPr>
              <w:rPr>
                <w:sz w:val="20"/>
                <w:szCs w:val="20"/>
              </w:rPr>
            </w:pPr>
            <w:r w:rsidRPr="00913D8A">
              <w:rPr>
                <w:sz w:val="20"/>
                <w:szCs w:val="20"/>
              </w:rPr>
              <w:t>Repeat zero and span checks</w:t>
            </w:r>
            <w:r w:rsidR="000E1FB6" w:rsidRPr="00D26D90">
              <w:rPr>
                <w:sz w:val="20"/>
                <w:szCs w:val="20"/>
              </w:rPr>
              <w:t xml:space="preserve"> to confirm</w:t>
            </w:r>
            <w:r w:rsidRPr="00913D8A">
              <w:rPr>
                <w:sz w:val="20"/>
                <w:szCs w:val="20"/>
              </w:rPr>
              <w:t>. Investigate system for contamination</w:t>
            </w:r>
            <w:r w:rsidR="00B068F3" w:rsidRPr="00D26D90">
              <w:rPr>
                <w:sz w:val="20"/>
                <w:szCs w:val="20"/>
              </w:rPr>
              <w:t>, leaks, or other causes of drift</w:t>
            </w:r>
            <w:r w:rsidRPr="00913D8A">
              <w:rPr>
                <w:sz w:val="20"/>
                <w:szCs w:val="20"/>
              </w:rPr>
              <w:t xml:space="preserve">. </w:t>
            </w:r>
            <w:r w:rsidR="00B068F3" w:rsidRPr="00D26D90">
              <w:rPr>
                <w:sz w:val="20"/>
                <w:szCs w:val="20"/>
              </w:rPr>
              <w:t>Q</w:t>
            </w:r>
            <w:r w:rsidRPr="00913D8A">
              <w:rPr>
                <w:sz w:val="20"/>
                <w:szCs w:val="20"/>
              </w:rPr>
              <w:t xml:space="preserve">ualify </w:t>
            </w:r>
            <w:r w:rsidR="00B068F3" w:rsidRPr="00D26D90">
              <w:rPr>
                <w:sz w:val="20"/>
                <w:szCs w:val="20"/>
              </w:rPr>
              <w:t xml:space="preserve">or invalidate </w:t>
            </w:r>
            <w:r w:rsidRPr="00913D8A">
              <w:rPr>
                <w:sz w:val="20"/>
                <w:szCs w:val="20"/>
              </w:rPr>
              <w:t xml:space="preserve">data since the last passing </w:t>
            </w:r>
            <w:r w:rsidR="00B068F3" w:rsidRPr="00D26D90">
              <w:rPr>
                <w:sz w:val="20"/>
                <w:szCs w:val="20"/>
              </w:rPr>
              <w:t>QC</w:t>
            </w:r>
            <w:r w:rsidRPr="00913D8A">
              <w:rPr>
                <w:sz w:val="20"/>
                <w:szCs w:val="20"/>
              </w:rPr>
              <w:t xml:space="preserve"> check. </w:t>
            </w:r>
            <w:r w:rsidR="00B068F3" w:rsidRPr="00D26D90">
              <w:rPr>
                <w:sz w:val="20"/>
                <w:szCs w:val="20"/>
              </w:rPr>
              <w:t>Perform</w:t>
            </w:r>
            <w:r w:rsidRPr="00913D8A">
              <w:rPr>
                <w:sz w:val="20"/>
                <w:szCs w:val="20"/>
              </w:rPr>
              <w:t xml:space="preserve"> </w:t>
            </w:r>
            <w:r w:rsidR="00A21F10" w:rsidRPr="00D26D90">
              <w:rPr>
                <w:sz w:val="20"/>
                <w:szCs w:val="20"/>
              </w:rPr>
              <w:t>calibration</w:t>
            </w:r>
            <w:r w:rsidRPr="00913D8A">
              <w:rPr>
                <w:sz w:val="20"/>
                <w:szCs w:val="20"/>
              </w:rPr>
              <w:t xml:space="preserve"> and MPV. </w:t>
            </w:r>
          </w:p>
        </w:tc>
      </w:tr>
    </w:tbl>
    <w:p w14:paraId="7B01B5F5" w14:textId="77777777" w:rsidR="007069D8" w:rsidRDefault="007069D8">
      <w:pPr>
        <w:rPr>
          <w:b/>
          <w:sz w:val="22"/>
          <w:szCs w:val="22"/>
        </w:rPr>
      </w:pPr>
      <w:r>
        <w:rPr>
          <w:b/>
          <w:sz w:val="22"/>
          <w:szCs w:val="22"/>
        </w:rPr>
        <w:br w:type="page"/>
      </w:r>
    </w:p>
    <w:p w14:paraId="2892D7B9" w14:textId="182C6A96" w:rsidR="007069D8" w:rsidRDefault="007069D8" w:rsidP="00D26D90">
      <w:pPr>
        <w:spacing w:after="0"/>
        <w:jc w:val="center"/>
      </w:pPr>
      <w:r>
        <w:rPr>
          <w:b/>
          <w:sz w:val="22"/>
          <w:szCs w:val="22"/>
        </w:rPr>
        <w:lastRenderedPageBreak/>
        <w:t xml:space="preserve">Table </w:t>
      </w:r>
      <w:r w:rsidRPr="00165A9D">
        <w:rPr>
          <w:b/>
          <w:sz w:val="22"/>
          <w:szCs w:val="22"/>
        </w:rPr>
        <w:t>2</w:t>
      </w:r>
      <w:r>
        <w:rPr>
          <w:b/>
          <w:sz w:val="22"/>
          <w:szCs w:val="22"/>
        </w:rPr>
        <w:t xml:space="preserve"> (continued):  Quality Control Parameter and Acceptance Criteria</w:t>
      </w:r>
    </w:p>
    <w:tbl>
      <w:tblPr>
        <w:tblStyle w:val="TableGrid"/>
        <w:tblW w:w="9270" w:type="dxa"/>
        <w:tblInd w:w="-27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850"/>
        <w:gridCol w:w="2138"/>
        <w:gridCol w:w="1700"/>
        <w:gridCol w:w="1732"/>
        <w:gridCol w:w="1850"/>
      </w:tblGrid>
      <w:tr w:rsidR="00400E98" w:rsidRPr="007D384C" w14:paraId="73ED9A9C" w14:textId="77777777" w:rsidTr="00F36A6F">
        <w:tc>
          <w:tcPr>
            <w:tcW w:w="1850" w:type="dxa"/>
            <w:shd w:val="clear" w:color="auto" w:fill="D9D9D9" w:themeFill="background1" w:themeFillShade="D9"/>
          </w:tcPr>
          <w:p w14:paraId="08B2433A" w14:textId="3668E779" w:rsidR="00400E98" w:rsidRPr="00913D8A" w:rsidRDefault="00400E98" w:rsidP="00F36A6F">
            <w:pPr>
              <w:jc w:val="center"/>
              <w:rPr>
                <w:sz w:val="20"/>
                <w:szCs w:val="20"/>
              </w:rPr>
            </w:pPr>
            <w:r w:rsidRPr="007D384C">
              <w:rPr>
                <w:b/>
                <w:sz w:val="20"/>
                <w:szCs w:val="20"/>
              </w:rPr>
              <w:t>QC Parameter</w:t>
            </w:r>
          </w:p>
        </w:tc>
        <w:tc>
          <w:tcPr>
            <w:tcW w:w="2138" w:type="dxa"/>
            <w:shd w:val="clear" w:color="auto" w:fill="D9D9D9" w:themeFill="background1" w:themeFillShade="D9"/>
          </w:tcPr>
          <w:p w14:paraId="39C9AC09" w14:textId="7184D350" w:rsidR="00400E98" w:rsidRPr="00913D8A" w:rsidRDefault="00400E98" w:rsidP="00F36A6F">
            <w:pPr>
              <w:jc w:val="center"/>
              <w:rPr>
                <w:sz w:val="20"/>
                <w:szCs w:val="20"/>
              </w:rPr>
            </w:pPr>
            <w:r w:rsidRPr="007D384C">
              <w:rPr>
                <w:b/>
                <w:sz w:val="20"/>
                <w:szCs w:val="20"/>
              </w:rPr>
              <w:t>Description</w:t>
            </w:r>
          </w:p>
        </w:tc>
        <w:tc>
          <w:tcPr>
            <w:tcW w:w="1700" w:type="dxa"/>
            <w:shd w:val="clear" w:color="auto" w:fill="D9D9D9" w:themeFill="background1" w:themeFillShade="D9"/>
          </w:tcPr>
          <w:p w14:paraId="08D9B64E" w14:textId="0FAB9369" w:rsidR="00400E98" w:rsidRPr="00D26D90" w:rsidRDefault="00400E98" w:rsidP="00F36A6F">
            <w:pPr>
              <w:jc w:val="center"/>
              <w:rPr>
                <w:sz w:val="20"/>
                <w:szCs w:val="20"/>
              </w:rPr>
            </w:pPr>
            <w:r w:rsidRPr="007D384C">
              <w:rPr>
                <w:b/>
                <w:sz w:val="20"/>
                <w:szCs w:val="20"/>
              </w:rPr>
              <w:t>Required Frequency</w:t>
            </w:r>
          </w:p>
        </w:tc>
        <w:tc>
          <w:tcPr>
            <w:tcW w:w="1732" w:type="dxa"/>
            <w:shd w:val="clear" w:color="auto" w:fill="D9D9D9" w:themeFill="background1" w:themeFillShade="D9"/>
          </w:tcPr>
          <w:p w14:paraId="23338A6E" w14:textId="4442D3A0" w:rsidR="00400E98" w:rsidRPr="00D26D90" w:rsidRDefault="00400E98" w:rsidP="00F36A6F">
            <w:pPr>
              <w:jc w:val="center"/>
              <w:rPr>
                <w:sz w:val="20"/>
                <w:szCs w:val="20"/>
              </w:rPr>
            </w:pPr>
            <w:r w:rsidRPr="007D384C">
              <w:rPr>
                <w:b/>
                <w:sz w:val="20"/>
                <w:szCs w:val="20"/>
              </w:rPr>
              <w:t>Acceptance Criteria</w:t>
            </w:r>
          </w:p>
        </w:tc>
        <w:tc>
          <w:tcPr>
            <w:tcW w:w="1850" w:type="dxa"/>
            <w:shd w:val="clear" w:color="auto" w:fill="D9D9D9" w:themeFill="background1" w:themeFillShade="D9"/>
          </w:tcPr>
          <w:p w14:paraId="0B526B5E" w14:textId="52BD689B" w:rsidR="00400E98" w:rsidRPr="00913D8A" w:rsidRDefault="00400E98" w:rsidP="00F36A6F">
            <w:pPr>
              <w:jc w:val="center"/>
              <w:rPr>
                <w:sz w:val="20"/>
                <w:szCs w:val="20"/>
              </w:rPr>
            </w:pPr>
            <w:r w:rsidRPr="007D384C">
              <w:rPr>
                <w:b/>
                <w:sz w:val="20"/>
                <w:szCs w:val="20"/>
              </w:rPr>
              <w:t>Suggested Corrective Action</w:t>
            </w:r>
          </w:p>
        </w:tc>
      </w:tr>
      <w:tr w:rsidR="00C27E06" w:rsidRPr="007D384C" w14:paraId="5A322061" w14:textId="77777777" w:rsidTr="00F36A6F">
        <w:tc>
          <w:tcPr>
            <w:tcW w:w="1850" w:type="dxa"/>
          </w:tcPr>
          <w:p w14:paraId="79FE2A7D" w14:textId="04236C22" w:rsidR="00C27E06" w:rsidRPr="00913D8A" w:rsidRDefault="00C27E06" w:rsidP="00254926">
            <w:pPr>
              <w:rPr>
                <w:sz w:val="20"/>
                <w:szCs w:val="20"/>
              </w:rPr>
            </w:pPr>
            <w:r w:rsidRPr="00913D8A">
              <w:rPr>
                <w:sz w:val="20"/>
                <w:szCs w:val="20"/>
              </w:rPr>
              <w:t xml:space="preserve">Zero/Span/Precision </w:t>
            </w:r>
            <w:r w:rsidR="007069D8">
              <w:rPr>
                <w:sz w:val="20"/>
                <w:szCs w:val="20"/>
              </w:rPr>
              <w:t>Check</w:t>
            </w:r>
          </w:p>
        </w:tc>
        <w:tc>
          <w:tcPr>
            <w:tcW w:w="2138" w:type="dxa"/>
          </w:tcPr>
          <w:p w14:paraId="26B0EE54" w14:textId="1B7EA787" w:rsidR="00C27E06" w:rsidRPr="00913D8A" w:rsidRDefault="00C27E06" w:rsidP="00254926">
            <w:pPr>
              <w:rPr>
                <w:sz w:val="20"/>
                <w:szCs w:val="20"/>
              </w:rPr>
            </w:pPr>
            <w:r w:rsidRPr="00913D8A">
              <w:rPr>
                <w:sz w:val="20"/>
                <w:szCs w:val="20"/>
              </w:rPr>
              <w:t xml:space="preserve">Verification performed by analyzing </w:t>
            </w:r>
            <w:r w:rsidR="00B068F3" w:rsidRPr="00D26D90">
              <w:rPr>
                <w:sz w:val="20"/>
                <w:szCs w:val="20"/>
              </w:rPr>
              <w:t>a zero and two</w:t>
            </w:r>
            <w:r w:rsidRPr="00913D8A">
              <w:rPr>
                <w:sz w:val="20"/>
                <w:szCs w:val="20"/>
              </w:rPr>
              <w:t xml:space="preserve"> </w:t>
            </w:r>
            <w:r w:rsidR="00B068F3" w:rsidRPr="00D26D90">
              <w:rPr>
                <w:sz w:val="20"/>
                <w:szCs w:val="20"/>
              </w:rPr>
              <w:t>standard NO</w:t>
            </w:r>
            <w:r w:rsidR="00B068F3" w:rsidRPr="00D26D90">
              <w:rPr>
                <w:sz w:val="20"/>
                <w:szCs w:val="20"/>
                <w:vertAlign w:val="subscript"/>
              </w:rPr>
              <w:t>2</w:t>
            </w:r>
            <w:r w:rsidR="00B068F3" w:rsidRPr="00D26D90">
              <w:rPr>
                <w:sz w:val="20"/>
                <w:szCs w:val="20"/>
              </w:rPr>
              <w:t xml:space="preserve"> </w:t>
            </w:r>
            <w:r w:rsidRPr="00913D8A">
              <w:rPr>
                <w:sz w:val="20"/>
                <w:szCs w:val="20"/>
              </w:rPr>
              <w:t>concentration levels</w:t>
            </w:r>
            <w:r w:rsidR="00B068F3" w:rsidRPr="00D26D90">
              <w:rPr>
                <w:sz w:val="20"/>
                <w:szCs w:val="20"/>
              </w:rPr>
              <w:t xml:space="preserve"> – span</w:t>
            </w:r>
            <w:r w:rsidR="00913D8A" w:rsidRPr="00D26D90">
              <w:rPr>
                <w:sz w:val="20"/>
                <w:szCs w:val="20"/>
              </w:rPr>
              <w:t xml:space="preserve"> point</w:t>
            </w:r>
            <w:r w:rsidR="00B068F3" w:rsidRPr="00D26D90">
              <w:rPr>
                <w:sz w:val="20"/>
                <w:szCs w:val="20"/>
              </w:rPr>
              <w:t xml:space="preserve"> at approximately 80% of the measurement range and a precision </w:t>
            </w:r>
            <w:r w:rsidR="00913D8A" w:rsidRPr="00D26D90">
              <w:rPr>
                <w:sz w:val="20"/>
                <w:szCs w:val="20"/>
              </w:rPr>
              <w:t>point</w:t>
            </w:r>
            <w:r w:rsidR="00B068F3" w:rsidRPr="00D26D90">
              <w:rPr>
                <w:sz w:val="20"/>
                <w:szCs w:val="20"/>
              </w:rPr>
              <w:t xml:space="preserve"> in the lower 1/3 of the measurement range</w:t>
            </w:r>
            <w:r w:rsidR="00913D8A" w:rsidRPr="00D26D90">
              <w:rPr>
                <w:sz w:val="20"/>
                <w:szCs w:val="20"/>
              </w:rPr>
              <w:t xml:space="preserve"> </w:t>
            </w:r>
            <w:r w:rsidRPr="00913D8A">
              <w:rPr>
                <w:sz w:val="20"/>
                <w:szCs w:val="20"/>
              </w:rPr>
              <w:t>(e.g., 1</w:t>
            </w:r>
            <w:r w:rsidR="00913D8A" w:rsidRPr="00D26D90">
              <w:rPr>
                <w:sz w:val="20"/>
                <w:szCs w:val="20"/>
              </w:rPr>
              <w:t>6</w:t>
            </w:r>
            <w:r w:rsidRPr="00913D8A">
              <w:rPr>
                <w:sz w:val="20"/>
                <w:szCs w:val="20"/>
              </w:rPr>
              <w:t>0</w:t>
            </w:r>
            <w:r w:rsidR="00913D8A" w:rsidRPr="00D26D90">
              <w:rPr>
                <w:sz w:val="20"/>
                <w:szCs w:val="20"/>
              </w:rPr>
              <w:t xml:space="preserve"> and </w:t>
            </w:r>
            <w:r w:rsidRPr="00913D8A">
              <w:rPr>
                <w:sz w:val="20"/>
                <w:szCs w:val="20"/>
              </w:rPr>
              <w:t>50 ppb</w:t>
            </w:r>
            <w:r w:rsidR="00913D8A" w:rsidRPr="00D26D90">
              <w:rPr>
                <w:sz w:val="20"/>
                <w:szCs w:val="20"/>
              </w:rPr>
              <w:t>, respectively for a measurement range of 0 to 200 ppb</w:t>
            </w:r>
            <w:r w:rsidRPr="00913D8A">
              <w:rPr>
                <w:sz w:val="20"/>
                <w:szCs w:val="20"/>
              </w:rPr>
              <w:t>)</w:t>
            </w:r>
          </w:p>
        </w:tc>
        <w:tc>
          <w:tcPr>
            <w:tcW w:w="1700" w:type="dxa"/>
          </w:tcPr>
          <w:p w14:paraId="6CB3DC29" w14:textId="64EDB7B7" w:rsidR="00C27E06" w:rsidRPr="00913D8A" w:rsidRDefault="00913D8A" w:rsidP="00254926">
            <w:pPr>
              <w:rPr>
                <w:sz w:val="20"/>
                <w:szCs w:val="20"/>
              </w:rPr>
            </w:pPr>
            <w:r w:rsidRPr="00D26D90">
              <w:rPr>
                <w:sz w:val="20"/>
                <w:szCs w:val="20"/>
              </w:rPr>
              <w:t>Optional – Recommended minimally every 14 days or more frequently.</w:t>
            </w:r>
          </w:p>
        </w:tc>
        <w:tc>
          <w:tcPr>
            <w:tcW w:w="1732" w:type="dxa"/>
          </w:tcPr>
          <w:p w14:paraId="1FB7D5C2" w14:textId="77777777" w:rsidR="00913D8A" w:rsidRPr="00D26D90" w:rsidRDefault="00913D8A" w:rsidP="00913D8A">
            <w:pPr>
              <w:rPr>
                <w:sz w:val="20"/>
                <w:szCs w:val="20"/>
              </w:rPr>
            </w:pPr>
            <w:r w:rsidRPr="00D26D90">
              <w:rPr>
                <w:sz w:val="20"/>
                <w:szCs w:val="20"/>
              </w:rPr>
              <w:t xml:space="preserve">Zero drift must be less than ± </w:t>
            </w:r>
            <w:r w:rsidRPr="00D26D90">
              <w:rPr>
                <w:sz w:val="20"/>
              </w:rPr>
              <w:t>0.</w:t>
            </w:r>
            <w:r w:rsidRPr="00D26D90">
              <w:rPr>
                <w:sz w:val="20"/>
                <w:szCs w:val="20"/>
              </w:rPr>
              <w:t>3</w:t>
            </w:r>
            <w:r w:rsidRPr="00D26D90">
              <w:rPr>
                <w:sz w:val="20"/>
              </w:rPr>
              <w:t xml:space="preserve"> ppb</w:t>
            </w:r>
            <w:r w:rsidRPr="00D26D90">
              <w:rPr>
                <w:sz w:val="20"/>
                <w:szCs w:val="20"/>
              </w:rPr>
              <w:t xml:space="preserve">.  </w:t>
            </w:r>
          </w:p>
          <w:p w14:paraId="6223F78A" w14:textId="3947A8FD" w:rsidR="00C27E06" w:rsidRPr="00913D8A" w:rsidRDefault="00913D8A" w:rsidP="00254926">
            <w:pPr>
              <w:rPr>
                <w:sz w:val="20"/>
                <w:szCs w:val="20"/>
              </w:rPr>
            </w:pPr>
            <w:r w:rsidRPr="00D26D90">
              <w:rPr>
                <w:sz w:val="20"/>
                <w:szCs w:val="20"/>
              </w:rPr>
              <w:t>Span and precision levels must be within ±10% of their theoretical concentration.</w:t>
            </w:r>
          </w:p>
        </w:tc>
        <w:tc>
          <w:tcPr>
            <w:tcW w:w="1850" w:type="dxa"/>
          </w:tcPr>
          <w:p w14:paraId="18DC6597" w14:textId="0D2ABA25" w:rsidR="00C27E06" w:rsidRPr="00913D8A" w:rsidRDefault="00C27E06" w:rsidP="00254926">
            <w:pPr>
              <w:rPr>
                <w:sz w:val="20"/>
                <w:szCs w:val="20"/>
              </w:rPr>
            </w:pPr>
            <w:r w:rsidRPr="00913D8A">
              <w:rPr>
                <w:sz w:val="20"/>
                <w:szCs w:val="20"/>
              </w:rPr>
              <w:t>Repeat Zero/Span/Precision Verification</w:t>
            </w:r>
            <w:r w:rsidR="00913D8A" w:rsidRPr="00D26D90">
              <w:rPr>
                <w:sz w:val="20"/>
                <w:szCs w:val="20"/>
              </w:rPr>
              <w:t xml:space="preserve"> to confirm</w:t>
            </w:r>
            <w:r w:rsidRPr="00913D8A">
              <w:rPr>
                <w:sz w:val="20"/>
                <w:szCs w:val="20"/>
              </w:rPr>
              <w:t xml:space="preserve">. </w:t>
            </w:r>
            <w:r w:rsidR="00913D8A" w:rsidRPr="00D26D90">
              <w:rPr>
                <w:sz w:val="20"/>
                <w:szCs w:val="20"/>
              </w:rPr>
              <w:t>Investigate system for contamination, leaks, or other causes of drift. Qualify or invalidate data since the last passing QC check. Perform calibration and MPV.</w:t>
            </w:r>
          </w:p>
        </w:tc>
      </w:tr>
    </w:tbl>
    <w:p w14:paraId="504AB19E" w14:textId="186F1FE8" w:rsidR="00C27E06" w:rsidRDefault="00C27E06" w:rsidP="00D26D90">
      <w:pPr>
        <w:spacing w:after="0"/>
      </w:pPr>
    </w:p>
    <w:p w14:paraId="72BBB6B7" w14:textId="6A6C27F1" w:rsidR="00D01469" w:rsidRPr="00D26D90" w:rsidRDefault="00D01469" w:rsidP="00D26D90">
      <w:pPr>
        <w:pStyle w:val="ListParagraph"/>
        <w:numPr>
          <w:ilvl w:val="0"/>
          <w:numId w:val="20"/>
        </w:numPr>
        <w:contextualSpacing w:val="0"/>
        <w:rPr>
          <w:b/>
          <w:bCs/>
        </w:rPr>
      </w:pPr>
      <w:r w:rsidRPr="00D26D90">
        <w:rPr>
          <w:b/>
          <w:bCs/>
        </w:rPr>
        <w:t>References</w:t>
      </w:r>
    </w:p>
    <w:p w14:paraId="6FCEC256" w14:textId="77777777" w:rsidR="007427C0" w:rsidRDefault="007427C0" w:rsidP="007427C0">
      <w:pPr>
        <w:pStyle w:val="ListParagraph"/>
        <w:numPr>
          <w:ilvl w:val="3"/>
          <w:numId w:val="20"/>
        </w:numPr>
        <w:ind w:left="1080"/>
        <w:contextualSpacing w:val="0"/>
      </w:pPr>
      <w:r>
        <w:t>U.S. EPA. 2019. Technical Assistance Document for Sampling and Analysis of Ozone Precursors for The Photochemical Assessment Monitoring Stations Program. Revision 2. EPA-454/B-19-004. April 2019. Available at (accessed July 2020):</w:t>
      </w:r>
      <w:r>
        <w:br/>
      </w:r>
      <w:hyperlink r:id="rId9" w:history="1">
        <w:r w:rsidRPr="008F60ED">
          <w:rPr>
            <w:rStyle w:val="Hyperlink"/>
          </w:rPr>
          <w:t>https://www.epa.gov/sites/production/files/2019-11/documents/pams_technical_assistance_document_revision_2_april_2019.pdf</w:t>
        </w:r>
      </w:hyperlink>
    </w:p>
    <w:p w14:paraId="6A025A98" w14:textId="77777777" w:rsidR="007427C0" w:rsidRDefault="007427C0" w:rsidP="007427C0">
      <w:pPr>
        <w:pStyle w:val="ListParagraph"/>
        <w:numPr>
          <w:ilvl w:val="3"/>
          <w:numId w:val="20"/>
        </w:numPr>
        <w:ind w:left="1080"/>
        <w:contextualSpacing w:val="0"/>
      </w:pPr>
      <w:r>
        <w:t xml:space="preserve">U.S. EPA. 2019. </w:t>
      </w:r>
      <w:r w:rsidRPr="00667778">
        <w:t>Quality Assurance Project Plan for the Photochemical Assessment Monitoring Stations (PAMS) Required Site Network for Speciated Volatile Organic Compounds, Carbonyls, and Meteorological Parameters Including Mixing Layer Height</w:t>
      </w:r>
      <w:r>
        <w:t xml:space="preserve">. EPA-454/B-19-003. April 2019. Available at (accessed July 2020): </w:t>
      </w:r>
      <w:hyperlink r:id="rId10" w:history="1">
        <w:r w:rsidRPr="00437B1C">
          <w:rPr>
            <w:rStyle w:val="Hyperlink"/>
          </w:rPr>
          <w:t>https://www3.epa.gov/ttnamti1/files/ambient/pams/PAMS_Model_QAPP.docx</w:t>
        </w:r>
      </w:hyperlink>
    </w:p>
    <w:p w14:paraId="775A7512" w14:textId="77777777" w:rsidR="007427C0" w:rsidRDefault="007427C0" w:rsidP="007427C0">
      <w:pPr>
        <w:pStyle w:val="ListParagraph"/>
        <w:numPr>
          <w:ilvl w:val="3"/>
          <w:numId w:val="20"/>
        </w:numPr>
        <w:ind w:left="1080"/>
        <w:contextualSpacing w:val="0"/>
      </w:pPr>
      <w:r w:rsidRPr="00272DB4">
        <w:t xml:space="preserve">40 CFR Appendix </w:t>
      </w:r>
      <w:r>
        <w:t>S</w:t>
      </w:r>
      <w:r w:rsidRPr="00272DB4">
        <w:t xml:space="preserve"> to Part 50, </w:t>
      </w:r>
      <w:r>
        <w:t>Interpretation of the Primary National Ambient Air Quality Standards for Oxides of Nitrogen (Nitrogen Dioxide)</w:t>
      </w:r>
      <w:r w:rsidRPr="00A0702C">
        <w:t>.</w:t>
      </w:r>
    </w:p>
    <w:p w14:paraId="644A3D68" w14:textId="77777777" w:rsidR="007427C0" w:rsidRDefault="007427C0" w:rsidP="007427C0">
      <w:pPr>
        <w:pStyle w:val="ListParagraph"/>
        <w:numPr>
          <w:ilvl w:val="3"/>
          <w:numId w:val="20"/>
        </w:numPr>
        <w:ind w:left="1080"/>
        <w:contextualSpacing w:val="0"/>
      </w:pPr>
      <w:r>
        <w:t>Teledyne Advanced Pollution Instrumentation Operation Addendum, Model T200UP Photolytic Nitrogen Oxide Analyzer, Addendum to T200 Manual, PN 06858.  07450C DCN6646, 06 February 2013.</w:t>
      </w:r>
    </w:p>
    <w:p w14:paraId="0F22A104" w14:textId="77777777" w:rsidR="007427C0" w:rsidRDefault="007427C0" w:rsidP="007427C0">
      <w:pPr>
        <w:pStyle w:val="ListParagraph"/>
        <w:numPr>
          <w:ilvl w:val="3"/>
          <w:numId w:val="20"/>
        </w:numPr>
        <w:ind w:left="1080"/>
        <w:contextualSpacing w:val="0"/>
      </w:pPr>
      <w:r>
        <w:t xml:space="preserve">Teledyne Advanced Pollution Instrumentation Operation Manual, Model T500U CAPS NO2 Analyzer.  </w:t>
      </w:r>
      <w:r w:rsidRPr="00215075">
        <w:t>07834D DCN6998</w:t>
      </w:r>
      <w:r>
        <w:t>, 01 June 2015.</w:t>
      </w:r>
    </w:p>
    <w:p w14:paraId="3E87CEF3" w14:textId="77777777" w:rsidR="007427C0" w:rsidRDefault="007427C0" w:rsidP="007427C0">
      <w:pPr>
        <w:pStyle w:val="ListParagraph"/>
        <w:numPr>
          <w:ilvl w:val="3"/>
          <w:numId w:val="20"/>
        </w:numPr>
        <w:ind w:left="1080"/>
        <w:contextualSpacing w:val="0"/>
      </w:pPr>
      <w:r>
        <w:t xml:space="preserve">U.S. EPA. EPA Traceability Protocol for Assay and Certification of Gaseous Calibration Standards. EPA/600/R-12/531. May 2012. Available at (accessed July 2020): </w:t>
      </w:r>
      <w:hyperlink r:id="rId11" w:history="1">
        <w:r w:rsidRPr="008F60ED">
          <w:rPr>
            <w:rStyle w:val="Hyperlink"/>
          </w:rPr>
          <w:t>https://cfpub.epa.gov/si/si_public_file_download.cfm?p_download_id=522029&amp;Lab=NRMRL</w:t>
        </w:r>
      </w:hyperlink>
    </w:p>
    <w:p w14:paraId="7B1B1877" w14:textId="77777777" w:rsidR="007427C0" w:rsidRPr="00A0702C" w:rsidRDefault="007427C0" w:rsidP="007427C0">
      <w:pPr>
        <w:pStyle w:val="ListParagraph"/>
        <w:numPr>
          <w:ilvl w:val="3"/>
          <w:numId w:val="20"/>
        </w:numPr>
        <w:ind w:left="1080"/>
        <w:contextualSpacing w:val="0"/>
      </w:pPr>
      <w:r w:rsidRPr="00A0702C">
        <w:lastRenderedPageBreak/>
        <w:t>U.S. EPA. Transfer Standards for Calibration of Air Monitoring Analyzers for Ozone. Technical Assistance Document. EPA-454/B-13-004, October 2013.</w:t>
      </w:r>
      <w:r>
        <w:t xml:space="preserve"> Available at (accessed July 2020): </w:t>
      </w:r>
      <w:hyperlink r:id="rId12" w:history="1">
        <w:r>
          <w:rPr>
            <w:rStyle w:val="Hyperlink"/>
          </w:rPr>
          <w:t>https://www3.epa.gov/ttnamti1/files/ambient/qaqc/OzoneTransferStandardGuidance.pdf</w:t>
        </w:r>
      </w:hyperlink>
    </w:p>
    <w:p w14:paraId="5986856A" w14:textId="77777777" w:rsidR="007427C0" w:rsidRDefault="007427C0" w:rsidP="007427C0">
      <w:pPr>
        <w:pStyle w:val="ListParagraph"/>
        <w:numPr>
          <w:ilvl w:val="3"/>
          <w:numId w:val="20"/>
        </w:numPr>
        <w:ind w:left="1080"/>
        <w:contextualSpacing w:val="0"/>
      </w:pPr>
      <w:r w:rsidRPr="00952CB4">
        <w:t>Aerodyne Research, Inc.</w:t>
      </w:r>
      <w:r>
        <w:t xml:space="preserve"> CAPS NO2 Monitor (Ambient Monitoring Version) Operating Manual. April 2014.  </w:t>
      </w:r>
    </w:p>
    <w:p w14:paraId="18B91AD6" w14:textId="77777777" w:rsidR="007427C0" w:rsidRDefault="007427C0" w:rsidP="007427C0">
      <w:pPr>
        <w:pStyle w:val="ListParagraph"/>
        <w:numPr>
          <w:ilvl w:val="3"/>
          <w:numId w:val="20"/>
        </w:numPr>
        <w:ind w:left="1080"/>
        <w:contextualSpacing w:val="0"/>
      </w:pPr>
      <w:r>
        <w:t>Teledyne Advanced Pollution Instrumentation Operation Manual, Model T200 NO/NO2/NOx Analyzer.  06858E DCN7057, 04 February 2015.</w:t>
      </w:r>
    </w:p>
    <w:p w14:paraId="104749BA" w14:textId="77777777" w:rsidR="007427C0" w:rsidRPr="00A0702C" w:rsidRDefault="007427C0" w:rsidP="007427C0">
      <w:pPr>
        <w:pStyle w:val="ListParagraph"/>
        <w:numPr>
          <w:ilvl w:val="3"/>
          <w:numId w:val="20"/>
        </w:numPr>
        <w:ind w:left="1080"/>
        <w:contextualSpacing w:val="0"/>
      </w:pPr>
      <w:r w:rsidRPr="00272DB4">
        <w:t xml:space="preserve">40 CFR Appendix F to Part 50, Measurement Principle and Calibration Procedure for the Measurement of Nitrogen Dioxide in the Atmosphere (Gas Phase </w:t>
      </w:r>
      <w:r w:rsidRPr="00A0702C">
        <w:t>Chemiluminescence).</w:t>
      </w:r>
    </w:p>
    <w:p w14:paraId="19E43113" w14:textId="77777777" w:rsidR="007427C0" w:rsidRDefault="007427C0" w:rsidP="007427C0">
      <w:pPr>
        <w:pStyle w:val="ListParagraph"/>
        <w:numPr>
          <w:ilvl w:val="3"/>
          <w:numId w:val="20"/>
        </w:numPr>
        <w:ind w:left="1080"/>
        <w:contextualSpacing w:val="0"/>
      </w:pPr>
      <w:r w:rsidRPr="00FD24C8">
        <w:t>40 CFR Appendix E to Part 58, Probe and Monitoring Path Siting Criteria for Ambient Air Quality Monitoring</w:t>
      </w:r>
      <w:r>
        <w:t>.</w:t>
      </w:r>
    </w:p>
    <w:p w14:paraId="623B6AD6" w14:textId="77777777" w:rsidR="007427C0" w:rsidRPr="00A0702C" w:rsidRDefault="007427C0" w:rsidP="007427C0">
      <w:pPr>
        <w:pStyle w:val="ListParagraph"/>
        <w:numPr>
          <w:ilvl w:val="3"/>
          <w:numId w:val="20"/>
        </w:numPr>
        <w:ind w:left="1080"/>
        <w:contextualSpacing w:val="0"/>
      </w:pPr>
      <w:r>
        <w:t xml:space="preserve">Wisconsin Department of Natural Resources/Air Monitoring. Standard Operations Procedure for Nitrogen Dioxide by Cavity Attenuated Phase Shift Spectrophotometry (CAPS) Teledyne API T500U SOP 8.3. </w:t>
      </w:r>
      <w:r w:rsidRPr="00A0702C">
        <w:t>Revision 0 [Draft] February 2016.</w:t>
      </w:r>
    </w:p>
    <w:p w14:paraId="01C764E6" w14:textId="38729568" w:rsidR="00E215C4" w:rsidRDefault="007427C0" w:rsidP="007427C0">
      <w:pPr>
        <w:pStyle w:val="ListParagraph"/>
        <w:numPr>
          <w:ilvl w:val="3"/>
          <w:numId w:val="20"/>
        </w:numPr>
        <w:ind w:left="1080"/>
        <w:contextualSpacing w:val="0"/>
      </w:pPr>
      <w:r w:rsidRPr="00A0702C">
        <w:t>Colorado Department of Public Health and Environment, Air Pollution Control Division, Technical Services Program Appendix GM4. Standard Operating Procedure for the Determination of Nitrogen Dioxide in Ambient Air Using Cavity Attenuated Phase Shift Spectroscopy. December 28, 2017.</w:t>
      </w:r>
    </w:p>
    <w:sectPr w:rsidR="00E215C4">
      <w:head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DF159" w14:textId="77777777" w:rsidR="00051DA0" w:rsidRDefault="00051DA0" w:rsidP="0058319F">
      <w:r>
        <w:separator/>
      </w:r>
    </w:p>
  </w:endnote>
  <w:endnote w:type="continuationSeparator" w:id="0">
    <w:p w14:paraId="4E41DCDB" w14:textId="77777777" w:rsidR="00051DA0" w:rsidRDefault="00051DA0" w:rsidP="0058319F">
      <w:r>
        <w:continuationSeparator/>
      </w:r>
    </w:p>
  </w:endnote>
  <w:endnote w:type="continuationNotice" w:id="1">
    <w:p w14:paraId="78F1A1CF" w14:textId="77777777" w:rsidR="00051DA0" w:rsidRDefault="00051D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CB872" w14:textId="77777777" w:rsidR="00051DA0" w:rsidRDefault="00051DA0" w:rsidP="0058319F">
      <w:r>
        <w:separator/>
      </w:r>
    </w:p>
  </w:footnote>
  <w:footnote w:type="continuationSeparator" w:id="0">
    <w:p w14:paraId="500F9D13" w14:textId="77777777" w:rsidR="00051DA0" w:rsidRDefault="00051DA0" w:rsidP="0058319F">
      <w:r>
        <w:continuationSeparator/>
      </w:r>
    </w:p>
  </w:footnote>
  <w:footnote w:type="continuationNotice" w:id="1">
    <w:p w14:paraId="49CAA153" w14:textId="77777777" w:rsidR="00051DA0" w:rsidRDefault="00051D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E3064" w14:textId="5A9932BC" w:rsidR="00AF0167" w:rsidRDefault="00AF0167">
    <w:pPr>
      <w:pStyle w:val="Header"/>
    </w:pPr>
    <w:r>
      <w:rPr>
        <w:sz w:val="18"/>
        <w:szCs w:val="18"/>
      </w:rPr>
      <w:t>True NO</w:t>
    </w:r>
    <w:r w:rsidRPr="00CE3A32">
      <w:rPr>
        <w:sz w:val="18"/>
        <w:szCs w:val="18"/>
        <w:vertAlign w:val="subscript"/>
      </w:rPr>
      <w:t>2</w:t>
    </w:r>
    <w:r>
      <w:rPr>
        <w:sz w:val="18"/>
        <w:szCs w:val="18"/>
      </w:rPr>
      <w:t xml:space="preserve"> Analyzer </w:t>
    </w:r>
    <w:r w:rsidRPr="00A70247">
      <w:rPr>
        <w:sz w:val="18"/>
        <w:szCs w:val="18"/>
      </w:rPr>
      <w:t>SOP</w:t>
    </w:r>
    <w:r w:rsidRPr="00A70247">
      <w:rPr>
        <w:sz w:val="18"/>
        <w:szCs w:val="18"/>
      </w:rPr>
      <w:tab/>
    </w:r>
    <w:r w:rsidRPr="00A70247">
      <w:rPr>
        <w:sz w:val="18"/>
        <w:szCs w:val="18"/>
      </w:rPr>
      <w:tab/>
      <w:t xml:space="preserve">Page </w:t>
    </w:r>
    <w:r w:rsidRPr="00A70247">
      <w:rPr>
        <w:bCs/>
        <w:sz w:val="18"/>
        <w:szCs w:val="18"/>
      </w:rPr>
      <w:fldChar w:fldCharType="begin"/>
    </w:r>
    <w:r w:rsidRPr="00A70247">
      <w:rPr>
        <w:bCs/>
        <w:sz w:val="18"/>
        <w:szCs w:val="18"/>
      </w:rPr>
      <w:instrText xml:space="preserve"> PAGE  \* Arabic  \* MERGEFORMAT </w:instrText>
    </w:r>
    <w:r w:rsidRPr="00A70247">
      <w:rPr>
        <w:bCs/>
        <w:sz w:val="18"/>
        <w:szCs w:val="18"/>
      </w:rPr>
      <w:fldChar w:fldCharType="separate"/>
    </w:r>
    <w:r>
      <w:rPr>
        <w:bCs/>
        <w:noProof/>
        <w:sz w:val="18"/>
        <w:szCs w:val="18"/>
      </w:rPr>
      <w:t>9</w:t>
    </w:r>
    <w:r w:rsidRPr="00A70247">
      <w:rPr>
        <w:bCs/>
        <w:sz w:val="18"/>
        <w:szCs w:val="18"/>
      </w:rPr>
      <w:fldChar w:fldCharType="end"/>
    </w:r>
    <w:r w:rsidRPr="00A70247">
      <w:rPr>
        <w:sz w:val="18"/>
        <w:szCs w:val="18"/>
      </w:rPr>
      <w:t xml:space="preserve"> of </w:t>
    </w:r>
    <w:r w:rsidRPr="00A70247">
      <w:rPr>
        <w:bCs/>
        <w:sz w:val="18"/>
        <w:szCs w:val="18"/>
      </w:rPr>
      <w:fldChar w:fldCharType="begin"/>
    </w:r>
    <w:r w:rsidRPr="00A70247">
      <w:rPr>
        <w:bCs/>
        <w:sz w:val="18"/>
        <w:szCs w:val="18"/>
      </w:rPr>
      <w:instrText xml:space="preserve"> NUMPAGES  \* Arabic  \* MERGEFORMAT </w:instrText>
    </w:r>
    <w:r w:rsidRPr="00A70247">
      <w:rPr>
        <w:bCs/>
        <w:sz w:val="18"/>
        <w:szCs w:val="18"/>
      </w:rPr>
      <w:fldChar w:fldCharType="separate"/>
    </w:r>
    <w:r>
      <w:rPr>
        <w:bCs/>
        <w:noProof/>
        <w:sz w:val="18"/>
        <w:szCs w:val="18"/>
      </w:rPr>
      <w:t>10</w:t>
    </w:r>
    <w:r w:rsidRPr="00A70247">
      <w:rPr>
        <w:bCs/>
        <w:sz w:val="18"/>
        <w:szCs w:val="18"/>
      </w:rPr>
      <w:fldChar w:fldCharType="end"/>
    </w:r>
    <w:r w:rsidRPr="00A70247">
      <w:rPr>
        <w:sz w:val="18"/>
        <w:szCs w:val="18"/>
      </w:rPr>
      <w:br/>
      <w:t>PAMS Required Site Network</w:t>
    </w:r>
    <w:r>
      <w:rPr>
        <w:sz w:val="18"/>
        <w:szCs w:val="18"/>
      </w:rPr>
      <w:tab/>
    </w:r>
    <w:r>
      <w:rPr>
        <w:sz w:val="18"/>
        <w:szCs w:val="18"/>
      </w:rPr>
      <w:tab/>
      <w:t>Draft – July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563D0"/>
    <w:multiLevelType w:val="hybridMultilevel"/>
    <w:tmpl w:val="CFC2E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61115"/>
    <w:multiLevelType w:val="hybridMultilevel"/>
    <w:tmpl w:val="C5E8E3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4711A"/>
    <w:multiLevelType w:val="hybridMultilevel"/>
    <w:tmpl w:val="8F6CC930"/>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5C164F2"/>
    <w:multiLevelType w:val="hybridMultilevel"/>
    <w:tmpl w:val="845882FA"/>
    <w:lvl w:ilvl="0" w:tplc="04090015">
      <w:start w:val="1"/>
      <w:numFmt w:val="upperLetter"/>
      <w:lvlText w:val="%1."/>
      <w:lvlJc w:val="left"/>
      <w:pPr>
        <w:ind w:left="720" w:hanging="360"/>
      </w:pPr>
      <w:rPr>
        <w:rFonts w:hint="default"/>
      </w:rPr>
    </w:lvl>
    <w:lvl w:ilvl="1" w:tplc="AA82BA9C">
      <w:start w:val="1"/>
      <w:numFmt w:val="decimal"/>
      <w:lvlText w:val="%2."/>
      <w:lvlJc w:val="left"/>
      <w:pPr>
        <w:ind w:left="1440" w:hanging="360"/>
      </w:pPr>
      <w:rPr>
        <w:b w:val="0"/>
        <w:bCs w:val="0"/>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868F0"/>
    <w:multiLevelType w:val="hybridMultilevel"/>
    <w:tmpl w:val="28D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275E7"/>
    <w:multiLevelType w:val="hybridMultilevel"/>
    <w:tmpl w:val="E960C1B6"/>
    <w:lvl w:ilvl="0" w:tplc="F16ECCA0">
      <w:start w:val="1"/>
      <w:numFmt w:val="lowerRoman"/>
      <w:lvlText w:val="%1."/>
      <w:lvlJc w:val="left"/>
      <w:pPr>
        <w:ind w:left="2160" w:hanging="720"/>
      </w:pPr>
      <w:rPr>
        <w:rFonts w:hint="default"/>
      </w:rPr>
    </w:lvl>
    <w:lvl w:ilvl="1" w:tplc="0409000F">
      <w:start w:val="1"/>
      <w:numFmt w:val="decimal"/>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EDD5A5F"/>
    <w:multiLevelType w:val="hybridMultilevel"/>
    <w:tmpl w:val="D8EEC04A"/>
    <w:lvl w:ilvl="0" w:tplc="14960CF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1AB"/>
    <w:multiLevelType w:val="hybridMultilevel"/>
    <w:tmpl w:val="F3326892"/>
    <w:lvl w:ilvl="0" w:tplc="9112E490">
      <w:start w:val="1"/>
      <w:numFmt w:val="lowerRoman"/>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9A6410"/>
    <w:multiLevelType w:val="hybridMultilevel"/>
    <w:tmpl w:val="1E505D94"/>
    <w:lvl w:ilvl="0" w:tplc="2536DCC6">
      <w:start w:val="2"/>
      <w:numFmt w:val="lowerRoman"/>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E65D5F"/>
    <w:multiLevelType w:val="hybridMultilevel"/>
    <w:tmpl w:val="AE3CA23E"/>
    <w:lvl w:ilvl="0" w:tplc="3724E9C8">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4563B1"/>
    <w:multiLevelType w:val="multilevel"/>
    <w:tmpl w:val="7182F782"/>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1" w15:restartNumberingAfterBreak="0">
    <w:nsid w:val="1E276BDA"/>
    <w:multiLevelType w:val="hybridMultilevel"/>
    <w:tmpl w:val="635409C0"/>
    <w:lvl w:ilvl="0" w:tplc="8202FF78">
      <w:start w:val="1"/>
      <w:numFmt w:val="decimal"/>
      <w:lvlText w:val="%1."/>
      <w:lvlJc w:val="left"/>
      <w:pPr>
        <w:ind w:left="1454" w:hanging="360"/>
      </w:pPr>
      <w:rPr>
        <w:rFonts w:hint="default"/>
      </w:rPr>
    </w:lvl>
    <w:lvl w:ilvl="1" w:tplc="04090019">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12" w15:restartNumberingAfterBreak="0">
    <w:nsid w:val="1FA71024"/>
    <w:multiLevelType w:val="hybridMultilevel"/>
    <w:tmpl w:val="C0E2452E"/>
    <w:lvl w:ilvl="0" w:tplc="1B6EA3D6">
      <w:start w:val="1"/>
      <w:numFmt w:val="lowerRoman"/>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7F6E2C54">
      <w:start w:val="1"/>
      <w:numFmt w:val="decimal"/>
      <w:lvlText w:val="%4."/>
      <w:lvlJc w:val="left"/>
      <w:pPr>
        <w:ind w:left="3240" w:hanging="360"/>
      </w:pPr>
      <w:rPr>
        <w:rFonts w:hint="default"/>
      </w:rPr>
    </w:lvl>
    <w:lvl w:ilvl="4" w:tplc="FF90CD2C">
      <w:start w:val="9"/>
      <w:numFmt w:val="lowerLetter"/>
      <w:lvlText w:val="%5."/>
      <w:lvlJc w:val="left"/>
      <w:pPr>
        <w:ind w:left="3960" w:hanging="360"/>
      </w:pPr>
      <w:rPr>
        <w:rFonts w:hint="default"/>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0D9596B"/>
    <w:multiLevelType w:val="hybridMultilevel"/>
    <w:tmpl w:val="3D08AC18"/>
    <w:lvl w:ilvl="0" w:tplc="0409001B">
      <w:start w:val="1"/>
      <w:numFmt w:val="lowerRoman"/>
      <w:lvlText w:val="%1."/>
      <w:lvlJc w:val="right"/>
      <w:pPr>
        <w:ind w:left="2160" w:hanging="18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1B54B42"/>
    <w:multiLevelType w:val="hybridMultilevel"/>
    <w:tmpl w:val="AD865D88"/>
    <w:lvl w:ilvl="0" w:tplc="CD501984">
      <w:start w:val="2"/>
      <w:numFmt w:val="upperLetter"/>
      <w:lvlText w:val="%1."/>
      <w:lvlJc w:val="left"/>
      <w:pPr>
        <w:ind w:left="720" w:hanging="360"/>
      </w:pPr>
      <w:rPr>
        <w:rFonts w:hint="default"/>
        <w:b/>
        <w:bCs w:val="0"/>
      </w:rPr>
    </w:lvl>
    <w:lvl w:ilvl="1" w:tplc="04090019">
      <w:start w:val="1"/>
      <w:numFmt w:val="lowerLetter"/>
      <w:lvlText w:val="%2."/>
      <w:lvlJc w:val="left"/>
      <w:pPr>
        <w:ind w:left="990" w:hanging="360"/>
      </w:pPr>
    </w:lvl>
    <w:lvl w:ilvl="2" w:tplc="0409001B">
      <w:start w:val="1"/>
      <w:numFmt w:val="lowerRoman"/>
      <w:lvlText w:val="%3."/>
      <w:lvlJc w:val="right"/>
      <w:pPr>
        <w:ind w:left="12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602D81"/>
    <w:multiLevelType w:val="multilevel"/>
    <w:tmpl w:val="CB3AE322"/>
    <w:lvl w:ilvl="0">
      <w:start w:val="3"/>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6601E"/>
    <w:multiLevelType w:val="multilevel"/>
    <w:tmpl w:val="5CBCEB88"/>
    <w:lvl w:ilvl="0">
      <w:start w:val="3"/>
      <w:numFmt w:val="decimal"/>
      <w:lvlText w:val="%1"/>
      <w:lvlJc w:val="left"/>
      <w:pPr>
        <w:ind w:left="480" w:hanging="480"/>
      </w:pPr>
      <w:rPr>
        <w:rFonts w:hint="default"/>
      </w:rPr>
    </w:lvl>
    <w:lvl w:ilvl="1">
      <w:start w:val="4"/>
      <w:numFmt w:val="decimal"/>
      <w:lvlText w:val="%1.%2"/>
      <w:lvlJc w:val="left"/>
      <w:pPr>
        <w:ind w:left="1065"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120" w:hanging="1440"/>
      </w:pPr>
      <w:rPr>
        <w:rFonts w:hint="default"/>
      </w:rPr>
    </w:lvl>
  </w:abstractNum>
  <w:abstractNum w:abstractNumId="17" w15:restartNumberingAfterBreak="0">
    <w:nsid w:val="2E1E6A0C"/>
    <w:multiLevelType w:val="hybridMultilevel"/>
    <w:tmpl w:val="2C3C5478"/>
    <w:lvl w:ilvl="0" w:tplc="0388CE0C">
      <w:start w:val="3"/>
      <w:numFmt w:val="lowerRoman"/>
      <w:lvlText w:val="%1."/>
      <w:lvlJc w:val="left"/>
      <w:pPr>
        <w:ind w:left="126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2A406AA"/>
    <w:multiLevelType w:val="hybridMultilevel"/>
    <w:tmpl w:val="C7F22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472D89"/>
    <w:multiLevelType w:val="hybridMultilevel"/>
    <w:tmpl w:val="8438F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4C61542"/>
    <w:multiLevelType w:val="multilevel"/>
    <w:tmpl w:val="69486B72"/>
    <w:lvl w:ilvl="0">
      <w:start w:val="3"/>
      <w:numFmt w:val="decimal"/>
      <w:lvlText w:val="%1"/>
      <w:lvlJc w:val="left"/>
      <w:pPr>
        <w:ind w:left="480" w:hanging="480"/>
      </w:pPr>
      <w:rPr>
        <w:rFonts w:hint="default"/>
      </w:rPr>
    </w:lvl>
    <w:lvl w:ilvl="1">
      <w:start w:val="6"/>
      <w:numFmt w:val="decimal"/>
      <w:lvlText w:val="%1.%2"/>
      <w:lvlJc w:val="left"/>
      <w:pPr>
        <w:ind w:left="1110" w:hanging="480"/>
      </w:pPr>
      <w:rPr>
        <w:rFonts w:hint="default"/>
      </w:rPr>
    </w:lvl>
    <w:lvl w:ilvl="2">
      <w:start w:val="4"/>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1" w15:restartNumberingAfterBreak="0">
    <w:nsid w:val="472921D2"/>
    <w:multiLevelType w:val="hybridMultilevel"/>
    <w:tmpl w:val="2B2822A6"/>
    <w:lvl w:ilvl="0" w:tplc="0388CE0C">
      <w:start w:val="3"/>
      <w:numFmt w:val="lowerRoman"/>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0E11B0"/>
    <w:multiLevelType w:val="hybridMultilevel"/>
    <w:tmpl w:val="74C2D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BA2908"/>
    <w:multiLevelType w:val="hybridMultilevel"/>
    <w:tmpl w:val="8B6E6614"/>
    <w:lvl w:ilvl="0" w:tplc="E4B81824">
      <w:start w:val="1"/>
      <w:numFmt w:val="lowerLetter"/>
      <w:lvlText w:val="%1."/>
      <w:lvlJc w:val="left"/>
      <w:pPr>
        <w:ind w:left="1080" w:hanging="360"/>
      </w:pPr>
      <w:rPr>
        <w:rFonts w:hint="default"/>
      </w:rPr>
    </w:lvl>
    <w:lvl w:ilvl="1" w:tplc="0678671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A48ACDBE">
      <w:start w:val="1"/>
      <w:numFmt w:val="lowerLetter"/>
      <w:lvlText w:val="%4."/>
      <w:lvlJc w:val="lef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794802"/>
    <w:multiLevelType w:val="hybridMultilevel"/>
    <w:tmpl w:val="4BB24766"/>
    <w:lvl w:ilvl="0" w:tplc="14AC91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225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F82B13"/>
    <w:multiLevelType w:val="hybridMultilevel"/>
    <w:tmpl w:val="59E6539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385752"/>
    <w:multiLevelType w:val="multilevel"/>
    <w:tmpl w:val="5A16520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60066E"/>
    <w:multiLevelType w:val="hybridMultilevel"/>
    <w:tmpl w:val="AD865D88"/>
    <w:lvl w:ilvl="0" w:tplc="CD501984">
      <w:start w:val="2"/>
      <w:numFmt w:val="upperLetter"/>
      <w:lvlText w:val="%1."/>
      <w:lvlJc w:val="left"/>
      <w:pPr>
        <w:ind w:left="720" w:hanging="360"/>
      </w:pPr>
      <w:rPr>
        <w:rFonts w:hint="default"/>
        <w:b/>
        <w:bCs w:val="0"/>
      </w:rPr>
    </w:lvl>
    <w:lvl w:ilvl="1" w:tplc="04090019">
      <w:start w:val="1"/>
      <w:numFmt w:val="lowerLetter"/>
      <w:lvlText w:val="%2."/>
      <w:lvlJc w:val="left"/>
      <w:pPr>
        <w:ind w:left="990" w:hanging="360"/>
      </w:pPr>
    </w:lvl>
    <w:lvl w:ilvl="2" w:tplc="0409001B">
      <w:start w:val="1"/>
      <w:numFmt w:val="lowerRoman"/>
      <w:lvlText w:val="%3."/>
      <w:lvlJc w:val="right"/>
      <w:pPr>
        <w:ind w:left="12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F7524D"/>
    <w:multiLevelType w:val="multilevel"/>
    <w:tmpl w:val="1D746258"/>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9" w15:restartNumberingAfterBreak="0">
    <w:nsid w:val="613321AA"/>
    <w:multiLevelType w:val="multilevel"/>
    <w:tmpl w:val="CCF08FC6"/>
    <w:lvl w:ilvl="0">
      <w:start w:val="2"/>
      <w:numFmt w:val="decimal"/>
      <w:lvlText w:val="%1"/>
      <w:lvlJc w:val="left"/>
      <w:pPr>
        <w:ind w:left="360" w:hanging="360"/>
      </w:pPr>
      <w:rPr>
        <w:rFonts w:hint="default"/>
      </w:rPr>
    </w:lvl>
    <w:lvl w:ilvl="1">
      <w:start w:val="2"/>
      <w:numFmt w:val="decimal"/>
      <w:pStyle w:val="Style1"/>
      <w:lvlText w:val="%1.%2"/>
      <w:lvlJc w:val="left"/>
      <w:pPr>
        <w:ind w:left="720" w:hanging="360"/>
      </w:pPr>
      <w:rPr>
        <w:rFonts w:hint="default"/>
      </w:rPr>
    </w:lvl>
    <w:lvl w:ilvl="2">
      <w:start w:val="1"/>
      <w:numFmt w:val="lowerLetter"/>
      <w:lvlText w:val="%3."/>
      <w:lvlJc w:val="left"/>
      <w:pPr>
        <w:ind w:left="1440" w:hanging="720"/>
      </w:pPr>
      <w:rPr>
        <w:rFonts w:ascii="Times New Roman" w:eastAsia="Times New Roman"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5E250EC"/>
    <w:multiLevelType w:val="hybridMultilevel"/>
    <w:tmpl w:val="56B038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0F744B"/>
    <w:multiLevelType w:val="hybridMultilevel"/>
    <w:tmpl w:val="866C59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2B67D1"/>
    <w:multiLevelType w:val="hybridMultilevel"/>
    <w:tmpl w:val="FC7CCA66"/>
    <w:lvl w:ilvl="0" w:tplc="66ECD44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6AB325BE"/>
    <w:multiLevelType w:val="hybridMultilevel"/>
    <w:tmpl w:val="78828E1E"/>
    <w:lvl w:ilvl="0" w:tplc="B3F2E000">
      <w:start w:val="1"/>
      <w:numFmt w:val="lowerLetter"/>
      <w:lvlText w:val="%1."/>
      <w:lvlJc w:val="right"/>
      <w:pPr>
        <w:ind w:left="2520" w:hanging="18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58668D"/>
    <w:multiLevelType w:val="multilevel"/>
    <w:tmpl w:val="D368F36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B945CAD"/>
    <w:multiLevelType w:val="hybridMultilevel"/>
    <w:tmpl w:val="37426DD6"/>
    <w:lvl w:ilvl="0" w:tplc="BCEE6D20">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BA7F82"/>
    <w:multiLevelType w:val="hybridMultilevel"/>
    <w:tmpl w:val="5CB86388"/>
    <w:lvl w:ilvl="0" w:tplc="175433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21C7D4D"/>
    <w:multiLevelType w:val="hybridMultilevel"/>
    <w:tmpl w:val="83606DE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76A746E6"/>
    <w:multiLevelType w:val="hybridMultilevel"/>
    <w:tmpl w:val="EF7C0430"/>
    <w:lvl w:ilvl="0" w:tplc="EA5ED362">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637213"/>
    <w:multiLevelType w:val="multilevel"/>
    <w:tmpl w:val="BB461D56"/>
    <w:lvl w:ilvl="0">
      <w:start w:val="1"/>
      <w:numFmt w:val="upperRoman"/>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B6E041E"/>
    <w:multiLevelType w:val="hybridMultilevel"/>
    <w:tmpl w:val="A448E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9F7065"/>
    <w:multiLevelType w:val="hybridMultilevel"/>
    <w:tmpl w:val="F75889B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39"/>
  </w:num>
  <w:num w:numId="4">
    <w:abstractNumId w:val="5"/>
  </w:num>
  <w:num w:numId="5">
    <w:abstractNumId w:val="30"/>
  </w:num>
  <w:num w:numId="6">
    <w:abstractNumId w:val="28"/>
  </w:num>
  <w:num w:numId="7">
    <w:abstractNumId w:val="10"/>
  </w:num>
  <w:num w:numId="8">
    <w:abstractNumId w:val="29"/>
  </w:num>
  <w:num w:numId="9">
    <w:abstractNumId w:val="12"/>
  </w:num>
  <w:num w:numId="10">
    <w:abstractNumId w:val="29"/>
    <w:lvlOverride w:ilvl="0">
      <w:startOverride w:val="3"/>
    </w:lvlOverride>
    <w:lvlOverride w:ilvl="1">
      <w:startOverride w:val="2"/>
    </w:lvlOverride>
  </w:num>
  <w:num w:numId="11">
    <w:abstractNumId w:val="29"/>
    <w:lvlOverride w:ilvl="0">
      <w:startOverride w:val="3"/>
    </w:lvlOverride>
    <w:lvlOverride w:ilvl="1">
      <w:startOverride w:val="4"/>
    </w:lvlOverride>
  </w:num>
  <w:num w:numId="12">
    <w:abstractNumId w:val="29"/>
    <w:lvlOverride w:ilvl="0">
      <w:startOverride w:val="3"/>
    </w:lvlOverride>
    <w:lvlOverride w:ilvl="1">
      <w:startOverride w:val="7"/>
    </w:lvlOverride>
  </w:num>
  <w:num w:numId="13">
    <w:abstractNumId w:val="29"/>
    <w:lvlOverride w:ilvl="0">
      <w:startOverride w:val="3"/>
    </w:lvlOverride>
    <w:lvlOverride w:ilvl="1">
      <w:startOverride w:val="7"/>
    </w:lvlOverride>
  </w:num>
  <w:num w:numId="14">
    <w:abstractNumId w:val="16"/>
  </w:num>
  <w:num w:numId="15">
    <w:abstractNumId w:val="26"/>
  </w:num>
  <w:num w:numId="16">
    <w:abstractNumId w:val="20"/>
  </w:num>
  <w:num w:numId="17">
    <w:abstractNumId w:val="15"/>
  </w:num>
  <w:num w:numId="18">
    <w:abstractNumId w:val="34"/>
  </w:num>
  <w:num w:numId="19">
    <w:abstractNumId w:val="22"/>
  </w:num>
  <w:num w:numId="20">
    <w:abstractNumId w:val="14"/>
  </w:num>
  <w:num w:numId="21">
    <w:abstractNumId w:val="40"/>
  </w:num>
  <w:num w:numId="22">
    <w:abstractNumId w:val="24"/>
  </w:num>
  <w:num w:numId="23">
    <w:abstractNumId w:val="18"/>
  </w:num>
  <w:num w:numId="24">
    <w:abstractNumId w:val="41"/>
  </w:num>
  <w:num w:numId="25">
    <w:abstractNumId w:val="25"/>
  </w:num>
  <w:num w:numId="26">
    <w:abstractNumId w:val="36"/>
  </w:num>
  <w:num w:numId="27">
    <w:abstractNumId w:val="13"/>
  </w:num>
  <w:num w:numId="28">
    <w:abstractNumId w:val="35"/>
  </w:num>
  <w:num w:numId="29">
    <w:abstractNumId w:val="23"/>
  </w:num>
  <w:num w:numId="30">
    <w:abstractNumId w:val="21"/>
  </w:num>
  <w:num w:numId="31">
    <w:abstractNumId w:val="9"/>
  </w:num>
  <w:num w:numId="32">
    <w:abstractNumId w:val="6"/>
  </w:num>
  <w:num w:numId="33">
    <w:abstractNumId w:val="33"/>
  </w:num>
  <w:num w:numId="34">
    <w:abstractNumId w:val="17"/>
  </w:num>
  <w:num w:numId="35">
    <w:abstractNumId w:val="8"/>
  </w:num>
  <w:num w:numId="36">
    <w:abstractNumId w:val="7"/>
  </w:num>
  <w:num w:numId="37">
    <w:abstractNumId w:val="4"/>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37"/>
  </w:num>
  <w:num w:numId="41">
    <w:abstractNumId w:val="2"/>
  </w:num>
  <w:num w:numId="42">
    <w:abstractNumId w:val="31"/>
  </w:num>
  <w:num w:numId="43">
    <w:abstractNumId w:val="11"/>
  </w:num>
  <w:num w:numId="44">
    <w:abstractNumId w:val="32"/>
  </w:num>
  <w:num w:numId="45">
    <w:abstractNumId w:val="38"/>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19F"/>
    <w:rsid w:val="000012DE"/>
    <w:rsid w:val="00006DCA"/>
    <w:rsid w:val="00010419"/>
    <w:rsid w:val="00010A80"/>
    <w:rsid w:val="00010FFC"/>
    <w:rsid w:val="000124CA"/>
    <w:rsid w:val="00014D27"/>
    <w:rsid w:val="0001557A"/>
    <w:rsid w:val="00017170"/>
    <w:rsid w:val="00021CCA"/>
    <w:rsid w:val="000334EE"/>
    <w:rsid w:val="000359F8"/>
    <w:rsid w:val="00036410"/>
    <w:rsid w:val="000405D4"/>
    <w:rsid w:val="00043993"/>
    <w:rsid w:val="000441D0"/>
    <w:rsid w:val="000447B2"/>
    <w:rsid w:val="0005137D"/>
    <w:rsid w:val="00051DA0"/>
    <w:rsid w:val="00052527"/>
    <w:rsid w:val="00054441"/>
    <w:rsid w:val="00056B28"/>
    <w:rsid w:val="00060C05"/>
    <w:rsid w:val="00061540"/>
    <w:rsid w:val="00063AB5"/>
    <w:rsid w:val="00065149"/>
    <w:rsid w:val="00066FDC"/>
    <w:rsid w:val="0007730E"/>
    <w:rsid w:val="00081905"/>
    <w:rsid w:val="00085EEF"/>
    <w:rsid w:val="000920BE"/>
    <w:rsid w:val="0009419E"/>
    <w:rsid w:val="00097155"/>
    <w:rsid w:val="000A2D08"/>
    <w:rsid w:val="000A508E"/>
    <w:rsid w:val="000A6EEA"/>
    <w:rsid w:val="000A728E"/>
    <w:rsid w:val="000B00EF"/>
    <w:rsid w:val="000B030A"/>
    <w:rsid w:val="000B2054"/>
    <w:rsid w:val="000B29D6"/>
    <w:rsid w:val="000B5D4D"/>
    <w:rsid w:val="000C1481"/>
    <w:rsid w:val="000C4E24"/>
    <w:rsid w:val="000C5506"/>
    <w:rsid w:val="000D118C"/>
    <w:rsid w:val="000D1D7C"/>
    <w:rsid w:val="000D4486"/>
    <w:rsid w:val="000D7045"/>
    <w:rsid w:val="000D7285"/>
    <w:rsid w:val="000D7BCB"/>
    <w:rsid w:val="000E1CFF"/>
    <w:rsid w:val="000E1FB6"/>
    <w:rsid w:val="000E33A7"/>
    <w:rsid w:val="000E5290"/>
    <w:rsid w:val="000E74A3"/>
    <w:rsid w:val="000F18B3"/>
    <w:rsid w:val="000F4035"/>
    <w:rsid w:val="000F4FF1"/>
    <w:rsid w:val="000F75E6"/>
    <w:rsid w:val="000F786C"/>
    <w:rsid w:val="00106B67"/>
    <w:rsid w:val="001110B8"/>
    <w:rsid w:val="00113323"/>
    <w:rsid w:val="00115D13"/>
    <w:rsid w:val="00117175"/>
    <w:rsid w:val="00120508"/>
    <w:rsid w:val="0012515E"/>
    <w:rsid w:val="00126338"/>
    <w:rsid w:val="00130482"/>
    <w:rsid w:val="00133D8A"/>
    <w:rsid w:val="00134209"/>
    <w:rsid w:val="00134DEB"/>
    <w:rsid w:val="001372E6"/>
    <w:rsid w:val="001416B1"/>
    <w:rsid w:val="00146021"/>
    <w:rsid w:val="0014613C"/>
    <w:rsid w:val="00146EAF"/>
    <w:rsid w:val="00147CCD"/>
    <w:rsid w:val="001502FF"/>
    <w:rsid w:val="0015392E"/>
    <w:rsid w:val="0016146C"/>
    <w:rsid w:val="00161921"/>
    <w:rsid w:val="00165137"/>
    <w:rsid w:val="00165A9D"/>
    <w:rsid w:val="001661E6"/>
    <w:rsid w:val="00170097"/>
    <w:rsid w:val="0017491A"/>
    <w:rsid w:val="00175083"/>
    <w:rsid w:val="001753F4"/>
    <w:rsid w:val="00182518"/>
    <w:rsid w:val="00182668"/>
    <w:rsid w:val="001906D9"/>
    <w:rsid w:val="001A0151"/>
    <w:rsid w:val="001A39E5"/>
    <w:rsid w:val="001A6ABB"/>
    <w:rsid w:val="001A7673"/>
    <w:rsid w:val="001B14CD"/>
    <w:rsid w:val="001B3803"/>
    <w:rsid w:val="001B5499"/>
    <w:rsid w:val="001B6C20"/>
    <w:rsid w:val="001B7925"/>
    <w:rsid w:val="001C2AA2"/>
    <w:rsid w:val="001C678B"/>
    <w:rsid w:val="001D202F"/>
    <w:rsid w:val="001D2AA3"/>
    <w:rsid w:val="001D656D"/>
    <w:rsid w:val="001D67B1"/>
    <w:rsid w:val="001F0DB0"/>
    <w:rsid w:val="001F5D2C"/>
    <w:rsid w:val="001F69F3"/>
    <w:rsid w:val="001F77DC"/>
    <w:rsid w:val="002030BD"/>
    <w:rsid w:val="0020419B"/>
    <w:rsid w:val="0020729D"/>
    <w:rsid w:val="00214EEF"/>
    <w:rsid w:val="00215075"/>
    <w:rsid w:val="00220202"/>
    <w:rsid w:val="0022027D"/>
    <w:rsid w:val="002212A6"/>
    <w:rsid w:val="002227CF"/>
    <w:rsid w:val="00224866"/>
    <w:rsid w:val="00227226"/>
    <w:rsid w:val="00230DF8"/>
    <w:rsid w:val="0023262C"/>
    <w:rsid w:val="00242367"/>
    <w:rsid w:val="00244B85"/>
    <w:rsid w:val="00251BBF"/>
    <w:rsid w:val="002537A0"/>
    <w:rsid w:val="00254926"/>
    <w:rsid w:val="00256F0F"/>
    <w:rsid w:val="00260616"/>
    <w:rsid w:val="0026158C"/>
    <w:rsid w:val="00263707"/>
    <w:rsid w:val="002701A4"/>
    <w:rsid w:val="00272DB4"/>
    <w:rsid w:val="002745B8"/>
    <w:rsid w:val="00280054"/>
    <w:rsid w:val="002847F5"/>
    <w:rsid w:val="00284AB2"/>
    <w:rsid w:val="0028667E"/>
    <w:rsid w:val="00286EA3"/>
    <w:rsid w:val="00295CB0"/>
    <w:rsid w:val="00297687"/>
    <w:rsid w:val="002A43B3"/>
    <w:rsid w:val="002B225A"/>
    <w:rsid w:val="002B4CC6"/>
    <w:rsid w:val="002B67AE"/>
    <w:rsid w:val="002B6E63"/>
    <w:rsid w:val="002C1B09"/>
    <w:rsid w:val="002C1D85"/>
    <w:rsid w:val="002C414B"/>
    <w:rsid w:val="002C4D8C"/>
    <w:rsid w:val="002C5331"/>
    <w:rsid w:val="002C771E"/>
    <w:rsid w:val="002D225D"/>
    <w:rsid w:val="002D2BF4"/>
    <w:rsid w:val="002D30E0"/>
    <w:rsid w:val="002D496F"/>
    <w:rsid w:val="002E1DB2"/>
    <w:rsid w:val="002E2442"/>
    <w:rsid w:val="002F17A8"/>
    <w:rsid w:val="002F2BDB"/>
    <w:rsid w:val="003146E2"/>
    <w:rsid w:val="00314D99"/>
    <w:rsid w:val="00315B43"/>
    <w:rsid w:val="003174F2"/>
    <w:rsid w:val="00323938"/>
    <w:rsid w:val="00326626"/>
    <w:rsid w:val="0032665C"/>
    <w:rsid w:val="003355E8"/>
    <w:rsid w:val="00340020"/>
    <w:rsid w:val="003402C3"/>
    <w:rsid w:val="00344ADF"/>
    <w:rsid w:val="003456DE"/>
    <w:rsid w:val="0034594C"/>
    <w:rsid w:val="00345D40"/>
    <w:rsid w:val="003568A0"/>
    <w:rsid w:val="00356A7D"/>
    <w:rsid w:val="00356E49"/>
    <w:rsid w:val="003570AB"/>
    <w:rsid w:val="003728C4"/>
    <w:rsid w:val="00386B65"/>
    <w:rsid w:val="00386F4A"/>
    <w:rsid w:val="00387250"/>
    <w:rsid w:val="00391AE4"/>
    <w:rsid w:val="003A2F60"/>
    <w:rsid w:val="003A66E4"/>
    <w:rsid w:val="003B4A0E"/>
    <w:rsid w:val="003B62CC"/>
    <w:rsid w:val="003C1CE0"/>
    <w:rsid w:val="003C2BB3"/>
    <w:rsid w:val="003C5DCE"/>
    <w:rsid w:val="003D11A5"/>
    <w:rsid w:val="003D1275"/>
    <w:rsid w:val="003D2420"/>
    <w:rsid w:val="003D2D3E"/>
    <w:rsid w:val="003D61FF"/>
    <w:rsid w:val="003E18E2"/>
    <w:rsid w:val="003E4A32"/>
    <w:rsid w:val="003E5D35"/>
    <w:rsid w:val="003E7D44"/>
    <w:rsid w:val="003F3170"/>
    <w:rsid w:val="00400E98"/>
    <w:rsid w:val="00402731"/>
    <w:rsid w:val="00403F38"/>
    <w:rsid w:val="00410A8E"/>
    <w:rsid w:val="00416D92"/>
    <w:rsid w:val="004177C5"/>
    <w:rsid w:val="00417A4F"/>
    <w:rsid w:val="00423E3A"/>
    <w:rsid w:val="00424F7D"/>
    <w:rsid w:val="00434737"/>
    <w:rsid w:val="004349DA"/>
    <w:rsid w:val="00435323"/>
    <w:rsid w:val="004443DA"/>
    <w:rsid w:val="0045052B"/>
    <w:rsid w:val="0045152A"/>
    <w:rsid w:val="00454C85"/>
    <w:rsid w:val="00465376"/>
    <w:rsid w:val="00470637"/>
    <w:rsid w:val="0047756D"/>
    <w:rsid w:val="004840C0"/>
    <w:rsid w:val="004840FB"/>
    <w:rsid w:val="0048454F"/>
    <w:rsid w:val="00487855"/>
    <w:rsid w:val="004920D4"/>
    <w:rsid w:val="00496703"/>
    <w:rsid w:val="00496C9B"/>
    <w:rsid w:val="004A1950"/>
    <w:rsid w:val="004A1F19"/>
    <w:rsid w:val="004A2821"/>
    <w:rsid w:val="004A41EB"/>
    <w:rsid w:val="004A5750"/>
    <w:rsid w:val="004A5975"/>
    <w:rsid w:val="004B074A"/>
    <w:rsid w:val="004B25EC"/>
    <w:rsid w:val="004C1381"/>
    <w:rsid w:val="004C19CD"/>
    <w:rsid w:val="004C1FE9"/>
    <w:rsid w:val="004C4BA4"/>
    <w:rsid w:val="004C6B3A"/>
    <w:rsid w:val="004C7DE3"/>
    <w:rsid w:val="004D3F12"/>
    <w:rsid w:val="004D6587"/>
    <w:rsid w:val="004E3889"/>
    <w:rsid w:val="004E489A"/>
    <w:rsid w:val="004F3F3B"/>
    <w:rsid w:val="004F4C8F"/>
    <w:rsid w:val="004F5AA7"/>
    <w:rsid w:val="004F70B4"/>
    <w:rsid w:val="004F71B4"/>
    <w:rsid w:val="005038AD"/>
    <w:rsid w:val="00504B5F"/>
    <w:rsid w:val="0050678D"/>
    <w:rsid w:val="005113EA"/>
    <w:rsid w:val="0052247B"/>
    <w:rsid w:val="0052618F"/>
    <w:rsid w:val="0052641A"/>
    <w:rsid w:val="0052708C"/>
    <w:rsid w:val="00527B95"/>
    <w:rsid w:val="0053428A"/>
    <w:rsid w:val="00535C79"/>
    <w:rsid w:val="005413E9"/>
    <w:rsid w:val="00541AC4"/>
    <w:rsid w:val="00541DFC"/>
    <w:rsid w:val="00541F13"/>
    <w:rsid w:val="00542924"/>
    <w:rsid w:val="0055038C"/>
    <w:rsid w:val="00550DE8"/>
    <w:rsid w:val="00551317"/>
    <w:rsid w:val="005529E0"/>
    <w:rsid w:val="00552FC0"/>
    <w:rsid w:val="00555822"/>
    <w:rsid w:val="00562ECF"/>
    <w:rsid w:val="005656FC"/>
    <w:rsid w:val="005717A6"/>
    <w:rsid w:val="00573066"/>
    <w:rsid w:val="0057365D"/>
    <w:rsid w:val="00573EAD"/>
    <w:rsid w:val="00574B0D"/>
    <w:rsid w:val="0058319F"/>
    <w:rsid w:val="0058657B"/>
    <w:rsid w:val="00591AD8"/>
    <w:rsid w:val="00593F7D"/>
    <w:rsid w:val="00595D35"/>
    <w:rsid w:val="005A06E0"/>
    <w:rsid w:val="005A0D88"/>
    <w:rsid w:val="005A6719"/>
    <w:rsid w:val="005B2B6D"/>
    <w:rsid w:val="005B328E"/>
    <w:rsid w:val="005B3A3B"/>
    <w:rsid w:val="005B4C99"/>
    <w:rsid w:val="005C3876"/>
    <w:rsid w:val="005C3A3A"/>
    <w:rsid w:val="005C4256"/>
    <w:rsid w:val="005C4D6C"/>
    <w:rsid w:val="005D0885"/>
    <w:rsid w:val="005D1614"/>
    <w:rsid w:val="005D43A1"/>
    <w:rsid w:val="005D510D"/>
    <w:rsid w:val="005D741B"/>
    <w:rsid w:val="005E2003"/>
    <w:rsid w:val="005E5D42"/>
    <w:rsid w:val="005F481A"/>
    <w:rsid w:val="005F7C2C"/>
    <w:rsid w:val="006005B0"/>
    <w:rsid w:val="006036DD"/>
    <w:rsid w:val="00603C75"/>
    <w:rsid w:val="00604316"/>
    <w:rsid w:val="00607097"/>
    <w:rsid w:val="00607246"/>
    <w:rsid w:val="00611FAD"/>
    <w:rsid w:val="0061213D"/>
    <w:rsid w:val="00612D74"/>
    <w:rsid w:val="006247F7"/>
    <w:rsid w:val="006267D8"/>
    <w:rsid w:val="00626D6D"/>
    <w:rsid w:val="00627537"/>
    <w:rsid w:val="006279A4"/>
    <w:rsid w:val="00627DEE"/>
    <w:rsid w:val="00632499"/>
    <w:rsid w:val="00632576"/>
    <w:rsid w:val="00636B7A"/>
    <w:rsid w:val="0064036C"/>
    <w:rsid w:val="00640C49"/>
    <w:rsid w:val="00642307"/>
    <w:rsid w:val="00643FB9"/>
    <w:rsid w:val="00645644"/>
    <w:rsid w:val="00650E5C"/>
    <w:rsid w:val="00656571"/>
    <w:rsid w:val="006630F8"/>
    <w:rsid w:val="00665E9D"/>
    <w:rsid w:val="00675086"/>
    <w:rsid w:val="00681C23"/>
    <w:rsid w:val="00687BDE"/>
    <w:rsid w:val="00687C1B"/>
    <w:rsid w:val="006906FD"/>
    <w:rsid w:val="006918F7"/>
    <w:rsid w:val="006918FF"/>
    <w:rsid w:val="00696492"/>
    <w:rsid w:val="006970F3"/>
    <w:rsid w:val="006A5E81"/>
    <w:rsid w:val="006A6761"/>
    <w:rsid w:val="006A7972"/>
    <w:rsid w:val="006B5F69"/>
    <w:rsid w:val="006C13D7"/>
    <w:rsid w:val="006C1C1A"/>
    <w:rsid w:val="006C72CB"/>
    <w:rsid w:val="006C7F9D"/>
    <w:rsid w:val="006D5C31"/>
    <w:rsid w:val="006E0238"/>
    <w:rsid w:val="006E03DB"/>
    <w:rsid w:val="006E24C7"/>
    <w:rsid w:val="006E287F"/>
    <w:rsid w:val="006E6E19"/>
    <w:rsid w:val="007022F7"/>
    <w:rsid w:val="007069D8"/>
    <w:rsid w:val="0071197E"/>
    <w:rsid w:val="00712461"/>
    <w:rsid w:val="00712E2C"/>
    <w:rsid w:val="0071565E"/>
    <w:rsid w:val="00715FF1"/>
    <w:rsid w:val="007203F6"/>
    <w:rsid w:val="007244D3"/>
    <w:rsid w:val="00727A4C"/>
    <w:rsid w:val="00730889"/>
    <w:rsid w:val="00731DE1"/>
    <w:rsid w:val="00732AC7"/>
    <w:rsid w:val="00734318"/>
    <w:rsid w:val="00735073"/>
    <w:rsid w:val="0073507B"/>
    <w:rsid w:val="007424C7"/>
    <w:rsid w:val="00742526"/>
    <w:rsid w:val="007427C0"/>
    <w:rsid w:val="0074421A"/>
    <w:rsid w:val="0074550E"/>
    <w:rsid w:val="00747345"/>
    <w:rsid w:val="00751B3C"/>
    <w:rsid w:val="00753F0B"/>
    <w:rsid w:val="007548CA"/>
    <w:rsid w:val="00756CF0"/>
    <w:rsid w:val="00756F6F"/>
    <w:rsid w:val="007574CE"/>
    <w:rsid w:val="00757A3F"/>
    <w:rsid w:val="00765703"/>
    <w:rsid w:val="00771050"/>
    <w:rsid w:val="00772C83"/>
    <w:rsid w:val="00774324"/>
    <w:rsid w:val="00781227"/>
    <w:rsid w:val="00782B68"/>
    <w:rsid w:val="007873DC"/>
    <w:rsid w:val="007923E0"/>
    <w:rsid w:val="00792465"/>
    <w:rsid w:val="00793D5F"/>
    <w:rsid w:val="00795DAF"/>
    <w:rsid w:val="007A20D1"/>
    <w:rsid w:val="007A42F9"/>
    <w:rsid w:val="007A682B"/>
    <w:rsid w:val="007B0126"/>
    <w:rsid w:val="007B0A0E"/>
    <w:rsid w:val="007B286A"/>
    <w:rsid w:val="007B2BE1"/>
    <w:rsid w:val="007B3FE6"/>
    <w:rsid w:val="007B552A"/>
    <w:rsid w:val="007C1972"/>
    <w:rsid w:val="007C2118"/>
    <w:rsid w:val="007C3181"/>
    <w:rsid w:val="007C442C"/>
    <w:rsid w:val="007D0D59"/>
    <w:rsid w:val="007D21E6"/>
    <w:rsid w:val="007D4A23"/>
    <w:rsid w:val="007D4A75"/>
    <w:rsid w:val="007E15FD"/>
    <w:rsid w:val="007E70E9"/>
    <w:rsid w:val="007F4EA8"/>
    <w:rsid w:val="007F7C64"/>
    <w:rsid w:val="00800DB6"/>
    <w:rsid w:val="0081667E"/>
    <w:rsid w:val="008209BF"/>
    <w:rsid w:val="00821C2D"/>
    <w:rsid w:val="00821EB6"/>
    <w:rsid w:val="00822B99"/>
    <w:rsid w:val="0082452D"/>
    <w:rsid w:val="008254AA"/>
    <w:rsid w:val="008348DD"/>
    <w:rsid w:val="008369E4"/>
    <w:rsid w:val="00837F2D"/>
    <w:rsid w:val="00845FB9"/>
    <w:rsid w:val="008526F6"/>
    <w:rsid w:val="00853681"/>
    <w:rsid w:val="00854CF7"/>
    <w:rsid w:val="00857D0F"/>
    <w:rsid w:val="0087002B"/>
    <w:rsid w:val="00876425"/>
    <w:rsid w:val="0087728B"/>
    <w:rsid w:val="0088144D"/>
    <w:rsid w:val="008836F5"/>
    <w:rsid w:val="00885C4C"/>
    <w:rsid w:val="0088685D"/>
    <w:rsid w:val="00890604"/>
    <w:rsid w:val="0089170F"/>
    <w:rsid w:val="00894141"/>
    <w:rsid w:val="0089490E"/>
    <w:rsid w:val="008A12C1"/>
    <w:rsid w:val="008A168C"/>
    <w:rsid w:val="008A1889"/>
    <w:rsid w:val="008A5630"/>
    <w:rsid w:val="008A5B15"/>
    <w:rsid w:val="008B1D62"/>
    <w:rsid w:val="008B3D41"/>
    <w:rsid w:val="008B4C6D"/>
    <w:rsid w:val="008B52D9"/>
    <w:rsid w:val="008B77B4"/>
    <w:rsid w:val="008C258A"/>
    <w:rsid w:val="008C25BC"/>
    <w:rsid w:val="008C31B8"/>
    <w:rsid w:val="008C7337"/>
    <w:rsid w:val="008D240E"/>
    <w:rsid w:val="008D2424"/>
    <w:rsid w:val="008D62B4"/>
    <w:rsid w:val="008D7505"/>
    <w:rsid w:val="008E548E"/>
    <w:rsid w:val="008F0E5F"/>
    <w:rsid w:val="008F7FF9"/>
    <w:rsid w:val="00903B14"/>
    <w:rsid w:val="00904432"/>
    <w:rsid w:val="00904BE8"/>
    <w:rsid w:val="00906895"/>
    <w:rsid w:val="00913D8A"/>
    <w:rsid w:val="0091439A"/>
    <w:rsid w:val="00920588"/>
    <w:rsid w:val="00920A28"/>
    <w:rsid w:val="0092206F"/>
    <w:rsid w:val="00923ACC"/>
    <w:rsid w:val="00924718"/>
    <w:rsid w:val="00925AC9"/>
    <w:rsid w:val="009270B6"/>
    <w:rsid w:val="0093434D"/>
    <w:rsid w:val="00934CF8"/>
    <w:rsid w:val="00942D72"/>
    <w:rsid w:val="00944E78"/>
    <w:rsid w:val="00945C14"/>
    <w:rsid w:val="00946CFC"/>
    <w:rsid w:val="009476A1"/>
    <w:rsid w:val="0095233B"/>
    <w:rsid w:val="00952CB4"/>
    <w:rsid w:val="009557FE"/>
    <w:rsid w:val="00957165"/>
    <w:rsid w:val="00957634"/>
    <w:rsid w:val="009616B0"/>
    <w:rsid w:val="009627E0"/>
    <w:rsid w:val="009628F9"/>
    <w:rsid w:val="00963EDC"/>
    <w:rsid w:val="00966108"/>
    <w:rsid w:val="00971EA5"/>
    <w:rsid w:val="0097495D"/>
    <w:rsid w:val="00986845"/>
    <w:rsid w:val="0098690F"/>
    <w:rsid w:val="0099037E"/>
    <w:rsid w:val="00992030"/>
    <w:rsid w:val="00995E2B"/>
    <w:rsid w:val="00997BD0"/>
    <w:rsid w:val="009A0790"/>
    <w:rsid w:val="009A496C"/>
    <w:rsid w:val="009A54FC"/>
    <w:rsid w:val="009B1543"/>
    <w:rsid w:val="009B661E"/>
    <w:rsid w:val="009C1237"/>
    <w:rsid w:val="009C2D10"/>
    <w:rsid w:val="009C428D"/>
    <w:rsid w:val="009D24FE"/>
    <w:rsid w:val="009D31C3"/>
    <w:rsid w:val="009E1D85"/>
    <w:rsid w:val="009E3CC7"/>
    <w:rsid w:val="009E4DA9"/>
    <w:rsid w:val="009F1C64"/>
    <w:rsid w:val="009F2D36"/>
    <w:rsid w:val="009F6C2F"/>
    <w:rsid w:val="00A05EBF"/>
    <w:rsid w:val="00A06DC6"/>
    <w:rsid w:val="00A11DAC"/>
    <w:rsid w:val="00A14F01"/>
    <w:rsid w:val="00A21B8F"/>
    <w:rsid w:val="00A21F10"/>
    <w:rsid w:val="00A24D04"/>
    <w:rsid w:val="00A25643"/>
    <w:rsid w:val="00A257DE"/>
    <w:rsid w:val="00A26758"/>
    <w:rsid w:val="00A30135"/>
    <w:rsid w:val="00A30AFA"/>
    <w:rsid w:val="00A348EC"/>
    <w:rsid w:val="00A36745"/>
    <w:rsid w:val="00A431A0"/>
    <w:rsid w:val="00A43F8A"/>
    <w:rsid w:val="00A45173"/>
    <w:rsid w:val="00A50652"/>
    <w:rsid w:val="00A5139E"/>
    <w:rsid w:val="00A52526"/>
    <w:rsid w:val="00A55303"/>
    <w:rsid w:val="00A673E8"/>
    <w:rsid w:val="00A72A52"/>
    <w:rsid w:val="00A73280"/>
    <w:rsid w:val="00A80FBC"/>
    <w:rsid w:val="00A81023"/>
    <w:rsid w:val="00A84A0E"/>
    <w:rsid w:val="00A87358"/>
    <w:rsid w:val="00A904FA"/>
    <w:rsid w:val="00AA3D99"/>
    <w:rsid w:val="00AA4BA5"/>
    <w:rsid w:val="00AA7259"/>
    <w:rsid w:val="00AA74C6"/>
    <w:rsid w:val="00AB1F41"/>
    <w:rsid w:val="00AB3980"/>
    <w:rsid w:val="00AB3C47"/>
    <w:rsid w:val="00AB7907"/>
    <w:rsid w:val="00AB7BF1"/>
    <w:rsid w:val="00AC22F6"/>
    <w:rsid w:val="00AC3C29"/>
    <w:rsid w:val="00AD141B"/>
    <w:rsid w:val="00AD353E"/>
    <w:rsid w:val="00AD3DA8"/>
    <w:rsid w:val="00AE133D"/>
    <w:rsid w:val="00AE15C7"/>
    <w:rsid w:val="00AE2CFA"/>
    <w:rsid w:val="00AE39E3"/>
    <w:rsid w:val="00AE4BA7"/>
    <w:rsid w:val="00AE71C6"/>
    <w:rsid w:val="00AF0167"/>
    <w:rsid w:val="00AF5138"/>
    <w:rsid w:val="00AF6A08"/>
    <w:rsid w:val="00B04349"/>
    <w:rsid w:val="00B04DD1"/>
    <w:rsid w:val="00B04EE4"/>
    <w:rsid w:val="00B05C93"/>
    <w:rsid w:val="00B068F3"/>
    <w:rsid w:val="00B07F23"/>
    <w:rsid w:val="00B17E7E"/>
    <w:rsid w:val="00B226C6"/>
    <w:rsid w:val="00B22718"/>
    <w:rsid w:val="00B30EDD"/>
    <w:rsid w:val="00B31A40"/>
    <w:rsid w:val="00B327AA"/>
    <w:rsid w:val="00B33FED"/>
    <w:rsid w:val="00B342B1"/>
    <w:rsid w:val="00B34E09"/>
    <w:rsid w:val="00B41C21"/>
    <w:rsid w:val="00B44B86"/>
    <w:rsid w:val="00B44D41"/>
    <w:rsid w:val="00B4509B"/>
    <w:rsid w:val="00B47758"/>
    <w:rsid w:val="00B5239B"/>
    <w:rsid w:val="00B63BEC"/>
    <w:rsid w:val="00B676A6"/>
    <w:rsid w:val="00B67CFA"/>
    <w:rsid w:val="00B71C21"/>
    <w:rsid w:val="00B7368D"/>
    <w:rsid w:val="00B75F6E"/>
    <w:rsid w:val="00B75FD6"/>
    <w:rsid w:val="00B831B3"/>
    <w:rsid w:val="00B84003"/>
    <w:rsid w:val="00B921F6"/>
    <w:rsid w:val="00B929C5"/>
    <w:rsid w:val="00B95D7A"/>
    <w:rsid w:val="00BA25C0"/>
    <w:rsid w:val="00BA3C13"/>
    <w:rsid w:val="00BA4EE6"/>
    <w:rsid w:val="00BB41D3"/>
    <w:rsid w:val="00BB7D17"/>
    <w:rsid w:val="00BC14C2"/>
    <w:rsid w:val="00BC1F14"/>
    <w:rsid w:val="00BC2BEE"/>
    <w:rsid w:val="00BC6520"/>
    <w:rsid w:val="00BD328D"/>
    <w:rsid w:val="00BD4C4E"/>
    <w:rsid w:val="00BD4E95"/>
    <w:rsid w:val="00BE2D65"/>
    <w:rsid w:val="00BE4D41"/>
    <w:rsid w:val="00BE5F37"/>
    <w:rsid w:val="00BF0232"/>
    <w:rsid w:val="00BF0B98"/>
    <w:rsid w:val="00BF0CC6"/>
    <w:rsid w:val="00BF22EA"/>
    <w:rsid w:val="00BF37E9"/>
    <w:rsid w:val="00BF7878"/>
    <w:rsid w:val="00C02470"/>
    <w:rsid w:val="00C02DBA"/>
    <w:rsid w:val="00C12138"/>
    <w:rsid w:val="00C14178"/>
    <w:rsid w:val="00C17B52"/>
    <w:rsid w:val="00C2015F"/>
    <w:rsid w:val="00C2261D"/>
    <w:rsid w:val="00C242EB"/>
    <w:rsid w:val="00C273F0"/>
    <w:rsid w:val="00C27DA4"/>
    <w:rsid w:val="00C27E06"/>
    <w:rsid w:val="00C31CAE"/>
    <w:rsid w:val="00C33D21"/>
    <w:rsid w:val="00C36F40"/>
    <w:rsid w:val="00C4272B"/>
    <w:rsid w:val="00C62DCF"/>
    <w:rsid w:val="00C66482"/>
    <w:rsid w:val="00C71A8F"/>
    <w:rsid w:val="00C753D1"/>
    <w:rsid w:val="00C84122"/>
    <w:rsid w:val="00C84E18"/>
    <w:rsid w:val="00C92499"/>
    <w:rsid w:val="00C94FA6"/>
    <w:rsid w:val="00CA00BB"/>
    <w:rsid w:val="00CA2A7F"/>
    <w:rsid w:val="00CA529D"/>
    <w:rsid w:val="00CA584B"/>
    <w:rsid w:val="00CB0B66"/>
    <w:rsid w:val="00CB158D"/>
    <w:rsid w:val="00CB4F4C"/>
    <w:rsid w:val="00CB541D"/>
    <w:rsid w:val="00CC5878"/>
    <w:rsid w:val="00CC7A31"/>
    <w:rsid w:val="00CD634C"/>
    <w:rsid w:val="00CD7142"/>
    <w:rsid w:val="00CE3A32"/>
    <w:rsid w:val="00CE4A66"/>
    <w:rsid w:val="00CE4E5F"/>
    <w:rsid w:val="00CF2F66"/>
    <w:rsid w:val="00D01469"/>
    <w:rsid w:val="00D0494E"/>
    <w:rsid w:val="00D0575B"/>
    <w:rsid w:val="00D065C6"/>
    <w:rsid w:val="00D07635"/>
    <w:rsid w:val="00D120CA"/>
    <w:rsid w:val="00D1377B"/>
    <w:rsid w:val="00D157DF"/>
    <w:rsid w:val="00D16B64"/>
    <w:rsid w:val="00D209D2"/>
    <w:rsid w:val="00D21DC1"/>
    <w:rsid w:val="00D23F73"/>
    <w:rsid w:val="00D25996"/>
    <w:rsid w:val="00D26D90"/>
    <w:rsid w:val="00D27271"/>
    <w:rsid w:val="00D3500D"/>
    <w:rsid w:val="00D36AF2"/>
    <w:rsid w:val="00D419FB"/>
    <w:rsid w:val="00D467AE"/>
    <w:rsid w:val="00D60809"/>
    <w:rsid w:val="00D66C8A"/>
    <w:rsid w:val="00D6766E"/>
    <w:rsid w:val="00D735C8"/>
    <w:rsid w:val="00D738A4"/>
    <w:rsid w:val="00D74AAE"/>
    <w:rsid w:val="00D74C5C"/>
    <w:rsid w:val="00D74D3C"/>
    <w:rsid w:val="00D77089"/>
    <w:rsid w:val="00D82248"/>
    <w:rsid w:val="00D84338"/>
    <w:rsid w:val="00D9398F"/>
    <w:rsid w:val="00D96719"/>
    <w:rsid w:val="00DA21B2"/>
    <w:rsid w:val="00DA4E1B"/>
    <w:rsid w:val="00DA5514"/>
    <w:rsid w:val="00DA5AD9"/>
    <w:rsid w:val="00DA5B8D"/>
    <w:rsid w:val="00DA689A"/>
    <w:rsid w:val="00DA74CC"/>
    <w:rsid w:val="00DB783F"/>
    <w:rsid w:val="00DC2187"/>
    <w:rsid w:val="00DC3D89"/>
    <w:rsid w:val="00DC604A"/>
    <w:rsid w:val="00DC70C4"/>
    <w:rsid w:val="00DC7712"/>
    <w:rsid w:val="00DE1B20"/>
    <w:rsid w:val="00DE27E6"/>
    <w:rsid w:val="00DE3DA3"/>
    <w:rsid w:val="00DE55B6"/>
    <w:rsid w:val="00DF05BD"/>
    <w:rsid w:val="00DF1EA7"/>
    <w:rsid w:val="00DF243B"/>
    <w:rsid w:val="00DF2589"/>
    <w:rsid w:val="00DF50A7"/>
    <w:rsid w:val="00DF6CB7"/>
    <w:rsid w:val="00E01227"/>
    <w:rsid w:val="00E03415"/>
    <w:rsid w:val="00E03CC7"/>
    <w:rsid w:val="00E042C7"/>
    <w:rsid w:val="00E1118B"/>
    <w:rsid w:val="00E13F23"/>
    <w:rsid w:val="00E152C6"/>
    <w:rsid w:val="00E17B6E"/>
    <w:rsid w:val="00E213AF"/>
    <w:rsid w:val="00E215C4"/>
    <w:rsid w:val="00E23B5F"/>
    <w:rsid w:val="00E24DBD"/>
    <w:rsid w:val="00E276F4"/>
    <w:rsid w:val="00E30301"/>
    <w:rsid w:val="00E31F47"/>
    <w:rsid w:val="00E35C87"/>
    <w:rsid w:val="00E36C84"/>
    <w:rsid w:val="00E41D92"/>
    <w:rsid w:val="00E428C6"/>
    <w:rsid w:val="00E47033"/>
    <w:rsid w:val="00E50083"/>
    <w:rsid w:val="00E50E19"/>
    <w:rsid w:val="00E54E0C"/>
    <w:rsid w:val="00E57C1A"/>
    <w:rsid w:val="00E649DE"/>
    <w:rsid w:val="00E6556B"/>
    <w:rsid w:val="00E675E1"/>
    <w:rsid w:val="00E779B8"/>
    <w:rsid w:val="00E80AA0"/>
    <w:rsid w:val="00E82DBB"/>
    <w:rsid w:val="00E85B6D"/>
    <w:rsid w:val="00E87012"/>
    <w:rsid w:val="00E90961"/>
    <w:rsid w:val="00E93F89"/>
    <w:rsid w:val="00E94126"/>
    <w:rsid w:val="00E97178"/>
    <w:rsid w:val="00EA08B6"/>
    <w:rsid w:val="00EA32AD"/>
    <w:rsid w:val="00EA37DE"/>
    <w:rsid w:val="00EA46CD"/>
    <w:rsid w:val="00EA6724"/>
    <w:rsid w:val="00EA7B9E"/>
    <w:rsid w:val="00EB1003"/>
    <w:rsid w:val="00EB18E4"/>
    <w:rsid w:val="00EB1C2F"/>
    <w:rsid w:val="00EB2B68"/>
    <w:rsid w:val="00EB5DE4"/>
    <w:rsid w:val="00EC3719"/>
    <w:rsid w:val="00EC64CD"/>
    <w:rsid w:val="00ED2BBA"/>
    <w:rsid w:val="00ED3E7E"/>
    <w:rsid w:val="00EE1859"/>
    <w:rsid w:val="00EE2FBA"/>
    <w:rsid w:val="00EE601C"/>
    <w:rsid w:val="00EE6E4A"/>
    <w:rsid w:val="00EF0B64"/>
    <w:rsid w:val="00EF11ED"/>
    <w:rsid w:val="00EF2C15"/>
    <w:rsid w:val="00EF3B13"/>
    <w:rsid w:val="00EF4AD3"/>
    <w:rsid w:val="00EF5C02"/>
    <w:rsid w:val="00EF63FA"/>
    <w:rsid w:val="00EF7B6B"/>
    <w:rsid w:val="00F04805"/>
    <w:rsid w:val="00F04EBB"/>
    <w:rsid w:val="00F0630E"/>
    <w:rsid w:val="00F155A5"/>
    <w:rsid w:val="00F15FA3"/>
    <w:rsid w:val="00F249E6"/>
    <w:rsid w:val="00F258C3"/>
    <w:rsid w:val="00F27CF6"/>
    <w:rsid w:val="00F31136"/>
    <w:rsid w:val="00F36A6F"/>
    <w:rsid w:val="00F41BBD"/>
    <w:rsid w:val="00F60D38"/>
    <w:rsid w:val="00F61568"/>
    <w:rsid w:val="00F6172B"/>
    <w:rsid w:val="00F63C49"/>
    <w:rsid w:val="00F63F89"/>
    <w:rsid w:val="00F65800"/>
    <w:rsid w:val="00F75F72"/>
    <w:rsid w:val="00F76687"/>
    <w:rsid w:val="00F855A7"/>
    <w:rsid w:val="00F9280C"/>
    <w:rsid w:val="00FA2275"/>
    <w:rsid w:val="00FA3C4B"/>
    <w:rsid w:val="00FA5155"/>
    <w:rsid w:val="00FA7C87"/>
    <w:rsid w:val="00FC4928"/>
    <w:rsid w:val="00FC4BCC"/>
    <w:rsid w:val="00FD24C8"/>
    <w:rsid w:val="00FD2F2D"/>
    <w:rsid w:val="00FD50B5"/>
    <w:rsid w:val="00FD5967"/>
    <w:rsid w:val="00FD5FFD"/>
    <w:rsid w:val="00FE292F"/>
    <w:rsid w:val="00FF0E5A"/>
    <w:rsid w:val="00FF3A91"/>
    <w:rsid w:val="00FF3CB3"/>
    <w:rsid w:val="00FF3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D57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8319F"/>
    <w:pPr>
      <w:ind w:left="720"/>
      <w:contextualSpacing/>
    </w:pPr>
  </w:style>
  <w:style w:type="paragraph" w:styleId="Header">
    <w:name w:val="header"/>
    <w:basedOn w:val="Normal"/>
    <w:link w:val="HeaderChar"/>
    <w:rsid w:val="0058319F"/>
    <w:pPr>
      <w:tabs>
        <w:tab w:val="center" w:pos="4680"/>
        <w:tab w:val="right" w:pos="9360"/>
      </w:tabs>
    </w:pPr>
  </w:style>
  <w:style w:type="character" w:customStyle="1" w:styleId="HeaderChar">
    <w:name w:val="Header Char"/>
    <w:basedOn w:val="DefaultParagraphFont"/>
    <w:link w:val="Header"/>
    <w:rsid w:val="0058319F"/>
    <w:rPr>
      <w:sz w:val="24"/>
      <w:szCs w:val="24"/>
    </w:rPr>
  </w:style>
  <w:style w:type="paragraph" w:styleId="Footer">
    <w:name w:val="footer"/>
    <w:basedOn w:val="Normal"/>
    <w:link w:val="FooterChar"/>
    <w:rsid w:val="0058319F"/>
    <w:pPr>
      <w:tabs>
        <w:tab w:val="center" w:pos="4680"/>
        <w:tab w:val="right" w:pos="9360"/>
      </w:tabs>
    </w:pPr>
  </w:style>
  <w:style w:type="character" w:customStyle="1" w:styleId="FooterChar">
    <w:name w:val="Footer Char"/>
    <w:basedOn w:val="DefaultParagraphFont"/>
    <w:link w:val="Footer"/>
    <w:rsid w:val="0058319F"/>
    <w:rPr>
      <w:sz w:val="24"/>
      <w:szCs w:val="24"/>
    </w:rPr>
  </w:style>
  <w:style w:type="table" w:styleId="TableGrid">
    <w:name w:val="Table Grid"/>
    <w:basedOn w:val="TableNormal"/>
    <w:rsid w:val="00E97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904BE8"/>
    <w:rPr>
      <w:rFonts w:ascii="Segoe UI" w:hAnsi="Segoe UI" w:cs="Segoe UI"/>
      <w:sz w:val="18"/>
      <w:szCs w:val="18"/>
    </w:rPr>
  </w:style>
  <w:style w:type="character" w:customStyle="1" w:styleId="BalloonTextChar">
    <w:name w:val="Balloon Text Char"/>
    <w:basedOn w:val="DefaultParagraphFont"/>
    <w:link w:val="BalloonText"/>
    <w:semiHidden/>
    <w:rsid w:val="00904BE8"/>
    <w:rPr>
      <w:rFonts w:ascii="Segoe UI" w:hAnsi="Segoe UI" w:cs="Segoe UI"/>
      <w:sz w:val="18"/>
      <w:szCs w:val="18"/>
    </w:rPr>
  </w:style>
  <w:style w:type="character" w:styleId="CommentReference">
    <w:name w:val="annotation reference"/>
    <w:basedOn w:val="DefaultParagraphFont"/>
    <w:rsid w:val="00314D99"/>
    <w:rPr>
      <w:sz w:val="16"/>
      <w:szCs w:val="16"/>
    </w:rPr>
  </w:style>
  <w:style w:type="paragraph" w:styleId="CommentText">
    <w:name w:val="annotation text"/>
    <w:basedOn w:val="Normal"/>
    <w:link w:val="CommentTextChar"/>
    <w:rsid w:val="00314D99"/>
    <w:rPr>
      <w:sz w:val="20"/>
      <w:szCs w:val="20"/>
    </w:rPr>
  </w:style>
  <w:style w:type="character" w:customStyle="1" w:styleId="CommentTextChar">
    <w:name w:val="Comment Text Char"/>
    <w:basedOn w:val="DefaultParagraphFont"/>
    <w:link w:val="CommentText"/>
    <w:rsid w:val="00314D99"/>
  </w:style>
  <w:style w:type="paragraph" w:styleId="CommentSubject">
    <w:name w:val="annotation subject"/>
    <w:basedOn w:val="CommentText"/>
    <w:next w:val="CommentText"/>
    <w:link w:val="CommentSubjectChar"/>
    <w:rsid w:val="00314D99"/>
    <w:rPr>
      <w:b/>
      <w:bCs/>
    </w:rPr>
  </w:style>
  <w:style w:type="character" w:customStyle="1" w:styleId="CommentSubjectChar">
    <w:name w:val="Comment Subject Char"/>
    <w:basedOn w:val="CommentTextChar"/>
    <w:link w:val="CommentSubject"/>
    <w:rsid w:val="00314D99"/>
    <w:rPr>
      <w:b/>
      <w:bCs/>
    </w:rPr>
  </w:style>
  <w:style w:type="paragraph" w:customStyle="1" w:styleId="Style1">
    <w:name w:val="Style1"/>
    <w:basedOn w:val="ListParagraph"/>
    <w:link w:val="Style1Char"/>
    <w:qFormat/>
    <w:rsid w:val="0088144D"/>
    <w:pPr>
      <w:numPr>
        <w:ilvl w:val="1"/>
        <w:numId w:val="8"/>
      </w:numPr>
      <w:tabs>
        <w:tab w:val="left" w:pos="720"/>
      </w:tabs>
      <w:ind w:hanging="720"/>
    </w:pPr>
    <w:rPr>
      <w:bCs/>
    </w:rPr>
  </w:style>
  <w:style w:type="paragraph" w:styleId="NoSpacing">
    <w:name w:val="No Spacing"/>
    <w:uiPriority w:val="1"/>
    <w:qFormat/>
    <w:rsid w:val="00063AB5"/>
    <w:rPr>
      <w:sz w:val="24"/>
    </w:rPr>
  </w:style>
  <w:style w:type="character" w:customStyle="1" w:styleId="ListParagraphChar">
    <w:name w:val="List Paragraph Char"/>
    <w:basedOn w:val="DefaultParagraphFont"/>
    <w:link w:val="ListParagraph"/>
    <w:uiPriority w:val="34"/>
    <w:rsid w:val="0088144D"/>
    <w:rPr>
      <w:sz w:val="24"/>
      <w:szCs w:val="24"/>
    </w:rPr>
  </w:style>
  <w:style w:type="character" w:customStyle="1" w:styleId="Style1Char">
    <w:name w:val="Style1 Char"/>
    <w:basedOn w:val="ListParagraphChar"/>
    <w:link w:val="Style1"/>
    <w:rsid w:val="0088144D"/>
    <w:rPr>
      <w:bCs/>
      <w:sz w:val="24"/>
      <w:szCs w:val="24"/>
    </w:rPr>
  </w:style>
  <w:style w:type="paragraph" w:styleId="Revision">
    <w:name w:val="Revision"/>
    <w:hidden/>
    <w:uiPriority w:val="99"/>
    <w:semiHidden/>
    <w:rsid w:val="00E24DBD"/>
    <w:rPr>
      <w:sz w:val="24"/>
      <w:szCs w:val="24"/>
    </w:rPr>
  </w:style>
  <w:style w:type="character" w:styleId="PlaceholderText">
    <w:name w:val="Placeholder Text"/>
    <w:basedOn w:val="DefaultParagraphFont"/>
    <w:uiPriority w:val="99"/>
    <w:semiHidden/>
    <w:rsid w:val="00C84E18"/>
    <w:rPr>
      <w:color w:val="808080"/>
    </w:rPr>
  </w:style>
  <w:style w:type="character" w:styleId="Hyperlink">
    <w:name w:val="Hyperlink"/>
    <w:basedOn w:val="DefaultParagraphFont"/>
    <w:rsid w:val="000C1481"/>
    <w:rPr>
      <w:color w:val="0563C1" w:themeColor="hyperlink"/>
      <w:u w:val="single"/>
    </w:rPr>
  </w:style>
  <w:style w:type="character" w:styleId="UnresolvedMention">
    <w:name w:val="Unresolved Mention"/>
    <w:basedOn w:val="DefaultParagraphFont"/>
    <w:uiPriority w:val="99"/>
    <w:semiHidden/>
    <w:unhideWhenUsed/>
    <w:rsid w:val="000C1481"/>
    <w:rPr>
      <w:color w:val="605E5C"/>
      <w:shd w:val="clear" w:color="auto" w:fill="E1DFDD"/>
    </w:rPr>
  </w:style>
  <w:style w:type="character" w:styleId="FollowedHyperlink">
    <w:name w:val="FollowedHyperlink"/>
    <w:basedOn w:val="DefaultParagraphFont"/>
    <w:rsid w:val="00AA4B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380471">
      <w:bodyDiv w:val="1"/>
      <w:marLeft w:val="0"/>
      <w:marRight w:val="0"/>
      <w:marTop w:val="0"/>
      <w:marBottom w:val="0"/>
      <w:divBdr>
        <w:top w:val="none" w:sz="0" w:space="0" w:color="auto"/>
        <w:left w:val="none" w:sz="0" w:space="0" w:color="auto"/>
        <w:bottom w:val="none" w:sz="0" w:space="0" w:color="auto"/>
        <w:right w:val="none" w:sz="0" w:space="0" w:color="auto"/>
      </w:divBdr>
    </w:div>
    <w:div w:id="1070615692">
      <w:bodyDiv w:val="1"/>
      <w:marLeft w:val="0"/>
      <w:marRight w:val="0"/>
      <w:marTop w:val="0"/>
      <w:marBottom w:val="0"/>
      <w:divBdr>
        <w:top w:val="none" w:sz="0" w:space="0" w:color="auto"/>
        <w:left w:val="none" w:sz="0" w:space="0" w:color="auto"/>
        <w:bottom w:val="none" w:sz="0" w:space="0" w:color="auto"/>
        <w:right w:val="none" w:sz="0" w:space="0" w:color="auto"/>
      </w:divBdr>
    </w:div>
    <w:div w:id="1593515396">
      <w:bodyDiv w:val="1"/>
      <w:marLeft w:val="0"/>
      <w:marRight w:val="0"/>
      <w:marTop w:val="0"/>
      <w:marBottom w:val="0"/>
      <w:divBdr>
        <w:top w:val="none" w:sz="0" w:space="0" w:color="auto"/>
        <w:left w:val="none" w:sz="0" w:space="0" w:color="auto"/>
        <w:bottom w:val="none" w:sz="0" w:space="0" w:color="auto"/>
        <w:right w:val="none" w:sz="0" w:space="0" w:color="auto"/>
      </w:divBdr>
    </w:div>
    <w:div w:id="191485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epa.gov/ttnamti1/files/ambient/qaqc/OzoneTransferStandardGuidanc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fpub.epa.gov/si/si_public_file_download.cfm?p_download_id=522029&amp;Lab=NRMR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3.epa.gov/ttnamti1/files/ambient/pams/PAMS_Model_QAPP.docx" TargetMode="External"/><Relationship Id="rId4" Type="http://schemas.openxmlformats.org/officeDocument/2006/relationships/settings" Target="settings.xml"/><Relationship Id="rId9" Type="http://schemas.openxmlformats.org/officeDocument/2006/relationships/hyperlink" Target="https://www.epa.gov/sites/production/files/2019-11/documents/pams_technical_assistance_document_revision_2_april_2019.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8C9A0-43C3-48B3-8E78-BBAE50B10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9338</Words>
  <Characters>52481</Characters>
  <Application>Microsoft Office Word</Application>
  <DocSecurity>0</DocSecurity>
  <Lines>1418</Lines>
  <Paragraphs>671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2020-07-09T17:48:00Z</dcterms:created>
  <dcterms:modified xsi:type="dcterms:W3CDTF">2020-10-22T16:09:00Z</dcterms:modified>
</cp:coreProperties>
</file>