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563" w:rsidRPr="00964CB2" w:rsidRDefault="007C66A3" w:rsidP="00964CB2">
      <w:pPr>
        <w:jc w:val="center"/>
        <w:rPr>
          <w:sz w:val="28"/>
          <w:szCs w:val="28"/>
          <w:lang w:val="en-GB"/>
        </w:rPr>
      </w:pPr>
      <w:r w:rsidRPr="00FD72EF">
        <w:rPr>
          <w:sz w:val="28"/>
          <w:szCs w:val="28"/>
          <w:lang w:val="en-GB"/>
        </w:rPr>
        <w:t xml:space="preserve">Thought Starter </w:t>
      </w:r>
      <w:r w:rsidR="00BA11F4" w:rsidRPr="00FD72EF">
        <w:rPr>
          <w:sz w:val="28"/>
          <w:szCs w:val="28"/>
          <w:lang w:val="en-GB"/>
        </w:rPr>
        <w:t xml:space="preserve">for </w:t>
      </w:r>
      <w:r w:rsidR="00774041">
        <w:rPr>
          <w:sz w:val="28"/>
          <w:szCs w:val="28"/>
          <w:lang w:val="en-GB"/>
        </w:rPr>
        <w:t>the Expert Public Workshop on Alternatives and Risk Reduction Approaches to Trichloroethylene (TCE)</w:t>
      </w:r>
    </w:p>
    <w:p w:rsidR="007C66A3" w:rsidRPr="00F301BA" w:rsidRDefault="007C66A3">
      <w:pPr>
        <w:rPr>
          <w:lang w:val="en-GB"/>
        </w:rPr>
      </w:pPr>
    </w:p>
    <w:p w:rsidR="008C27EA" w:rsidRDefault="007C66A3" w:rsidP="00774041">
      <w:pPr>
        <w:pStyle w:val="ListParagraph"/>
        <w:numPr>
          <w:ilvl w:val="0"/>
          <w:numId w:val="13"/>
        </w:numPr>
        <w:ind w:left="360"/>
        <w:rPr>
          <w:b/>
          <w:lang w:val="en-GB"/>
        </w:rPr>
      </w:pPr>
      <w:r w:rsidRPr="001D1563">
        <w:rPr>
          <w:b/>
          <w:lang w:val="en-GB"/>
        </w:rPr>
        <w:t>Introduction</w:t>
      </w:r>
    </w:p>
    <w:p w:rsidR="00FA3024" w:rsidRDefault="00FA3024" w:rsidP="00417661">
      <w:pPr>
        <w:pStyle w:val="ListParagraph"/>
        <w:ind w:left="360"/>
      </w:pPr>
    </w:p>
    <w:p w:rsidR="00417661" w:rsidRDefault="00417661" w:rsidP="00417661">
      <w:pPr>
        <w:pStyle w:val="ListParagraph"/>
        <w:ind w:left="360"/>
      </w:pPr>
      <w:r>
        <w:t xml:space="preserve">TCE was identified for risk assessment as part of EPA's Existing Chemicals Management Program. EPA reviewed readily available information on TCE including uses, physical and </w:t>
      </w:r>
      <w:r w:rsidR="00FA3024">
        <w:t xml:space="preserve">chemical </w:t>
      </w:r>
      <w:r>
        <w:t xml:space="preserve">properties, fate, exposure potential, and associated hazards to humans and the environment. TCE was selected based on concerns </w:t>
      </w:r>
      <w:r w:rsidR="00FA3024">
        <w:t xml:space="preserve">about </w:t>
      </w:r>
      <w:r>
        <w:t xml:space="preserve">its human health hazard (e.g., human carcinogen) and its exposure profile (i.e., widely used in consumer products and detected in drinking water, indoor environments, surface water, ambient air, groundwater, and soil) using OPPT's TSCA Work Plan screening methodology. </w:t>
      </w:r>
    </w:p>
    <w:p w:rsidR="00417661" w:rsidRDefault="00417661" w:rsidP="00417661">
      <w:pPr>
        <w:pStyle w:val="ListParagraph"/>
        <w:ind w:left="360"/>
        <w:rPr>
          <w:b/>
          <w:lang w:val="en-GB"/>
        </w:rPr>
      </w:pPr>
    </w:p>
    <w:p w:rsidR="00F10999" w:rsidRDefault="00F10999" w:rsidP="00774041">
      <w:pPr>
        <w:pStyle w:val="ListParagraph"/>
        <w:numPr>
          <w:ilvl w:val="0"/>
          <w:numId w:val="13"/>
        </w:numPr>
        <w:ind w:left="360"/>
        <w:rPr>
          <w:b/>
          <w:lang w:val="en-GB"/>
        </w:rPr>
      </w:pPr>
      <w:r>
        <w:rPr>
          <w:b/>
          <w:lang w:val="en-GB"/>
        </w:rPr>
        <w:t xml:space="preserve">Background </w:t>
      </w:r>
    </w:p>
    <w:p w:rsidR="003E7D5E" w:rsidRDefault="00F10999" w:rsidP="003E7D5E">
      <w:pPr>
        <w:pStyle w:val="ListParagraph"/>
        <w:numPr>
          <w:ilvl w:val="1"/>
          <w:numId w:val="13"/>
        </w:numPr>
        <w:rPr>
          <w:b/>
          <w:lang w:val="en-GB"/>
        </w:rPr>
      </w:pPr>
      <w:r>
        <w:rPr>
          <w:b/>
          <w:lang w:val="en-GB"/>
        </w:rPr>
        <w:t>Risk Assessment</w:t>
      </w:r>
    </w:p>
    <w:p w:rsidR="003E7D5E" w:rsidRDefault="003E7D5E" w:rsidP="003E7D5E">
      <w:pPr>
        <w:ind w:left="1080"/>
      </w:pPr>
      <w:r>
        <w:t>EPA’s final risk assessment evaluated health risks to consumers and workers using TCE as a degreaser, to consumers using it as a protective coating to finish prints or artwork, and to dry cleaners' workers using it to remove stains.</w:t>
      </w:r>
      <w:bookmarkStart w:id="0" w:name="q4"/>
      <w:bookmarkEnd w:id="0"/>
    </w:p>
    <w:p w:rsidR="003E7D5E" w:rsidRDefault="003E7D5E" w:rsidP="003E7D5E">
      <w:pPr>
        <w:ind w:left="1080"/>
      </w:pPr>
    </w:p>
    <w:p w:rsidR="003E7D5E" w:rsidRPr="003E7D5E" w:rsidRDefault="003E7D5E" w:rsidP="003E7D5E">
      <w:pPr>
        <w:ind w:left="1080"/>
        <w:rPr>
          <w:b/>
          <w:lang w:val="en-GB"/>
        </w:rPr>
      </w:pPr>
      <w:r>
        <w:t xml:space="preserve">This risk assessment evaluated human health risks to consumers and workers, including bystanders, from inhalation exposures. Single (acute) or short-term exposure can potentially affect the developing fetus. High acute concentrations of TCE vapors can irritate the respiratory system and skin and induce central nervous system effects such as light-headedness, drowsiness, and headaches. Repeated (chronic) or prolonged exposure to TCE has been associated with effects in the liver, kidneys, immune system, central nervous system. EPA has concerns for effects in the developing fetus from both acute and chronic exposure. TCE is carcinogenic to humans by all routes of exposure. </w:t>
      </w:r>
      <w:bookmarkStart w:id="1" w:name="q5"/>
      <w:bookmarkEnd w:id="1"/>
    </w:p>
    <w:p w:rsidR="00226374" w:rsidRPr="00417661" w:rsidRDefault="00226374" w:rsidP="00417661">
      <w:pPr>
        <w:rPr>
          <w:b/>
          <w:lang w:val="en-GB"/>
        </w:rPr>
      </w:pPr>
    </w:p>
    <w:p w:rsidR="00226374" w:rsidRPr="00226374" w:rsidRDefault="00417661" w:rsidP="00226374">
      <w:pPr>
        <w:pStyle w:val="ListParagraph"/>
        <w:numPr>
          <w:ilvl w:val="1"/>
          <w:numId w:val="13"/>
        </w:numPr>
        <w:rPr>
          <w:b/>
          <w:lang w:val="en-GB"/>
        </w:rPr>
      </w:pPr>
      <w:r>
        <w:rPr>
          <w:b/>
          <w:lang w:val="en-GB"/>
        </w:rPr>
        <w:t xml:space="preserve">Production Volume and </w:t>
      </w:r>
      <w:r w:rsidR="00F10999" w:rsidRPr="00226374">
        <w:rPr>
          <w:b/>
          <w:lang w:val="en-GB"/>
        </w:rPr>
        <w:t>Uses of TCE</w:t>
      </w:r>
      <w:r w:rsidR="00F10999" w:rsidRPr="00226374">
        <w:rPr>
          <w:rFonts w:ascii="Times New Roman" w:hAnsi="Times New Roman" w:cs="Times New Roman"/>
        </w:rPr>
        <w:t xml:space="preserve"> </w:t>
      </w:r>
    </w:p>
    <w:p w:rsidR="00F80177" w:rsidRDefault="00F10999" w:rsidP="00226374">
      <w:pPr>
        <w:ind w:left="1080"/>
        <w:rPr>
          <w:rFonts w:cs="Times New Roman"/>
        </w:rPr>
      </w:pPr>
      <w:r w:rsidRPr="00417661">
        <w:rPr>
          <w:rFonts w:cs="Times New Roman"/>
        </w:rPr>
        <w:t xml:space="preserve">The majority (&gt; 80 %) of TCE is used as an intermediate for </w:t>
      </w:r>
      <w:r w:rsidR="00226374" w:rsidRPr="00417661">
        <w:rPr>
          <w:rFonts w:cs="Times New Roman"/>
        </w:rPr>
        <w:t>m</w:t>
      </w:r>
      <w:r w:rsidRPr="00417661">
        <w:rPr>
          <w:rFonts w:cs="Times New Roman"/>
        </w:rPr>
        <w:t xml:space="preserve">anufacturing refrigerant chemicals. </w:t>
      </w:r>
      <w:r w:rsidR="00226374" w:rsidRPr="00417661">
        <w:rPr>
          <w:rFonts w:cs="Times New Roman"/>
        </w:rPr>
        <w:t xml:space="preserve">Much of the remainder, less than </w:t>
      </w:r>
      <w:r w:rsidRPr="00417661">
        <w:rPr>
          <w:rFonts w:cs="Times New Roman"/>
        </w:rPr>
        <w:t>14</w:t>
      </w:r>
      <w:r w:rsidR="00226374" w:rsidRPr="00417661">
        <w:rPr>
          <w:rFonts w:cs="Times New Roman"/>
        </w:rPr>
        <w:t xml:space="preserve"> percent</w:t>
      </w:r>
      <w:r w:rsidR="00F80177">
        <w:rPr>
          <w:rFonts w:cs="Times New Roman"/>
        </w:rPr>
        <w:t>,</w:t>
      </w:r>
      <w:r w:rsidR="00226374" w:rsidRPr="00417661">
        <w:rPr>
          <w:rFonts w:cs="Times New Roman"/>
        </w:rPr>
        <w:t xml:space="preserve"> </w:t>
      </w:r>
      <w:r w:rsidRPr="00417661">
        <w:rPr>
          <w:rFonts w:cs="Times New Roman"/>
        </w:rPr>
        <w:t>is used as a solvent for metals degreasing, leaving a relatively small percentage to account for all other uses; including its use in consumer products</w:t>
      </w:r>
      <w:r w:rsidR="00226374" w:rsidRPr="00417661">
        <w:rPr>
          <w:rFonts w:cs="Times New Roman"/>
        </w:rPr>
        <w:t xml:space="preserve">. </w:t>
      </w:r>
      <w:r w:rsidRPr="00417661">
        <w:rPr>
          <w:rFonts w:cs="Times New Roman"/>
        </w:rPr>
        <w:t>In 2011, global consumption of TCE was 945 million lbs and U.S. consumption was 255 million lbs</w:t>
      </w:r>
      <w:r w:rsidR="00226374" w:rsidRPr="00417661">
        <w:rPr>
          <w:rFonts w:cs="Times New Roman"/>
        </w:rPr>
        <w:t xml:space="preserve">. </w:t>
      </w:r>
      <w:r w:rsidRPr="00417661">
        <w:rPr>
          <w:rFonts w:cs="Times New Roman"/>
        </w:rPr>
        <w:t>Nine companies</w:t>
      </w:r>
      <w:r w:rsidR="00226374" w:rsidRPr="00417661">
        <w:rPr>
          <w:rFonts w:cs="Times New Roman"/>
        </w:rPr>
        <w:t xml:space="preserve">, including manufacturers and </w:t>
      </w:r>
      <w:r w:rsidRPr="00417661">
        <w:rPr>
          <w:rFonts w:cs="Times New Roman"/>
        </w:rPr>
        <w:t xml:space="preserve">importers reported a total production of 224.7 million lbs of TCE in 2011 </w:t>
      </w:r>
      <w:r w:rsidR="00226374" w:rsidRPr="00417661">
        <w:rPr>
          <w:rFonts w:cs="Times New Roman"/>
        </w:rPr>
        <w:t>to the Chemical Data Reporting (CDR) database</w:t>
      </w:r>
      <w:r w:rsidRPr="00417661">
        <w:rPr>
          <w:rFonts w:cs="Times New Roman"/>
        </w:rPr>
        <w:t>.</w:t>
      </w:r>
      <w:r w:rsidR="00226374" w:rsidRPr="00417661">
        <w:rPr>
          <w:rFonts w:cs="Times New Roman"/>
        </w:rPr>
        <w:t xml:space="preserve"> </w:t>
      </w:r>
      <w:r w:rsidRPr="00417661">
        <w:rPr>
          <w:rFonts w:cs="Times New Roman"/>
        </w:rPr>
        <w:t xml:space="preserve">Based on </w:t>
      </w:r>
      <w:r w:rsidR="00226374" w:rsidRPr="00417661">
        <w:rPr>
          <w:rFonts w:cs="Times New Roman"/>
        </w:rPr>
        <w:t>the Toxics Release Inventory (</w:t>
      </w:r>
      <w:r w:rsidRPr="00417661">
        <w:rPr>
          <w:rFonts w:cs="Times New Roman"/>
        </w:rPr>
        <w:t>TRI</w:t>
      </w:r>
      <w:r w:rsidR="00226374" w:rsidRPr="00417661">
        <w:rPr>
          <w:rFonts w:cs="Times New Roman"/>
        </w:rPr>
        <w:t>)</w:t>
      </w:r>
      <w:r w:rsidRPr="00417661">
        <w:rPr>
          <w:rFonts w:cs="Times New Roman"/>
        </w:rPr>
        <w:t>, 28 companies use TCE as a formulation component, 27 companies use TCE in repackaging, 25 companies use TCE as a manufacturing aid, and 103 companies use TCE for ancillary uses</w:t>
      </w:r>
      <w:r w:rsidR="00226374" w:rsidRPr="00417661">
        <w:rPr>
          <w:rFonts w:cs="Times New Roman"/>
        </w:rPr>
        <w:t xml:space="preserve">, such as </w:t>
      </w:r>
      <w:r w:rsidR="00FA3024" w:rsidRPr="00417661">
        <w:rPr>
          <w:rFonts w:cs="Times New Roman"/>
        </w:rPr>
        <w:t>degreas</w:t>
      </w:r>
      <w:r w:rsidR="00FA3024">
        <w:rPr>
          <w:rFonts w:cs="Times New Roman"/>
        </w:rPr>
        <w:t>ing</w:t>
      </w:r>
      <w:r w:rsidRPr="00417661">
        <w:rPr>
          <w:rFonts w:cs="Times New Roman"/>
        </w:rPr>
        <w:t>.</w:t>
      </w:r>
      <w:r w:rsidR="00226374" w:rsidRPr="00417661">
        <w:rPr>
          <w:rFonts w:cs="Times New Roman"/>
        </w:rPr>
        <w:t xml:space="preserve"> </w:t>
      </w:r>
    </w:p>
    <w:p w:rsidR="00F80177" w:rsidRDefault="00F80177" w:rsidP="00226374">
      <w:pPr>
        <w:ind w:left="1080"/>
        <w:rPr>
          <w:rFonts w:cs="Times New Roman"/>
        </w:rPr>
      </w:pPr>
    </w:p>
    <w:p w:rsidR="00F80177" w:rsidRPr="00F80177" w:rsidRDefault="00F80177" w:rsidP="00226374">
      <w:pPr>
        <w:ind w:left="1080"/>
        <w:rPr>
          <w:rFonts w:cs="Times New Roman"/>
          <w:b/>
        </w:rPr>
      </w:pPr>
      <w:r w:rsidRPr="00F80177">
        <w:rPr>
          <w:rFonts w:cs="Times New Roman"/>
          <w:b/>
        </w:rPr>
        <w:t xml:space="preserve">c. TCE Alternatives </w:t>
      </w:r>
    </w:p>
    <w:p w:rsidR="00964CB2" w:rsidRDefault="00F10999" w:rsidP="00964CB2">
      <w:pPr>
        <w:ind w:left="1080"/>
        <w:rPr>
          <w:rFonts w:cs="Times New Roman"/>
        </w:rPr>
      </w:pPr>
      <w:r w:rsidRPr="00417661">
        <w:rPr>
          <w:rFonts w:cs="Times New Roman"/>
        </w:rPr>
        <w:t>There are available substitutes for TCE; however, there is not one alternative that works across all applications where TCE is currently used. Additional analysis is needed to determine if any of the substitutes are as effective as TCE for commercial degreasing to evaluate whether they are safer than TCE, and to determine the most feasible alternatives.</w:t>
      </w:r>
    </w:p>
    <w:p w:rsidR="00964CB2" w:rsidRDefault="00964CB2" w:rsidP="00964CB2">
      <w:pPr>
        <w:ind w:left="1080"/>
        <w:rPr>
          <w:rFonts w:cs="Times New Roman"/>
        </w:rPr>
      </w:pPr>
    </w:p>
    <w:p w:rsidR="00F80177" w:rsidRPr="00964CB2" w:rsidRDefault="00F80177" w:rsidP="00964CB2">
      <w:pPr>
        <w:ind w:left="1080"/>
        <w:rPr>
          <w:rFonts w:cs="Times New Roman"/>
        </w:rPr>
      </w:pPr>
      <w:r w:rsidRPr="00964CB2">
        <w:rPr>
          <w:rFonts w:cs="Times New Roman"/>
        </w:rPr>
        <w:t>EPA has already initiated discussions with CSPA and member companies to compile information on consumer and small shop uses of TCE, and identify consumer products containing TCE.</w:t>
      </w:r>
      <w:r w:rsidR="00964CB2" w:rsidRPr="00964CB2">
        <w:rPr>
          <w:rFonts w:cs="Times New Roman"/>
        </w:rPr>
        <w:t xml:space="preserve"> </w:t>
      </w:r>
      <w:r w:rsidRPr="00964CB2">
        <w:rPr>
          <w:rFonts w:cs="Times New Roman"/>
        </w:rPr>
        <w:t xml:space="preserve">Based on preliminary information, it appears that, for some functional uses, the significant majority of product volume available for consumer purchase does not contain TCE.  </w:t>
      </w:r>
    </w:p>
    <w:p w:rsidR="00CB3946" w:rsidRPr="009B437C" w:rsidRDefault="00CB3946" w:rsidP="00E939A0">
      <w:pPr>
        <w:pStyle w:val="ListParagraph"/>
        <w:ind w:left="360"/>
        <w:rPr>
          <w:b/>
          <w:lang w:val="en-GB"/>
        </w:rPr>
      </w:pPr>
    </w:p>
    <w:p w:rsidR="00FD72EF" w:rsidRPr="009B437C" w:rsidRDefault="007C66A3" w:rsidP="00FD72EF">
      <w:pPr>
        <w:pStyle w:val="ListParagraph"/>
        <w:numPr>
          <w:ilvl w:val="0"/>
          <w:numId w:val="13"/>
        </w:numPr>
        <w:ind w:left="360"/>
        <w:rPr>
          <w:rFonts w:cs="Times New Roman"/>
          <w:b/>
          <w:lang w:val="en-GB"/>
        </w:rPr>
      </w:pPr>
      <w:r w:rsidRPr="009B437C">
        <w:rPr>
          <w:b/>
          <w:lang w:val="en-GB"/>
        </w:rPr>
        <w:t xml:space="preserve">Objectives of the </w:t>
      </w:r>
      <w:r w:rsidR="00FD72EF" w:rsidRPr="009B437C">
        <w:rPr>
          <w:b/>
          <w:lang w:val="en-GB"/>
        </w:rPr>
        <w:t xml:space="preserve">expert </w:t>
      </w:r>
      <w:r w:rsidRPr="009B437C">
        <w:rPr>
          <w:b/>
          <w:lang w:val="en-GB"/>
        </w:rPr>
        <w:t>workshop</w:t>
      </w:r>
    </w:p>
    <w:p w:rsidR="009B437C" w:rsidRPr="009B437C" w:rsidRDefault="009B437C" w:rsidP="009B437C">
      <w:pPr>
        <w:pStyle w:val="ListParagraph"/>
        <w:ind w:left="360"/>
        <w:rPr>
          <w:rFonts w:cs="Times New Roman"/>
          <w:b/>
          <w:lang w:val="en-GB"/>
        </w:rPr>
      </w:pPr>
    </w:p>
    <w:p w:rsidR="00BF2F7A" w:rsidRDefault="00BA11F4" w:rsidP="00FD72EF">
      <w:pPr>
        <w:pStyle w:val="ListParagraph"/>
        <w:ind w:left="360"/>
        <w:rPr>
          <w:rFonts w:cs="Times New Roman"/>
          <w:lang w:val="en-GB"/>
        </w:rPr>
      </w:pPr>
      <w:r w:rsidRPr="00FD72EF">
        <w:rPr>
          <w:rFonts w:cs="Times New Roman"/>
          <w:lang w:val="en-GB"/>
        </w:rPr>
        <w:t xml:space="preserve">The </w:t>
      </w:r>
      <w:r w:rsidR="00BF2F7A">
        <w:rPr>
          <w:rFonts w:cs="Times New Roman"/>
          <w:lang w:val="en-GB"/>
        </w:rPr>
        <w:t xml:space="preserve">objectives </w:t>
      </w:r>
      <w:r w:rsidRPr="00FD72EF">
        <w:rPr>
          <w:rFonts w:cs="Times New Roman"/>
          <w:lang w:val="en-GB"/>
        </w:rPr>
        <w:t xml:space="preserve">of the workshop are to generate </w:t>
      </w:r>
      <w:r w:rsidR="008F4736">
        <w:rPr>
          <w:rFonts w:cs="Times New Roman"/>
          <w:lang w:val="en-GB"/>
        </w:rPr>
        <w:t xml:space="preserve">more </w:t>
      </w:r>
      <w:r w:rsidRPr="00FD72EF">
        <w:rPr>
          <w:rFonts w:cs="Times New Roman"/>
          <w:lang w:val="en-GB"/>
        </w:rPr>
        <w:t xml:space="preserve">information from experts on TCE </w:t>
      </w:r>
      <w:r w:rsidR="008F4736">
        <w:rPr>
          <w:rFonts w:cs="Times New Roman"/>
          <w:lang w:val="en-GB"/>
        </w:rPr>
        <w:t xml:space="preserve">uses and work practices </w:t>
      </w:r>
      <w:r w:rsidRPr="00FD72EF">
        <w:rPr>
          <w:rFonts w:cs="Times New Roman"/>
          <w:lang w:val="en-GB"/>
        </w:rPr>
        <w:t xml:space="preserve">when used as a degreaser, </w:t>
      </w:r>
      <w:r w:rsidR="007606BF">
        <w:rPr>
          <w:rFonts w:cs="Times New Roman"/>
          <w:lang w:val="en-GB"/>
        </w:rPr>
        <w:t xml:space="preserve">to </w:t>
      </w:r>
      <w:r w:rsidRPr="00FD72EF">
        <w:rPr>
          <w:rFonts w:cs="Times New Roman"/>
          <w:lang w:val="en-GB"/>
        </w:rPr>
        <w:t xml:space="preserve">better understand the factors </w:t>
      </w:r>
      <w:r w:rsidR="007606BF">
        <w:rPr>
          <w:rFonts w:cs="Times New Roman"/>
          <w:lang w:val="en-GB"/>
        </w:rPr>
        <w:t xml:space="preserve">which must be considered </w:t>
      </w:r>
      <w:r w:rsidRPr="00FD72EF">
        <w:rPr>
          <w:rFonts w:cs="Times New Roman"/>
          <w:lang w:val="en-GB"/>
        </w:rPr>
        <w:t xml:space="preserve">when transitioning to safer alternatives, and </w:t>
      </w:r>
      <w:r w:rsidR="007606BF">
        <w:rPr>
          <w:rFonts w:cs="Times New Roman"/>
          <w:lang w:val="en-GB"/>
        </w:rPr>
        <w:t xml:space="preserve">to </w:t>
      </w:r>
      <w:r w:rsidRPr="00FD72EF">
        <w:rPr>
          <w:rFonts w:cs="Times New Roman"/>
          <w:lang w:val="en-GB"/>
        </w:rPr>
        <w:t>develop options to address</w:t>
      </w:r>
      <w:r w:rsidR="00A25D46">
        <w:rPr>
          <w:rFonts w:cs="Times New Roman"/>
          <w:lang w:val="en-GB"/>
        </w:rPr>
        <w:t>/mitigate</w:t>
      </w:r>
      <w:r w:rsidRPr="00FD72EF">
        <w:rPr>
          <w:rFonts w:cs="Times New Roman"/>
          <w:lang w:val="en-GB"/>
        </w:rPr>
        <w:t xml:space="preserve"> the risks identified in the assessment. </w:t>
      </w:r>
      <w:r w:rsidR="008F4736">
        <w:rPr>
          <w:rFonts w:cs="Times New Roman"/>
          <w:lang w:val="en-GB"/>
        </w:rPr>
        <w:t>O</w:t>
      </w:r>
      <w:r w:rsidRPr="00FD72EF">
        <w:rPr>
          <w:rFonts w:cs="Times New Roman"/>
          <w:lang w:val="en-GB"/>
        </w:rPr>
        <w:t xml:space="preserve">ther uses of TCE as </w:t>
      </w:r>
      <w:r w:rsidR="00BF2F7A">
        <w:rPr>
          <w:rFonts w:cs="Times New Roman"/>
          <w:lang w:val="en-GB"/>
        </w:rPr>
        <w:t xml:space="preserve">evaluated </w:t>
      </w:r>
      <w:r w:rsidR="00AA4B69">
        <w:rPr>
          <w:rFonts w:cs="Times New Roman"/>
          <w:lang w:val="en-GB"/>
        </w:rPr>
        <w:t>in the A</w:t>
      </w:r>
      <w:r w:rsidRPr="00FD72EF">
        <w:rPr>
          <w:rFonts w:cs="Times New Roman"/>
          <w:lang w:val="en-GB"/>
        </w:rPr>
        <w:t xml:space="preserve">gency’s risk assessment </w:t>
      </w:r>
      <w:r w:rsidR="007606BF">
        <w:rPr>
          <w:rFonts w:cs="Times New Roman"/>
          <w:lang w:val="en-GB"/>
        </w:rPr>
        <w:t>(fixative and dry cleaning uses)</w:t>
      </w:r>
      <w:r w:rsidRPr="00FD72EF">
        <w:rPr>
          <w:rFonts w:cs="Times New Roman"/>
          <w:lang w:val="en-GB"/>
        </w:rPr>
        <w:t xml:space="preserve"> will be addressed separately. The workshop will include various presentat</w:t>
      </w:r>
      <w:r w:rsidR="00E564BE">
        <w:rPr>
          <w:rFonts w:cs="Times New Roman"/>
          <w:lang w:val="en-GB"/>
        </w:rPr>
        <w:t xml:space="preserve">ions, </w:t>
      </w:r>
      <w:r w:rsidR="007606BF">
        <w:rPr>
          <w:rFonts w:cs="Times New Roman"/>
          <w:lang w:val="en-GB"/>
        </w:rPr>
        <w:t>discussion</w:t>
      </w:r>
      <w:r w:rsidR="007606BF" w:rsidRPr="00FD72EF">
        <w:rPr>
          <w:rFonts w:cs="Times New Roman"/>
          <w:lang w:val="en-GB"/>
        </w:rPr>
        <w:t xml:space="preserve"> </w:t>
      </w:r>
      <w:r w:rsidRPr="00FD72EF">
        <w:rPr>
          <w:rFonts w:cs="Times New Roman"/>
          <w:lang w:val="en-GB"/>
        </w:rPr>
        <w:t xml:space="preserve">sessions with case studies, and </w:t>
      </w:r>
      <w:r w:rsidR="00E564BE">
        <w:rPr>
          <w:rFonts w:cs="Times New Roman"/>
          <w:lang w:val="en-GB"/>
        </w:rPr>
        <w:t xml:space="preserve">opportunities for </w:t>
      </w:r>
      <w:r w:rsidRPr="00FD72EF">
        <w:rPr>
          <w:rFonts w:cs="Times New Roman"/>
          <w:lang w:val="en-GB"/>
        </w:rPr>
        <w:t xml:space="preserve">public comment. </w:t>
      </w:r>
    </w:p>
    <w:p w:rsidR="00BF2F7A" w:rsidRDefault="00BF2F7A" w:rsidP="00FD72EF">
      <w:pPr>
        <w:pStyle w:val="ListParagraph"/>
        <w:ind w:left="360"/>
        <w:rPr>
          <w:rFonts w:cs="Times New Roman"/>
          <w:lang w:val="en-GB"/>
        </w:rPr>
      </w:pPr>
    </w:p>
    <w:p w:rsidR="00BF2F7A" w:rsidRDefault="00BA11F4" w:rsidP="00FD72EF">
      <w:pPr>
        <w:pStyle w:val="ListParagraph"/>
        <w:ind w:left="360"/>
        <w:rPr>
          <w:rFonts w:cs="Times New Roman"/>
          <w:lang w:val="en-GB"/>
        </w:rPr>
      </w:pPr>
      <w:r w:rsidRPr="00FD72EF">
        <w:rPr>
          <w:rFonts w:cs="Times New Roman"/>
          <w:lang w:val="en-GB"/>
        </w:rPr>
        <w:t xml:space="preserve">To start the workshop, EPA will </w:t>
      </w:r>
      <w:r w:rsidR="007606BF">
        <w:rPr>
          <w:rFonts w:cs="Times New Roman"/>
          <w:lang w:val="en-GB"/>
        </w:rPr>
        <w:t xml:space="preserve">outline the goals </w:t>
      </w:r>
      <w:r w:rsidR="00E564BE">
        <w:rPr>
          <w:rFonts w:cs="Times New Roman"/>
          <w:lang w:val="en-GB"/>
        </w:rPr>
        <w:t xml:space="preserve">of the workshop. </w:t>
      </w:r>
      <w:r w:rsidRPr="00FD72EF">
        <w:rPr>
          <w:rFonts w:cs="Times New Roman"/>
          <w:lang w:val="en-GB"/>
        </w:rPr>
        <w:t xml:space="preserve">Workshop experts will discuss how TCE is used as a degreaser, the process and efficacy considerations important to safer </w:t>
      </w:r>
      <w:r w:rsidR="007606BF">
        <w:rPr>
          <w:rFonts w:cs="Times New Roman"/>
          <w:lang w:val="en-GB"/>
        </w:rPr>
        <w:t>degreaser alternatives</w:t>
      </w:r>
      <w:r w:rsidR="007606BF" w:rsidRPr="00FD72EF">
        <w:rPr>
          <w:rFonts w:cs="Times New Roman"/>
          <w:lang w:val="en-GB"/>
        </w:rPr>
        <w:t xml:space="preserve"> </w:t>
      </w:r>
      <w:r w:rsidRPr="00FD72EF">
        <w:rPr>
          <w:rFonts w:cs="Times New Roman"/>
          <w:lang w:val="en-GB"/>
        </w:rPr>
        <w:t xml:space="preserve">selection, present case studies that examine </w:t>
      </w:r>
      <w:r w:rsidR="007606BF">
        <w:rPr>
          <w:rFonts w:cs="Times New Roman"/>
          <w:lang w:val="en-GB"/>
        </w:rPr>
        <w:t>chemical substitution</w:t>
      </w:r>
      <w:r w:rsidRPr="00FD72EF">
        <w:rPr>
          <w:rFonts w:cs="Times New Roman"/>
          <w:lang w:val="en-GB"/>
        </w:rPr>
        <w:t xml:space="preserve">, and discuss safer engineering practices, new products, and technologies that can reduce exposure to TCE. </w:t>
      </w:r>
      <w:r w:rsidR="00FB300C">
        <w:rPr>
          <w:rFonts w:cs="Times New Roman"/>
          <w:lang w:val="en-GB"/>
        </w:rPr>
        <w:t>S</w:t>
      </w:r>
      <w:r w:rsidRPr="00FD72EF">
        <w:rPr>
          <w:rFonts w:cs="Times New Roman"/>
          <w:lang w:val="en-GB"/>
        </w:rPr>
        <w:t xml:space="preserve">essions include charge and outcome questions to guide the discussion. </w:t>
      </w:r>
      <w:r w:rsidR="00FB300C">
        <w:rPr>
          <w:rFonts w:cs="Times New Roman"/>
          <w:lang w:val="en-GB"/>
        </w:rPr>
        <w:t xml:space="preserve">  </w:t>
      </w:r>
    </w:p>
    <w:p w:rsidR="00BA11F4" w:rsidRDefault="00BA11F4" w:rsidP="00FD72EF">
      <w:pPr>
        <w:pStyle w:val="ListParagraph"/>
        <w:ind w:left="360"/>
        <w:rPr>
          <w:rFonts w:cs="Times New Roman"/>
          <w:lang w:val="en-GB"/>
        </w:rPr>
      </w:pPr>
      <w:r w:rsidRPr="00FD72EF">
        <w:rPr>
          <w:rFonts w:cs="Times New Roman"/>
          <w:lang w:val="en-GB"/>
        </w:rPr>
        <w:t xml:space="preserve">EPA’s goal is to bring the experts together </w:t>
      </w:r>
      <w:r w:rsidR="00EC409B">
        <w:rPr>
          <w:rFonts w:cs="Times New Roman"/>
          <w:lang w:val="en-GB"/>
        </w:rPr>
        <w:t>to better</w:t>
      </w:r>
      <w:r w:rsidR="00EC409B" w:rsidRPr="00FD72EF">
        <w:rPr>
          <w:rFonts w:cs="Times New Roman"/>
          <w:lang w:val="en-GB"/>
        </w:rPr>
        <w:t xml:space="preserve"> </w:t>
      </w:r>
      <w:r w:rsidRPr="00FD72EF">
        <w:rPr>
          <w:rFonts w:cs="Times New Roman"/>
          <w:lang w:val="en-GB"/>
        </w:rPr>
        <w:t xml:space="preserve">understand the challenges and opportunities when </w:t>
      </w:r>
      <w:r w:rsidR="00EC409B">
        <w:rPr>
          <w:rFonts w:cs="Times New Roman"/>
          <w:lang w:val="en-GB"/>
        </w:rPr>
        <w:t>attempting to reduce exposure to TCE</w:t>
      </w:r>
      <w:r w:rsidRPr="00FD72EF">
        <w:rPr>
          <w:rFonts w:cs="Times New Roman"/>
          <w:lang w:val="en-GB"/>
        </w:rPr>
        <w:t>. EPA</w:t>
      </w:r>
      <w:r w:rsidR="00BF2F7A">
        <w:rPr>
          <w:rFonts w:cs="Times New Roman"/>
          <w:lang w:val="en-GB"/>
        </w:rPr>
        <w:t>’s</w:t>
      </w:r>
      <w:r w:rsidR="00F6237A">
        <w:rPr>
          <w:rFonts w:cs="Times New Roman"/>
          <w:lang w:val="en-GB"/>
        </w:rPr>
        <w:t xml:space="preserve"> </w:t>
      </w:r>
      <w:r w:rsidR="00BF2F7A">
        <w:rPr>
          <w:rFonts w:cs="Times New Roman"/>
          <w:lang w:val="en-GB"/>
        </w:rPr>
        <w:t xml:space="preserve">purpose is to obtain feedback </w:t>
      </w:r>
      <w:r w:rsidRPr="00FD72EF">
        <w:rPr>
          <w:rFonts w:cs="Times New Roman"/>
          <w:lang w:val="en-GB"/>
        </w:rPr>
        <w:t xml:space="preserve">on substitution strategies and risk mitigation. </w:t>
      </w:r>
      <w:r w:rsidR="00FB300C" w:rsidRPr="00FB300C">
        <w:rPr>
          <w:rFonts w:cs="Times New Roman"/>
          <w:lang w:val="en-GB"/>
        </w:rPr>
        <w:t>A key goal of the workshop is to identify criteria that can  be used to develop approaches to decrease</w:t>
      </w:r>
      <w:r w:rsidR="00036D85">
        <w:rPr>
          <w:rFonts w:cs="Times New Roman"/>
          <w:lang w:val="en-GB"/>
        </w:rPr>
        <w:t xml:space="preserve"> exposure to TCE.</w:t>
      </w:r>
      <w:r w:rsidR="00FB300C">
        <w:rPr>
          <w:rFonts w:cs="Times New Roman"/>
          <w:lang w:val="en-GB"/>
        </w:rPr>
        <w:t xml:space="preserve"> </w:t>
      </w:r>
      <w:r w:rsidRPr="00FD72EF">
        <w:rPr>
          <w:rFonts w:cs="Times New Roman"/>
          <w:lang w:val="en-GB"/>
        </w:rPr>
        <w:t>The Agency will carefully consider all the information as it subsequently considers and develops</w:t>
      </w:r>
      <w:r w:rsidR="00E564BE">
        <w:rPr>
          <w:rFonts w:cs="Times New Roman"/>
          <w:lang w:val="en-GB"/>
        </w:rPr>
        <w:t xml:space="preserve"> risk reduction</w:t>
      </w:r>
      <w:r w:rsidR="00BB0D9D">
        <w:rPr>
          <w:rFonts w:cs="Times New Roman"/>
          <w:lang w:val="en-GB"/>
        </w:rPr>
        <w:t xml:space="preserve"> options</w:t>
      </w:r>
      <w:r w:rsidR="00F6237A">
        <w:rPr>
          <w:rFonts w:cs="Times New Roman"/>
          <w:lang w:val="en-GB"/>
        </w:rPr>
        <w:t xml:space="preserve"> </w:t>
      </w:r>
      <w:r w:rsidRPr="00FD72EF">
        <w:rPr>
          <w:rFonts w:cs="Times New Roman"/>
          <w:lang w:val="en-GB"/>
        </w:rPr>
        <w:t>from TCE when used as a degreaser and looks forward to working with the TCE stakeholder community.</w:t>
      </w:r>
    </w:p>
    <w:p w:rsidR="00867FD9" w:rsidRDefault="00867FD9" w:rsidP="00FD72EF">
      <w:pPr>
        <w:pStyle w:val="ListParagraph"/>
        <w:ind w:left="360"/>
        <w:rPr>
          <w:rFonts w:cs="Times New Roman"/>
          <w:lang w:val="en-GB"/>
        </w:rPr>
      </w:pPr>
    </w:p>
    <w:p w:rsidR="00867FD9" w:rsidRDefault="00867FD9" w:rsidP="00FD72EF">
      <w:pPr>
        <w:pStyle w:val="ListParagraph"/>
        <w:ind w:left="360"/>
        <w:rPr>
          <w:rFonts w:cs="Times New Roman"/>
          <w:lang w:val="en-GB"/>
        </w:rPr>
      </w:pPr>
    </w:p>
    <w:p w:rsidR="003A3122" w:rsidRDefault="003A3122">
      <w:pPr>
        <w:rPr>
          <w:rFonts w:cs="Times New Roman"/>
          <w:lang w:val="en-GB"/>
        </w:rPr>
      </w:pPr>
      <w:r>
        <w:rPr>
          <w:rFonts w:cs="Times New Roman"/>
          <w:lang w:val="en-GB"/>
        </w:rPr>
        <w:br w:type="page"/>
      </w:r>
    </w:p>
    <w:p w:rsidR="005C108E" w:rsidRPr="001D1563" w:rsidRDefault="005C108E" w:rsidP="001D1563">
      <w:pPr>
        <w:rPr>
          <w:rFonts w:cs="Times New Roman"/>
          <w:lang w:val="en-GB"/>
        </w:rPr>
      </w:pPr>
    </w:p>
    <w:p w:rsidR="005C108E" w:rsidRPr="001D1563" w:rsidRDefault="005C108E" w:rsidP="001D1563">
      <w:pPr>
        <w:pStyle w:val="ListParagraph"/>
        <w:numPr>
          <w:ilvl w:val="0"/>
          <w:numId w:val="13"/>
        </w:numPr>
        <w:rPr>
          <w:rFonts w:cs="Times New Roman"/>
          <w:b/>
          <w:lang w:val="en-GB"/>
        </w:rPr>
      </w:pPr>
      <w:r w:rsidRPr="001D1563">
        <w:rPr>
          <w:rFonts w:cs="Times New Roman"/>
          <w:b/>
          <w:lang w:val="en-GB"/>
        </w:rPr>
        <w:t xml:space="preserve">  Content of the workshop</w:t>
      </w:r>
    </w:p>
    <w:p w:rsidR="00FD72EF" w:rsidRDefault="00FD72EF" w:rsidP="00FD72EF">
      <w:pPr>
        <w:rPr>
          <w:rFonts w:eastAsia="MS Mincho" w:cs="Times New Roman"/>
          <w:lang w:val="en-GB"/>
        </w:rPr>
      </w:pPr>
    </w:p>
    <w:p w:rsidR="00BA11F4" w:rsidRPr="00FD72EF" w:rsidRDefault="00BA11F4" w:rsidP="009B437C">
      <w:pPr>
        <w:ind w:firstLine="360"/>
        <w:rPr>
          <w:rFonts w:cs="Times New Roman"/>
          <w:lang w:val="en-GB"/>
        </w:rPr>
      </w:pPr>
      <w:r w:rsidRPr="00FD72EF">
        <w:rPr>
          <w:rFonts w:eastAsia="MS Mincho" w:cs="Times New Roman"/>
          <w:lang w:val="en-GB"/>
        </w:rPr>
        <w:t xml:space="preserve">The workshop will examine the following uses: </w:t>
      </w:r>
    </w:p>
    <w:p w:rsidR="009B437C" w:rsidRPr="009B437C" w:rsidRDefault="00BA11F4" w:rsidP="009B437C">
      <w:pPr>
        <w:pStyle w:val="Default"/>
        <w:numPr>
          <w:ilvl w:val="0"/>
          <w:numId w:val="44"/>
        </w:numPr>
        <w:rPr>
          <w:lang w:val="en-GB"/>
        </w:rPr>
      </w:pPr>
      <w:r w:rsidRPr="00FD72EF">
        <w:rPr>
          <w:rFonts w:asciiTheme="minorHAnsi" w:eastAsia="MS Mincho" w:hAnsiTheme="minorHAnsi" w:cs="Times New Roman"/>
          <w:color w:val="auto"/>
          <w:lang w:val="en-GB"/>
        </w:rPr>
        <w:t xml:space="preserve">TCE Use in Small Commercial Settings for Degreasing--This use category will focus on small commercial shops that use TCE for degreasing, including </w:t>
      </w:r>
      <w:r w:rsidR="00A25D46">
        <w:rPr>
          <w:rFonts w:asciiTheme="minorHAnsi" w:eastAsia="MS Mincho" w:hAnsiTheme="minorHAnsi" w:cs="Times New Roman"/>
          <w:color w:val="auto"/>
          <w:lang w:val="en-GB"/>
        </w:rPr>
        <w:t>cold cleaning</w:t>
      </w:r>
      <w:r w:rsidR="00EC409B">
        <w:rPr>
          <w:rFonts w:asciiTheme="minorHAnsi" w:eastAsia="MS Mincho" w:hAnsiTheme="minorHAnsi" w:cs="Times New Roman"/>
          <w:color w:val="auto"/>
          <w:lang w:val="en-GB"/>
        </w:rPr>
        <w:t>, aerosol uses,</w:t>
      </w:r>
      <w:r w:rsidR="00A25D46">
        <w:rPr>
          <w:rFonts w:asciiTheme="minorHAnsi" w:eastAsia="MS Mincho" w:hAnsiTheme="minorHAnsi" w:cs="Times New Roman"/>
          <w:color w:val="auto"/>
          <w:lang w:val="en-GB"/>
        </w:rPr>
        <w:t xml:space="preserve"> and vapor degreasing</w:t>
      </w:r>
      <w:r w:rsidRPr="00FD72EF">
        <w:rPr>
          <w:rFonts w:asciiTheme="minorHAnsi" w:eastAsia="MS Mincho" w:hAnsiTheme="minorHAnsi" w:cs="Times New Roman"/>
          <w:color w:val="auto"/>
          <w:lang w:val="en-GB"/>
        </w:rPr>
        <w:t>.</w:t>
      </w:r>
    </w:p>
    <w:p w:rsidR="00CB3946" w:rsidRPr="009B437C" w:rsidRDefault="00BA11F4" w:rsidP="009B437C">
      <w:pPr>
        <w:pStyle w:val="Default"/>
        <w:numPr>
          <w:ilvl w:val="0"/>
          <w:numId w:val="44"/>
        </w:numPr>
        <w:rPr>
          <w:lang w:val="en-GB"/>
        </w:rPr>
      </w:pPr>
      <w:r w:rsidRPr="009B437C">
        <w:rPr>
          <w:rFonts w:asciiTheme="minorHAnsi" w:eastAsia="MS Mincho" w:hAnsiTheme="minorHAnsi" w:cs="Times New Roman"/>
          <w:color w:val="auto"/>
          <w:lang w:val="en-GB"/>
        </w:rPr>
        <w:t>TCE Use by Consumers or Hobbyists for Degreasing</w:t>
      </w:r>
      <w:r w:rsidRPr="009B437C">
        <w:rPr>
          <w:rFonts w:asciiTheme="minorHAnsi" w:eastAsia="MS Mincho" w:hAnsiTheme="minorHAnsi" w:cs="Times New Roman"/>
          <w:i/>
          <w:color w:val="auto"/>
          <w:lang w:val="en-GB"/>
        </w:rPr>
        <w:t>--</w:t>
      </w:r>
      <w:r w:rsidRPr="009B437C">
        <w:rPr>
          <w:rFonts w:asciiTheme="minorHAnsi" w:eastAsia="MS Mincho" w:hAnsiTheme="minorHAnsi" w:cs="Times New Roman"/>
          <w:color w:val="auto"/>
          <w:lang w:val="en-GB"/>
        </w:rPr>
        <w:t>This use category will focus on consumers and hobbyists that use TCE as a degreaser, including cold cleaning and aerosol uses.</w:t>
      </w:r>
    </w:p>
    <w:p w:rsidR="009B437C" w:rsidRPr="009B437C" w:rsidRDefault="009B437C" w:rsidP="009B437C">
      <w:pPr>
        <w:pStyle w:val="Default"/>
        <w:ind w:left="1080"/>
        <w:rPr>
          <w:lang w:val="en-GB"/>
        </w:rPr>
      </w:pPr>
    </w:p>
    <w:p w:rsidR="00AA4B69" w:rsidRPr="00AA4B69" w:rsidRDefault="00C9763B" w:rsidP="003B27B3">
      <w:pPr>
        <w:pStyle w:val="ListParagraph"/>
        <w:numPr>
          <w:ilvl w:val="1"/>
          <w:numId w:val="1"/>
        </w:numPr>
        <w:rPr>
          <w:lang w:val="en-GB"/>
        </w:rPr>
      </w:pPr>
      <w:r w:rsidRPr="00AA4B69">
        <w:rPr>
          <w:u w:val="single"/>
          <w:lang w:val="en-GB"/>
        </w:rPr>
        <w:t>Introduct</w:t>
      </w:r>
      <w:r w:rsidR="005C108E" w:rsidRPr="00AA4B69">
        <w:rPr>
          <w:u w:val="single"/>
          <w:lang w:val="en-GB"/>
        </w:rPr>
        <w:t>o</w:t>
      </w:r>
      <w:r w:rsidRPr="00AA4B69">
        <w:rPr>
          <w:u w:val="single"/>
          <w:lang w:val="en-GB"/>
        </w:rPr>
        <w:t>ry keynote talks</w:t>
      </w:r>
    </w:p>
    <w:p w:rsidR="00FD72EF" w:rsidRPr="00AA4B69" w:rsidRDefault="00AA4B69" w:rsidP="00AA4B69">
      <w:pPr>
        <w:pStyle w:val="ListParagraph"/>
        <w:rPr>
          <w:lang w:val="en-GB"/>
        </w:rPr>
      </w:pPr>
      <w:r w:rsidRPr="00AA4B69">
        <w:rPr>
          <w:lang w:val="en-GB"/>
        </w:rPr>
        <w:t xml:space="preserve">In the first </w:t>
      </w:r>
      <w:r w:rsidR="00C9763B" w:rsidRPr="00AA4B69">
        <w:rPr>
          <w:lang w:val="en-GB"/>
        </w:rPr>
        <w:t xml:space="preserve">keynote talks </w:t>
      </w:r>
      <w:r w:rsidR="000E4215" w:rsidRPr="00AA4B69">
        <w:rPr>
          <w:lang w:val="en-GB"/>
        </w:rPr>
        <w:t xml:space="preserve">there will be </w:t>
      </w:r>
      <w:r w:rsidR="00C9763B" w:rsidRPr="00AA4B69">
        <w:rPr>
          <w:lang w:val="en-GB"/>
        </w:rPr>
        <w:t>a</w:t>
      </w:r>
      <w:r w:rsidR="00FB300C">
        <w:rPr>
          <w:lang w:val="en-GB"/>
        </w:rPr>
        <w:t xml:space="preserve"> brief</w:t>
      </w:r>
      <w:r w:rsidR="00C9763B" w:rsidRPr="00AA4B69">
        <w:rPr>
          <w:lang w:val="en-GB"/>
        </w:rPr>
        <w:t xml:space="preserve"> overvi</w:t>
      </w:r>
      <w:r w:rsidRPr="00AA4B69">
        <w:rPr>
          <w:lang w:val="en-GB"/>
        </w:rPr>
        <w:t xml:space="preserve">ew </w:t>
      </w:r>
      <w:r w:rsidR="00412526">
        <w:rPr>
          <w:lang w:val="en-GB"/>
        </w:rPr>
        <w:t xml:space="preserve">of the final risk assessment, </w:t>
      </w:r>
      <w:r w:rsidR="00EC409B">
        <w:rPr>
          <w:lang w:val="en-GB"/>
        </w:rPr>
        <w:t>goals</w:t>
      </w:r>
      <w:r w:rsidR="00EC409B" w:rsidRPr="00AA4B69">
        <w:rPr>
          <w:lang w:val="en-GB"/>
        </w:rPr>
        <w:t xml:space="preserve"> </w:t>
      </w:r>
      <w:r w:rsidRPr="00AA4B69">
        <w:rPr>
          <w:lang w:val="en-GB"/>
        </w:rPr>
        <w:t xml:space="preserve">of the workshop, </w:t>
      </w:r>
      <w:r w:rsidR="005C108E" w:rsidRPr="00AA4B69">
        <w:rPr>
          <w:lang w:val="en-GB"/>
        </w:rPr>
        <w:t xml:space="preserve">and </w:t>
      </w:r>
      <w:r w:rsidR="00412526">
        <w:rPr>
          <w:lang w:val="en-GB"/>
        </w:rPr>
        <w:t xml:space="preserve">federal and state regulations of TCE. </w:t>
      </w:r>
    </w:p>
    <w:p w:rsidR="009B437C" w:rsidRDefault="009B437C" w:rsidP="00FD72EF">
      <w:pPr>
        <w:ind w:left="720"/>
        <w:rPr>
          <w:lang w:val="en-GB"/>
        </w:rPr>
      </w:pPr>
    </w:p>
    <w:p w:rsidR="007C66A3" w:rsidRPr="009B437C" w:rsidRDefault="007C66A3">
      <w:pPr>
        <w:pStyle w:val="ListParagraph"/>
        <w:numPr>
          <w:ilvl w:val="1"/>
          <w:numId w:val="1"/>
        </w:numPr>
        <w:rPr>
          <w:u w:val="single"/>
          <w:lang w:val="en-GB"/>
        </w:rPr>
      </w:pPr>
      <w:r w:rsidRPr="00FD72EF">
        <w:rPr>
          <w:u w:val="single"/>
          <w:lang w:val="en-GB"/>
        </w:rPr>
        <w:t>Keynote ta</w:t>
      </w:r>
      <w:r w:rsidR="0080378A">
        <w:rPr>
          <w:u w:val="single"/>
          <w:lang w:val="en-GB"/>
        </w:rPr>
        <w:t>lks with</w:t>
      </w:r>
      <w:r w:rsidR="00AA4B69">
        <w:rPr>
          <w:u w:val="single"/>
          <w:lang w:val="en-GB"/>
        </w:rPr>
        <w:t xml:space="preserve"> relationship to </w:t>
      </w:r>
      <w:r w:rsidRPr="00FD72EF">
        <w:rPr>
          <w:u w:val="single"/>
          <w:lang w:val="en-GB"/>
        </w:rPr>
        <w:t xml:space="preserve"> sessions</w:t>
      </w:r>
    </w:p>
    <w:p w:rsidR="009228DB" w:rsidRDefault="00867FD9" w:rsidP="00E939A0">
      <w:pPr>
        <w:pStyle w:val="ListParagraph"/>
        <w:rPr>
          <w:lang w:val="en-GB"/>
        </w:rPr>
      </w:pPr>
      <w:r>
        <w:rPr>
          <w:lang w:val="en-GB"/>
        </w:rPr>
        <w:t>T</w:t>
      </w:r>
      <w:r w:rsidR="00AA4B69">
        <w:rPr>
          <w:lang w:val="en-GB"/>
        </w:rPr>
        <w:t xml:space="preserve">he </w:t>
      </w:r>
      <w:r w:rsidR="003B129E" w:rsidRPr="00FD72EF">
        <w:rPr>
          <w:lang w:val="en-GB"/>
        </w:rPr>
        <w:t>keynote talks</w:t>
      </w:r>
      <w:r w:rsidR="00974316" w:rsidRPr="00FD72EF">
        <w:rPr>
          <w:lang w:val="en-GB"/>
        </w:rPr>
        <w:t>,</w:t>
      </w:r>
      <w:r w:rsidR="003B129E" w:rsidRPr="00FD72EF">
        <w:rPr>
          <w:lang w:val="en-GB"/>
        </w:rPr>
        <w:t xml:space="preserve"> </w:t>
      </w:r>
      <w:r w:rsidR="00C9763B" w:rsidRPr="00FD72EF">
        <w:rPr>
          <w:lang w:val="en-GB"/>
        </w:rPr>
        <w:t xml:space="preserve">will </w:t>
      </w:r>
      <w:r w:rsidR="00C61436" w:rsidRPr="00FD72EF">
        <w:rPr>
          <w:lang w:val="en-GB"/>
        </w:rPr>
        <w:t xml:space="preserve">include a summary of the </w:t>
      </w:r>
      <w:r w:rsidR="00FB7159" w:rsidRPr="00FD72EF">
        <w:rPr>
          <w:lang w:val="en-GB"/>
        </w:rPr>
        <w:t>current degreasing uses of TCE</w:t>
      </w:r>
      <w:r w:rsidR="008731D8">
        <w:rPr>
          <w:lang w:val="en-GB"/>
        </w:rPr>
        <w:t>;</w:t>
      </w:r>
      <w:r w:rsidR="00FB7159" w:rsidRPr="00FD72EF">
        <w:rPr>
          <w:lang w:val="en-GB"/>
        </w:rPr>
        <w:t xml:space="preserve"> the contaminants TCE removes, the substrates TCE is compatible with</w:t>
      </w:r>
      <w:r w:rsidR="008731D8">
        <w:rPr>
          <w:lang w:val="en-GB"/>
        </w:rPr>
        <w:t>;</w:t>
      </w:r>
      <w:r w:rsidR="00FB7159" w:rsidRPr="00FD72EF">
        <w:rPr>
          <w:lang w:val="en-GB"/>
        </w:rPr>
        <w:t xml:space="preserve"> the pr</w:t>
      </w:r>
      <w:r w:rsidR="00C9763B" w:rsidRPr="00FD72EF">
        <w:rPr>
          <w:lang w:val="en-GB"/>
        </w:rPr>
        <w:t xml:space="preserve">operties of TCE that make it an effective </w:t>
      </w:r>
      <w:r w:rsidR="00FD72EF" w:rsidRPr="00FD72EF">
        <w:rPr>
          <w:lang w:val="en-GB"/>
        </w:rPr>
        <w:t>degreaser</w:t>
      </w:r>
      <w:r w:rsidR="00C9763B" w:rsidRPr="00FD72EF">
        <w:rPr>
          <w:lang w:val="en-GB"/>
        </w:rPr>
        <w:t xml:space="preserve"> and preferable to alternatives</w:t>
      </w:r>
      <w:r w:rsidR="008731D8">
        <w:rPr>
          <w:lang w:val="en-GB"/>
        </w:rPr>
        <w:t>;</w:t>
      </w:r>
      <w:r w:rsidR="00C9763B" w:rsidRPr="00FD72EF">
        <w:rPr>
          <w:lang w:val="en-GB"/>
        </w:rPr>
        <w:t xml:space="preserve"> the factors that are important to the use of TCE as a degreaser</w:t>
      </w:r>
      <w:r w:rsidR="008731D8">
        <w:rPr>
          <w:lang w:val="en-GB"/>
        </w:rPr>
        <w:t>;</w:t>
      </w:r>
      <w:r w:rsidR="00C9763B" w:rsidRPr="00FD72EF">
        <w:rPr>
          <w:lang w:val="en-GB"/>
        </w:rPr>
        <w:t xml:space="preserve"> the </w:t>
      </w:r>
      <w:r w:rsidR="00FD72EF" w:rsidRPr="00FD72EF">
        <w:rPr>
          <w:lang w:val="en-GB"/>
        </w:rPr>
        <w:t>health</w:t>
      </w:r>
      <w:r w:rsidR="00C9763B" w:rsidRPr="00FD72EF">
        <w:rPr>
          <w:lang w:val="en-GB"/>
        </w:rPr>
        <w:t xml:space="preserve"> and safety factors to consider when using TCE</w:t>
      </w:r>
      <w:r w:rsidR="008731D8">
        <w:rPr>
          <w:lang w:val="en-GB"/>
        </w:rPr>
        <w:t>;</w:t>
      </w:r>
      <w:r w:rsidR="00C9763B" w:rsidRPr="00FD72EF">
        <w:rPr>
          <w:lang w:val="en-GB"/>
        </w:rPr>
        <w:t xml:space="preserve"> and the applications and </w:t>
      </w:r>
      <w:r w:rsidR="00FD72EF" w:rsidRPr="00FD72EF">
        <w:rPr>
          <w:lang w:val="en-GB"/>
        </w:rPr>
        <w:t>substrate</w:t>
      </w:r>
      <w:r w:rsidR="00EC409B">
        <w:rPr>
          <w:lang w:val="en-GB"/>
        </w:rPr>
        <w:t>s</w:t>
      </w:r>
      <w:r w:rsidR="00C9763B" w:rsidRPr="00FD72EF">
        <w:rPr>
          <w:lang w:val="en-GB"/>
        </w:rPr>
        <w:t xml:space="preserve"> that are not appropriate for the use of TCE. </w:t>
      </w:r>
    </w:p>
    <w:p w:rsidR="00FD72EF" w:rsidRPr="00FD72EF" w:rsidRDefault="00FD72EF" w:rsidP="00E939A0">
      <w:pPr>
        <w:pStyle w:val="ListParagraph"/>
        <w:rPr>
          <w:u w:val="single"/>
          <w:lang w:val="en-GB"/>
        </w:rPr>
      </w:pPr>
    </w:p>
    <w:p w:rsidR="00D5529D" w:rsidRPr="00FD72EF" w:rsidRDefault="00D5529D">
      <w:pPr>
        <w:pStyle w:val="ListParagraph"/>
        <w:numPr>
          <w:ilvl w:val="1"/>
          <w:numId w:val="1"/>
        </w:numPr>
        <w:rPr>
          <w:lang w:val="en-GB"/>
        </w:rPr>
      </w:pPr>
      <w:r w:rsidRPr="00FD72EF">
        <w:rPr>
          <w:u w:val="single"/>
          <w:lang w:val="en-GB"/>
        </w:rPr>
        <w:t>Stage setting</w:t>
      </w:r>
      <w:r w:rsidRPr="00FD72EF">
        <w:rPr>
          <w:lang w:val="en-GB"/>
        </w:rPr>
        <w:t xml:space="preserve"> – Overview of the </w:t>
      </w:r>
      <w:r w:rsidR="00B17D31">
        <w:rPr>
          <w:lang w:val="en-GB"/>
        </w:rPr>
        <w:t xml:space="preserve"> </w:t>
      </w:r>
      <w:r w:rsidRPr="00FD72EF">
        <w:rPr>
          <w:lang w:val="en-GB"/>
        </w:rPr>
        <w:t>sessions</w:t>
      </w:r>
    </w:p>
    <w:p w:rsidR="008C27EA" w:rsidRPr="00FD72EF" w:rsidRDefault="006671D6" w:rsidP="00E939A0">
      <w:pPr>
        <w:pStyle w:val="ListParagraph"/>
        <w:rPr>
          <w:lang w:val="en-GB"/>
        </w:rPr>
      </w:pPr>
      <w:r w:rsidRPr="00FD72EF">
        <w:rPr>
          <w:lang w:val="en-GB"/>
        </w:rPr>
        <w:t xml:space="preserve">The </w:t>
      </w:r>
      <w:r w:rsidR="00AA4B69">
        <w:rPr>
          <w:lang w:val="en-GB"/>
        </w:rPr>
        <w:t xml:space="preserve">sessions will focus on </w:t>
      </w:r>
      <w:r w:rsidR="00412526">
        <w:rPr>
          <w:lang w:val="en-GB"/>
        </w:rPr>
        <w:t>aerosol, cold cleaning, and vapor degreasing</w:t>
      </w:r>
      <w:r w:rsidR="00FB7159" w:rsidRPr="00FD72EF">
        <w:rPr>
          <w:lang w:val="en-GB"/>
        </w:rPr>
        <w:t xml:space="preserve">. </w:t>
      </w:r>
    </w:p>
    <w:p w:rsidR="008C27EA" w:rsidRPr="00FD72EF" w:rsidRDefault="008C27EA" w:rsidP="00E939A0">
      <w:pPr>
        <w:pStyle w:val="ListParagraph"/>
        <w:rPr>
          <w:lang w:val="en-GB"/>
        </w:rPr>
      </w:pPr>
    </w:p>
    <w:p w:rsidR="006F7459" w:rsidRPr="00FD72EF" w:rsidRDefault="001239C3" w:rsidP="00E939A0">
      <w:pPr>
        <w:pStyle w:val="ListParagraph"/>
        <w:rPr>
          <w:lang w:val="en-GB"/>
        </w:rPr>
      </w:pPr>
      <w:r w:rsidRPr="00FD72EF">
        <w:rPr>
          <w:lang w:val="en-GB"/>
        </w:rPr>
        <w:t>As noted above, t</w:t>
      </w:r>
      <w:r w:rsidR="00E77FC0" w:rsidRPr="00FD72EF">
        <w:rPr>
          <w:lang w:val="en-GB"/>
        </w:rPr>
        <w:t xml:space="preserve">hose parameters that were determined to have the widest applicability and interest will be addressed in the </w:t>
      </w:r>
      <w:r w:rsidR="007F1C46" w:rsidRPr="00FD72EF">
        <w:rPr>
          <w:lang w:val="en-GB"/>
        </w:rPr>
        <w:t xml:space="preserve">keynote </w:t>
      </w:r>
      <w:r w:rsidR="00E77FC0" w:rsidRPr="00FD72EF">
        <w:rPr>
          <w:lang w:val="en-GB"/>
        </w:rPr>
        <w:t>sessions.</w:t>
      </w:r>
      <w:r w:rsidRPr="00FD72EF">
        <w:rPr>
          <w:lang w:val="en-GB"/>
        </w:rPr>
        <w:t xml:space="preserve">  These parameters are generally needed to </w:t>
      </w:r>
      <w:r w:rsidR="00EC409B">
        <w:rPr>
          <w:lang w:val="en-GB"/>
        </w:rPr>
        <w:t xml:space="preserve">set the stage for </w:t>
      </w:r>
      <w:r w:rsidR="003B27B3">
        <w:rPr>
          <w:lang w:val="en-GB"/>
        </w:rPr>
        <w:t>more detailed discussion during</w:t>
      </w:r>
      <w:r w:rsidR="00E77FC0" w:rsidRPr="00FD72EF">
        <w:rPr>
          <w:lang w:val="en-GB"/>
        </w:rPr>
        <w:t xml:space="preserve"> the </w:t>
      </w:r>
      <w:r w:rsidR="003B27B3">
        <w:rPr>
          <w:lang w:val="en-GB"/>
        </w:rPr>
        <w:t>plenary</w:t>
      </w:r>
      <w:r w:rsidR="003B27B3" w:rsidRPr="00FD72EF">
        <w:rPr>
          <w:lang w:val="en-GB"/>
        </w:rPr>
        <w:t xml:space="preserve"> </w:t>
      </w:r>
      <w:r w:rsidR="00E77FC0" w:rsidRPr="00FD72EF">
        <w:rPr>
          <w:lang w:val="en-GB"/>
        </w:rPr>
        <w:t xml:space="preserve">sessions. The objective of each </w:t>
      </w:r>
      <w:r w:rsidR="006F7459" w:rsidRPr="00FD72EF">
        <w:rPr>
          <w:lang w:val="en-GB"/>
        </w:rPr>
        <w:t xml:space="preserve">session is to identify </w:t>
      </w:r>
      <w:r w:rsidR="005C108E">
        <w:rPr>
          <w:lang w:val="en-GB"/>
        </w:rPr>
        <w:t xml:space="preserve">safer </w:t>
      </w:r>
      <w:r w:rsidR="007F1C46" w:rsidRPr="00FD72EF">
        <w:rPr>
          <w:lang w:val="en-GB"/>
        </w:rPr>
        <w:t>alternatives to TCE</w:t>
      </w:r>
      <w:r w:rsidR="008731D8">
        <w:rPr>
          <w:lang w:val="en-GB"/>
        </w:rPr>
        <w:t>.</w:t>
      </w:r>
    </w:p>
    <w:p w:rsidR="00F166F1" w:rsidRDefault="00F166F1" w:rsidP="00E939A0">
      <w:pPr>
        <w:pStyle w:val="ListParagraph"/>
        <w:rPr>
          <w:lang w:val="en-GB"/>
        </w:rPr>
      </w:pPr>
    </w:p>
    <w:p w:rsidR="006671D6" w:rsidRPr="00FD72EF" w:rsidRDefault="00E77FC0" w:rsidP="00E939A0">
      <w:pPr>
        <w:pStyle w:val="ListParagraph"/>
        <w:rPr>
          <w:lang w:val="en-GB"/>
        </w:rPr>
      </w:pPr>
      <w:r w:rsidRPr="00FD72EF">
        <w:rPr>
          <w:lang w:val="en-GB"/>
        </w:rPr>
        <w:t>For each</w:t>
      </w:r>
      <w:r w:rsidR="00436F4D" w:rsidRPr="00FD72EF">
        <w:rPr>
          <w:lang w:val="en-GB"/>
        </w:rPr>
        <w:t xml:space="preserve"> session,</w:t>
      </w:r>
      <w:r w:rsidRPr="00FD72EF">
        <w:rPr>
          <w:lang w:val="en-GB"/>
        </w:rPr>
        <w:t xml:space="preserve"> the following</w:t>
      </w:r>
      <w:r w:rsidR="00F6237A">
        <w:rPr>
          <w:lang w:val="en-GB"/>
        </w:rPr>
        <w:t xml:space="preserve"> </w:t>
      </w:r>
      <w:r w:rsidRPr="00FD72EF">
        <w:rPr>
          <w:lang w:val="en-GB"/>
        </w:rPr>
        <w:t xml:space="preserve">basic </w:t>
      </w:r>
      <w:r w:rsidR="00436F4D" w:rsidRPr="00FD72EF">
        <w:rPr>
          <w:lang w:val="en-GB"/>
        </w:rPr>
        <w:t>q</w:t>
      </w:r>
      <w:r w:rsidRPr="00FD72EF">
        <w:rPr>
          <w:lang w:val="en-GB"/>
        </w:rPr>
        <w:t>uestions should be considered</w:t>
      </w:r>
      <w:r w:rsidR="006F7459" w:rsidRPr="00FD72EF">
        <w:rPr>
          <w:lang w:val="en-GB"/>
        </w:rPr>
        <w:t>:</w:t>
      </w:r>
    </w:p>
    <w:p w:rsidR="009B437C" w:rsidRDefault="007F1C46" w:rsidP="009B437C">
      <w:pPr>
        <w:pStyle w:val="ListParagraph"/>
        <w:numPr>
          <w:ilvl w:val="0"/>
          <w:numId w:val="34"/>
        </w:numPr>
        <w:spacing w:after="200" w:line="276" w:lineRule="auto"/>
        <w:rPr>
          <w:rFonts w:eastAsiaTheme="minorHAnsi"/>
          <w:i/>
        </w:rPr>
      </w:pPr>
      <w:r w:rsidRPr="009B437C">
        <w:rPr>
          <w:rFonts w:eastAsiaTheme="minorHAnsi"/>
          <w:i/>
        </w:rPr>
        <w:t>What properties and characteristics of TCE make it effective and desirable for a given application?</w:t>
      </w:r>
    </w:p>
    <w:p w:rsidR="009B437C" w:rsidRDefault="007F1C46" w:rsidP="009B437C">
      <w:pPr>
        <w:pStyle w:val="ListParagraph"/>
        <w:numPr>
          <w:ilvl w:val="0"/>
          <w:numId w:val="34"/>
        </w:numPr>
        <w:spacing w:after="200" w:line="276" w:lineRule="auto"/>
        <w:rPr>
          <w:rFonts w:eastAsiaTheme="minorHAnsi"/>
          <w:i/>
        </w:rPr>
      </w:pPr>
      <w:r w:rsidRPr="009B437C">
        <w:rPr>
          <w:rFonts w:eastAsiaTheme="minorHAnsi"/>
          <w:i/>
        </w:rPr>
        <w:t xml:space="preserve">What alternative chemicals can be substituted for TCE in a given use? </w:t>
      </w:r>
    </w:p>
    <w:p w:rsidR="007C66A3" w:rsidRPr="009B437C" w:rsidRDefault="007F1C46" w:rsidP="009B437C">
      <w:pPr>
        <w:pStyle w:val="ListParagraph"/>
        <w:numPr>
          <w:ilvl w:val="0"/>
          <w:numId w:val="34"/>
        </w:numPr>
        <w:spacing w:after="200" w:line="276" w:lineRule="auto"/>
        <w:rPr>
          <w:lang w:val="en-GB"/>
        </w:rPr>
      </w:pPr>
      <w:r w:rsidRPr="009B437C">
        <w:rPr>
          <w:rFonts w:eastAsiaTheme="minorHAnsi"/>
          <w:i/>
        </w:rPr>
        <w:t>Are there critical uses where no viable chemical alternatives exist? In cases with no chemical alternatives, what other measures can be employed to reduce exposure to TCE</w:t>
      </w:r>
      <w:r w:rsidR="008F4736">
        <w:rPr>
          <w:rFonts w:eastAsiaTheme="minorHAnsi"/>
          <w:i/>
        </w:rPr>
        <w:t xml:space="preserve"> thereby mitigating risks</w:t>
      </w:r>
      <w:r w:rsidRPr="009B437C">
        <w:rPr>
          <w:rFonts w:eastAsiaTheme="minorHAnsi"/>
          <w:i/>
        </w:rPr>
        <w:t>?</w:t>
      </w:r>
    </w:p>
    <w:p w:rsidR="009B437C" w:rsidRDefault="009B437C" w:rsidP="009B437C">
      <w:pPr>
        <w:pStyle w:val="ListParagraph"/>
        <w:spacing w:after="200" w:line="276" w:lineRule="auto"/>
        <w:ind w:left="1800"/>
        <w:rPr>
          <w:lang w:val="en-GB"/>
        </w:rPr>
      </w:pPr>
    </w:p>
    <w:p w:rsidR="003A3122" w:rsidRDefault="003A3122" w:rsidP="009B437C">
      <w:pPr>
        <w:pStyle w:val="ListParagraph"/>
        <w:spacing w:after="200" w:line="276" w:lineRule="auto"/>
        <w:ind w:left="1800"/>
        <w:rPr>
          <w:lang w:val="en-GB"/>
        </w:rPr>
      </w:pPr>
    </w:p>
    <w:p w:rsidR="003A3122" w:rsidRDefault="003A3122" w:rsidP="009B437C">
      <w:pPr>
        <w:pStyle w:val="ListParagraph"/>
        <w:spacing w:after="200" w:line="276" w:lineRule="auto"/>
        <w:ind w:left="1800"/>
        <w:rPr>
          <w:lang w:val="en-GB"/>
        </w:rPr>
      </w:pPr>
    </w:p>
    <w:p w:rsidR="003A3122" w:rsidRPr="009B437C" w:rsidRDefault="003A3122" w:rsidP="009B437C">
      <w:pPr>
        <w:pStyle w:val="ListParagraph"/>
        <w:spacing w:after="200" w:line="276" w:lineRule="auto"/>
        <w:ind w:left="1800"/>
        <w:rPr>
          <w:lang w:val="en-GB"/>
        </w:rPr>
      </w:pPr>
    </w:p>
    <w:p w:rsidR="006C4EDD" w:rsidRPr="00FD72EF" w:rsidRDefault="00867FD9" w:rsidP="00E939A0">
      <w:pPr>
        <w:pStyle w:val="ListParagraph"/>
        <w:numPr>
          <w:ilvl w:val="0"/>
          <w:numId w:val="22"/>
        </w:numPr>
        <w:rPr>
          <w:u w:val="single"/>
          <w:lang w:val="en-GB"/>
        </w:rPr>
      </w:pPr>
      <w:r>
        <w:rPr>
          <w:u w:val="single"/>
          <w:lang w:val="en-GB"/>
        </w:rPr>
        <w:lastRenderedPageBreak/>
        <w:t>S</w:t>
      </w:r>
      <w:r w:rsidR="006C4EDD" w:rsidRPr="00FD72EF">
        <w:rPr>
          <w:u w:val="single"/>
          <w:lang w:val="en-GB"/>
        </w:rPr>
        <w:t xml:space="preserve">ession on </w:t>
      </w:r>
      <w:r w:rsidR="00C9763B" w:rsidRPr="00FD72EF">
        <w:rPr>
          <w:u w:val="single"/>
          <w:lang w:val="en-GB"/>
        </w:rPr>
        <w:t>Aerosol</w:t>
      </w:r>
      <w:r w:rsidR="00B17D31">
        <w:rPr>
          <w:u w:val="single"/>
          <w:lang w:val="en-GB"/>
        </w:rPr>
        <w:t xml:space="preserve"> and Cold Cleaning </w:t>
      </w:r>
    </w:p>
    <w:p w:rsidR="001D53D3" w:rsidRPr="009B437C" w:rsidRDefault="001D53D3" w:rsidP="009B437C">
      <w:pPr>
        <w:pStyle w:val="ListParagraph"/>
        <w:ind w:left="1080"/>
        <w:rPr>
          <w:lang w:val="en-GB"/>
        </w:rPr>
      </w:pPr>
      <w:r w:rsidRPr="00FD72EF">
        <w:rPr>
          <w:lang w:val="en-GB"/>
        </w:rPr>
        <w:t xml:space="preserve">This </w:t>
      </w:r>
      <w:r w:rsidR="00226374">
        <w:rPr>
          <w:lang w:val="en-GB"/>
        </w:rPr>
        <w:t>session</w:t>
      </w:r>
      <w:r w:rsidRPr="00FD72EF">
        <w:rPr>
          <w:lang w:val="en-GB"/>
        </w:rPr>
        <w:t xml:space="preserve"> will address issues related to the use of TCE </w:t>
      </w:r>
      <w:r w:rsidR="003B27B3">
        <w:rPr>
          <w:lang w:val="en-GB"/>
        </w:rPr>
        <w:t xml:space="preserve">both </w:t>
      </w:r>
      <w:r w:rsidRPr="00FD72EF">
        <w:rPr>
          <w:lang w:val="en-GB"/>
        </w:rPr>
        <w:t xml:space="preserve">in an </w:t>
      </w:r>
      <w:r w:rsidRPr="009B437C">
        <w:rPr>
          <w:lang w:val="en-GB"/>
        </w:rPr>
        <w:t xml:space="preserve">aerosol form </w:t>
      </w:r>
      <w:r w:rsidR="003B27B3">
        <w:rPr>
          <w:lang w:val="en-GB"/>
        </w:rPr>
        <w:t xml:space="preserve">and as a bulk liquid </w:t>
      </w:r>
      <w:r w:rsidRPr="009B437C">
        <w:rPr>
          <w:lang w:val="en-GB"/>
        </w:rPr>
        <w:t xml:space="preserve">in small commercial and consumer settings.  </w:t>
      </w:r>
    </w:p>
    <w:p w:rsidR="009B437C" w:rsidRPr="009B437C" w:rsidRDefault="009B437C" w:rsidP="009B437C">
      <w:pPr>
        <w:pStyle w:val="ListParagraph"/>
        <w:ind w:left="1080"/>
      </w:pPr>
    </w:p>
    <w:p w:rsidR="006C4EDD" w:rsidRPr="00C85DC4" w:rsidRDefault="009B437C" w:rsidP="00E939A0">
      <w:pPr>
        <w:pStyle w:val="ListParagraph"/>
        <w:numPr>
          <w:ilvl w:val="1"/>
          <w:numId w:val="28"/>
        </w:numPr>
        <w:rPr>
          <w:u w:val="single"/>
          <w:lang w:val="en-GB"/>
        </w:rPr>
      </w:pPr>
      <w:r w:rsidRPr="0080378A">
        <w:rPr>
          <w:u w:val="single"/>
          <w:lang w:val="en-GB"/>
        </w:rPr>
        <w:t>Background</w:t>
      </w:r>
      <w:r w:rsidRPr="009B437C">
        <w:rPr>
          <w:lang w:val="en-GB"/>
        </w:rPr>
        <w:t>: Background</w:t>
      </w:r>
      <w:r w:rsidRPr="009B437C">
        <w:rPr>
          <w:rFonts w:eastAsiaTheme="minorHAnsi"/>
        </w:rPr>
        <w:t xml:space="preserve"> information on the criteria that potential alternatives will need to satisfy as replacements for TCE, lessons learned from </w:t>
      </w:r>
      <w:r w:rsidR="003B27B3">
        <w:rPr>
          <w:rFonts w:eastAsiaTheme="minorHAnsi"/>
        </w:rPr>
        <w:t>previous substitutions</w:t>
      </w:r>
      <w:r w:rsidRPr="009B437C">
        <w:rPr>
          <w:rFonts w:eastAsiaTheme="minorHAnsi"/>
        </w:rPr>
        <w:t xml:space="preserve">, possible future substitutions, and </w:t>
      </w:r>
      <w:r w:rsidR="003B27B3">
        <w:rPr>
          <w:rFonts w:eastAsiaTheme="minorHAnsi"/>
        </w:rPr>
        <w:t>specific applications with no</w:t>
      </w:r>
      <w:r w:rsidRPr="009B437C">
        <w:rPr>
          <w:rFonts w:eastAsiaTheme="minorHAnsi"/>
        </w:rPr>
        <w:t xml:space="preserve"> viable </w:t>
      </w:r>
      <w:r w:rsidR="003B27B3">
        <w:rPr>
          <w:rFonts w:eastAsiaTheme="minorHAnsi"/>
        </w:rPr>
        <w:t xml:space="preserve">chemical </w:t>
      </w:r>
      <w:r w:rsidRPr="009B437C">
        <w:rPr>
          <w:rFonts w:eastAsiaTheme="minorHAnsi"/>
        </w:rPr>
        <w:t>alternatives</w:t>
      </w:r>
      <w:r w:rsidR="005C108E">
        <w:rPr>
          <w:rFonts w:eastAsiaTheme="minorHAnsi"/>
        </w:rPr>
        <w:t xml:space="preserve"> where green engineering options could help address the risks.</w:t>
      </w:r>
      <w:r w:rsidR="00F6237A">
        <w:rPr>
          <w:rFonts w:eastAsiaTheme="minorHAnsi"/>
        </w:rPr>
        <w:t xml:space="preserve"> </w:t>
      </w:r>
    </w:p>
    <w:p w:rsidR="009B437C" w:rsidRPr="00FD72EF" w:rsidRDefault="009B437C" w:rsidP="009B437C">
      <w:pPr>
        <w:pStyle w:val="ListParagraph"/>
        <w:ind w:left="1080"/>
        <w:rPr>
          <w:color w:val="548DD4" w:themeColor="text2" w:themeTint="99"/>
          <w:u w:val="single"/>
          <w:lang w:val="en-GB"/>
        </w:rPr>
      </w:pPr>
    </w:p>
    <w:p w:rsidR="00E750B1" w:rsidRPr="00FD72EF" w:rsidRDefault="006C4EDD" w:rsidP="00E939A0">
      <w:pPr>
        <w:pStyle w:val="ListParagraph"/>
        <w:numPr>
          <w:ilvl w:val="1"/>
          <w:numId w:val="28"/>
        </w:numPr>
        <w:rPr>
          <w:u w:val="single"/>
          <w:lang w:val="en-GB"/>
        </w:rPr>
      </w:pPr>
      <w:r w:rsidRPr="00FD72EF">
        <w:rPr>
          <w:lang w:val="en-GB"/>
        </w:rPr>
        <w:t xml:space="preserve">Specific Considerations: </w:t>
      </w:r>
      <w:r w:rsidR="00FD72EF" w:rsidRPr="00FD72EF">
        <w:rPr>
          <w:lang w:val="en-GB"/>
        </w:rPr>
        <w:t>Building</w:t>
      </w:r>
      <w:r w:rsidR="001D53D3" w:rsidRPr="00FD72EF">
        <w:rPr>
          <w:lang w:val="en-GB"/>
        </w:rPr>
        <w:t xml:space="preserve"> on EPA’s prior discussions with stakeholders, the </w:t>
      </w:r>
      <w:r w:rsidR="003B27B3">
        <w:rPr>
          <w:lang w:val="en-GB"/>
        </w:rPr>
        <w:t>discussion</w:t>
      </w:r>
      <w:r w:rsidR="001D53D3" w:rsidRPr="00FD72EF">
        <w:rPr>
          <w:lang w:val="en-GB"/>
        </w:rPr>
        <w:t xml:space="preserve"> should identify TCE alternatives in automotive and/or electronic applications, </w:t>
      </w:r>
      <w:r w:rsidR="003B27B3">
        <w:rPr>
          <w:lang w:val="en-GB"/>
        </w:rPr>
        <w:t xml:space="preserve">as well as address </w:t>
      </w:r>
      <w:r w:rsidR="001D53D3" w:rsidRPr="00FD72EF">
        <w:rPr>
          <w:lang w:val="en-GB"/>
        </w:rPr>
        <w:t xml:space="preserve">flammability concerns and state regulations on consumer products. </w:t>
      </w:r>
    </w:p>
    <w:p w:rsidR="00CB5BD3" w:rsidRPr="00FD72EF" w:rsidRDefault="00CB5BD3" w:rsidP="00E939A0">
      <w:pPr>
        <w:ind w:left="720"/>
        <w:rPr>
          <w:lang w:val="en-GB"/>
        </w:rPr>
      </w:pPr>
    </w:p>
    <w:p w:rsidR="00CB5BD3" w:rsidRPr="00FD72EF" w:rsidRDefault="006C4EDD" w:rsidP="00E939A0">
      <w:pPr>
        <w:pStyle w:val="ListParagraph"/>
        <w:numPr>
          <w:ilvl w:val="1"/>
          <w:numId w:val="28"/>
        </w:numPr>
        <w:rPr>
          <w:lang w:val="en-GB"/>
        </w:rPr>
      </w:pPr>
      <w:r w:rsidRPr="00FD72EF">
        <w:rPr>
          <w:lang w:val="en-GB"/>
        </w:rPr>
        <w:t xml:space="preserve">Additional questions to </w:t>
      </w:r>
      <w:r w:rsidR="003B27B3">
        <w:rPr>
          <w:lang w:val="en-GB"/>
        </w:rPr>
        <w:t>guide discussion of case studies during</w:t>
      </w:r>
      <w:r w:rsidRPr="00FD72EF">
        <w:rPr>
          <w:lang w:val="en-GB"/>
        </w:rPr>
        <w:t xml:space="preserve"> the </w:t>
      </w:r>
      <w:r w:rsidR="00CB5BD3" w:rsidRPr="00FD72EF">
        <w:rPr>
          <w:lang w:val="en-GB"/>
        </w:rPr>
        <w:t>session.</w:t>
      </w:r>
    </w:p>
    <w:p w:rsidR="007F1C46" w:rsidRPr="00FD72EF" w:rsidRDefault="007F1C46" w:rsidP="00FD72EF">
      <w:pPr>
        <w:pStyle w:val="ListParagraph"/>
        <w:numPr>
          <w:ilvl w:val="0"/>
          <w:numId w:val="42"/>
        </w:numPr>
        <w:spacing w:after="200" w:line="276" w:lineRule="auto"/>
        <w:rPr>
          <w:rFonts w:eastAsiaTheme="minorHAnsi"/>
          <w:i/>
        </w:rPr>
      </w:pPr>
      <w:r w:rsidRPr="00FD72EF">
        <w:rPr>
          <w:rFonts w:eastAsiaTheme="minorHAnsi"/>
          <w:i/>
        </w:rPr>
        <w:t>Where was TCE used and why?</w:t>
      </w:r>
    </w:p>
    <w:p w:rsidR="007F1C46" w:rsidRPr="00FD72EF" w:rsidRDefault="007F1C46" w:rsidP="00FD72EF">
      <w:pPr>
        <w:pStyle w:val="ListParagraph"/>
        <w:numPr>
          <w:ilvl w:val="0"/>
          <w:numId w:val="42"/>
        </w:numPr>
        <w:spacing w:after="200" w:line="276" w:lineRule="auto"/>
        <w:rPr>
          <w:rFonts w:eastAsiaTheme="minorHAnsi"/>
          <w:i/>
        </w:rPr>
      </w:pPr>
      <w:r w:rsidRPr="00FD72EF">
        <w:rPr>
          <w:rFonts w:eastAsiaTheme="minorHAnsi"/>
          <w:i/>
        </w:rPr>
        <w:t>What was the impetus for seeking an alternative for TCE?</w:t>
      </w:r>
    </w:p>
    <w:p w:rsidR="007F1C46" w:rsidRPr="00FD72EF" w:rsidRDefault="007F1C46" w:rsidP="00FD72EF">
      <w:pPr>
        <w:pStyle w:val="ListParagraph"/>
        <w:numPr>
          <w:ilvl w:val="0"/>
          <w:numId w:val="42"/>
        </w:numPr>
        <w:spacing w:after="200" w:line="276" w:lineRule="auto"/>
        <w:rPr>
          <w:rFonts w:eastAsiaTheme="minorHAnsi"/>
          <w:i/>
        </w:rPr>
      </w:pPr>
      <w:r w:rsidRPr="00FD72EF">
        <w:rPr>
          <w:rFonts w:eastAsiaTheme="minorHAnsi"/>
          <w:i/>
        </w:rPr>
        <w:t>What considerations were taken into account to identify potential alternatives?</w:t>
      </w:r>
    </w:p>
    <w:p w:rsidR="007F1C46" w:rsidRPr="00FD72EF" w:rsidRDefault="007F1C46" w:rsidP="00FD72EF">
      <w:pPr>
        <w:pStyle w:val="ListParagraph"/>
        <w:numPr>
          <w:ilvl w:val="0"/>
          <w:numId w:val="42"/>
        </w:numPr>
        <w:spacing w:after="200" w:line="276" w:lineRule="auto"/>
        <w:rPr>
          <w:rFonts w:eastAsiaTheme="minorHAnsi"/>
          <w:i/>
        </w:rPr>
      </w:pPr>
      <w:r w:rsidRPr="00FD72EF">
        <w:rPr>
          <w:rFonts w:eastAsiaTheme="minorHAnsi"/>
          <w:i/>
        </w:rPr>
        <w:t>How was the list of potential alternatives narrowed down?</w:t>
      </w:r>
    </w:p>
    <w:p w:rsidR="007F1C46" w:rsidRPr="00FD72EF" w:rsidRDefault="007F1C46" w:rsidP="00FD72EF">
      <w:pPr>
        <w:pStyle w:val="ListParagraph"/>
        <w:numPr>
          <w:ilvl w:val="0"/>
          <w:numId w:val="42"/>
        </w:numPr>
        <w:spacing w:after="200" w:line="276" w:lineRule="auto"/>
        <w:rPr>
          <w:rFonts w:eastAsiaTheme="minorHAnsi"/>
          <w:i/>
        </w:rPr>
      </w:pPr>
      <w:r w:rsidRPr="00FD72EF">
        <w:rPr>
          <w:rFonts w:eastAsiaTheme="minorHAnsi"/>
          <w:i/>
        </w:rPr>
        <w:t>How were alternatives evaluated for efficacy?</w:t>
      </w:r>
    </w:p>
    <w:p w:rsidR="007F1C46" w:rsidRPr="00FD72EF" w:rsidRDefault="007F1C46" w:rsidP="00FD72EF">
      <w:pPr>
        <w:pStyle w:val="ListParagraph"/>
        <w:numPr>
          <w:ilvl w:val="0"/>
          <w:numId w:val="42"/>
        </w:numPr>
        <w:spacing w:after="200" w:line="276" w:lineRule="auto"/>
        <w:rPr>
          <w:rFonts w:eastAsiaTheme="minorHAnsi"/>
          <w:i/>
        </w:rPr>
      </w:pPr>
      <w:r w:rsidRPr="00FD72EF">
        <w:rPr>
          <w:rFonts w:eastAsiaTheme="minorHAnsi"/>
          <w:i/>
        </w:rPr>
        <w:t>How were environmental/health considerations taken into account in identifying alternatives?</w:t>
      </w:r>
    </w:p>
    <w:p w:rsidR="007F1C46" w:rsidRDefault="007F1C46" w:rsidP="00FD72EF">
      <w:pPr>
        <w:pStyle w:val="ListParagraph"/>
        <w:numPr>
          <w:ilvl w:val="0"/>
          <w:numId w:val="42"/>
        </w:numPr>
        <w:spacing w:after="200" w:line="276" w:lineRule="auto"/>
        <w:rPr>
          <w:rFonts w:eastAsiaTheme="minorHAnsi"/>
          <w:i/>
        </w:rPr>
      </w:pPr>
      <w:r w:rsidRPr="00FD72EF">
        <w:rPr>
          <w:rFonts w:eastAsiaTheme="minorHAnsi"/>
          <w:i/>
        </w:rPr>
        <w:t>How was a final alternative selected for use?</w:t>
      </w:r>
    </w:p>
    <w:p w:rsidR="00C54847" w:rsidRPr="001D1563" w:rsidRDefault="00C54847" w:rsidP="00FD72EF">
      <w:pPr>
        <w:pStyle w:val="ListParagraph"/>
        <w:numPr>
          <w:ilvl w:val="0"/>
          <w:numId w:val="42"/>
        </w:numPr>
        <w:spacing w:after="200" w:line="276" w:lineRule="auto"/>
        <w:rPr>
          <w:rFonts w:eastAsiaTheme="minorHAnsi"/>
          <w:i/>
        </w:rPr>
      </w:pPr>
      <w:r w:rsidRPr="001D1563">
        <w:rPr>
          <w:i/>
        </w:rPr>
        <w:t xml:space="preserve">Were any of the alternatives </w:t>
      </w:r>
      <w:r w:rsidR="003B27B3">
        <w:rPr>
          <w:i/>
        </w:rPr>
        <w:t>found to be unsuitable</w:t>
      </w:r>
      <w:r w:rsidR="003B27B3" w:rsidRPr="001D1563">
        <w:rPr>
          <w:i/>
        </w:rPr>
        <w:t xml:space="preserve"> </w:t>
      </w:r>
      <w:r w:rsidRPr="001D1563">
        <w:rPr>
          <w:i/>
        </w:rPr>
        <w:t xml:space="preserve">and why? </w:t>
      </w:r>
    </w:p>
    <w:p w:rsidR="00CB5BD3" w:rsidRPr="001D1563" w:rsidRDefault="007F1C46" w:rsidP="009B437C">
      <w:pPr>
        <w:pStyle w:val="ListParagraph"/>
        <w:numPr>
          <w:ilvl w:val="0"/>
          <w:numId w:val="42"/>
        </w:numPr>
        <w:spacing w:after="200" w:line="276" w:lineRule="auto"/>
        <w:rPr>
          <w:lang w:val="en-GB"/>
        </w:rPr>
      </w:pPr>
      <w:r w:rsidRPr="008F4736">
        <w:rPr>
          <w:rFonts w:eastAsiaTheme="minorHAnsi"/>
          <w:i/>
        </w:rPr>
        <w:t>What lessons were learned in reducing exposure to TCE that could help inform future decision making?</w:t>
      </w:r>
    </w:p>
    <w:p w:rsidR="007F1C46" w:rsidRPr="00FD72EF" w:rsidRDefault="00867FD9" w:rsidP="007F1C46">
      <w:pPr>
        <w:numPr>
          <w:ilvl w:val="0"/>
          <w:numId w:val="22"/>
        </w:numPr>
        <w:contextualSpacing/>
        <w:rPr>
          <w:u w:val="single"/>
          <w:lang w:val="en-GB"/>
        </w:rPr>
      </w:pPr>
      <w:r>
        <w:rPr>
          <w:u w:val="single"/>
          <w:lang w:val="en-GB"/>
        </w:rPr>
        <w:t>S</w:t>
      </w:r>
      <w:r w:rsidR="007F1C46" w:rsidRPr="00FD72EF">
        <w:rPr>
          <w:u w:val="single"/>
          <w:lang w:val="en-GB"/>
        </w:rPr>
        <w:t xml:space="preserve">ession on </w:t>
      </w:r>
      <w:r w:rsidR="008731D8">
        <w:rPr>
          <w:u w:val="single"/>
          <w:lang w:val="en-GB"/>
        </w:rPr>
        <w:t>Vapor</w:t>
      </w:r>
      <w:r w:rsidR="001D53D3" w:rsidRPr="00FD72EF">
        <w:rPr>
          <w:u w:val="single"/>
          <w:lang w:val="en-GB"/>
        </w:rPr>
        <w:t xml:space="preserve"> Degreasing </w:t>
      </w:r>
    </w:p>
    <w:p w:rsidR="007F1C46" w:rsidRPr="009B437C" w:rsidRDefault="00417661" w:rsidP="009B437C">
      <w:pPr>
        <w:spacing w:after="200" w:line="276" w:lineRule="auto"/>
        <w:ind w:left="1080"/>
        <w:rPr>
          <w:lang w:val="en-GB"/>
        </w:rPr>
      </w:pPr>
      <w:r>
        <w:rPr>
          <w:rFonts w:eastAsiaTheme="minorHAnsi"/>
        </w:rPr>
        <w:t xml:space="preserve">This </w:t>
      </w:r>
      <w:r w:rsidR="007F1C46" w:rsidRPr="009B437C">
        <w:rPr>
          <w:rFonts w:eastAsiaTheme="minorHAnsi"/>
        </w:rPr>
        <w:t xml:space="preserve">session will address issues related to the use of TCE in </w:t>
      </w:r>
      <w:r w:rsidR="001D53D3" w:rsidRPr="009B437C">
        <w:rPr>
          <w:rFonts w:eastAsiaTheme="minorHAnsi"/>
        </w:rPr>
        <w:t xml:space="preserve">vapor degreasing </w:t>
      </w:r>
      <w:r w:rsidR="007F1C46" w:rsidRPr="009B437C">
        <w:rPr>
          <w:rFonts w:eastAsiaTheme="minorHAnsi"/>
        </w:rPr>
        <w:t>in small commercial settings.</w:t>
      </w:r>
    </w:p>
    <w:p w:rsidR="007F1C46" w:rsidRPr="009B437C" w:rsidRDefault="007F1C46" w:rsidP="009B437C">
      <w:pPr>
        <w:numPr>
          <w:ilvl w:val="0"/>
          <w:numId w:val="45"/>
        </w:numPr>
        <w:contextualSpacing/>
        <w:rPr>
          <w:color w:val="548DD4" w:themeColor="text2" w:themeTint="99"/>
          <w:u w:val="single"/>
          <w:lang w:val="en-GB"/>
        </w:rPr>
      </w:pPr>
      <w:r w:rsidRPr="0080378A">
        <w:rPr>
          <w:u w:val="single"/>
          <w:lang w:val="en-GB"/>
        </w:rPr>
        <w:t>Background</w:t>
      </w:r>
      <w:r w:rsidRPr="00FD72EF">
        <w:rPr>
          <w:lang w:val="en-GB"/>
        </w:rPr>
        <w:t xml:space="preserve">: </w:t>
      </w:r>
      <w:r w:rsidR="001D53D3" w:rsidRPr="00FD72EF">
        <w:rPr>
          <w:lang w:val="en-GB"/>
        </w:rPr>
        <w:t xml:space="preserve">Background </w:t>
      </w:r>
      <w:r w:rsidR="001D53D3" w:rsidRPr="00FD72EF">
        <w:rPr>
          <w:rFonts w:eastAsiaTheme="minorHAnsi"/>
        </w:rPr>
        <w:t xml:space="preserve">information on the criteria that potential alternatives will need to satisfy as replacements for TCE, lessons learned from </w:t>
      </w:r>
      <w:r w:rsidR="003B27B3">
        <w:rPr>
          <w:rFonts w:eastAsiaTheme="minorHAnsi"/>
        </w:rPr>
        <w:t>previous substitutions</w:t>
      </w:r>
      <w:r w:rsidR="001D53D3" w:rsidRPr="00FD72EF">
        <w:rPr>
          <w:rFonts w:eastAsiaTheme="minorHAnsi"/>
        </w:rPr>
        <w:t xml:space="preserve">, possible future substitutions, and </w:t>
      </w:r>
      <w:r w:rsidR="003B27B3">
        <w:rPr>
          <w:rFonts w:eastAsiaTheme="minorHAnsi"/>
        </w:rPr>
        <w:t>specific applications with</w:t>
      </w:r>
      <w:r w:rsidR="001D53D3" w:rsidRPr="00FD72EF">
        <w:rPr>
          <w:rFonts w:eastAsiaTheme="minorHAnsi"/>
        </w:rPr>
        <w:t xml:space="preserve"> no viable </w:t>
      </w:r>
      <w:r w:rsidR="003B27B3">
        <w:rPr>
          <w:rFonts w:eastAsiaTheme="minorHAnsi"/>
        </w:rPr>
        <w:t xml:space="preserve">chemical </w:t>
      </w:r>
      <w:r w:rsidR="001D53D3" w:rsidRPr="00FD72EF">
        <w:rPr>
          <w:rFonts w:eastAsiaTheme="minorHAnsi"/>
        </w:rPr>
        <w:t>alternatives</w:t>
      </w:r>
      <w:r w:rsidR="003B27B3">
        <w:rPr>
          <w:rFonts w:eastAsiaTheme="minorHAnsi"/>
        </w:rPr>
        <w:t xml:space="preserve"> where green engineering options could help address the risks</w:t>
      </w:r>
      <w:r w:rsidR="001D53D3" w:rsidRPr="00FD72EF">
        <w:rPr>
          <w:rFonts w:eastAsiaTheme="minorHAnsi"/>
        </w:rPr>
        <w:t xml:space="preserve">. </w:t>
      </w:r>
    </w:p>
    <w:p w:rsidR="009B437C" w:rsidRPr="00FD72EF" w:rsidRDefault="009B437C" w:rsidP="009B437C">
      <w:pPr>
        <w:ind w:left="1080"/>
        <w:contextualSpacing/>
        <w:rPr>
          <w:color w:val="548DD4" w:themeColor="text2" w:themeTint="99"/>
          <w:u w:val="single"/>
          <w:lang w:val="en-GB"/>
        </w:rPr>
      </w:pPr>
    </w:p>
    <w:p w:rsidR="007F1C46" w:rsidRDefault="007F1C46" w:rsidP="009B437C">
      <w:pPr>
        <w:numPr>
          <w:ilvl w:val="0"/>
          <w:numId w:val="45"/>
        </w:numPr>
        <w:contextualSpacing/>
        <w:rPr>
          <w:lang w:val="en-GB"/>
        </w:rPr>
      </w:pPr>
      <w:r w:rsidRPr="00FD72EF">
        <w:rPr>
          <w:lang w:val="en-GB"/>
        </w:rPr>
        <w:t xml:space="preserve">Specific Considerations: </w:t>
      </w:r>
      <w:r w:rsidR="00FD72EF" w:rsidRPr="00FD72EF">
        <w:rPr>
          <w:lang w:val="en-GB"/>
        </w:rPr>
        <w:t xml:space="preserve">Building on EPA’s prior discussions with stakeholders, the </w:t>
      </w:r>
      <w:r w:rsidR="003B27B3">
        <w:rPr>
          <w:lang w:val="en-GB"/>
        </w:rPr>
        <w:t>discussion</w:t>
      </w:r>
      <w:r w:rsidR="00FD72EF" w:rsidRPr="00FD72EF">
        <w:rPr>
          <w:lang w:val="en-GB"/>
        </w:rPr>
        <w:t xml:space="preserve"> should identify alternatives in </w:t>
      </w:r>
      <w:r w:rsidR="008731D8">
        <w:rPr>
          <w:lang w:val="en-GB"/>
        </w:rPr>
        <w:t>vapor</w:t>
      </w:r>
      <w:r w:rsidR="00FD72EF" w:rsidRPr="00FD72EF">
        <w:rPr>
          <w:lang w:val="en-GB"/>
        </w:rPr>
        <w:t xml:space="preserve"> degreasing applications, </w:t>
      </w:r>
      <w:r w:rsidR="00CE2B1A">
        <w:rPr>
          <w:lang w:val="en-GB"/>
        </w:rPr>
        <w:t xml:space="preserve">as well as address </w:t>
      </w:r>
      <w:r w:rsidR="00FD72EF" w:rsidRPr="00FD72EF">
        <w:rPr>
          <w:lang w:val="en-GB"/>
        </w:rPr>
        <w:t xml:space="preserve">engineering controls to </w:t>
      </w:r>
      <w:r w:rsidR="00FD72EF" w:rsidRPr="00FD72EF">
        <w:rPr>
          <w:lang w:val="en-GB"/>
        </w:rPr>
        <w:lastRenderedPageBreak/>
        <w:t>reduce exposure when there are no viable alternatives and NESHAP regulations.</w:t>
      </w:r>
    </w:p>
    <w:p w:rsidR="009B437C" w:rsidRPr="00FD72EF" w:rsidRDefault="009B437C" w:rsidP="009B437C">
      <w:pPr>
        <w:ind w:left="1080"/>
        <w:contextualSpacing/>
        <w:rPr>
          <w:lang w:val="en-GB"/>
        </w:rPr>
      </w:pPr>
    </w:p>
    <w:p w:rsidR="007F1C46" w:rsidRPr="00FD72EF" w:rsidRDefault="007F1C46" w:rsidP="009B437C">
      <w:pPr>
        <w:numPr>
          <w:ilvl w:val="0"/>
          <w:numId w:val="45"/>
        </w:numPr>
        <w:contextualSpacing/>
        <w:rPr>
          <w:lang w:val="en-GB"/>
        </w:rPr>
      </w:pPr>
      <w:r w:rsidRPr="00FD72EF">
        <w:rPr>
          <w:lang w:val="en-GB"/>
        </w:rPr>
        <w:t xml:space="preserve">Additional questions to </w:t>
      </w:r>
      <w:r w:rsidR="00CE2B1A">
        <w:rPr>
          <w:lang w:val="en-GB"/>
        </w:rPr>
        <w:t>guide discussion of case studies</w:t>
      </w:r>
      <w:r w:rsidRPr="00FD72EF">
        <w:rPr>
          <w:lang w:val="en-GB"/>
        </w:rPr>
        <w:t xml:space="preserve"> during the </w:t>
      </w:r>
      <w:r w:rsidR="00CE2B1A">
        <w:rPr>
          <w:lang w:val="en-GB"/>
        </w:rPr>
        <w:t>plenary</w:t>
      </w:r>
      <w:r w:rsidR="00CE2B1A" w:rsidRPr="00FD72EF">
        <w:rPr>
          <w:lang w:val="en-GB"/>
        </w:rPr>
        <w:t xml:space="preserve"> </w:t>
      </w:r>
      <w:r w:rsidRPr="00FD72EF">
        <w:rPr>
          <w:lang w:val="en-GB"/>
        </w:rPr>
        <w:t>session.</w:t>
      </w:r>
    </w:p>
    <w:p w:rsidR="007F1C46" w:rsidRPr="00FD72EF" w:rsidRDefault="007F1C46" w:rsidP="00FD72EF">
      <w:pPr>
        <w:pStyle w:val="ListParagraph"/>
        <w:numPr>
          <w:ilvl w:val="0"/>
          <w:numId w:val="43"/>
        </w:numPr>
        <w:spacing w:after="200" w:line="276" w:lineRule="auto"/>
        <w:rPr>
          <w:rFonts w:eastAsiaTheme="minorHAnsi"/>
          <w:i/>
        </w:rPr>
      </w:pPr>
      <w:r w:rsidRPr="00FD72EF">
        <w:rPr>
          <w:rFonts w:eastAsiaTheme="minorHAnsi"/>
          <w:i/>
        </w:rPr>
        <w:t>Where was TCE used and why?</w:t>
      </w:r>
    </w:p>
    <w:p w:rsidR="007F1C46" w:rsidRPr="00FD72EF" w:rsidRDefault="007F1C46" w:rsidP="00FD72EF">
      <w:pPr>
        <w:pStyle w:val="ListParagraph"/>
        <w:numPr>
          <w:ilvl w:val="0"/>
          <w:numId w:val="43"/>
        </w:numPr>
        <w:spacing w:after="200" w:line="276" w:lineRule="auto"/>
        <w:rPr>
          <w:rFonts w:eastAsiaTheme="minorHAnsi"/>
          <w:i/>
        </w:rPr>
      </w:pPr>
      <w:r w:rsidRPr="00FD72EF">
        <w:rPr>
          <w:rFonts w:eastAsiaTheme="minorHAnsi"/>
          <w:i/>
        </w:rPr>
        <w:t>What was the impetus for seeking an alternative for TCE?</w:t>
      </w:r>
    </w:p>
    <w:p w:rsidR="007F1C46" w:rsidRPr="00FD72EF" w:rsidRDefault="007F1C46" w:rsidP="00FD72EF">
      <w:pPr>
        <w:pStyle w:val="ListParagraph"/>
        <w:numPr>
          <w:ilvl w:val="0"/>
          <w:numId w:val="43"/>
        </w:numPr>
        <w:spacing w:after="200" w:line="276" w:lineRule="auto"/>
        <w:rPr>
          <w:rFonts w:eastAsiaTheme="minorHAnsi"/>
          <w:i/>
        </w:rPr>
      </w:pPr>
      <w:r w:rsidRPr="00FD72EF">
        <w:rPr>
          <w:rFonts w:eastAsiaTheme="minorHAnsi"/>
          <w:i/>
        </w:rPr>
        <w:t>What considerations were taken into account to identify potential alternatives?</w:t>
      </w:r>
    </w:p>
    <w:p w:rsidR="007F1C46" w:rsidRPr="00FD72EF" w:rsidRDefault="007F1C46" w:rsidP="00FD72EF">
      <w:pPr>
        <w:pStyle w:val="ListParagraph"/>
        <w:numPr>
          <w:ilvl w:val="0"/>
          <w:numId w:val="43"/>
        </w:numPr>
        <w:spacing w:after="200" w:line="276" w:lineRule="auto"/>
        <w:rPr>
          <w:rFonts w:eastAsiaTheme="minorHAnsi"/>
          <w:i/>
        </w:rPr>
      </w:pPr>
      <w:r w:rsidRPr="00FD72EF">
        <w:rPr>
          <w:rFonts w:eastAsiaTheme="minorHAnsi"/>
          <w:i/>
        </w:rPr>
        <w:t>How was the list of potential alternatives narrowed down?</w:t>
      </w:r>
    </w:p>
    <w:p w:rsidR="007F1C46" w:rsidRPr="00FD72EF" w:rsidRDefault="007F1C46" w:rsidP="00FD72EF">
      <w:pPr>
        <w:pStyle w:val="ListParagraph"/>
        <w:numPr>
          <w:ilvl w:val="0"/>
          <w:numId w:val="43"/>
        </w:numPr>
        <w:spacing w:after="200" w:line="276" w:lineRule="auto"/>
        <w:rPr>
          <w:rFonts w:eastAsiaTheme="minorHAnsi"/>
          <w:i/>
        </w:rPr>
      </w:pPr>
      <w:r w:rsidRPr="00FD72EF">
        <w:rPr>
          <w:rFonts w:eastAsiaTheme="minorHAnsi"/>
          <w:i/>
        </w:rPr>
        <w:t>How were alternatives evaluated for efficacy?</w:t>
      </w:r>
    </w:p>
    <w:p w:rsidR="007F1C46" w:rsidRPr="00FD72EF" w:rsidRDefault="007F1C46" w:rsidP="00FD72EF">
      <w:pPr>
        <w:pStyle w:val="ListParagraph"/>
        <w:numPr>
          <w:ilvl w:val="0"/>
          <w:numId w:val="43"/>
        </w:numPr>
        <w:spacing w:after="200" w:line="276" w:lineRule="auto"/>
        <w:rPr>
          <w:rFonts w:eastAsiaTheme="minorHAnsi"/>
          <w:i/>
        </w:rPr>
      </w:pPr>
      <w:r w:rsidRPr="00FD72EF">
        <w:rPr>
          <w:rFonts w:eastAsiaTheme="minorHAnsi"/>
          <w:i/>
        </w:rPr>
        <w:t>How were environmental/health considerations taken into account in identifying alternatives?</w:t>
      </w:r>
    </w:p>
    <w:p w:rsidR="007F1C46" w:rsidRDefault="007F1C46" w:rsidP="00FD72EF">
      <w:pPr>
        <w:pStyle w:val="ListParagraph"/>
        <w:numPr>
          <w:ilvl w:val="0"/>
          <w:numId w:val="43"/>
        </w:numPr>
        <w:spacing w:after="200" w:line="276" w:lineRule="auto"/>
        <w:rPr>
          <w:rFonts w:eastAsiaTheme="minorHAnsi"/>
          <w:i/>
        </w:rPr>
      </w:pPr>
      <w:r w:rsidRPr="00FD72EF">
        <w:rPr>
          <w:rFonts w:eastAsiaTheme="minorHAnsi"/>
          <w:i/>
        </w:rPr>
        <w:t>How was a final alternative selected for use?</w:t>
      </w:r>
    </w:p>
    <w:p w:rsidR="00C54847" w:rsidRPr="001D1563" w:rsidRDefault="00C54847" w:rsidP="001D1563">
      <w:pPr>
        <w:pStyle w:val="ListParagraph"/>
        <w:numPr>
          <w:ilvl w:val="0"/>
          <w:numId w:val="43"/>
        </w:numPr>
        <w:spacing w:after="200" w:line="276" w:lineRule="auto"/>
        <w:rPr>
          <w:rFonts w:eastAsiaTheme="minorHAnsi"/>
          <w:i/>
        </w:rPr>
      </w:pPr>
      <w:r w:rsidRPr="001D1563">
        <w:rPr>
          <w:i/>
        </w:rPr>
        <w:t xml:space="preserve">Were any of the alternatives </w:t>
      </w:r>
      <w:r w:rsidR="00CE2B1A">
        <w:rPr>
          <w:i/>
        </w:rPr>
        <w:t>found to be unsuitable</w:t>
      </w:r>
      <w:r w:rsidR="00CE2B1A" w:rsidRPr="001D1563">
        <w:rPr>
          <w:i/>
        </w:rPr>
        <w:t xml:space="preserve"> </w:t>
      </w:r>
      <w:r w:rsidRPr="001D1563">
        <w:rPr>
          <w:i/>
        </w:rPr>
        <w:t xml:space="preserve">and why? </w:t>
      </w:r>
    </w:p>
    <w:p w:rsidR="004023F5" w:rsidRPr="001D1563" w:rsidRDefault="007F1C46">
      <w:pPr>
        <w:pStyle w:val="ListParagraph"/>
        <w:numPr>
          <w:ilvl w:val="0"/>
          <w:numId w:val="43"/>
        </w:numPr>
        <w:spacing w:after="200" w:line="276" w:lineRule="auto"/>
        <w:rPr>
          <w:rFonts w:eastAsiaTheme="minorHAnsi"/>
          <w:i/>
        </w:rPr>
      </w:pPr>
      <w:r w:rsidRPr="00FD72EF">
        <w:rPr>
          <w:rFonts w:eastAsiaTheme="minorHAnsi"/>
          <w:i/>
        </w:rPr>
        <w:t>What lessons were learned in reducing exposure to TCE that could help inform future decision making</w:t>
      </w:r>
      <w:r w:rsidR="004023F5">
        <w:rPr>
          <w:rFonts w:eastAsiaTheme="minorHAnsi"/>
          <w:i/>
        </w:rPr>
        <w:t>?</w:t>
      </w:r>
    </w:p>
    <w:p w:rsidR="00E750B1" w:rsidRPr="00FD72EF" w:rsidRDefault="00E750B1" w:rsidP="00974316">
      <w:pPr>
        <w:pStyle w:val="ListParagraph"/>
        <w:ind w:left="1077"/>
        <w:rPr>
          <w:color w:val="548DD4" w:themeColor="text2" w:themeTint="99"/>
          <w:lang w:val="en-GB"/>
        </w:rPr>
      </w:pPr>
    </w:p>
    <w:p w:rsidR="004023F5" w:rsidRPr="004023F5" w:rsidRDefault="004023F5" w:rsidP="00774041">
      <w:pPr>
        <w:rPr>
          <w:color w:val="548DD4" w:themeColor="text2" w:themeTint="99"/>
          <w:lang w:val="en-GB"/>
        </w:rPr>
      </w:pPr>
    </w:p>
    <w:p w:rsidR="004023F5" w:rsidRPr="004023F5" w:rsidRDefault="004023F5" w:rsidP="001D1563">
      <w:pPr>
        <w:rPr>
          <w:color w:val="548DD4" w:themeColor="text2" w:themeTint="99"/>
          <w:lang w:val="en-GB"/>
        </w:rPr>
      </w:pPr>
    </w:p>
    <w:p w:rsidR="004023F5" w:rsidRDefault="004023F5" w:rsidP="001D1563">
      <w:pPr>
        <w:rPr>
          <w:b/>
          <w:color w:val="548DD4" w:themeColor="text2" w:themeTint="99"/>
          <w:lang w:val="en-GB"/>
        </w:rPr>
      </w:pPr>
    </w:p>
    <w:p w:rsidR="004023F5" w:rsidRDefault="004023F5" w:rsidP="001D1563">
      <w:pPr>
        <w:rPr>
          <w:b/>
          <w:color w:val="548DD4" w:themeColor="text2" w:themeTint="99"/>
          <w:lang w:val="en-GB"/>
        </w:rPr>
      </w:pPr>
    </w:p>
    <w:p w:rsidR="004023F5" w:rsidRDefault="004023F5" w:rsidP="001D1563">
      <w:pPr>
        <w:rPr>
          <w:b/>
          <w:color w:val="548DD4" w:themeColor="text2" w:themeTint="99"/>
          <w:lang w:val="en-GB"/>
        </w:rPr>
      </w:pPr>
      <w:bookmarkStart w:id="2" w:name="_GoBack"/>
      <w:bookmarkEnd w:id="2"/>
    </w:p>
    <w:p w:rsidR="004023F5" w:rsidRPr="001D1563" w:rsidRDefault="004023F5" w:rsidP="001D1563">
      <w:pPr>
        <w:rPr>
          <w:b/>
          <w:color w:val="548DD4" w:themeColor="text2" w:themeTint="99"/>
          <w:lang w:val="en-GB"/>
        </w:rPr>
      </w:pPr>
    </w:p>
    <w:p w:rsidR="004023F5" w:rsidRPr="00F301BA" w:rsidRDefault="004023F5" w:rsidP="007643E1">
      <w:pPr>
        <w:pStyle w:val="ListParagraph"/>
        <w:ind w:left="1077"/>
        <w:rPr>
          <w:lang w:val="en-GB"/>
        </w:rPr>
      </w:pPr>
    </w:p>
    <w:sectPr w:rsidR="004023F5" w:rsidRPr="00F301BA" w:rsidSect="00A92B56">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1F5" w:rsidRDefault="005321F5" w:rsidP="00F10999">
      <w:r>
        <w:separator/>
      </w:r>
    </w:p>
  </w:endnote>
  <w:endnote w:type="continuationSeparator" w:id="0">
    <w:p w:rsidR="005321F5" w:rsidRDefault="005321F5" w:rsidP="00F1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1838843"/>
      <w:docPartObj>
        <w:docPartGallery w:val="Page Numbers (Bottom of Page)"/>
        <w:docPartUnique/>
      </w:docPartObj>
    </w:sdtPr>
    <w:sdtEndPr>
      <w:rPr>
        <w:noProof/>
      </w:rPr>
    </w:sdtEndPr>
    <w:sdtContent>
      <w:p w:rsidR="003B27B3" w:rsidRDefault="00CF3849">
        <w:pPr>
          <w:pStyle w:val="Footer"/>
          <w:jc w:val="right"/>
        </w:pPr>
        <w:r>
          <w:fldChar w:fldCharType="begin"/>
        </w:r>
        <w:r>
          <w:instrText xml:space="preserve"> PAGE   \* MERGEFORMAT </w:instrText>
        </w:r>
        <w:r>
          <w:fldChar w:fldCharType="separate"/>
        </w:r>
        <w:r w:rsidR="003A3122">
          <w:rPr>
            <w:noProof/>
          </w:rPr>
          <w:t>5</w:t>
        </w:r>
        <w:r>
          <w:rPr>
            <w:noProof/>
          </w:rPr>
          <w:fldChar w:fldCharType="end"/>
        </w:r>
      </w:p>
    </w:sdtContent>
  </w:sdt>
  <w:p w:rsidR="003B27B3" w:rsidRDefault="003B27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1F5" w:rsidRDefault="005321F5" w:rsidP="00F10999">
      <w:r>
        <w:separator/>
      </w:r>
    </w:p>
  </w:footnote>
  <w:footnote w:type="continuationSeparator" w:id="0">
    <w:p w:rsidR="005321F5" w:rsidRDefault="005321F5" w:rsidP="00F10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96126"/>
    <w:multiLevelType w:val="hybridMultilevel"/>
    <w:tmpl w:val="7CBE227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67033C5"/>
    <w:multiLevelType w:val="hybridMultilevel"/>
    <w:tmpl w:val="D06EC2BA"/>
    <w:lvl w:ilvl="0" w:tplc="25BC16EC">
      <w:start w:val="1"/>
      <w:numFmt w:val="lowerLetter"/>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2B62E9"/>
    <w:multiLevelType w:val="hybridMultilevel"/>
    <w:tmpl w:val="AAD8C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83373D"/>
    <w:multiLevelType w:val="hybridMultilevel"/>
    <w:tmpl w:val="DBDAD528"/>
    <w:lvl w:ilvl="0" w:tplc="59FC99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713F7"/>
    <w:multiLevelType w:val="hybridMultilevel"/>
    <w:tmpl w:val="5CFEE54E"/>
    <w:lvl w:ilvl="0" w:tplc="59C8AD92">
      <w:start w:val="4"/>
      <w:numFmt w:val="lowerLetter"/>
      <w:lvlText w:val="%1."/>
      <w:lvlJc w:val="left"/>
      <w:pPr>
        <w:ind w:left="720" w:hanging="360"/>
      </w:pPr>
      <w:rPr>
        <w:rFonts w:hint="default"/>
        <w:i w:val="0"/>
      </w:rPr>
    </w:lvl>
    <w:lvl w:ilvl="1" w:tplc="BE927AB2">
      <w:start w:val="1"/>
      <w:numFmt w:val="lowerRoman"/>
      <w:lvlText w:val="%2."/>
      <w:lvlJc w:val="right"/>
      <w:pPr>
        <w:ind w:left="108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BA4641"/>
    <w:multiLevelType w:val="hybridMultilevel"/>
    <w:tmpl w:val="C66EDFC8"/>
    <w:lvl w:ilvl="0" w:tplc="04090013">
      <w:start w:val="1"/>
      <w:numFmt w:val="upperRoman"/>
      <w:lvlText w:val="%1."/>
      <w:lvlJc w:val="right"/>
      <w:pPr>
        <w:ind w:left="1665" w:hanging="360"/>
      </w:p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6">
    <w:nsid w:val="12FF7D2E"/>
    <w:multiLevelType w:val="hybridMultilevel"/>
    <w:tmpl w:val="57D63B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5CD08D9"/>
    <w:multiLevelType w:val="hybridMultilevel"/>
    <w:tmpl w:val="404AD360"/>
    <w:lvl w:ilvl="0" w:tplc="83A49B42">
      <w:start w:val="1"/>
      <w:numFmt w:val="decimal"/>
      <w:lvlText w:val="%1."/>
      <w:lvlJc w:val="left"/>
      <w:pPr>
        <w:ind w:left="18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1579BE"/>
    <w:multiLevelType w:val="hybridMultilevel"/>
    <w:tmpl w:val="9626B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302421A"/>
    <w:multiLevelType w:val="hybridMultilevel"/>
    <w:tmpl w:val="2ACAEB9C"/>
    <w:lvl w:ilvl="0" w:tplc="581CB93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625BBC"/>
    <w:multiLevelType w:val="hybridMultilevel"/>
    <w:tmpl w:val="1C7C0A38"/>
    <w:lvl w:ilvl="0" w:tplc="0413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nsid w:val="29CF2FBB"/>
    <w:multiLevelType w:val="hybridMultilevel"/>
    <w:tmpl w:val="21C4C526"/>
    <w:lvl w:ilvl="0" w:tplc="5442CD80">
      <w:numFmt w:val="bullet"/>
      <w:lvlText w:val=""/>
      <w:lvlJc w:val="left"/>
      <w:pPr>
        <w:ind w:left="720" w:hanging="360"/>
      </w:pPr>
      <w:rPr>
        <w:rFonts w:ascii="Wingdings" w:eastAsiaTheme="minorHAnsi" w:hAnsi="Wingding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2A9A14F4"/>
    <w:multiLevelType w:val="hybridMultilevel"/>
    <w:tmpl w:val="854657D8"/>
    <w:lvl w:ilvl="0" w:tplc="59C8AD92">
      <w:start w:val="4"/>
      <w:numFmt w:val="lowerLetter"/>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1A4515"/>
    <w:multiLevelType w:val="hybridMultilevel"/>
    <w:tmpl w:val="F6D27236"/>
    <w:lvl w:ilvl="0" w:tplc="581CB938">
      <w:start w:val="1"/>
      <w:numFmt w:val="upperRoman"/>
      <w:lvlText w:val="%1."/>
      <w:lvlJc w:val="left"/>
      <w:pPr>
        <w:ind w:left="1080" w:hanging="720"/>
      </w:pPr>
      <w:rPr>
        <w:rFonts w:hint="default"/>
      </w:rPr>
    </w:lvl>
    <w:lvl w:ilvl="1" w:tplc="FB48C2BE">
      <w:start w:val="1"/>
      <w:numFmt w:val="lowerLetter"/>
      <w:lvlText w:val="%2."/>
      <w:lvlJc w:val="left"/>
      <w:pPr>
        <w:ind w:left="720" w:hanging="360"/>
      </w:pPr>
      <w:rPr>
        <w:rFonts w:hint="default"/>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614D0D"/>
    <w:multiLevelType w:val="hybridMultilevel"/>
    <w:tmpl w:val="D31EE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A56F6B"/>
    <w:multiLevelType w:val="hybridMultilevel"/>
    <w:tmpl w:val="343C2B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D4B6106"/>
    <w:multiLevelType w:val="hybridMultilevel"/>
    <w:tmpl w:val="966C3976"/>
    <w:lvl w:ilvl="0" w:tplc="B9DA7020">
      <w:start w:val="1"/>
      <w:numFmt w:val="lowerRoman"/>
      <w:lvlText w:val="%1."/>
      <w:lvlJc w:val="right"/>
      <w:pPr>
        <w:ind w:left="893" w:hanging="173"/>
      </w:pPr>
      <w:rPr>
        <w:rFonts w:hint="default"/>
      </w:rPr>
    </w:lvl>
    <w:lvl w:ilvl="1" w:tplc="E982B778">
      <w:start w:val="1"/>
      <w:numFmt w:val="lowerLetter"/>
      <w:lvlText w:val="%2."/>
      <w:lvlJc w:val="left"/>
      <w:pPr>
        <w:ind w:left="1080" w:hanging="360"/>
      </w:pPr>
      <w:rPr>
        <w:rFonts w:hint="default"/>
      </w:rPr>
    </w:lvl>
    <w:lvl w:ilvl="2" w:tplc="7FAEB852">
      <w:start w:val="1"/>
      <w:numFmt w:val="lowerRoman"/>
      <w:lvlText w:val="%3."/>
      <w:lvlJc w:val="right"/>
      <w:pPr>
        <w:ind w:left="1080" w:hanging="360"/>
      </w:pPr>
      <w:rPr>
        <w:rFonts w:hint="default"/>
      </w:rPr>
    </w:lvl>
    <w:lvl w:ilvl="3" w:tplc="D0D2B6B4">
      <w:start w:val="1"/>
      <w:numFmt w:val="decimal"/>
      <w:lvlText w:val="%4."/>
      <w:lvlJc w:val="left"/>
      <w:pPr>
        <w:ind w:left="1800" w:hanging="360"/>
      </w:pPr>
      <w:rPr>
        <w:rFonts w:hint="default"/>
      </w:r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17">
    <w:nsid w:val="2F28406D"/>
    <w:multiLevelType w:val="hybridMultilevel"/>
    <w:tmpl w:val="ACC45332"/>
    <w:lvl w:ilvl="0" w:tplc="7FAEB852">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F42B3C"/>
    <w:multiLevelType w:val="hybridMultilevel"/>
    <w:tmpl w:val="B09E414C"/>
    <w:lvl w:ilvl="0" w:tplc="80187624">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BC17DD"/>
    <w:multiLevelType w:val="hybridMultilevel"/>
    <w:tmpl w:val="045A41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A6E4008"/>
    <w:multiLevelType w:val="hybridMultilevel"/>
    <w:tmpl w:val="764A8D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3DDD7C6A"/>
    <w:multiLevelType w:val="hybridMultilevel"/>
    <w:tmpl w:val="9D4E334A"/>
    <w:lvl w:ilvl="0" w:tplc="04090013">
      <w:start w:val="1"/>
      <w:numFmt w:val="upperRoman"/>
      <w:lvlText w:val="%1."/>
      <w:lvlJc w:val="righ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2">
    <w:nsid w:val="3ECC4FC6"/>
    <w:multiLevelType w:val="hybridMultilevel"/>
    <w:tmpl w:val="6494F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F705FFD"/>
    <w:multiLevelType w:val="hybridMultilevel"/>
    <w:tmpl w:val="315ACDA2"/>
    <w:lvl w:ilvl="0" w:tplc="40C2DC18">
      <w:start w:val="1"/>
      <w:numFmt w:val="lowerRoman"/>
      <w:lvlText w:val="%1."/>
      <w:lvlJc w:val="righ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AA4CCF"/>
    <w:multiLevelType w:val="hybridMultilevel"/>
    <w:tmpl w:val="EFE4878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nsid w:val="467D5A28"/>
    <w:multiLevelType w:val="hybridMultilevel"/>
    <w:tmpl w:val="DA72C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832AA8"/>
    <w:multiLevelType w:val="hybridMultilevel"/>
    <w:tmpl w:val="0EB46ADC"/>
    <w:lvl w:ilvl="0" w:tplc="59C8AD92">
      <w:start w:val="4"/>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716436"/>
    <w:multiLevelType w:val="hybridMultilevel"/>
    <w:tmpl w:val="0EB46ADC"/>
    <w:lvl w:ilvl="0" w:tplc="59C8AD92">
      <w:start w:val="4"/>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EA0758"/>
    <w:multiLevelType w:val="hybridMultilevel"/>
    <w:tmpl w:val="315ACDA2"/>
    <w:lvl w:ilvl="0" w:tplc="40C2DC18">
      <w:start w:val="1"/>
      <w:numFmt w:val="lowerRoman"/>
      <w:lvlText w:val="%1."/>
      <w:lvlJc w:val="righ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161859"/>
    <w:multiLevelType w:val="hybridMultilevel"/>
    <w:tmpl w:val="0972B6B0"/>
    <w:lvl w:ilvl="0" w:tplc="AAD2DEC0">
      <w:start w:val="1"/>
      <w:numFmt w:val="lowerLetter"/>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4510F2"/>
    <w:multiLevelType w:val="hybridMultilevel"/>
    <w:tmpl w:val="B31A99B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B1D1FEE"/>
    <w:multiLevelType w:val="hybridMultilevel"/>
    <w:tmpl w:val="523A0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B6E466E"/>
    <w:multiLevelType w:val="hybridMultilevel"/>
    <w:tmpl w:val="74ECEB74"/>
    <w:lvl w:ilvl="0" w:tplc="83A49B4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A21C87"/>
    <w:multiLevelType w:val="hybridMultilevel"/>
    <w:tmpl w:val="1D8A89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C7F3CBC"/>
    <w:multiLevelType w:val="hybridMultilevel"/>
    <w:tmpl w:val="873EE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E101F8"/>
    <w:multiLevelType w:val="hybridMultilevel"/>
    <w:tmpl w:val="49F25F6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67381D94"/>
    <w:multiLevelType w:val="hybridMultilevel"/>
    <w:tmpl w:val="BCD499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1D4F4A"/>
    <w:multiLevelType w:val="multilevel"/>
    <w:tmpl w:val="C8A4B5AE"/>
    <w:lvl w:ilvl="0">
      <w:start w:val="1"/>
      <w:numFmt w:val="upperRoman"/>
      <w:lvlText w:val="%1."/>
      <w:lvlJc w:val="left"/>
      <w:pPr>
        <w:ind w:left="1080" w:hanging="720"/>
      </w:pPr>
      <w:rPr>
        <w:rFonts w:hint="default"/>
      </w:rPr>
    </w:lvl>
    <w:lvl w:ilvl="1">
      <w:start w:val="1"/>
      <w:numFmt w:val="lowerLetter"/>
      <w:lvlText w:val="%2."/>
      <w:lvlJc w:val="left"/>
      <w:pPr>
        <w:ind w:left="108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081482A"/>
    <w:multiLevelType w:val="hybridMultilevel"/>
    <w:tmpl w:val="5394C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1D37210"/>
    <w:multiLevelType w:val="hybridMultilevel"/>
    <w:tmpl w:val="4A449AC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2903FEF"/>
    <w:multiLevelType w:val="hybridMultilevel"/>
    <w:tmpl w:val="E7D2EB52"/>
    <w:lvl w:ilvl="0" w:tplc="59C8AD92">
      <w:start w:val="4"/>
      <w:numFmt w:val="lowerLetter"/>
      <w:lvlText w:val="%1."/>
      <w:lvlJc w:val="left"/>
      <w:pPr>
        <w:ind w:left="720" w:hanging="360"/>
      </w:pPr>
      <w:rPr>
        <w:rFonts w:hint="default"/>
        <w:i w:val="0"/>
      </w:rPr>
    </w:lvl>
    <w:lvl w:ilvl="1" w:tplc="0409001B">
      <w:start w:val="1"/>
      <w:numFmt w:val="lowerRoman"/>
      <w:lvlText w:val="%2."/>
      <w:lvlJc w:val="right"/>
      <w:pPr>
        <w:ind w:left="1440" w:hanging="360"/>
      </w:pPr>
    </w:lvl>
    <w:lvl w:ilvl="2" w:tplc="83A49B42">
      <w:start w:val="1"/>
      <w:numFmt w:val="decimal"/>
      <w:lvlText w:val="%3."/>
      <w:lvlJc w:val="left"/>
      <w:pPr>
        <w:ind w:left="14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F55B0C"/>
    <w:multiLevelType w:val="hybridMultilevel"/>
    <w:tmpl w:val="34308B18"/>
    <w:lvl w:ilvl="0" w:tplc="0409001B">
      <w:start w:val="1"/>
      <w:numFmt w:val="lowerRoman"/>
      <w:lvlText w:val="%1."/>
      <w:lvlJc w:val="righ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42">
    <w:nsid w:val="78FE6A91"/>
    <w:multiLevelType w:val="hybridMultilevel"/>
    <w:tmpl w:val="2A7639EC"/>
    <w:lvl w:ilvl="0" w:tplc="D0D2B6B4">
      <w:start w:val="1"/>
      <w:numFmt w:val="decimal"/>
      <w:lvlText w:val="%1."/>
      <w:lvlJc w:val="left"/>
      <w:pPr>
        <w:ind w:left="18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9BF7768"/>
    <w:multiLevelType w:val="hybridMultilevel"/>
    <w:tmpl w:val="44AA845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C911922"/>
    <w:multiLevelType w:val="hybridMultilevel"/>
    <w:tmpl w:val="AFFA81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5">
    <w:nsid w:val="7E78255E"/>
    <w:multiLevelType w:val="hybridMultilevel"/>
    <w:tmpl w:val="74ECEB74"/>
    <w:lvl w:ilvl="0" w:tplc="83A49B4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7D56E0"/>
    <w:multiLevelType w:val="hybridMultilevel"/>
    <w:tmpl w:val="0AB4E41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nsid w:val="7E8163E5"/>
    <w:multiLevelType w:val="hybridMultilevel"/>
    <w:tmpl w:val="23D0316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FD2626A"/>
    <w:multiLevelType w:val="hybridMultilevel"/>
    <w:tmpl w:val="7CF8A26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FEF50C9"/>
    <w:multiLevelType w:val="hybridMultilevel"/>
    <w:tmpl w:val="0D689B3E"/>
    <w:lvl w:ilvl="0" w:tplc="FB48C2B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11"/>
  </w:num>
  <w:num w:numId="4">
    <w:abstractNumId w:val="0"/>
  </w:num>
  <w:num w:numId="5">
    <w:abstractNumId w:val="16"/>
  </w:num>
  <w:num w:numId="6">
    <w:abstractNumId w:val="24"/>
  </w:num>
  <w:num w:numId="7">
    <w:abstractNumId w:val="2"/>
  </w:num>
  <w:num w:numId="8">
    <w:abstractNumId w:val="10"/>
  </w:num>
  <w:num w:numId="9">
    <w:abstractNumId w:val="8"/>
  </w:num>
  <w:num w:numId="10">
    <w:abstractNumId w:val="48"/>
  </w:num>
  <w:num w:numId="11">
    <w:abstractNumId w:val="43"/>
  </w:num>
  <w:num w:numId="12">
    <w:abstractNumId w:val="41"/>
  </w:num>
  <w:num w:numId="13">
    <w:abstractNumId w:val="18"/>
  </w:num>
  <w:num w:numId="14">
    <w:abstractNumId w:val="36"/>
  </w:num>
  <w:num w:numId="15">
    <w:abstractNumId w:val="1"/>
  </w:num>
  <w:num w:numId="16">
    <w:abstractNumId w:val="29"/>
  </w:num>
  <w:num w:numId="17">
    <w:abstractNumId w:val="37"/>
  </w:num>
  <w:num w:numId="18">
    <w:abstractNumId w:val="47"/>
  </w:num>
  <w:num w:numId="19">
    <w:abstractNumId w:val="15"/>
  </w:num>
  <w:num w:numId="20">
    <w:abstractNumId w:val="3"/>
  </w:num>
  <w:num w:numId="21">
    <w:abstractNumId w:val="49"/>
  </w:num>
  <w:num w:numId="22">
    <w:abstractNumId w:val="12"/>
  </w:num>
  <w:num w:numId="23">
    <w:abstractNumId w:val="21"/>
  </w:num>
  <w:num w:numId="24">
    <w:abstractNumId w:val="5"/>
  </w:num>
  <w:num w:numId="25">
    <w:abstractNumId w:val="17"/>
  </w:num>
  <w:num w:numId="26">
    <w:abstractNumId w:val="27"/>
  </w:num>
  <w:num w:numId="27">
    <w:abstractNumId w:val="26"/>
  </w:num>
  <w:num w:numId="28">
    <w:abstractNumId w:val="4"/>
  </w:num>
  <w:num w:numId="29">
    <w:abstractNumId w:val="40"/>
  </w:num>
  <w:num w:numId="30">
    <w:abstractNumId w:val="28"/>
  </w:num>
  <w:num w:numId="31">
    <w:abstractNumId w:val="32"/>
  </w:num>
  <w:num w:numId="32">
    <w:abstractNumId w:val="30"/>
  </w:num>
  <w:num w:numId="33">
    <w:abstractNumId w:val="39"/>
  </w:num>
  <w:num w:numId="34">
    <w:abstractNumId w:val="44"/>
  </w:num>
  <w:num w:numId="35">
    <w:abstractNumId w:val="38"/>
  </w:num>
  <w:num w:numId="36">
    <w:abstractNumId w:val="20"/>
  </w:num>
  <w:num w:numId="37">
    <w:abstractNumId w:val="42"/>
  </w:num>
  <w:num w:numId="38">
    <w:abstractNumId w:val="6"/>
  </w:num>
  <w:num w:numId="39">
    <w:abstractNumId w:val="35"/>
  </w:num>
  <w:num w:numId="40">
    <w:abstractNumId w:val="14"/>
  </w:num>
  <w:num w:numId="41">
    <w:abstractNumId w:val="46"/>
  </w:num>
  <w:num w:numId="42">
    <w:abstractNumId w:val="7"/>
  </w:num>
  <w:num w:numId="43">
    <w:abstractNumId w:val="45"/>
  </w:num>
  <w:num w:numId="44">
    <w:abstractNumId w:val="33"/>
  </w:num>
  <w:num w:numId="45">
    <w:abstractNumId w:val="23"/>
  </w:num>
  <w:num w:numId="46">
    <w:abstractNumId w:val="34"/>
  </w:num>
  <w:num w:numId="47">
    <w:abstractNumId w:val="19"/>
  </w:num>
  <w:num w:numId="48">
    <w:abstractNumId w:val="25"/>
  </w:num>
  <w:num w:numId="49">
    <w:abstractNumId w:val="22"/>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6A3"/>
    <w:rsid w:val="00036D85"/>
    <w:rsid w:val="00055616"/>
    <w:rsid w:val="0006088E"/>
    <w:rsid w:val="000913D0"/>
    <w:rsid w:val="000E4215"/>
    <w:rsid w:val="000F05F6"/>
    <w:rsid w:val="00116F54"/>
    <w:rsid w:val="001239C3"/>
    <w:rsid w:val="001356E5"/>
    <w:rsid w:val="001C2266"/>
    <w:rsid w:val="001C7972"/>
    <w:rsid w:val="001D1563"/>
    <w:rsid w:val="001D53D3"/>
    <w:rsid w:val="00226374"/>
    <w:rsid w:val="00314B3C"/>
    <w:rsid w:val="00397A10"/>
    <w:rsid w:val="003A3122"/>
    <w:rsid w:val="003B129E"/>
    <w:rsid w:val="003B27B3"/>
    <w:rsid w:val="003E4DC5"/>
    <w:rsid w:val="003E7D5E"/>
    <w:rsid w:val="004023F5"/>
    <w:rsid w:val="00412526"/>
    <w:rsid w:val="00417661"/>
    <w:rsid w:val="00433DCC"/>
    <w:rsid w:val="00436F4D"/>
    <w:rsid w:val="00467FA0"/>
    <w:rsid w:val="004A3EED"/>
    <w:rsid w:val="00527699"/>
    <w:rsid w:val="005321F5"/>
    <w:rsid w:val="00576ADC"/>
    <w:rsid w:val="005B11EC"/>
    <w:rsid w:val="005C108E"/>
    <w:rsid w:val="005E3293"/>
    <w:rsid w:val="006671D6"/>
    <w:rsid w:val="00685143"/>
    <w:rsid w:val="00691BC8"/>
    <w:rsid w:val="006B06B3"/>
    <w:rsid w:val="006C4EDD"/>
    <w:rsid w:val="006F4B10"/>
    <w:rsid w:val="006F7459"/>
    <w:rsid w:val="00750397"/>
    <w:rsid w:val="007606BF"/>
    <w:rsid w:val="007643E1"/>
    <w:rsid w:val="00774041"/>
    <w:rsid w:val="007C66A3"/>
    <w:rsid w:val="007F1C46"/>
    <w:rsid w:val="0080378A"/>
    <w:rsid w:val="00867FD9"/>
    <w:rsid w:val="008731D8"/>
    <w:rsid w:val="008742A0"/>
    <w:rsid w:val="008C27EA"/>
    <w:rsid w:val="008E10C6"/>
    <w:rsid w:val="008F4736"/>
    <w:rsid w:val="00911496"/>
    <w:rsid w:val="009228DB"/>
    <w:rsid w:val="009326C0"/>
    <w:rsid w:val="00950176"/>
    <w:rsid w:val="00964CB2"/>
    <w:rsid w:val="00974316"/>
    <w:rsid w:val="00995C92"/>
    <w:rsid w:val="009B437C"/>
    <w:rsid w:val="00A00EBD"/>
    <w:rsid w:val="00A25D46"/>
    <w:rsid w:val="00A26067"/>
    <w:rsid w:val="00A45D4D"/>
    <w:rsid w:val="00A67695"/>
    <w:rsid w:val="00A8725A"/>
    <w:rsid w:val="00A92B56"/>
    <w:rsid w:val="00AA4B69"/>
    <w:rsid w:val="00AE4457"/>
    <w:rsid w:val="00B03828"/>
    <w:rsid w:val="00B17D31"/>
    <w:rsid w:val="00B53FFD"/>
    <w:rsid w:val="00B844DF"/>
    <w:rsid w:val="00B95A63"/>
    <w:rsid w:val="00BA11F4"/>
    <w:rsid w:val="00BB0D9D"/>
    <w:rsid w:val="00BB3601"/>
    <w:rsid w:val="00BE4CA1"/>
    <w:rsid w:val="00BF2F7A"/>
    <w:rsid w:val="00C070A6"/>
    <w:rsid w:val="00C427B5"/>
    <w:rsid w:val="00C54847"/>
    <w:rsid w:val="00C61436"/>
    <w:rsid w:val="00C8146E"/>
    <w:rsid w:val="00C85DC4"/>
    <w:rsid w:val="00C9763B"/>
    <w:rsid w:val="00CB3946"/>
    <w:rsid w:val="00CB5BD3"/>
    <w:rsid w:val="00CE2B1A"/>
    <w:rsid w:val="00CF3849"/>
    <w:rsid w:val="00CF592F"/>
    <w:rsid w:val="00D1322C"/>
    <w:rsid w:val="00D3688A"/>
    <w:rsid w:val="00D5529D"/>
    <w:rsid w:val="00D92AC9"/>
    <w:rsid w:val="00DE3C8F"/>
    <w:rsid w:val="00E564BE"/>
    <w:rsid w:val="00E64734"/>
    <w:rsid w:val="00E750B1"/>
    <w:rsid w:val="00E77FC0"/>
    <w:rsid w:val="00E939A0"/>
    <w:rsid w:val="00EC409B"/>
    <w:rsid w:val="00EF4D2B"/>
    <w:rsid w:val="00F04446"/>
    <w:rsid w:val="00F10999"/>
    <w:rsid w:val="00F166F1"/>
    <w:rsid w:val="00F301BA"/>
    <w:rsid w:val="00F6237A"/>
    <w:rsid w:val="00F80177"/>
    <w:rsid w:val="00FA3024"/>
    <w:rsid w:val="00FA76E5"/>
    <w:rsid w:val="00FB300C"/>
    <w:rsid w:val="00FB7159"/>
    <w:rsid w:val="00FD72EF"/>
    <w:rsid w:val="00FE56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64F16B9-5976-4B58-AB5A-828C6B0D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66A3"/>
    <w:pPr>
      <w:ind w:left="720"/>
      <w:contextualSpacing/>
    </w:pPr>
  </w:style>
  <w:style w:type="paragraph" w:styleId="BalloonText">
    <w:name w:val="Balloon Text"/>
    <w:basedOn w:val="Normal"/>
    <w:link w:val="BalloonTextChar"/>
    <w:uiPriority w:val="99"/>
    <w:semiHidden/>
    <w:unhideWhenUsed/>
    <w:rsid w:val="00A26067"/>
    <w:rPr>
      <w:rFonts w:ascii="Tahoma" w:hAnsi="Tahoma" w:cs="Tahoma"/>
      <w:sz w:val="16"/>
      <w:szCs w:val="16"/>
    </w:rPr>
  </w:style>
  <w:style w:type="character" w:customStyle="1" w:styleId="BalloonTextChar">
    <w:name w:val="Balloon Text Char"/>
    <w:basedOn w:val="DefaultParagraphFont"/>
    <w:link w:val="BalloonText"/>
    <w:uiPriority w:val="99"/>
    <w:semiHidden/>
    <w:rsid w:val="00A26067"/>
    <w:rPr>
      <w:rFonts w:ascii="Tahoma" w:hAnsi="Tahoma" w:cs="Tahoma"/>
      <w:sz w:val="16"/>
      <w:szCs w:val="16"/>
    </w:rPr>
  </w:style>
  <w:style w:type="character" w:styleId="CommentReference">
    <w:name w:val="annotation reference"/>
    <w:basedOn w:val="DefaultParagraphFont"/>
    <w:uiPriority w:val="99"/>
    <w:semiHidden/>
    <w:unhideWhenUsed/>
    <w:rsid w:val="00C61436"/>
    <w:rPr>
      <w:sz w:val="16"/>
      <w:szCs w:val="16"/>
    </w:rPr>
  </w:style>
  <w:style w:type="paragraph" w:styleId="CommentText">
    <w:name w:val="annotation text"/>
    <w:basedOn w:val="Normal"/>
    <w:link w:val="CommentTextChar"/>
    <w:uiPriority w:val="99"/>
    <w:semiHidden/>
    <w:unhideWhenUsed/>
    <w:rsid w:val="00C61436"/>
    <w:rPr>
      <w:sz w:val="20"/>
      <w:szCs w:val="20"/>
    </w:rPr>
  </w:style>
  <w:style w:type="character" w:customStyle="1" w:styleId="CommentTextChar">
    <w:name w:val="Comment Text Char"/>
    <w:basedOn w:val="DefaultParagraphFont"/>
    <w:link w:val="CommentText"/>
    <w:uiPriority w:val="99"/>
    <w:semiHidden/>
    <w:rsid w:val="00C61436"/>
    <w:rPr>
      <w:sz w:val="20"/>
      <w:szCs w:val="20"/>
    </w:rPr>
  </w:style>
  <w:style w:type="paragraph" w:styleId="CommentSubject">
    <w:name w:val="annotation subject"/>
    <w:basedOn w:val="CommentText"/>
    <w:next w:val="CommentText"/>
    <w:link w:val="CommentSubjectChar"/>
    <w:uiPriority w:val="99"/>
    <w:semiHidden/>
    <w:unhideWhenUsed/>
    <w:rsid w:val="00C61436"/>
    <w:rPr>
      <w:b/>
      <w:bCs/>
    </w:rPr>
  </w:style>
  <w:style w:type="character" w:customStyle="1" w:styleId="CommentSubjectChar">
    <w:name w:val="Comment Subject Char"/>
    <w:basedOn w:val="CommentTextChar"/>
    <w:link w:val="CommentSubject"/>
    <w:uiPriority w:val="99"/>
    <w:semiHidden/>
    <w:rsid w:val="00C61436"/>
    <w:rPr>
      <w:b/>
      <w:bCs/>
      <w:sz w:val="20"/>
      <w:szCs w:val="20"/>
    </w:rPr>
  </w:style>
  <w:style w:type="paragraph" w:customStyle="1" w:styleId="Default">
    <w:name w:val="Default"/>
    <w:rsid w:val="00BA11F4"/>
    <w:pPr>
      <w:autoSpaceDE w:val="0"/>
      <w:autoSpaceDN w:val="0"/>
      <w:adjustRightInd w:val="0"/>
    </w:pPr>
    <w:rPr>
      <w:rFonts w:ascii="Arial" w:eastAsia="SimSun" w:hAnsi="Arial" w:cs="Arial"/>
      <w:color w:val="000000"/>
      <w:lang w:eastAsia="zh-CN"/>
    </w:rPr>
  </w:style>
  <w:style w:type="paragraph" w:styleId="FootnoteText">
    <w:name w:val="footnote text"/>
    <w:basedOn w:val="Normal"/>
    <w:link w:val="FootnoteTextChar"/>
    <w:uiPriority w:val="99"/>
    <w:unhideWhenUsed/>
    <w:rsid w:val="00F10999"/>
    <w:rPr>
      <w:rFonts w:eastAsiaTheme="minorHAnsi"/>
      <w:sz w:val="20"/>
      <w:szCs w:val="20"/>
    </w:rPr>
  </w:style>
  <w:style w:type="character" w:customStyle="1" w:styleId="FootnoteTextChar">
    <w:name w:val="Footnote Text Char"/>
    <w:basedOn w:val="DefaultParagraphFont"/>
    <w:link w:val="FootnoteText"/>
    <w:uiPriority w:val="99"/>
    <w:rsid w:val="00F10999"/>
    <w:rPr>
      <w:rFonts w:eastAsiaTheme="minorHAnsi"/>
      <w:sz w:val="20"/>
      <w:szCs w:val="20"/>
    </w:rPr>
  </w:style>
  <w:style w:type="character" w:styleId="FootnoteReference">
    <w:name w:val="footnote reference"/>
    <w:basedOn w:val="DefaultParagraphFont"/>
    <w:uiPriority w:val="99"/>
    <w:semiHidden/>
    <w:unhideWhenUsed/>
    <w:rsid w:val="00F10999"/>
    <w:rPr>
      <w:vertAlign w:val="superscript"/>
    </w:rPr>
  </w:style>
  <w:style w:type="paragraph" w:styleId="NormalWeb">
    <w:name w:val="Normal (Web)"/>
    <w:basedOn w:val="Normal"/>
    <w:uiPriority w:val="99"/>
    <w:semiHidden/>
    <w:unhideWhenUsed/>
    <w:rsid w:val="003E7D5E"/>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3E7D5E"/>
    <w:rPr>
      <w:b/>
      <w:bCs/>
    </w:rPr>
  </w:style>
  <w:style w:type="paragraph" w:styleId="Header">
    <w:name w:val="header"/>
    <w:basedOn w:val="Normal"/>
    <w:link w:val="HeaderChar"/>
    <w:uiPriority w:val="99"/>
    <w:unhideWhenUsed/>
    <w:rsid w:val="00F6237A"/>
    <w:pPr>
      <w:tabs>
        <w:tab w:val="center" w:pos="4680"/>
        <w:tab w:val="right" w:pos="9360"/>
      </w:tabs>
    </w:pPr>
  </w:style>
  <w:style w:type="character" w:customStyle="1" w:styleId="HeaderChar">
    <w:name w:val="Header Char"/>
    <w:basedOn w:val="DefaultParagraphFont"/>
    <w:link w:val="Header"/>
    <w:uiPriority w:val="99"/>
    <w:rsid w:val="00F6237A"/>
  </w:style>
  <w:style w:type="paragraph" w:styleId="Footer">
    <w:name w:val="footer"/>
    <w:basedOn w:val="Normal"/>
    <w:link w:val="FooterChar"/>
    <w:uiPriority w:val="99"/>
    <w:unhideWhenUsed/>
    <w:rsid w:val="00F6237A"/>
    <w:pPr>
      <w:tabs>
        <w:tab w:val="center" w:pos="4680"/>
        <w:tab w:val="right" w:pos="9360"/>
      </w:tabs>
    </w:pPr>
  </w:style>
  <w:style w:type="character" w:customStyle="1" w:styleId="FooterChar">
    <w:name w:val="Footer Char"/>
    <w:basedOn w:val="DefaultParagraphFont"/>
    <w:link w:val="Footer"/>
    <w:uiPriority w:val="99"/>
    <w:rsid w:val="00F62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382557">
      <w:bodyDiv w:val="1"/>
      <w:marLeft w:val="0"/>
      <w:marRight w:val="0"/>
      <w:marTop w:val="0"/>
      <w:marBottom w:val="0"/>
      <w:divBdr>
        <w:top w:val="none" w:sz="0" w:space="0" w:color="auto"/>
        <w:left w:val="none" w:sz="0" w:space="0" w:color="auto"/>
        <w:bottom w:val="none" w:sz="0" w:space="0" w:color="auto"/>
        <w:right w:val="none" w:sz="0" w:space="0" w:color="auto"/>
      </w:divBdr>
      <w:divsChild>
        <w:div w:id="1989358192">
          <w:marLeft w:val="0"/>
          <w:marRight w:val="0"/>
          <w:marTop w:val="0"/>
          <w:marBottom w:val="0"/>
          <w:divBdr>
            <w:top w:val="none" w:sz="0" w:space="0" w:color="auto"/>
            <w:left w:val="none" w:sz="0" w:space="0" w:color="auto"/>
            <w:bottom w:val="none" w:sz="0" w:space="0" w:color="auto"/>
            <w:right w:val="none" w:sz="0" w:space="0" w:color="auto"/>
          </w:divBdr>
        </w:div>
        <w:div w:id="52774714">
          <w:marLeft w:val="0"/>
          <w:marRight w:val="0"/>
          <w:marTop w:val="0"/>
          <w:marBottom w:val="0"/>
          <w:divBdr>
            <w:top w:val="none" w:sz="0" w:space="0" w:color="auto"/>
            <w:left w:val="none" w:sz="0" w:space="0" w:color="auto"/>
            <w:bottom w:val="none" w:sz="0" w:space="0" w:color="auto"/>
            <w:right w:val="none" w:sz="0" w:space="0" w:color="auto"/>
          </w:divBdr>
        </w:div>
        <w:div w:id="113908134">
          <w:marLeft w:val="0"/>
          <w:marRight w:val="0"/>
          <w:marTop w:val="0"/>
          <w:marBottom w:val="0"/>
          <w:divBdr>
            <w:top w:val="none" w:sz="0" w:space="0" w:color="auto"/>
            <w:left w:val="none" w:sz="0" w:space="0" w:color="auto"/>
            <w:bottom w:val="none" w:sz="0" w:space="0" w:color="auto"/>
            <w:right w:val="none" w:sz="0" w:space="0" w:color="auto"/>
          </w:divBdr>
        </w:div>
        <w:div w:id="167916202">
          <w:marLeft w:val="0"/>
          <w:marRight w:val="0"/>
          <w:marTop w:val="0"/>
          <w:marBottom w:val="0"/>
          <w:divBdr>
            <w:top w:val="none" w:sz="0" w:space="0" w:color="auto"/>
            <w:left w:val="none" w:sz="0" w:space="0" w:color="auto"/>
            <w:bottom w:val="none" w:sz="0" w:space="0" w:color="auto"/>
            <w:right w:val="none" w:sz="0" w:space="0" w:color="auto"/>
          </w:divBdr>
        </w:div>
        <w:div w:id="822544227">
          <w:marLeft w:val="0"/>
          <w:marRight w:val="0"/>
          <w:marTop w:val="0"/>
          <w:marBottom w:val="0"/>
          <w:divBdr>
            <w:top w:val="none" w:sz="0" w:space="0" w:color="auto"/>
            <w:left w:val="none" w:sz="0" w:space="0" w:color="auto"/>
            <w:bottom w:val="none" w:sz="0" w:space="0" w:color="auto"/>
            <w:right w:val="none" w:sz="0" w:space="0" w:color="auto"/>
          </w:divBdr>
        </w:div>
        <w:div w:id="2050841399">
          <w:marLeft w:val="0"/>
          <w:marRight w:val="0"/>
          <w:marTop w:val="0"/>
          <w:marBottom w:val="0"/>
          <w:divBdr>
            <w:top w:val="none" w:sz="0" w:space="0" w:color="auto"/>
            <w:left w:val="none" w:sz="0" w:space="0" w:color="auto"/>
            <w:bottom w:val="none" w:sz="0" w:space="0" w:color="auto"/>
            <w:right w:val="none" w:sz="0" w:space="0" w:color="auto"/>
          </w:divBdr>
        </w:div>
        <w:div w:id="1897349064">
          <w:marLeft w:val="0"/>
          <w:marRight w:val="0"/>
          <w:marTop w:val="0"/>
          <w:marBottom w:val="0"/>
          <w:divBdr>
            <w:top w:val="none" w:sz="0" w:space="0" w:color="auto"/>
            <w:left w:val="none" w:sz="0" w:space="0" w:color="auto"/>
            <w:bottom w:val="none" w:sz="0" w:space="0" w:color="auto"/>
            <w:right w:val="none" w:sz="0" w:space="0" w:color="auto"/>
          </w:divBdr>
        </w:div>
        <w:div w:id="1732994103">
          <w:marLeft w:val="0"/>
          <w:marRight w:val="0"/>
          <w:marTop w:val="0"/>
          <w:marBottom w:val="0"/>
          <w:divBdr>
            <w:top w:val="none" w:sz="0" w:space="0" w:color="auto"/>
            <w:left w:val="none" w:sz="0" w:space="0" w:color="auto"/>
            <w:bottom w:val="none" w:sz="0" w:space="0" w:color="auto"/>
            <w:right w:val="none" w:sz="0" w:space="0" w:color="auto"/>
          </w:divBdr>
        </w:div>
        <w:div w:id="697194547">
          <w:marLeft w:val="0"/>
          <w:marRight w:val="0"/>
          <w:marTop w:val="0"/>
          <w:marBottom w:val="0"/>
          <w:divBdr>
            <w:top w:val="none" w:sz="0" w:space="0" w:color="auto"/>
            <w:left w:val="none" w:sz="0" w:space="0" w:color="auto"/>
            <w:bottom w:val="none" w:sz="0" w:space="0" w:color="auto"/>
            <w:right w:val="none" w:sz="0" w:space="0" w:color="auto"/>
          </w:divBdr>
        </w:div>
        <w:div w:id="773792789">
          <w:marLeft w:val="0"/>
          <w:marRight w:val="0"/>
          <w:marTop w:val="0"/>
          <w:marBottom w:val="0"/>
          <w:divBdr>
            <w:top w:val="none" w:sz="0" w:space="0" w:color="auto"/>
            <w:left w:val="none" w:sz="0" w:space="0" w:color="auto"/>
            <w:bottom w:val="none" w:sz="0" w:space="0" w:color="auto"/>
            <w:right w:val="none" w:sz="0" w:space="0" w:color="auto"/>
          </w:divBdr>
        </w:div>
        <w:div w:id="1220090499">
          <w:marLeft w:val="0"/>
          <w:marRight w:val="0"/>
          <w:marTop w:val="0"/>
          <w:marBottom w:val="0"/>
          <w:divBdr>
            <w:top w:val="none" w:sz="0" w:space="0" w:color="auto"/>
            <w:left w:val="none" w:sz="0" w:space="0" w:color="auto"/>
            <w:bottom w:val="none" w:sz="0" w:space="0" w:color="auto"/>
            <w:right w:val="none" w:sz="0" w:space="0" w:color="auto"/>
          </w:divBdr>
        </w:div>
        <w:div w:id="636647439">
          <w:marLeft w:val="0"/>
          <w:marRight w:val="0"/>
          <w:marTop w:val="0"/>
          <w:marBottom w:val="0"/>
          <w:divBdr>
            <w:top w:val="none" w:sz="0" w:space="0" w:color="auto"/>
            <w:left w:val="none" w:sz="0" w:space="0" w:color="auto"/>
            <w:bottom w:val="none" w:sz="0" w:space="0" w:color="auto"/>
            <w:right w:val="none" w:sz="0" w:space="0" w:color="auto"/>
          </w:divBdr>
        </w:div>
        <w:div w:id="336277435">
          <w:marLeft w:val="0"/>
          <w:marRight w:val="0"/>
          <w:marTop w:val="0"/>
          <w:marBottom w:val="0"/>
          <w:divBdr>
            <w:top w:val="none" w:sz="0" w:space="0" w:color="auto"/>
            <w:left w:val="none" w:sz="0" w:space="0" w:color="auto"/>
            <w:bottom w:val="none" w:sz="0" w:space="0" w:color="auto"/>
            <w:right w:val="none" w:sz="0" w:space="0" w:color="auto"/>
          </w:divBdr>
        </w:div>
        <w:div w:id="1078676581">
          <w:marLeft w:val="0"/>
          <w:marRight w:val="0"/>
          <w:marTop w:val="0"/>
          <w:marBottom w:val="0"/>
          <w:divBdr>
            <w:top w:val="none" w:sz="0" w:space="0" w:color="auto"/>
            <w:left w:val="none" w:sz="0" w:space="0" w:color="auto"/>
            <w:bottom w:val="none" w:sz="0" w:space="0" w:color="auto"/>
            <w:right w:val="none" w:sz="0" w:space="0" w:color="auto"/>
          </w:divBdr>
        </w:div>
        <w:div w:id="1848398593">
          <w:marLeft w:val="0"/>
          <w:marRight w:val="0"/>
          <w:marTop w:val="0"/>
          <w:marBottom w:val="0"/>
          <w:divBdr>
            <w:top w:val="none" w:sz="0" w:space="0" w:color="auto"/>
            <w:left w:val="none" w:sz="0" w:space="0" w:color="auto"/>
            <w:bottom w:val="none" w:sz="0" w:space="0" w:color="auto"/>
            <w:right w:val="none" w:sz="0" w:space="0" w:color="auto"/>
          </w:divBdr>
        </w:div>
        <w:div w:id="2005356048">
          <w:marLeft w:val="0"/>
          <w:marRight w:val="0"/>
          <w:marTop w:val="0"/>
          <w:marBottom w:val="0"/>
          <w:divBdr>
            <w:top w:val="none" w:sz="0" w:space="0" w:color="auto"/>
            <w:left w:val="none" w:sz="0" w:space="0" w:color="auto"/>
            <w:bottom w:val="none" w:sz="0" w:space="0" w:color="auto"/>
            <w:right w:val="none" w:sz="0" w:space="0" w:color="auto"/>
          </w:divBdr>
        </w:div>
        <w:div w:id="1614248825">
          <w:marLeft w:val="0"/>
          <w:marRight w:val="0"/>
          <w:marTop w:val="0"/>
          <w:marBottom w:val="0"/>
          <w:divBdr>
            <w:top w:val="none" w:sz="0" w:space="0" w:color="auto"/>
            <w:left w:val="none" w:sz="0" w:space="0" w:color="auto"/>
            <w:bottom w:val="none" w:sz="0" w:space="0" w:color="auto"/>
            <w:right w:val="none" w:sz="0" w:space="0" w:color="auto"/>
          </w:divBdr>
        </w:div>
        <w:div w:id="44765819">
          <w:marLeft w:val="0"/>
          <w:marRight w:val="0"/>
          <w:marTop w:val="0"/>
          <w:marBottom w:val="0"/>
          <w:divBdr>
            <w:top w:val="none" w:sz="0" w:space="0" w:color="auto"/>
            <w:left w:val="none" w:sz="0" w:space="0" w:color="auto"/>
            <w:bottom w:val="none" w:sz="0" w:space="0" w:color="auto"/>
            <w:right w:val="none" w:sz="0" w:space="0" w:color="auto"/>
          </w:divBdr>
        </w:div>
        <w:div w:id="38747925">
          <w:marLeft w:val="0"/>
          <w:marRight w:val="0"/>
          <w:marTop w:val="0"/>
          <w:marBottom w:val="0"/>
          <w:divBdr>
            <w:top w:val="none" w:sz="0" w:space="0" w:color="auto"/>
            <w:left w:val="none" w:sz="0" w:space="0" w:color="auto"/>
            <w:bottom w:val="none" w:sz="0" w:space="0" w:color="auto"/>
            <w:right w:val="none" w:sz="0" w:space="0" w:color="auto"/>
          </w:divBdr>
        </w:div>
        <w:div w:id="838691491">
          <w:marLeft w:val="0"/>
          <w:marRight w:val="0"/>
          <w:marTop w:val="0"/>
          <w:marBottom w:val="0"/>
          <w:divBdr>
            <w:top w:val="none" w:sz="0" w:space="0" w:color="auto"/>
            <w:left w:val="none" w:sz="0" w:space="0" w:color="auto"/>
            <w:bottom w:val="none" w:sz="0" w:space="0" w:color="auto"/>
            <w:right w:val="none" w:sz="0" w:space="0" w:color="auto"/>
          </w:divBdr>
        </w:div>
        <w:div w:id="186215140">
          <w:marLeft w:val="0"/>
          <w:marRight w:val="0"/>
          <w:marTop w:val="0"/>
          <w:marBottom w:val="0"/>
          <w:divBdr>
            <w:top w:val="none" w:sz="0" w:space="0" w:color="auto"/>
            <w:left w:val="none" w:sz="0" w:space="0" w:color="auto"/>
            <w:bottom w:val="none" w:sz="0" w:space="0" w:color="auto"/>
            <w:right w:val="none" w:sz="0" w:space="0" w:color="auto"/>
          </w:divBdr>
        </w:div>
        <w:div w:id="1721904499">
          <w:marLeft w:val="0"/>
          <w:marRight w:val="0"/>
          <w:marTop w:val="0"/>
          <w:marBottom w:val="0"/>
          <w:divBdr>
            <w:top w:val="none" w:sz="0" w:space="0" w:color="auto"/>
            <w:left w:val="none" w:sz="0" w:space="0" w:color="auto"/>
            <w:bottom w:val="none" w:sz="0" w:space="0" w:color="auto"/>
            <w:right w:val="none" w:sz="0" w:space="0" w:color="auto"/>
          </w:divBdr>
        </w:div>
        <w:div w:id="453443794">
          <w:marLeft w:val="0"/>
          <w:marRight w:val="0"/>
          <w:marTop w:val="0"/>
          <w:marBottom w:val="0"/>
          <w:divBdr>
            <w:top w:val="none" w:sz="0" w:space="0" w:color="auto"/>
            <w:left w:val="none" w:sz="0" w:space="0" w:color="auto"/>
            <w:bottom w:val="none" w:sz="0" w:space="0" w:color="auto"/>
            <w:right w:val="none" w:sz="0" w:space="0" w:color="auto"/>
          </w:divBdr>
        </w:div>
        <w:div w:id="1958874688">
          <w:marLeft w:val="0"/>
          <w:marRight w:val="0"/>
          <w:marTop w:val="0"/>
          <w:marBottom w:val="0"/>
          <w:divBdr>
            <w:top w:val="none" w:sz="0" w:space="0" w:color="auto"/>
            <w:left w:val="none" w:sz="0" w:space="0" w:color="auto"/>
            <w:bottom w:val="none" w:sz="0" w:space="0" w:color="auto"/>
            <w:right w:val="none" w:sz="0" w:space="0" w:color="auto"/>
          </w:divBdr>
        </w:div>
        <w:div w:id="938368795">
          <w:marLeft w:val="0"/>
          <w:marRight w:val="0"/>
          <w:marTop w:val="0"/>
          <w:marBottom w:val="0"/>
          <w:divBdr>
            <w:top w:val="none" w:sz="0" w:space="0" w:color="auto"/>
            <w:left w:val="none" w:sz="0" w:space="0" w:color="auto"/>
            <w:bottom w:val="none" w:sz="0" w:space="0" w:color="auto"/>
            <w:right w:val="none" w:sz="0" w:space="0" w:color="auto"/>
          </w:divBdr>
        </w:div>
        <w:div w:id="787704779">
          <w:marLeft w:val="0"/>
          <w:marRight w:val="0"/>
          <w:marTop w:val="0"/>
          <w:marBottom w:val="0"/>
          <w:divBdr>
            <w:top w:val="none" w:sz="0" w:space="0" w:color="auto"/>
            <w:left w:val="none" w:sz="0" w:space="0" w:color="auto"/>
            <w:bottom w:val="none" w:sz="0" w:space="0" w:color="auto"/>
            <w:right w:val="none" w:sz="0" w:space="0" w:color="auto"/>
          </w:divBdr>
        </w:div>
        <w:div w:id="2004157865">
          <w:marLeft w:val="0"/>
          <w:marRight w:val="0"/>
          <w:marTop w:val="0"/>
          <w:marBottom w:val="0"/>
          <w:divBdr>
            <w:top w:val="none" w:sz="0" w:space="0" w:color="auto"/>
            <w:left w:val="none" w:sz="0" w:space="0" w:color="auto"/>
            <w:bottom w:val="none" w:sz="0" w:space="0" w:color="auto"/>
            <w:right w:val="none" w:sz="0" w:space="0" w:color="auto"/>
          </w:divBdr>
        </w:div>
        <w:div w:id="664748035">
          <w:marLeft w:val="0"/>
          <w:marRight w:val="0"/>
          <w:marTop w:val="0"/>
          <w:marBottom w:val="0"/>
          <w:divBdr>
            <w:top w:val="none" w:sz="0" w:space="0" w:color="auto"/>
            <w:left w:val="none" w:sz="0" w:space="0" w:color="auto"/>
            <w:bottom w:val="none" w:sz="0" w:space="0" w:color="auto"/>
            <w:right w:val="none" w:sz="0" w:space="0" w:color="auto"/>
          </w:divBdr>
        </w:div>
        <w:div w:id="1626042657">
          <w:marLeft w:val="0"/>
          <w:marRight w:val="0"/>
          <w:marTop w:val="0"/>
          <w:marBottom w:val="0"/>
          <w:divBdr>
            <w:top w:val="none" w:sz="0" w:space="0" w:color="auto"/>
            <w:left w:val="none" w:sz="0" w:space="0" w:color="auto"/>
            <w:bottom w:val="none" w:sz="0" w:space="0" w:color="auto"/>
            <w:right w:val="none" w:sz="0" w:space="0" w:color="auto"/>
          </w:divBdr>
        </w:div>
        <w:div w:id="714963633">
          <w:marLeft w:val="0"/>
          <w:marRight w:val="0"/>
          <w:marTop w:val="0"/>
          <w:marBottom w:val="0"/>
          <w:divBdr>
            <w:top w:val="none" w:sz="0" w:space="0" w:color="auto"/>
            <w:left w:val="none" w:sz="0" w:space="0" w:color="auto"/>
            <w:bottom w:val="none" w:sz="0" w:space="0" w:color="auto"/>
            <w:right w:val="none" w:sz="0" w:space="0" w:color="auto"/>
          </w:divBdr>
        </w:div>
        <w:div w:id="76095641">
          <w:marLeft w:val="0"/>
          <w:marRight w:val="0"/>
          <w:marTop w:val="0"/>
          <w:marBottom w:val="0"/>
          <w:divBdr>
            <w:top w:val="none" w:sz="0" w:space="0" w:color="auto"/>
            <w:left w:val="none" w:sz="0" w:space="0" w:color="auto"/>
            <w:bottom w:val="none" w:sz="0" w:space="0" w:color="auto"/>
            <w:right w:val="none" w:sz="0" w:space="0" w:color="auto"/>
          </w:divBdr>
        </w:div>
        <w:div w:id="613831894">
          <w:marLeft w:val="0"/>
          <w:marRight w:val="0"/>
          <w:marTop w:val="0"/>
          <w:marBottom w:val="0"/>
          <w:divBdr>
            <w:top w:val="none" w:sz="0" w:space="0" w:color="auto"/>
            <w:left w:val="none" w:sz="0" w:space="0" w:color="auto"/>
            <w:bottom w:val="none" w:sz="0" w:space="0" w:color="auto"/>
            <w:right w:val="none" w:sz="0" w:space="0" w:color="auto"/>
          </w:divBdr>
        </w:div>
        <w:div w:id="767891463">
          <w:marLeft w:val="0"/>
          <w:marRight w:val="0"/>
          <w:marTop w:val="0"/>
          <w:marBottom w:val="0"/>
          <w:divBdr>
            <w:top w:val="none" w:sz="0" w:space="0" w:color="auto"/>
            <w:left w:val="none" w:sz="0" w:space="0" w:color="auto"/>
            <w:bottom w:val="none" w:sz="0" w:space="0" w:color="auto"/>
            <w:right w:val="none" w:sz="0" w:space="0" w:color="auto"/>
          </w:divBdr>
        </w:div>
        <w:div w:id="1629512639">
          <w:marLeft w:val="0"/>
          <w:marRight w:val="0"/>
          <w:marTop w:val="0"/>
          <w:marBottom w:val="0"/>
          <w:divBdr>
            <w:top w:val="none" w:sz="0" w:space="0" w:color="auto"/>
            <w:left w:val="none" w:sz="0" w:space="0" w:color="auto"/>
            <w:bottom w:val="none" w:sz="0" w:space="0" w:color="auto"/>
            <w:right w:val="none" w:sz="0" w:space="0" w:color="auto"/>
          </w:divBdr>
        </w:div>
        <w:div w:id="1321736787">
          <w:marLeft w:val="0"/>
          <w:marRight w:val="0"/>
          <w:marTop w:val="0"/>
          <w:marBottom w:val="0"/>
          <w:divBdr>
            <w:top w:val="none" w:sz="0" w:space="0" w:color="auto"/>
            <w:left w:val="none" w:sz="0" w:space="0" w:color="auto"/>
            <w:bottom w:val="none" w:sz="0" w:space="0" w:color="auto"/>
            <w:right w:val="none" w:sz="0" w:space="0" w:color="auto"/>
          </w:divBdr>
        </w:div>
        <w:div w:id="32729223">
          <w:marLeft w:val="0"/>
          <w:marRight w:val="0"/>
          <w:marTop w:val="0"/>
          <w:marBottom w:val="0"/>
          <w:divBdr>
            <w:top w:val="none" w:sz="0" w:space="0" w:color="auto"/>
            <w:left w:val="none" w:sz="0" w:space="0" w:color="auto"/>
            <w:bottom w:val="none" w:sz="0" w:space="0" w:color="auto"/>
            <w:right w:val="none" w:sz="0" w:space="0" w:color="auto"/>
          </w:divBdr>
        </w:div>
        <w:div w:id="745959078">
          <w:marLeft w:val="0"/>
          <w:marRight w:val="0"/>
          <w:marTop w:val="0"/>
          <w:marBottom w:val="0"/>
          <w:divBdr>
            <w:top w:val="none" w:sz="0" w:space="0" w:color="auto"/>
            <w:left w:val="none" w:sz="0" w:space="0" w:color="auto"/>
            <w:bottom w:val="none" w:sz="0" w:space="0" w:color="auto"/>
            <w:right w:val="none" w:sz="0" w:space="0" w:color="auto"/>
          </w:divBdr>
        </w:div>
        <w:div w:id="98257795">
          <w:marLeft w:val="0"/>
          <w:marRight w:val="0"/>
          <w:marTop w:val="0"/>
          <w:marBottom w:val="0"/>
          <w:divBdr>
            <w:top w:val="none" w:sz="0" w:space="0" w:color="auto"/>
            <w:left w:val="none" w:sz="0" w:space="0" w:color="auto"/>
            <w:bottom w:val="none" w:sz="0" w:space="0" w:color="auto"/>
            <w:right w:val="none" w:sz="0" w:space="0" w:color="auto"/>
          </w:divBdr>
        </w:div>
        <w:div w:id="1890415340">
          <w:marLeft w:val="0"/>
          <w:marRight w:val="0"/>
          <w:marTop w:val="0"/>
          <w:marBottom w:val="0"/>
          <w:divBdr>
            <w:top w:val="none" w:sz="0" w:space="0" w:color="auto"/>
            <w:left w:val="none" w:sz="0" w:space="0" w:color="auto"/>
            <w:bottom w:val="none" w:sz="0" w:space="0" w:color="auto"/>
            <w:right w:val="none" w:sz="0" w:space="0" w:color="auto"/>
          </w:divBdr>
        </w:div>
        <w:div w:id="2108501712">
          <w:marLeft w:val="0"/>
          <w:marRight w:val="0"/>
          <w:marTop w:val="0"/>
          <w:marBottom w:val="0"/>
          <w:divBdr>
            <w:top w:val="none" w:sz="0" w:space="0" w:color="auto"/>
            <w:left w:val="none" w:sz="0" w:space="0" w:color="auto"/>
            <w:bottom w:val="none" w:sz="0" w:space="0" w:color="auto"/>
            <w:right w:val="none" w:sz="0" w:space="0" w:color="auto"/>
          </w:divBdr>
        </w:div>
        <w:div w:id="1817645894">
          <w:marLeft w:val="0"/>
          <w:marRight w:val="0"/>
          <w:marTop w:val="0"/>
          <w:marBottom w:val="0"/>
          <w:divBdr>
            <w:top w:val="none" w:sz="0" w:space="0" w:color="auto"/>
            <w:left w:val="none" w:sz="0" w:space="0" w:color="auto"/>
            <w:bottom w:val="none" w:sz="0" w:space="0" w:color="auto"/>
            <w:right w:val="none" w:sz="0" w:space="0" w:color="auto"/>
          </w:divBdr>
        </w:div>
        <w:div w:id="1708872959">
          <w:marLeft w:val="0"/>
          <w:marRight w:val="0"/>
          <w:marTop w:val="0"/>
          <w:marBottom w:val="0"/>
          <w:divBdr>
            <w:top w:val="none" w:sz="0" w:space="0" w:color="auto"/>
            <w:left w:val="none" w:sz="0" w:space="0" w:color="auto"/>
            <w:bottom w:val="none" w:sz="0" w:space="0" w:color="auto"/>
            <w:right w:val="none" w:sz="0" w:space="0" w:color="auto"/>
          </w:divBdr>
        </w:div>
        <w:div w:id="1855994443">
          <w:marLeft w:val="0"/>
          <w:marRight w:val="0"/>
          <w:marTop w:val="0"/>
          <w:marBottom w:val="0"/>
          <w:divBdr>
            <w:top w:val="none" w:sz="0" w:space="0" w:color="auto"/>
            <w:left w:val="none" w:sz="0" w:space="0" w:color="auto"/>
            <w:bottom w:val="none" w:sz="0" w:space="0" w:color="auto"/>
            <w:right w:val="none" w:sz="0" w:space="0" w:color="auto"/>
          </w:divBdr>
        </w:div>
        <w:div w:id="1454441070">
          <w:marLeft w:val="0"/>
          <w:marRight w:val="0"/>
          <w:marTop w:val="0"/>
          <w:marBottom w:val="0"/>
          <w:divBdr>
            <w:top w:val="none" w:sz="0" w:space="0" w:color="auto"/>
            <w:left w:val="none" w:sz="0" w:space="0" w:color="auto"/>
            <w:bottom w:val="none" w:sz="0" w:space="0" w:color="auto"/>
            <w:right w:val="none" w:sz="0" w:space="0" w:color="auto"/>
          </w:divBdr>
        </w:div>
        <w:div w:id="912004510">
          <w:marLeft w:val="0"/>
          <w:marRight w:val="0"/>
          <w:marTop w:val="0"/>
          <w:marBottom w:val="0"/>
          <w:divBdr>
            <w:top w:val="none" w:sz="0" w:space="0" w:color="auto"/>
            <w:left w:val="none" w:sz="0" w:space="0" w:color="auto"/>
            <w:bottom w:val="none" w:sz="0" w:space="0" w:color="auto"/>
            <w:right w:val="none" w:sz="0" w:space="0" w:color="auto"/>
          </w:divBdr>
        </w:div>
        <w:div w:id="1426462640">
          <w:marLeft w:val="0"/>
          <w:marRight w:val="0"/>
          <w:marTop w:val="0"/>
          <w:marBottom w:val="0"/>
          <w:divBdr>
            <w:top w:val="none" w:sz="0" w:space="0" w:color="auto"/>
            <w:left w:val="none" w:sz="0" w:space="0" w:color="auto"/>
            <w:bottom w:val="none" w:sz="0" w:space="0" w:color="auto"/>
            <w:right w:val="none" w:sz="0" w:space="0" w:color="auto"/>
          </w:divBdr>
        </w:div>
        <w:div w:id="1482693799">
          <w:marLeft w:val="0"/>
          <w:marRight w:val="0"/>
          <w:marTop w:val="0"/>
          <w:marBottom w:val="0"/>
          <w:divBdr>
            <w:top w:val="none" w:sz="0" w:space="0" w:color="auto"/>
            <w:left w:val="none" w:sz="0" w:space="0" w:color="auto"/>
            <w:bottom w:val="none" w:sz="0" w:space="0" w:color="auto"/>
            <w:right w:val="none" w:sz="0" w:space="0" w:color="auto"/>
          </w:divBdr>
        </w:div>
        <w:div w:id="1086613361">
          <w:marLeft w:val="0"/>
          <w:marRight w:val="0"/>
          <w:marTop w:val="0"/>
          <w:marBottom w:val="0"/>
          <w:divBdr>
            <w:top w:val="none" w:sz="0" w:space="0" w:color="auto"/>
            <w:left w:val="none" w:sz="0" w:space="0" w:color="auto"/>
            <w:bottom w:val="none" w:sz="0" w:space="0" w:color="auto"/>
            <w:right w:val="none" w:sz="0" w:space="0" w:color="auto"/>
          </w:divBdr>
        </w:div>
        <w:div w:id="2032337721">
          <w:marLeft w:val="0"/>
          <w:marRight w:val="0"/>
          <w:marTop w:val="0"/>
          <w:marBottom w:val="0"/>
          <w:divBdr>
            <w:top w:val="none" w:sz="0" w:space="0" w:color="auto"/>
            <w:left w:val="none" w:sz="0" w:space="0" w:color="auto"/>
            <w:bottom w:val="none" w:sz="0" w:space="0" w:color="auto"/>
            <w:right w:val="none" w:sz="0" w:space="0" w:color="auto"/>
          </w:divBdr>
        </w:div>
        <w:div w:id="488209390">
          <w:marLeft w:val="0"/>
          <w:marRight w:val="0"/>
          <w:marTop w:val="0"/>
          <w:marBottom w:val="0"/>
          <w:divBdr>
            <w:top w:val="none" w:sz="0" w:space="0" w:color="auto"/>
            <w:left w:val="none" w:sz="0" w:space="0" w:color="auto"/>
            <w:bottom w:val="none" w:sz="0" w:space="0" w:color="auto"/>
            <w:right w:val="none" w:sz="0" w:space="0" w:color="auto"/>
          </w:divBdr>
        </w:div>
        <w:div w:id="2076471676">
          <w:marLeft w:val="0"/>
          <w:marRight w:val="0"/>
          <w:marTop w:val="0"/>
          <w:marBottom w:val="0"/>
          <w:divBdr>
            <w:top w:val="none" w:sz="0" w:space="0" w:color="auto"/>
            <w:left w:val="none" w:sz="0" w:space="0" w:color="auto"/>
            <w:bottom w:val="none" w:sz="0" w:space="0" w:color="auto"/>
            <w:right w:val="none" w:sz="0" w:space="0" w:color="auto"/>
          </w:divBdr>
        </w:div>
        <w:div w:id="1066761527">
          <w:marLeft w:val="0"/>
          <w:marRight w:val="0"/>
          <w:marTop w:val="0"/>
          <w:marBottom w:val="0"/>
          <w:divBdr>
            <w:top w:val="none" w:sz="0" w:space="0" w:color="auto"/>
            <w:left w:val="none" w:sz="0" w:space="0" w:color="auto"/>
            <w:bottom w:val="none" w:sz="0" w:space="0" w:color="auto"/>
            <w:right w:val="none" w:sz="0" w:space="0" w:color="auto"/>
          </w:divBdr>
        </w:div>
        <w:div w:id="1393432280">
          <w:marLeft w:val="0"/>
          <w:marRight w:val="0"/>
          <w:marTop w:val="0"/>
          <w:marBottom w:val="0"/>
          <w:divBdr>
            <w:top w:val="none" w:sz="0" w:space="0" w:color="auto"/>
            <w:left w:val="none" w:sz="0" w:space="0" w:color="auto"/>
            <w:bottom w:val="none" w:sz="0" w:space="0" w:color="auto"/>
            <w:right w:val="none" w:sz="0" w:space="0" w:color="auto"/>
          </w:divBdr>
        </w:div>
        <w:div w:id="1789346932">
          <w:marLeft w:val="0"/>
          <w:marRight w:val="0"/>
          <w:marTop w:val="0"/>
          <w:marBottom w:val="0"/>
          <w:divBdr>
            <w:top w:val="none" w:sz="0" w:space="0" w:color="auto"/>
            <w:left w:val="none" w:sz="0" w:space="0" w:color="auto"/>
            <w:bottom w:val="none" w:sz="0" w:space="0" w:color="auto"/>
            <w:right w:val="none" w:sz="0" w:space="0" w:color="auto"/>
          </w:divBdr>
        </w:div>
        <w:div w:id="628166715">
          <w:marLeft w:val="0"/>
          <w:marRight w:val="0"/>
          <w:marTop w:val="0"/>
          <w:marBottom w:val="0"/>
          <w:divBdr>
            <w:top w:val="none" w:sz="0" w:space="0" w:color="auto"/>
            <w:left w:val="none" w:sz="0" w:space="0" w:color="auto"/>
            <w:bottom w:val="none" w:sz="0" w:space="0" w:color="auto"/>
            <w:right w:val="none" w:sz="0" w:space="0" w:color="auto"/>
          </w:divBdr>
        </w:div>
        <w:div w:id="684984576">
          <w:marLeft w:val="0"/>
          <w:marRight w:val="0"/>
          <w:marTop w:val="0"/>
          <w:marBottom w:val="0"/>
          <w:divBdr>
            <w:top w:val="none" w:sz="0" w:space="0" w:color="auto"/>
            <w:left w:val="none" w:sz="0" w:space="0" w:color="auto"/>
            <w:bottom w:val="none" w:sz="0" w:space="0" w:color="auto"/>
            <w:right w:val="none" w:sz="0" w:space="0" w:color="auto"/>
          </w:divBdr>
        </w:div>
        <w:div w:id="1028024877">
          <w:marLeft w:val="0"/>
          <w:marRight w:val="0"/>
          <w:marTop w:val="0"/>
          <w:marBottom w:val="0"/>
          <w:divBdr>
            <w:top w:val="none" w:sz="0" w:space="0" w:color="auto"/>
            <w:left w:val="none" w:sz="0" w:space="0" w:color="auto"/>
            <w:bottom w:val="none" w:sz="0" w:space="0" w:color="auto"/>
            <w:right w:val="none" w:sz="0" w:space="0" w:color="auto"/>
          </w:divBdr>
        </w:div>
        <w:div w:id="1979455754">
          <w:marLeft w:val="0"/>
          <w:marRight w:val="0"/>
          <w:marTop w:val="0"/>
          <w:marBottom w:val="0"/>
          <w:divBdr>
            <w:top w:val="none" w:sz="0" w:space="0" w:color="auto"/>
            <w:left w:val="none" w:sz="0" w:space="0" w:color="auto"/>
            <w:bottom w:val="none" w:sz="0" w:space="0" w:color="auto"/>
            <w:right w:val="none" w:sz="0" w:space="0" w:color="auto"/>
          </w:divBdr>
        </w:div>
        <w:div w:id="818886805">
          <w:marLeft w:val="0"/>
          <w:marRight w:val="0"/>
          <w:marTop w:val="0"/>
          <w:marBottom w:val="0"/>
          <w:divBdr>
            <w:top w:val="none" w:sz="0" w:space="0" w:color="auto"/>
            <w:left w:val="none" w:sz="0" w:space="0" w:color="auto"/>
            <w:bottom w:val="none" w:sz="0" w:space="0" w:color="auto"/>
            <w:right w:val="none" w:sz="0" w:space="0" w:color="auto"/>
          </w:divBdr>
        </w:div>
        <w:div w:id="847718155">
          <w:marLeft w:val="0"/>
          <w:marRight w:val="0"/>
          <w:marTop w:val="0"/>
          <w:marBottom w:val="0"/>
          <w:divBdr>
            <w:top w:val="none" w:sz="0" w:space="0" w:color="auto"/>
            <w:left w:val="none" w:sz="0" w:space="0" w:color="auto"/>
            <w:bottom w:val="none" w:sz="0" w:space="0" w:color="auto"/>
            <w:right w:val="none" w:sz="0" w:space="0" w:color="auto"/>
          </w:divBdr>
        </w:div>
        <w:div w:id="1618176770">
          <w:marLeft w:val="0"/>
          <w:marRight w:val="0"/>
          <w:marTop w:val="0"/>
          <w:marBottom w:val="0"/>
          <w:divBdr>
            <w:top w:val="none" w:sz="0" w:space="0" w:color="auto"/>
            <w:left w:val="none" w:sz="0" w:space="0" w:color="auto"/>
            <w:bottom w:val="none" w:sz="0" w:space="0" w:color="auto"/>
            <w:right w:val="none" w:sz="0" w:space="0" w:color="auto"/>
          </w:divBdr>
        </w:div>
        <w:div w:id="1184436118">
          <w:marLeft w:val="0"/>
          <w:marRight w:val="0"/>
          <w:marTop w:val="0"/>
          <w:marBottom w:val="0"/>
          <w:divBdr>
            <w:top w:val="none" w:sz="0" w:space="0" w:color="auto"/>
            <w:left w:val="none" w:sz="0" w:space="0" w:color="auto"/>
            <w:bottom w:val="none" w:sz="0" w:space="0" w:color="auto"/>
            <w:right w:val="none" w:sz="0" w:space="0" w:color="auto"/>
          </w:divBdr>
        </w:div>
        <w:div w:id="70126781">
          <w:marLeft w:val="0"/>
          <w:marRight w:val="0"/>
          <w:marTop w:val="0"/>
          <w:marBottom w:val="0"/>
          <w:divBdr>
            <w:top w:val="none" w:sz="0" w:space="0" w:color="auto"/>
            <w:left w:val="none" w:sz="0" w:space="0" w:color="auto"/>
            <w:bottom w:val="none" w:sz="0" w:space="0" w:color="auto"/>
            <w:right w:val="none" w:sz="0" w:space="0" w:color="auto"/>
          </w:divBdr>
        </w:div>
        <w:div w:id="947658759">
          <w:marLeft w:val="0"/>
          <w:marRight w:val="0"/>
          <w:marTop w:val="0"/>
          <w:marBottom w:val="0"/>
          <w:divBdr>
            <w:top w:val="none" w:sz="0" w:space="0" w:color="auto"/>
            <w:left w:val="none" w:sz="0" w:space="0" w:color="auto"/>
            <w:bottom w:val="none" w:sz="0" w:space="0" w:color="auto"/>
            <w:right w:val="none" w:sz="0" w:space="0" w:color="auto"/>
          </w:divBdr>
        </w:div>
        <w:div w:id="1233660626">
          <w:marLeft w:val="0"/>
          <w:marRight w:val="0"/>
          <w:marTop w:val="0"/>
          <w:marBottom w:val="0"/>
          <w:divBdr>
            <w:top w:val="none" w:sz="0" w:space="0" w:color="auto"/>
            <w:left w:val="none" w:sz="0" w:space="0" w:color="auto"/>
            <w:bottom w:val="none" w:sz="0" w:space="0" w:color="auto"/>
            <w:right w:val="none" w:sz="0" w:space="0" w:color="auto"/>
          </w:divBdr>
        </w:div>
        <w:div w:id="1613976018">
          <w:marLeft w:val="0"/>
          <w:marRight w:val="0"/>
          <w:marTop w:val="0"/>
          <w:marBottom w:val="0"/>
          <w:divBdr>
            <w:top w:val="none" w:sz="0" w:space="0" w:color="auto"/>
            <w:left w:val="none" w:sz="0" w:space="0" w:color="auto"/>
            <w:bottom w:val="none" w:sz="0" w:space="0" w:color="auto"/>
            <w:right w:val="none" w:sz="0" w:space="0" w:color="auto"/>
          </w:divBdr>
        </w:div>
        <w:div w:id="302004937">
          <w:marLeft w:val="0"/>
          <w:marRight w:val="0"/>
          <w:marTop w:val="0"/>
          <w:marBottom w:val="0"/>
          <w:divBdr>
            <w:top w:val="none" w:sz="0" w:space="0" w:color="auto"/>
            <w:left w:val="none" w:sz="0" w:space="0" w:color="auto"/>
            <w:bottom w:val="none" w:sz="0" w:space="0" w:color="auto"/>
            <w:right w:val="none" w:sz="0" w:space="0" w:color="auto"/>
          </w:divBdr>
        </w:div>
        <w:div w:id="977076297">
          <w:marLeft w:val="0"/>
          <w:marRight w:val="0"/>
          <w:marTop w:val="0"/>
          <w:marBottom w:val="0"/>
          <w:divBdr>
            <w:top w:val="none" w:sz="0" w:space="0" w:color="auto"/>
            <w:left w:val="none" w:sz="0" w:space="0" w:color="auto"/>
            <w:bottom w:val="none" w:sz="0" w:space="0" w:color="auto"/>
            <w:right w:val="none" w:sz="0" w:space="0" w:color="auto"/>
          </w:divBdr>
        </w:div>
        <w:div w:id="2044595181">
          <w:marLeft w:val="0"/>
          <w:marRight w:val="0"/>
          <w:marTop w:val="0"/>
          <w:marBottom w:val="0"/>
          <w:divBdr>
            <w:top w:val="none" w:sz="0" w:space="0" w:color="auto"/>
            <w:left w:val="none" w:sz="0" w:space="0" w:color="auto"/>
            <w:bottom w:val="none" w:sz="0" w:space="0" w:color="auto"/>
            <w:right w:val="none" w:sz="0" w:space="0" w:color="auto"/>
          </w:divBdr>
        </w:div>
        <w:div w:id="482620430">
          <w:marLeft w:val="0"/>
          <w:marRight w:val="0"/>
          <w:marTop w:val="0"/>
          <w:marBottom w:val="0"/>
          <w:divBdr>
            <w:top w:val="none" w:sz="0" w:space="0" w:color="auto"/>
            <w:left w:val="none" w:sz="0" w:space="0" w:color="auto"/>
            <w:bottom w:val="none" w:sz="0" w:space="0" w:color="auto"/>
            <w:right w:val="none" w:sz="0" w:space="0" w:color="auto"/>
          </w:divBdr>
        </w:div>
        <w:div w:id="562108433">
          <w:marLeft w:val="0"/>
          <w:marRight w:val="0"/>
          <w:marTop w:val="0"/>
          <w:marBottom w:val="0"/>
          <w:divBdr>
            <w:top w:val="none" w:sz="0" w:space="0" w:color="auto"/>
            <w:left w:val="none" w:sz="0" w:space="0" w:color="auto"/>
            <w:bottom w:val="none" w:sz="0" w:space="0" w:color="auto"/>
            <w:right w:val="none" w:sz="0" w:space="0" w:color="auto"/>
          </w:divBdr>
        </w:div>
        <w:div w:id="1426808936">
          <w:marLeft w:val="0"/>
          <w:marRight w:val="0"/>
          <w:marTop w:val="0"/>
          <w:marBottom w:val="0"/>
          <w:divBdr>
            <w:top w:val="none" w:sz="0" w:space="0" w:color="auto"/>
            <w:left w:val="none" w:sz="0" w:space="0" w:color="auto"/>
            <w:bottom w:val="none" w:sz="0" w:space="0" w:color="auto"/>
            <w:right w:val="none" w:sz="0" w:space="0" w:color="auto"/>
          </w:divBdr>
        </w:div>
        <w:div w:id="428506402">
          <w:marLeft w:val="0"/>
          <w:marRight w:val="0"/>
          <w:marTop w:val="0"/>
          <w:marBottom w:val="0"/>
          <w:divBdr>
            <w:top w:val="none" w:sz="0" w:space="0" w:color="auto"/>
            <w:left w:val="none" w:sz="0" w:space="0" w:color="auto"/>
            <w:bottom w:val="none" w:sz="0" w:space="0" w:color="auto"/>
            <w:right w:val="none" w:sz="0" w:space="0" w:color="auto"/>
          </w:divBdr>
        </w:div>
      </w:divsChild>
    </w:div>
    <w:div w:id="831943100">
      <w:bodyDiv w:val="1"/>
      <w:marLeft w:val="0"/>
      <w:marRight w:val="0"/>
      <w:marTop w:val="0"/>
      <w:marBottom w:val="0"/>
      <w:divBdr>
        <w:top w:val="none" w:sz="0" w:space="0" w:color="auto"/>
        <w:left w:val="none" w:sz="0" w:space="0" w:color="auto"/>
        <w:bottom w:val="none" w:sz="0" w:space="0" w:color="auto"/>
        <w:right w:val="none" w:sz="0" w:space="0" w:color="auto"/>
      </w:divBdr>
    </w:div>
    <w:div w:id="2128354998">
      <w:bodyDiv w:val="1"/>
      <w:marLeft w:val="0"/>
      <w:marRight w:val="0"/>
      <w:marTop w:val="0"/>
      <w:marBottom w:val="0"/>
      <w:divBdr>
        <w:top w:val="none" w:sz="0" w:space="0" w:color="auto"/>
        <w:left w:val="none" w:sz="0" w:space="0" w:color="auto"/>
        <w:bottom w:val="none" w:sz="0" w:space="0" w:color="auto"/>
        <w:right w:val="none" w:sz="0" w:space="0" w:color="auto"/>
      </w:divBdr>
      <w:divsChild>
        <w:div w:id="1876308378">
          <w:marLeft w:val="0"/>
          <w:marRight w:val="0"/>
          <w:marTop w:val="0"/>
          <w:marBottom w:val="0"/>
          <w:divBdr>
            <w:top w:val="none" w:sz="0" w:space="0" w:color="auto"/>
            <w:left w:val="none" w:sz="0" w:space="0" w:color="auto"/>
            <w:bottom w:val="none" w:sz="0" w:space="0" w:color="auto"/>
            <w:right w:val="none" w:sz="0" w:space="0" w:color="auto"/>
          </w:divBdr>
          <w:divsChild>
            <w:div w:id="944844525">
              <w:marLeft w:val="0"/>
              <w:marRight w:val="0"/>
              <w:marTop w:val="0"/>
              <w:marBottom w:val="0"/>
              <w:divBdr>
                <w:top w:val="none" w:sz="0" w:space="0" w:color="auto"/>
                <w:left w:val="none" w:sz="0" w:space="0" w:color="auto"/>
                <w:bottom w:val="none" w:sz="0" w:space="0" w:color="auto"/>
                <w:right w:val="none" w:sz="0" w:space="0" w:color="auto"/>
              </w:divBdr>
            </w:div>
            <w:div w:id="1622374356">
              <w:marLeft w:val="0"/>
              <w:marRight w:val="0"/>
              <w:marTop w:val="0"/>
              <w:marBottom w:val="0"/>
              <w:divBdr>
                <w:top w:val="none" w:sz="0" w:space="0" w:color="auto"/>
                <w:left w:val="none" w:sz="0" w:space="0" w:color="auto"/>
                <w:bottom w:val="none" w:sz="0" w:space="0" w:color="auto"/>
                <w:right w:val="none" w:sz="0" w:space="0" w:color="auto"/>
              </w:divBdr>
            </w:div>
            <w:div w:id="834611746">
              <w:marLeft w:val="0"/>
              <w:marRight w:val="0"/>
              <w:marTop w:val="0"/>
              <w:marBottom w:val="0"/>
              <w:divBdr>
                <w:top w:val="none" w:sz="0" w:space="0" w:color="auto"/>
                <w:left w:val="none" w:sz="0" w:space="0" w:color="auto"/>
                <w:bottom w:val="none" w:sz="0" w:space="0" w:color="auto"/>
                <w:right w:val="none" w:sz="0" w:space="0" w:color="auto"/>
              </w:divBdr>
            </w:div>
            <w:div w:id="14039196">
              <w:marLeft w:val="0"/>
              <w:marRight w:val="0"/>
              <w:marTop w:val="0"/>
              <w:marBottom w:val="0"/>
              <w:divBdr>
                <w:top w:val="none" w:sz="0" w:space="0" w:color="auto"/>
                <w:left w:val="none" w:sz="0" w:space="0" w:color="auto"/>
                <w:bottom w:val="none" w:sz="0" w:space="0" w:color="auto"/>
                <w:right w:val="none" w:sz="0" w:space="0" w:color="auto"/>
              </w:divBdr>
            </w:div>
            <w:div w:id="1544829476">
              <w:marLeft w:val="0"/>
              <w:marRight w:val="0"/>
              <w:marTop w:val="0"/>
              <w:marBottom w:val="0"/>
              <w:divBdr>
                <w:top w:val="none" w:sz="0" w:space="0" w:color="auto"/>
                <w:left w:val="none" w:sz="0" w:space="0" w:color="auto"/>
                <w:bottom w:val="none" w:sz="0" w:space="0" w:color="auto"/>
                <w:right w:val="none" w:sz="0" w:space="0" w:color="auto"/>
              </w:divBdr>
            </w:div>
            <w:div w:id="495271994">
              <w:marLeft w:val="0"/>
              <w:marRight w:val="0"/>
              <w:marTop w:val="0"/>
              <w:marBottom w:val="0"/>
              <w:divBdr>
                <w:top w:val="none" w:sz="0" w:space="0" w:color="auto"/>
                <w:left w:val="none" w:sz="0" w:space="0" w:color="auto"/>
                <w:bottom w:val="none" w:sz="0" w:space="0" w:color="auto"/>
                <w:right w:val="none" w:sz="0" w:space="0" w:color="auto"/>
              </w:divBdr>
            </w:div>
            <w:div w:id="2059434281">
              <w:marLeft w:val="0"/>
              <w:marRight w:val="0"/>
              <w:marTop w:val="0"/>
              <w:marBottom w:val="0"/>
              <w:divBdr>
                <w:top w:val="none" w:sz="0" w:space="0" w:color="auto"/>
                <w:left w:val="none" w:sz="0" w:space="0" w:color="auto"/>
                <w:bottom w:val="none" w:sz="0" w:space="0" w:color="auto"/>
                <w:right w:val="none" w:sz="0" w:space="0" w:color="auto"/>
              </w:divBdr>
            </w:div>
            <w:div w:id="1337730726">
              <w:marLeft w:val="0"/>
              <w:marRight w:val="0"/>
              <w:marTop w:val="0"/>
              <w:marBottom w:val="0"/>
              <w:divBdr>
                <w:top w:val="none" w:sz="0" w:space="0" w:color="auto"/>
                <w:left w:val="none" w:sz="0" w:space="0" w:color="auto"/>
                <w:bottom w:val="none" w:sz="0" w:space="0" w:color="auto"/>
                <w:right w:val="none" w:sz="0" w:space="0" w:color="auto"/>
              </w:divBdr>
            </w:div>
            <w:div w:id="1387794926">
              <w:marLeft w:val="0"/>
              <w:marRight w:val="0"/>
              <w:marTop w:val="0"/>
              <w:marBottom w:val="0"/>
              <w:divBdr>
                <w:top w:val="none" w:sz="0" w:space="0" w:color="auto"/>
                <w:left w:val="none" w:sz="0" w:space="0" w:color="auto"/>
                <w:bottom w:val="none" w:sz="0" w:space="0" w:color="auto"/>
                <w:right w:val="none" w:sz="0" w:space="0" w:color="auto"/>
              </w:divBdr>
            </w:div>
            <w:div w:id="1828351640">
              <w:marLeft w:val="0"/>
              <w:marRight w:val="0"/>
              <w:marTop w:val="0"/>
              <w:marBottom w:val="0"/>
              <w:divBdr>
                <w:top w:val="none" w:sz="0" w:space="0" w:color="auto"/>
                <w:left w:val="none" w:sz="0" w:space="0" w:color="auto"/>
                <w:bottom w:val="none" w:sz="0" w:space="0" w:color="auto"/>
                <w:right w:val="none" w:sz="0" w:space="0" w:color="auto"/>
              </w:divBdr>
            </w:div>
            <w:div w:id="1642418244">
              <w:marLeft w:val="0"/>
              <w:marRight w:val="0"/>
              <w:marTop w:val="0"/>
              <w:marBottom w:val="0"/>
              <w:divBdr>
                <w:top w:val="none" w:sz="0" w:space="0" w:color="auto"/>
                <w:left w:val="none" w:sz="0" w:space="0" w:color="auto"/>
                <w:bottom w:val="none" w:sz="0" w:space="0" w:color="auto"/>
                <w:right w:val="none" w:sz="0" w:space="0" w:color="auto"/>
              </w:divBdr>
            </w:div>
            <w:div w:id="1542553019">
              <w:marLeft w:val="0"/>
              <w:marRight w:val="0"/>
              <w:marTop w:val="0"/>
              <w:marBottom w:val="0"/>
              <w:divBdr>
                <w:top w:val="none" w:sz="0" w:space="0" w:color="auto"/>
                <w:left w:val="none" w:sz="0" w:space="0" w:color="auto"/>
                <w:bottom w:val="none" w:sz="0" w:space="0" w:color="auto"/>
                <w:right w:val="none" w:sz="0" w:space="0" w:color="auto"/>
              </w:divBdr>
            </w:div>
            <w:div w:id="460153987">
              <w:marLeft w:val="0"/>
              <w:marRight w:val="0"/>
              <w:marTop w:val="0"/>
              <w:marBottom w:val="0"/>
              <w:divBdr>
                <w:top w:val="none" w:sz="0" w:space="0" w:color="auto"/>
                <w:left w:val="none" w:sz="0" w:space="0" w:color="auto"/>
                <w:bottom w:val="none" w:sz="0" w:space="0" w:color="auto"/>
                <w:right w:val="none" w:sz="0" w:space="0" w:color="auto"/>
              </w:divBdr>
            </w:div>
            <w:div w:id="446629146">
              <w:marLeft w:val="0"/>
              <w:marRight w:val="0"/>
              <w:marTop w:val="0"/>
              <w:marBottom w:val="0"/>
              <w:divBdr>
                <w:top w:val="none" w:sz="0" w:space="0" w:color="auto"/>
                <w:left w:val="none" w:sz="0" w:space="0" w:color="auto"/>
                <w:bottom w:val="none" w:sz="0" w:space="0" w:color="auto"/>
                <w:right w:val="none" w:sz="0" w:space="0" w:color="auto"/>
              </w:divBdr>
            </w:div>
            <w:div w:id="1165902790">
              <w:marLeft w:val="0"/>
              <w:marRight w:val="0"/>
              <w:marTop w:val="0"/>
              <w:marBottom w:val="0"/>
              <w:divBdr>
                <w:top w:val="none" w:sz="0" w:space="0" w:color="auto"/>
                <w:left w:val="none" w:sz="0" w:space="0" w:color="auto"/>
                <w:bottom w:val="none" w:sz="0" w:space="0" w:color="auto"/>
                <w:right w:val="none" w:sz="0" w:space="0" w:color="auto"/>
              </w:divBdr>
            </w:div>
            <w:div w:id="209726561">
              <w:marLeft w:val="0"/>
              <w:marRight w:val="0"/>
              <w:marTop w:val="0"/>
              <w:marBottom w:val="0"/>
              <w:divBdr>
                <w:top w:val="none" w:sz="0" w:space="0" w:color="auto"/>
                <w:left w:val="none" w:sz="0" w:space="0" w:color="auto"/>
                <w:bottom w:val="none" w:sz="0" w:space="0" w:color="auto"/>
                <w:right w:val="none" w:sz="0" w:space="0" w:color="auto"/>
              </w:divBdr>
            </w:div>
            <w:div w:id="708838063">
              <w:marLeft w:val="0"/>
              <w:marRight w:val="0"/>
              <w:marTop w:val="0"/>
              <w:marBottom w:val="0"/>
              <w:divBdr>
                <w:top w:val="none" w:sz="0" w:space="0" w:color="auto"/>
                <w:left w:val="none" w:sz="0" w:space="0" w:color="auto"/>
                <w:bottom w:val="none" w:sz="0" w:space="0" w:color="auto"/>
                <w:right w:val="none" w:sz="0" w:space="0" w:color="auto"/>
              </w:divBdr>
            </w:div>
            <w:div w:id="2104953345">
              <w:marLeft w:val="0"/>
              <w:marRight w:val="0"/>
              <w:marTop w:val="0"/>
              <w:marBottom w:val="0"/>
              <w:divBdr>
                <w:top w:val="none" w:sz="0" w:space="0" w:color="auto"/>
                <w:left w:val="none" w:sz="0" w:space="0" w:color="auto"/>
                <w:bottom w:val="none" w:sz="0" w:space="0" w:color="auto"/>
                <w:right w:val="none" w:sz="0" w:space="0" w:color="auto"/>
              </w:divBdr>
            </w:div>
            <w:div w:id="1245188407">
              <w:marLeft w:val="0"/>
              <w:marRight w:val="0"/>
              <w:marTop w:val="0"/>
              <w:marBottom w:val="0"/>
              <w:divBdr>
                <w:top w:val="none" w:sz="0" w:space="0" w:color="auto"/>
                <w:left w:val="none" w:sz="0" w:space="0" w:color="auto"/>
                <w:bottom w:val="none" w:sz="0" w:space="0" w:color="auto"/>
                <w:right w:val="none" w:sz="0" w:space="0" w:color="auto"/>
              </w:divBdr>
            </w:div>
            <w:div w:id="185601618">
              <w:marLeft w:val="0"/>
              <w:marRight w:val="0"/>
              <w:marTop w:val="0"/>
              <w:marBottom w:val="0"/>
              <w:divBdr>
                <w:top w:val="none" w:sz="0" w:space="0" w:color="auto"/>
                <w:left w:val="none" w:sz="0" w:space="0" w:color="auto"/>
                <w:bottom w:val="none" w:sz="0" w:space="0" w:color="auto"/>
                <w:right w:val="none" w:sz="0" w:space="0" w:color="auto"/>
              </w:divBdr>
            </w:div>
            <w:div w:id="1823042639">
              <w:marLeft w:val="0"/>
              <w:marRight w:val="0"/>
              <w:marTop w:val="0"/>
              <w:marBottom w:val="0"/>
              <w:divBdr>
                <w:top w:val="none" w:sz="0" w:space="0" w:color="auto"/>
                <w:left w:val="none" w:sz="0" w:space="0" w:color="auto"/>
                <w:bottom w:val="none" w:sz="0" w:space="0" w:color="auto"/>
                <w:right w:val="none" w:sz="0" w:space="0" w:color="auto"/>
              </w:divBdr>
            </w:div>
            <w:div w:id="1097405615">
              <w:marLeft w:val="0"/>
              <w:marRight w:val="0"/>
              <w:marTop w:val="0"/>
              <w:marBottom w:val="0"/>
              <w:divBdr>
                <w:top w:val="none" w:sz="0" w:space="0" w:color="auto"/>
                <w:left w:val="none" w:sz="0" w:space="0" w:color="auto"/>
                <w:bottom w:val="none" w:sz="0" w:space="0" w:color="auto"/>
                <w:right w:val="none" w:sz="0" w:space="0" w:color="auto"/>
              </w:divBdr>
            </w:div>
            <w:div w:id="2056733214">
              <w:marLeft w:val="0"/>
              <w:marRight w:val="0"/>
              <w:marTop w:val="0"/>
              <w:marBottom w:val="0"/>
              <w:divBdr>
                <w:top w:val="none" w:sz="0" w:space="0" w:color="auto"/>
                <w:left w:val="none" w:sz="0" w:space="0" w:color="auto"/>
                <w:bottom w:val="none" w:sz="0" w:space="0" w:color="auto"/>
                <w:right w:val="none" w:sz="0" w:space="0" w:color="auto"/>
              </w:divBdr>
            </w:div>
            <w:div w:id="55907239">
              <w:marLeft w:val="0"/>
              <w:marRight w:val="0"/>
              <w:marTop w:val="0"/>
              <w:marBottom w:val="0"/>
              <w:divBdr>
                <w:top w:val="none" w:sz="0" w:space="0" w:color="auto"/>
                <w:left w:val="none" w:sz="0" w:space="0" w:color="auto"/>
                <w:bottom w:val="none" w:sz="0" w:space="0" w:color="auto"/>
                <w:right w:val="none" w:sz="0" w:space="0" w:color="auto"/>
              </w:divBdr>
            </w:div>
            <w:div w:id="207228986">
              <w:marLeft w:val="0"/>
              <w:marRight w:val="0"/>
              <w:marTop w:val="0"/>
              <w:marBottom w:val="0"/>
              <w:divBdr>
                <w:top w:val="none" w:sz="0" w:space="0" w:color="auto"/>
                <w:left w:val="none" w:sz="0" w:space="0" w:color="auto"/>
                <w:bottom w:val="none" w:sz="0" w:space="0" w:color="auto"/>
                <w:right w:val="none" w:sz="0" w:space="0" w:color="auto"/>
              </w:divBdr>
            </w:div>
            <w:div w:id="250286750">
              <w:marLeft w:val="0"/>
              <w:marRight w:val="0"/>
              <w:marTop w:val="0"/>
              <w:marBottom w:val="0"/>
              <w:divBdr>
                <w:top w:val="none" w:sz="0" w:space="0" w:color="auto"/>
                <w:left w:val="none" w:sz="0" w:space="0" w:color="auto"/>
                <w:bottom w:val="none" w:sz="0" w:space="0" w:color="auto"/>
                <w:right w:val="none" w:sz="0" w:space="0" w:color="auto"/>
              </w:divBdr>
            </w:div>
            <w:div w:id="1272906179">
              <w:marLeft w:val="0"/>
              <w:marRight w:val="0"/>
              <w:marTop w:val="0"/>
              <w:marBottom w:val="0"/>
              <w:divBdr>
                <w:top w:val="none" w:sz="0" w:space="0" w:color="auto"/>
                <w:left w:val="none" w:sz="0" w:space="0" w:color="auto"/>
                <w:bottom w:val="none" w:sz="0" w:space="0" w:color="auto"/>
                <w:right w:val="none" w:sz="0" w:space="0" w:color="auto"/>
              </w:divBdr>
            </w:div>
            <w:div w:id="471486526">
              <w:marLeft w:val="0"/>
              <w:marRight w:val="0"/>
              <w:marTop w:val="0"/>
              <w:marBottom w:val="0"/>
              <w:divBdr>
                <w:top w:val="none" w:sz="0" w:space="0" w:color="auto"/>
                <w:left w:val="none" w:sz="0" w:space="0" w:color="auto"/>
                <w:bottom w:val="none" w:sz="0" w:space="0" w:color="auto"/>
                <w:right w:val="none" w:sz="0" w:space="0" w:color="auto"/>
              </w:divBdr>
            </w:div>
            <w:div w:id="147942681">
              <w:marLeft w:val="0"/>
              <w:marRight w:val="0"/>
              <w:marTop w:val="0"/>
              <w:marBottom w:val="0"/>
              <w:divBdr>
                <w:top w:val="none" w:sz="0" w:space="0" w:color="auto"/>
                <w:left w:val="none" w:sz="0" w:space="0" w:color="auto"/>
                <w:bottom w:val="none" w:sz="0" w:space="0" w:color="auto"/>
                <w:right w:val="none" w:sz="0" w:space="0" w:color="auto"/>
              </w:divBdr>
            </w:div>
            <w:div w:id="41365533">
              <w:marLeft w:val="0"/>
              <w:marRight w:val="0"/>
              <w:marTop w:val="0"/>
              <w:marBottom w:val="0"/>
              <w:divBdr>
                <w:top w:val="none" w:sz="0" w:space="0" w:color="auto"/>
                <w:left w:val="none" w:sz="0" w:space="0" w:color="auto"/>
                <w:bottom w:val="none" w:sz="0" w:space="0" w:color="auto"/>
                <w:right w:val="none" w:sz="0" w:space="0" w:color="auto"/>
              </w:divBdr>
            </w:div>
            <w:div w:id="1473715546">
              <w:marLeft w:val="0"/>
              <w:marRight w:val="0"/>
              <w:marTop w:val="0"/>
              <w:marBottom w:val="0"/>
              <w:divBdr>
                <w:top w:val="none" w:sz="0" w:space="0" w:color="auto"/>
                <w:left w:val="none" w:sz="0" w:space="0" w:color="auto"/>
                <w:bottom w:val="none" w:sz="0" w:space="0" w:color="auto"/>
                <w:right w:val="none" w:sz="0" w:space="0" w:color="auto"/>
              </w:divBdr>
            </w:div>
            <w:div w:id="81074151">
              <w:marLeft w:val="0"/>
              <w:marRight w:val="0"/>
              <w:marTop w:val="0"/>
              <w:marBottom w:val="0"/>
              <w:divBdr>
                <w:top w:val="none" w:sz="0" w:space="0" w:color="auto"/>
                <w:left w:val="none" w:sz="0" w:space="0" w:color="auto"/>
                <w:bottom w:val="none" w:sz="0" w:space="0" w:color="auto"/>
                <w:right w:val="none" w:sz="0" w:space="0" w:color="auto"/>
              </w:divBdr>
            </w:div>
            <w:div w:id="173765800">
              <w:marLeft w:val="0"/>
              <w:marRight w:val="0"/>
              <w:marTop w:val="0"/>
              <w:marBottom w:val="0"/>
              <w:divBdr>
                <w:top w:val="none" w:sz="0" w:space="0" w:color="auto"/>
                <w:left w:val="none" w:sz="0" w:space="0" w:color="auto"/>
                <w:bottom w:val="none" w:sz="0" w:space="0" w:color="auto"/>
                <w:right w:val="none" w:sz="0" w:space="0" w:color="auto"/>
              </w:divBdr>
            </w:div>
            <w:div w:id="60255631">
              <w:marLeft w:val="0"/>
              <w:marRight w:val="0"/>
              <w:marTop w:val="0"/>
              <w:marBottom w:val="0"/>
              <w:divBdr>
                <w:top w:val="none" w:sz="0" w:space="0" w:color="auto"/>
                <w:left w:val="none" w:sz="0" w:space="0" w:color="auto"/>
                <w:bottom w:val="none" w:sz="0" w:space="0" w:color="auto"/>
                <w:right w:val="none" w:sz="0" w:space="0" w:color="auto"/>
              </w:divBdr>
            </w:div>
            <w:div w:id="811216422">
              <w:marLeft w:val="0"/>
              <w:marRight w:val="0"/>
              <w:marTop w:val="0"/>
              <w:marBottom w:val="0"/>
              <w:divBdr>
                <w:top w:val="none" w:sz="0" w:space="0" w:color="auto"/>
                <w:left w:val="none" w:sz="0" w:space="0" w:color="auto"/>
                <w:bottom w:val="none" w:sz="0" w:space="0" w:color="auto"/>
                <w:right w:val="none" w:sz="0" w:space="0" w:color="auto"/>
              </w:divBdr>
            </w:div>
            <w:div w:id="2004778835">
              <w:marLeft w:val="0"/>
              <w:marRight w:val="0"/>
              <w:marTop w:val="0"/>
              <w:marBottom w:val="0"/>
              <w:divBdr>
                <w:top w:val="none" w:sz="0" w:space="0" w:color="auto"/>
                <w:left w:val="none" w:sz="0" w:space="0" w:color="auto"/>
                <w:bottom w:val="none" w:sz="0" w:space="0" w:color="auto"/>
                <w:right w:val="none" w:sz="0" w:space="0" w:color="auto"/>
              </w:divBdr>
            </w:div>
            <w:div w:id="1380935354">
              <w:marLeft w:val="0"/>
              <w:marRight w:val="0"/>
              <w:marTop w:val="0"/>
              <w:marBottom w:val="0"/>
              <w:divBdr>
                <w:top w:val="none" w:sz="0" w:space="0" w:color="auto"/>
                <w:left w:val="none" w:sz="0" w:space="0" w:color="auto"/>
                <w:bottom w:val="none" w:sz="0" w:space="0" w:color="auto"/>
                <w:right w:val="none" w:sz="0" w:space="0" w:color="auto"/>
              </w:divBdr>
            </w:div>
            <w:div w:id="501704836">
              <w:marLeft w:val="0"/>
              <w:marRight w:val="0"/>
              <w:marTop w:val="0"/>
              <w:marBottom w:val="0"/>
              <w:divBdr>
                <w:top w:val="none" w:sz="0" w:space="0" w:color="auto"/>
                <w:left w:val="none" w:sz="0" w:space="0" w:color="auto"/>
                <w:bottom w:val="none" w:sz="0" w:space="0" w:color="auto"/>
                <w:right w:val="none" w:sz="0" w:space="0" w:color="auto"/>
              </w:divBdr>
            </w:div>
            <w:div w:id="741488941">
              <w:marLeft w:val="0"/>
              <w:marRight w:val="0"/>
              <w:marTop w:val="0"/>
              <w:marBottom w:val="0"/>
              <w:divBdr>
                <w:top w:val="none" w:sz="0" w:space="0" w:color="auto"/>
                <w:left w:val="none" w:sz="0" w:space="0" w:color="auto"/>
                <w:bottom w:val="none" w:sz="0" w:space="0" w:color="auto"/>
                <w:right w:val="none" w:sz="0" w:space="0" w:color="auto"/>
              </w:divBdr>
            </w:div>
            <w:div w:id="42951899">
              <w:marLeft w:val="0"/>
              <w:marRight w:val="0"/>
              <w:marTop w:val="0"/>
              <w:marBottom w:val="0"/>
              <w:divBdr>
                <w:top w:val="none" w:sz="0" w:space="0" w:color="auto"/>
                <w:left w:val="none" w:sz="0" w:space="0" w:color="auto"/>
                <w:bottom w:val="none" w:sz="0" w:space="0" w:color="auto"/>
                <w:right w:val="none" w:sz="0" w:space="0" w:color="auto"/>
              </w:divBdr>
            </w:div>
            <w:div w:id="1377663968">
              <w:marLeft w:val="0"/>
              <w:marRight w:val="0"/>
              <w:marTop w:val="0"/>
              <w:marBottom w:val="0"/>
              <w:divBdr>
                <w:top w:val="none" w:sz="0" w:space="0" w:color="auto"/>
                <w:left w:val="none" w:sz="0" w:space="0" w:color="auto"/>
                <w:bottom w:val="none" w:sz="0" w:space="0" w:color="auto"/>
                <w:right w:val="none" w:sz="0" w:space="0" w:color="auto"/>
              </w:divBdr>
            </w:div>
            <w:div w:id="1752778094">
              <w:marLeft w:val="0"/>
              <w:marRight w:val="0"/>
              <w:marTop w:val="0"/>
              <w:marBottom w:val="0"/>
              <w:divBdr>
                <w:top w:val="none" w:sz="0" w:space="0" w:color="auto"/>
                <w:left w:val="none" w:sz="0" w:space="0" w:color="auto"/>
                <w:bottom w:val="none" w:sz="0" w:space="0" w:color="auto"/>
                <w:right w:val="none" w:sz="0" w:space="0" w:color="auto"/>
              </w:divBdr>
            </w:div>
            <w:div w:id="922491961">
              <w:marLeft w:val="0"/>
              <w:marRight w:val="0"/>
              <w:marTop w:val="0"/>
              <w:marBottom w:val="0"/>
              <w:divBdr>
                <w:top w:val="none" w:sz="0" w:space="0" w:color="auto"/>
                <w:left w:val="none" w:sz="0" w:space="0" w:color="auto"/>
                <w:bottom w:val="none" w:sz="0" w:space="0" w:color="auto"/>
                <w:right w:val="none" w:sz="0" w:space="0" w:color="auto"/>
              </w:divBdr>
            </w:div>
            <w:div w:id="1419869177">
              <w:marLeft w:val="0"/>
              <w:marRight w:val="0"/>
              <w:marTop w:val="0"/>
              <w:marBottom w:val="0"/>
              <w:divBdr>
                <w:top w:val="none" w:sz="0" w:space="0" w:color="auto"/>
                <w:left w:val="none" w:sz="0" w:space="0" w:color="auto"/>
                <w:bottom w:val="none" w:sz="0" w:space="0" w:color="auto"/>
                <w:right w:val="none" w:sz="0" w:space="0" w:color="auto"/>
              </w:divBdr>
            </w:div>
            <w:div w:id="870921921">
              <w:marLeft w:val="0"/>
              <w:marRight w:val="0"/>
              <w:marTop w:val="0"/>
              <w:marBottom w:val="0"/>
              <w:divBdr>
                <w:top w:val="none" w:sz="0" w:space="0" w:color="auto"/>
                <w:left w:val="none" w:sz="0" w:space="0" w:color="auto"/>
                <w:bottom w:val="none" w:sz="0" w:space="0" w:color="auto"/>
                <w:right w:val="none" w:sz="0" w:space="0" w:color="auto"/>
              </w:divBdr>
            </w:div>
            <w:div w:id="429619059">
              <w:marLeft w:val="0"/>
              <w:marRight w:val="0"/>
              <w:marTop w:val="0"/>
              <w:marBottom w:val="0"/>
              <w:divBdr>
                <w:top w:val="none" w:sz="0" w:space="0" w:color="auto"/>
                <w:left w:val="none" w:sz="0" w:space="0" w:color="auto"/>
                <w:bottom w:val="none" w:sz="0" w:space="0" w:color="auto"/>
                <w:right w:val="none" w:sz="0" w:space="0" w:color="auto"/>
              </w:divBdr>
            </w:div>
            <w:div w:id="858353493">
              <w:marLeft w:val="0"/>
              <w:marRight w:val="0"/>
              <w:marTop w:val="0"/>
              <w:marBottom w:val="0"/>
              <w:divBdr>
                <w:top w:val="none" w:sz="0" w:space="0" w:color="auto"/>
                <w:left w:val="none" w:sz="0" w:space="0" w:color="auto"/>
                <w:bottom w:val="none" w:sz="0" w:space="0" w:color="auto"/>
                <w:right w:val="none" w:sz="0" w:space="0" w:color="auto"/>
              </w:divBdr>
            </w:div>
            <w:div w:id="882905246">
              <w:marLeft w:val="0"/>
              <w:marRight w:val="0"/>
              <w:marTop w:val="0"/>
              <w:marBottom w:val="0"/>
              <w:divBdr>
                <w:top w:val="none" w:sz="0" w:space="0" w:color="auto"/>
                <w:left w:val="none" w:sz="0" w:space="0" w:color="auto"/>
                <w:bottom w:val="none" w:sz="0" w:space="0" w:color="auto"/>
                <w:right w:val="none" w:sz="0" w:space="0" w:color="auto"/>
              </w:divBdr>
            </w:div>
            <w:div w:id="257981779">
              <w:marLeft w:val="0"/>
              <w:marRight w:val="0"/>
              <w:marTop w:val="0"/>
              <w:marBottom w:val="0"/>
              <w:divBdr>
                <w:top w:val="none" w:sz="0" w:space="0" w:color="auto"/>
                <w:left w:val="none" w:sz="0" w:space="0" w:color="auto"/>
                <w:bottom w:val="none" w:sz="0" w:space="0" w:color="auto"/>
                <w:right w:val="none" w:sz="0" w:space="0" w:color="auto"/>
              </w:divBdr>
            </w:div>
            <w:div w:id="2057048434">
              <w:marLeft w:val="0"/>
              <w:marRight w:val="0"/>
              <w:marTop w:val="0"/>
              <w:marBottom w:val="0"/>
              <w:divBdr>
                <w:top w:val="none" w:sz="0" w:space="0" w:color="auto"/>
                <w:left w:val="none" w:sz="0" w:space="0" w:color="auto"/>
                <w:bottom w:val="none" w:sz="0" w:space="0" w:color="auto"/>
                <w:right w:val="none" w:sz="0" w:space="0" w:color="auto"/>
              </w:divBdr>
            </w:div>
            <w:div w:id="1123185867">
              <w:marLeft w:val="0"/>
              <w:marRight w:val="0"/>
              <w:marTop w:val="0"/>
              <w:marBottom w:val="0"/>
              <w:divBdr>
                <w:top w:val="none" w:sz="0" w:space="0" w:color="auto"/>
                <w:left w:val="none" w:sz="0" w:space="0" w:color="auto"/>
                <w:bottom w:val="none" w:sz="0" w:space="0" w:color="auto"/>
                <w:right w:val="none" w:sz="0" w:space="0" w:color="auto"/>
              </w:divBdr>
            </w:div>
            <w:div w:id="810056597">
              <w:marLeft w:val="0"/>
              <w:marRight w:val="0"/>
              <w:marTop w:val="0"/>
              <w:marBottom w:val="0"/>
              <w:divBdr>
                <w:top w:val="none" w:sz="0" w:space="0" w:color="auto"/>
                <w:left w:val="none" w:sz="0" w:space="0" w:color="auto"/>
                <w:bottom w:val="none" w:sz="0" w:space="0" w:color="auto"/>
                <w:right w:val="none" w:sz="0" w:space="0" w:color="auto"/>
              </w:divBdr>
            </w:div>
            <w:div w:id="724571563">
              <w:marLeft w:val="0"/>
              <w:marRight w:val="0"/>
              <w:marTop w:val="0"/>
              <w:marBottom w:val="0"/>
              <w:divBdr>
                <w:top w:val="none" w:sz="0" w:space="0" w:color="auto"/>
                <w:left w:val="none" w:sz="0" w:space="0" w:color="auto"/>
                <w:bottom w:val="none" w:sz="0" w:space="0" w:color="auto"/>
                <w:right w:val="none" w:sz="0" w:space="0" w:color="auto"/>
              </w:divBdr>
            </w:div>
            <w:div w:id="1562907479">
              <w:marLeft w:val="0"/>
              <w:marRight w:val="0"/>
              <w:marTop w:val="0"/>
              <w:marBottom w:val="0"/>
              <w:divBdr>
                <w:top w:val="none" w:sz="0" w:space="0" w:color="auto"/>
                <w:left w:val="none" w:sz="0" w:space="0" w:color="auto"/>
                <w:bottom w:val="none" w:sz="0" w:space="0" w:color="auto"/>
                <w:right w:val="none" w:sz="0" w:space="0" w:color="auto"/>
              </w:divBdr>
            </w:div>
            <w:div w:id="255672013">
              <w:marLeft w:val="0"/>
              <w:marRight w:val="0"/>
              <w:marTop w:val="0"/>
              <w:marBottom w:val="0"/>
              <w:divBdr>
                <w:top w:val="none" w:sz="0" w:space="0" w:color="auto"/>
                <w:left w:val="none" w:sz="0" w:space="0" w:color="auto"/>
                <w:bottom w:val="none" w:sz="0" w:space="0" w:color="auto"/>
                <w:right w:val="none" w:sz="0" w:space="0" w:color="auto"/>
              </w:divBdr>
            </w:div>
            <w:div w:id="1298411043">
              <w:marLeft w:val="0"/>
              <w:marRight w:val="0"/>
              <w:marTop w:val="0"/>
              <w:marBottom w:val="0"/>
              <w:divBdr>
                <w:top w:val="none" w:sz="0" w:space="0" w:color="auto"/>
                <w:left w:val="none" w:sz="0" w:space="0" w:color="auto"/>
                <w:bottom w:val="none" w:sz="0" w:space="0" w:color="auto"/>
                <w:right w:val="none" w:sz="0" w:space="0" w:color="auto"/>
              </w:divBdr>
            </w:div>
            <w:div w:id="483622494">
              <w:marLeft w:val="0"/>
              <w:marRight w:val="0"/>
              <w:marTop w:val="0"/>
              <w:marBottom w:val="0"/>
              <w:divBdr>
                <w:top w:val="none" w:sz="0" w:space="0" w:color="auto"/>
                <w:left w:val="none" w:sz="0" w:space="0" w:color="auto"/>
                <w:bottom w:val="none" w:sz="0" w:space="0" w:color="auto"/>
                <w:right w:val="none" w:sz="0" w:space="0" w:color="auto"/>
              </w:divBdr>
            </w:div>
            <w:div w:id="94182040">
              <w:marLeft w:val="0"/>
              <w:marRight w:val="0"/>
              <w:marTop w:val="0"/>
              <w:marBottom w:val="0"/>
              <w:divBdr>
                <w:top w:val="none" w:sz="0" w:space="0" w:color="auto"/>
                <w:left w:val="none" w:sz="0" w:space="0" w:color="auto"/>
                <w:bottom w:val="none" w:sz="0" w:space="0" w:color="auto"/>
                <w:right w:val="none" w:sz="0" w:space="0" w:color="auto"/>
              </w:divBdr>
            </w:div>
            <w:div w:id="1116605032">
              <w:marLeft w:val="0"/>
              <w:marRight w:val="0"/>
              <w:marTop w:val="0"/>
              <w:marBottom w:val="0"/>
              <w:divBdr>
                <w:top w:val="none" w:sz="0" w:space="0" w:color="auto"/>
                <w:left w:val="none" w:sz="0" w:space="0" w:color="auto"/>
                <w:bottom w:val="none" w:sz="0" w:space="0" w:color="auto"/>
                <w:right w:val="none" w:sz="0" w:space="0" w:color="auto"/>
              </w:divBdr>
            </w:div>
            <w:div w:id="1433013984">
              <w:marLeft w:val="0"/>
              <w:marRight w:val="0"/>
              <w:marTop w:val="0"/>
              <w:marBottom w:val="0"/>
              <w:divBdr>
                <w:top w:val="none" w:sz="0" w:space="0" w:color="auto"/>
                <w:left w:val="none" w:sz="0" w:space="0" w:color="auto"/>
                <w:bottom w:val="none" w:sz="0" w:space="0" w:color="auto"/>
                <w:right w:val="none" w:sz="0" w:space="0" w:color="auto"/>
              </w:divBdr>
            </w:div>
            <w:div w:id="748383860">
              <w:marLeft w:val="0"/>
              <w:marRight w:val="0"/>
              <w:marTop w:val="0"/>
              <w:marBottom w:val="0"/>
              <w:divBdr>
                <w:top w:val="none" w:sz="0" w:space="0" w:color="auto"/>
                <w:left w:val="none" w:sz="0" w:space="0" w:color="auto"/>
                <w:bottom w:val="none" w:sz="0" w:space="0" w:color="auto"/>
                <w:right w:val="none" w:sz="0" w:space="0" w:color="auto"/>
              </w:divBdr>
            </w:div>
            <w:div w:id="3095502">
              <w:marLeft w:val="0"/>
              <w:marRight w:val="0"/>
              <w:marTop w:val="0"/>
              <w:marBottom w:val="0"/>
              <w:divBdr>
                <w:top w:val="none" w:sz="0" w:space="0" w:color="auto"/>
                <w:left w:val="none" w:sz="0" w:space="0" w:color="auto"/>
                <w:bottom w:val="none" w:sz="0" w:space="0" w:color="auto"/>
                <w:right w:val="none" w:sz="0" w:space="0" w:color="auto"/>
              </w:divBdr>
            </w:div>
            <w:div w:id="1986231872">
              <w:marLeft w:val="0"/>
              <w:marRight w:val="0"/>
              <w:marTop w:val="0"/>
              <w:marBottom w:val="0"/>
              <w:divBdr>
                <w:top w:val="none" w:sz="0" w:space="0" w:color="auto"/>
                <w:left w:val="none" w:sz="0" w:space="0" w:color="auto"/>
                <w:bottom w:val="none" w:sz="0" w:space="0" w:color="auto"/>
                <w:right w:val="none" w:sz="0" w:space="0" w:color="auto"/>
              </w:divBdr>
            </w:div>
            <w:div w:id="275648253">
              <w:marLeft w:val="0"/>
              <w:marRight w:val="0"/>
              <w:marTop w:val="0"/>
              <w:marBottom w:val="0"/>
              <w:divBdr>
                <w:top w:val="none" w:sz="0" w:space="0" w:color="auto"/>
                <w:left w:val="none" w:sz="0" w:space="0" w:color="auto"/>
                <w:bottom w:val="none" w:sz="0" w:space="0" w:color="auto"/>
                <w:right w:val="none" w:sz="0" w:space="0" w:color="auto"/>
              </w:divBdr>
            </w:div>
            <w:div w:id="511188474">
              <w:marLeft w:val="0"/>
              <w:marRight w:val="0"/>
              <w:marTop w:val="0"/>
              <w:marBottom w:val="0"/>
              <w:divBdr>
                <w:top w:val="none" w:sz="0" w:space="0" w:color="auto"/>
                <w:left w:val="none" w:sz="0" w:space="0" w:color="auto"/>
                <w:bottom w:val="none" w:sz="0" w:space="0" w:color="auto"/>
                <w:right w:val="none" w:sz="0" w:space="0" w:color="auto"/>
              </w:divBdr>
            </w:div>
            <w:div w:id="479421994">
              <w:marLeft w:val="0"/>
              <w:marRight w:val="0"/>
              <w:marTop w:val="0"/>
              <w:marBottom w:val="0"/>
              <w:divBdr>
                <w:top w:val="none" w:sz="0" w:space="0" w:color="auto"/>
                <w:left w:val="none" w:sz="0" w:space="0" w:color="auto"/>
                <w:bottom w:val="none" w:sz="0" w:space="0" w:color="auto"/>
                <w:right w:val="none" w:sz="0" w:space="0" w:color="auto"/>
              </w:divBdr>
            </w:div>
            <w:div w:id="213854346">
              <w:marLeft w:val="0"/>
              <w:marRight w:val="0"/>
              <w:marTop w:val="0"/>
              <w:marBottom w:val="0"/>
              <w:divBdr>
                <w:top w:val="none" w:sz="0" w:space="0" w:color="auto"/>
                <w:left w:val="none" w:sz="0" w:space="0" w:color="auto"/>
                <w:bottom w:val="none" w:sz="0" w:space="0" w:color="auto"/>
                <w:right w:val="none" w:sz="0" w:space="0" w:color="auto"/>
              </w:divBdr>
            </w:div>
            <w:div w:id="941646896">
              <w:marLeft w:val="0"/>
              <w:marRight w:val="0"/>
              <w:marTop w:val="0"/>
              <w:marBottom w:val="0"/>
              <w:divBdr>
                <w:top w:val="none" w:sz="0" w:space="0" w:color="auto"/>
                <w:left w:val="none" w:sz="0" w:space="0" w:color="auto"/>
                <w:bottom w:val="none" w:sz="0" w:space="0" w:color="auto"/>
                <w:right w:val="none" w:sz="0" w:space="0" w:color="auto"/>
              </w:divBdr>
            </w:div>
            <w:div w:id="744643959">
              <w:marLeft w:val="0"/>
              <w:marRight w:val="0"/>
              <w:marTop w:val="0"/>
              <w:marBottom w:val="0"/>
              <w:divBdr>
                <w:top w:val="none" w:sz="0" w:space="0" w:color="auto"/>
                <w:left w:val="none" w:sz="0" w:space="0" w:color="auto"/>
                <w:bottom w:val="none" w:sz="0" w:space="0" w:color="auto"/>
                <w:right w:val="none" w:sz="0" w:space="0" w:color="auto"/>
              </w:divBdr>
            </w:div>
            <w:div w:id="835999903">
              <w:marLeft w:val="0"/>
              <w:marRight w:val="0"/>
              <w:marTop w:val="0"/>
              <w:marBottom w:val="0"/>
              <w:divBdr>
                <w:top w:val="none" w:sz="0" w:space="0" w:color="auto"/>
                <w:left w:val="none" w:sz="0" w:space="0" w:color="auto"/>
                <w:bottom w:val="none" w:sz="0" w:space="0" w:color="auto"/>
                <w:right w:val="none" w:sz="0" w:space="0" w:color="auto"/>
              </w:divBdr>
            </w:div>
            <w:div w:id="2032029653">
              <w:marLeft w:val="0"/>
              <w:marRight w:val="0"/>
              <w:marTop w:val="0"/>
              <w:marBottom w:val="0"/>
              <w:divBdr>
                <w:top w:val="none" w:sz="0" w:space="0" w:color="auto"/>
                <w:left w:val="none" w:sz="0" w:space="0" w:color="auto"/>
                <w:bottom w:val="none" w:sz="0" w:space="0" w:color="auto"/>
                <w:right w:val="none" w:sz="0" w:space="0" w:color="auto"/>
              </w:divBdr>
            </w:div>
            <w:div w:id="998657579">
              <w:marLeft w:val="0"/>
              <w:marRight w:val="0"/>
              <w:marTop w:val="0"/>
              <w:marBottom w:val="0"/>
              <w:divBdr>
                <w:top w:val="none" w:sz="0" w:space="0" w:color="auto"/>
                <w:left w:val="none" w:sz="0" w:space="0" w:color="auto"/>
                <w:bottom w:val="none" w:sz="0" w:space="0" w:color="auto"/>
                <w:right w:val="none" w:sz="0" w:space="0" w:color="auto"/>
              </w:divBdr>
            </w:div>
            <w:div w:id="1877499557">
              <w:marLeft w:val="0"/>
              <w:marRight w:val="0"/>
              <w:marTop w:val="0"/>
              <w:marBottom w:val="0"/>
              <w:divBdr>
                <w:top w:val="none" w:sz="0" w:space="0" w:color="auto"/>
                <w:left w:val="none" w:sz="0" w:space="0" w:color="auto"/>
                <w:bottom w:val="none" w:sz="0" w:space="0" w:color="auto"/>
                <w:right w:val="none" w:sz="0" w:space="0" w:color="auto"/>
              </w:divBdr>
            </w:div>
            <w:div w:id="364529047">
              <w:marLeft w:val="0"/>
              <w:marRight w:val="0"/>
              <w:marTop w:val="0"/>
              <w:marBottom w:val="0"/>
              <w:divBdr>
                <w:top w:val="none" w:sz="0" w:space="0" w:color="auto"/>
                <w:left w:val="none" w:sz="0" w:space="0" w:color="auto"/>
                <w:bottom w:val="none" w:sz="0" w:space="0" w:color="auto"/>
                <w:right w:val="none" w:sz="0" w:space="0" w:color="auto"/>
              </w:divBdr>
            </w:div>
            <w:div w:id="1620212024">
              <w:marLeft w:val="0"/>
              <w:marRight w:val="0"/>
              <w:marTop w:val="0"/>
              <w:marBottom w:val="0"/>
              <w:divBdr>
                <w:top w:val="none" w:sz="0" w:space="0" w:color="auto"/>
                <w:left w:val="none" w:sz="0" w:space="0" w:color="auto"/>
                <w:bottom w:val="none" w:sz="0" w:space="0" w:color="auto"/>
                <w:right w:val="none" w:sz="0" w:space="0" w:color="auto"/>
              </w:divBdr>
            </w:div>
            <w:div w:id="379280152">
              <w:marLeft w:val="0"/>
              <w:marRight w:val="0"/>
              <w:marTop w:val="0"/>
              <w:marBottom w:val="0"/>
              <w:divBdr>
                <w:top w:val="none" w:sz="0" w:space="0" w:color="auto"/>
                <w:left w:val="none" w:sz="0" w:space="0" w:color="auto"/>
                <w:bottom w:val="none" w:sz="0" w:space="0" w:color="auto"/>
                <w:right w:val="none" w:sz="0" w:space="0" w:color="auto"/>
              </w:divBdr>
            </w:div>
            <w:div w:id="1119027413">
              <w:marLeft w:val="0"/>
              <w:marRight w:val="0"/>
              <w:marTop w:val="0"/>
              <w:marBottom w:val="0"/>
              <w:divBdr>
                <w:top w:val="none" w:sz="0" w:space="0" w:color="auto"/>
                <w:left w:val="none" w:sz="0" w:space="0" w:color="auto"/>
                <w:bottom w:val="none" w:sz="0" w:space="0" w:color="auto"/>
                <w:right w:val="none" w:sz="0" w:space="0" w:color="auto"/>
              </w:divBdr>
            </w:div>
            <w:div w:id="2057123758">
              <w:marLeft w:val="0"/>
              <w:marRight w:val="0"/>
              <w:marTop w:val="0"/>
              <w:marBottom w:val="0"/>
              <w:divBdr>
                <w:top w:val="none" w:sz="0" w:space="0" w:color="auto"/>
                <w:left w:val="none" w:sz="0" w:space="0" w:color="auto"/>
                <w:bottom w:val="none" w:sz="0" w:space="0" w:color="auto"/>
                <w:right w:val="none" w:sz="0" w:space="0" w:color="auto"/>
              </w:divBdr>
            </w:div>
            <w:div w:id="423650377">
              <w:marLeft w:val="0"/>
              <w:marRight w:val="0"/>
              <w:marTop w:val="0"/>
              <w:marBottom w:val="0"/>
              <w:divBdr>
                <w:top w:val="none" w:sz="0" w:space="0" w:color="auto"/>
                <w:left w:val="none" w:sz="0" w:space="0" w:color="auto"/>
                <w:bottom w:val="none" w:sz="0" w:space="0" w:color="auto"/>
                <w:right w:val="none" w:sz="0" w:space="0" w:color="auto"/>
              </w:divBdr>
            </w:div>
            <w:div w:id="1869558393">
              <w:marLeft w:val="0"/>
              <w:marRight w:val="0"/>
              <w:marTop w:val="0"/>
              <w:marBottom w:val="0"/>
              <w:divBdr>
                <w:top w:val="none" w:sz="0" w:space="0" w:color="auto"/>
                <w:left w:val="none" w:sz="0" w:space="0" w:color="auto"/>
                <w:bottom w:val="none" w:sz="0" w:space="0" w:color="auto"/>
                <w:right w:val="none" w:sz="0" w:space="0" w:color="auto"/>
              </w:divBdr>
            </w:div>
            <w:div w:id="1607037149">
              <w:marLeft w:val="0"/>
              <w:marRight w:val="0"/>
              <w:marTop w:val="0"/>
              <w:marBottom w:val="0"/>
              <w:divBdr>
                <w:top w:val="none" w:sz="0" w:space="0" w:color="auto"/>
                <w:left w:val="none" w:sz="0" w:space="0" w:color="auto"/>
                <w:bottom w:val="none" w:sz="0" w:space="0" w:color="auto"/>
                <w:right w:val="none" w:sz="0" w:space="0" w:color="auto"/>
              </w:divBdr>
            </w:div>
            <w:div w:id="1862431930">
              <w:marLeft w:val="0"/>
              <w:marRight w:val="0"/>
              <w:marTop w:val="0"/>
              <w:marBottom w:val="0"/>
              <w:divBdr>
                <w:top w:val="none" w:sz="0" w:space="0" w:color="auto"/>
                <w:left w:val="none" w:sz="0" w:space="0" w:color="auto"/>
                <w:bottom w:val="none" w:sz="0" w:space="0" w:color="auto"/>
                <w:right w:val="none" w:sz="0" w:space="0" w:color="auto"/>
              </w:divBdr>
            </w:div>
            <w:div w:id="584999237">
              <w:marLeft w:val="0"/>
              <w:marRight w:val="0"/>
              <w:marTop w:val="0"/>
              <w:marBottom w:val="0"/>
              <w:divBdr>
                <w:top w:val="none" w:sz="0" w:space="0" w:color="auto"/>
                <w:left w:val="none" w:sz="0" w:space="0" w:color="auto"/>
                <w:bottom w:val="none" w:sz="0" w:space="0" w:color="auto"/>
                <w:right w:val="none" w:sz="0" w:space="0" w:color="auto"/>
              </w:divBdr>
            </w:div>
            <w:div w:id="742801641">
              <w:marLeft w:val="0"/>
              <w:marRight w:val="0"/>
              <w:marTop w:val="0"/>
              <w:marBottom w:val="0"/>
              <w:divBdr>
                <w:top w:val="none" w:sz="0" w:space="0" w:color="auto"/>
                <w:left w:val="none" w:sz="0" w:space="0" w:color="auto"/>
                <w:bottom w:val="none" w:sz="0" w:space="0" w:color="auto"/>
                <w:right w:val="none" w:sz="0" w:space="0" w:color="auto"/>
              </w:divBdr>
            </w:div>
            <w:div w:id="856231372">
              <w:marLeft w:val="0"/>
              <w:marRight w:val="0"/>
              <w:marTop w:val="0"/>
              <w:marBottom w:val="0"/>
              <w:divBdr>
                <w:top w:val="none" w:sz="0" w:space="0" w:color="auto"/>
                <w:left w:val="none" w:sz="0" w:space="0" w:color="auto"/>
                <w:bottom w:val="none" w:sz="0" w:space="0" w:color="auto"/>
                <w:right w:val="none" w:sz="0" w:space="0" w:color="auto"/>
              </w:divBdr>
            </w:div>
            <w:div w:id="1705054252">
              <w:marLeft w:val="0"/>
              <w:marRight w:val="0"/>
              <w:marTop w:val="0"/>
              <w:marBottom w:val="0"/>
              <w:divBdr>
                <w:top w:val="none" w:sz="0" w:space="0" w:color="auto"/>
                <w:left w:val="none" w:sz="0" w:space="0" w:color="auto"/>
                <w:bottom w:val="none" w:sz="0" w:space="0" w:color="auto"/>
                <w:right w:val="none" w:sz="0" w:space="0" w:color="auto"/>
              </w:divBdr>
            </w:div>
            <w:div w:id="1953827399">
              <w:marLeft w:val="0"/>
              <w:marRight w:val="0"/>
              <w:marTop w:val="0"/>
              <w:marBottom w:val="0"/>
              <w:divBdr>
                <w:top w:val="none" w:sz="0" w:space="0" w:color="auto"/>
                <w:left w:val="none" w:sz="0" w:space="0" w:color="auto"/>
                <w:bottom w:val="none" w:sz="0" w:space="0" w:color="auto"/>
                <w:right w:val="none" w:sz="0" w:space="0" w:color="auto"/>
              </w:divBdr>
            </w:div>
            <w:div w:id="1399788533">
              <w:marLeft w:val="0"/>
              <w:marRight w:val="0"/>
              <w:marTop w:val="0"/>
              <w:marBottom w:val="0"/>
              <w:divBdr>
                <w:top w:val="none" w:sz="0" w:space="0" w:color="auto"/>
                <w:left w:val="none" w:sz="0" w:space="0" w:color="auto"/>
                <w:bottom w:val="none" w:sz="0" w:space="0" w:color="auto"/>
                <w:right w:val="none" w:sz="0" w:space="0" w:color="auto"/>
              </w:divBdr>
            </w:div>
            <w:div w:id="998386875">
              <w:marLeft w:val="0"/>
              <w:marRight w:val="0"/>
              <w:marTop w:val="0"/>
              <w:marBottom w:val="0"/>
              <w:divBdr>
                <w:top w:val="none" w:sz="0" w:space="0" w:color="auto"/>
                <w:left w:val="none" w:sz="0" w:space="0" w:color="auto"/>
                <w:bottom w:val="none" w:sz="0" w:space="0" w:color="auto"/>
                <w:right w:val="none" w:sz="0" w:space="0" w:color="auto"/>
              </w:divBdr>
            </w:div>
            <w:div w:id="430128467">
              <w:marLeft w:val="0"/>
              <w:marRight w:val="0"/>
              <w:marTop w:val="0"/>
              <w:marBottom w:val="0"/>
              <w:divBdr>
                <w:top w:val="none" w:sz="0" w:space="0" w:color="auto"/>
                <w:left w:val="none" w:sz="0" w:space="0" w:color="auto"/>
                <w:bottom w:val="none" w:sz="0" w:space="0" w:color="auto"/>
                <w:right w:val="none" w:sz="0" w:space="0" w:color="auto"/>
              </w:divBdr>
            </w:div>
            <w:div w:id="939215172">
              <w:marLeft w:val="0"/>
              <w:marRight w:val="0"/>
              <w:marTop w:val="0"/>
              <w:marBottom w:val="0"/>
              <w:divBdr>
                <w:top w:val="none" w:sz="0" w:space="0" w:color="auto"/>
                <w:left w:val="none" w:sz="0" w:space="0" w:color="auto"/>
                <w:bottom w:val="none" w:sz="0" w:space="0" w:color="auto"/>
                <w:right w:val="none" w:sz="0" w:space="0" w:color="auto"/>
              </w:divBdr>
            </w:div>
            <w:div w:id="1408959691">
              <w:marLeft w:val="0"/>
              <w:marRight w:val="0"/>
              <w:marTop w:val="0"/>
              <w:marBottom w:val="0"/>
              <w:divBdr>
                <w:top w:val="none" w:sz="0" w:space="0" w:color="auto"/>
                <w:left w:val="none" w:sz="0" w:space="0" w:color="auto"/>
                <w:bottom w:val="none" w:sz="0" w:space="0" w:color="auto"/>
                <w:right w:val="none" w:sz="0" w:space="0" w:color="auto"/>
              </w:divBdr>
            </w:div>
            <w:div w:id="1739009895">
              <w:marLeft w:val="0"/>
              <w:marRight w:val="0"/>
              <w:marTop w:val="0"/>
              <w:marBottom w:val="0"/>
              <w:divBdr>
                <w:top w:val="none" w:sz="0" w:space="0" w:color="auto"/>
                <w:left w:val="none" w:sz="0" w:space="0" w:color="auto"/>
                <w:bottom w:val="none" w:sz="0" w:space="0" w:color="auto"/>
                <w:right w:val="none" w:sz="0" w:space="0" w:color="auto"/>
              </w:divBdr>
            </w:div>
            <w:div w:id="594439909">
              <w:marLeft w:val="0"/>
              <w:marRight w:val="0"/>
              <w:marTop w:val="0"/>
              <w:marBottom w:val="0"/>
              <w:divBdr>
                <w:top w:val="none" w:sz="0" w:space="0" w:color="auto"/>
                <w:left w:val="none" w:sz="0" w:space="0" w:color="auto"/>
                <w:bottom w:val="none" w:sz="0" w:space="0" w:color="auto"/>
                <w:right w:val="none" w:sz="0" w:space="0" w:color="auto"/>
              </w:divBdr>
            </w:div>
            <w:div w:id="1657537028">
              <w:marLeft w:val="0"/>
              <w:marRight w:val="0"/>
              <w:marTop w:val="0"/>
              <w:marBottom w:val="0"/>
              <w:divBdr>
                <w:top w:val="none" w:sz="0" w:space="0" w:color="auto"/>
                <w:left w:val="none" w:sz="0" w:space="0" w:color="auto"/>
                <w:bottom w:val="none" w:sz="0" w:space="0" w:color="auto"/>
                <w:right w:val="none" w:sz="0" w:space="0" w:color="auto"/>
              </w:divBdr>
            </w:div>
            <w:div w:id="1450973476">
              <w:marLeft w:val="0"/>
              <w:marRight w:val="0"/>
              <w:marTop w:val="0"/>
              <w:marBottom w:val="0"/>
              <w:divBdr>
                <w:top w:val="none" w:sz="0" w:space="0" w:color="auto"/>
                <w:left w:val="none" w:sz="0" w:space="0" w:color="auto"/>
                <w:bottom w:val="none" w:sz="0" w:space="0" w:color="auto"/>
                <w:right w:val="none" w:sz="0" w:space="0" w:color="auto"/>
              </w:divBdr>
            </w:div>
            <w:div w:id="2145734434">
              <w:marLeft w:val="0"/>
              <w:marRight w:val="0"/>
              <w:marTop w:val="0"/>
              <w:marBottom w:val="0"/>
              <w:divBdr>
                <w:top w:val="none" w:sz="0" w:space="0" w:color="auto"/>
                <w:left w:val="none" w:sz="0" w:space="0" w:color="auto"/>
                <w:bottom w:val="none" w:sz="0" w:space="0" w:color="auto"/>
                <w:right w:val="none" w:sz="0" w:space="0" w:color="auto"/>
              </w:divBdr>
            </w:div>
            <w:div w:id="1878157518">
              <w:marLeft w:val="0"/>
              <w:marRight w:val="0"/>
              <w:marTop w:val="0"/>
              <w:marBottom w:val="0"/>
              <w:divBdr>
                <w:top w:val="none" w:sz="0" w:space="0" w:color="auto"/>
                <w:left w:val="none" w:sz="0" w:space="0" w:color="auto"/>
                <w:bottom w:val="none" w:sz="0" w:space="0" w:color="auto"/>
                <w:right w:val="none" w:sz="0" w:space="0" w:color="auto"/>
              </w:divBdr>
            </w:div>
            <w:div w:id="1130443232">
              <w:marLeft w:val="0"/>
              <w:marRight w:val="0"/>
              <w:marTop w:val="0"/>
              <w:marBottom w:val="0"/>
              <w:divBdr>
                <w:top w:val="none" w:sz="0" w:space="0" w:color="auto"/>
                <w:left w:val="none" w:sz="0" w:space="0" w:color="auto"/>
                <w:bottom w:val="none" w:sz="0" w:space="0" w:color="auto"/>
                <w:right w:val="none" w:sz="0" w:space="0" w:color="auto"/>
              </w:divBdr>
            </w:div>
            <w:div w:id="1925648398">
              <w:marLeft w:val="0"/>
              <w:marRight w:val="0"/>
              <w:marTop w:val="0"/>
              <w:marBottom w:val="0"/>
              <w:divBdr>
                <w:top w:val="none" w:sz="0" w:space="0" w:color="auto"/>
                <w:left w:val="none" w:sz="0" w:space="0" w:color="auto"/>
                <w:bottom w:val="none" w:sz="0" w:space="0" w:color="auto"/>
                <w:right w:val="none" w:sz="0" w:space="0" w:color="auto"/>
              </w:divBdr>
            </w:div>
            <w:div w:id="1866400391">
              <w:marLeft w:val="0"/>
              <w:marRight w:val="0"/>
              <w:marTop w:val="0"/>
              <w:marBottom w:val="0"/>
              <w:divBdr>
                <w:top w:val="none" w:sz="0" w:space="0" w:color="auto"/>
                <w:left w:val="none" w:sz="0" w:space="0" w:color="auto"/>
                <w:bottom w:val="none" w:sz="0" w:space="0" w:color="auto"/>
                <w:right w:val="none" w:sz="0" w:space="0" w:color="auto"/>
              </w:divBdr>
            </w:div>
            <w:div w:id="1860510469">
              <w:marLeft w:val="0"/>
              <w:marRight w:val="0"/>
              <w:marTop w:val="0"/>
              <w:marBottom w:val="0"/>
              <w:divBdr>
                <w:top w:val="none" w:sz="0" w:space="0" w:color="auto"/>
                <w:left w:val="none" w:sz="0" w:space="0" w:color="auto"/>
                <w:bottom w:val="none" w:sz="0" w:space="0" w:color="auto"/>
                <w:right w:val="none" w:sz="0" w:space="0" w:color="auto"/>
              </w:divBdr>
            </w:div>
            <w:div w:id="256444594">
              <w:marLeft w:val="0"/>
              <w:marRight w:val="0"/>
              <w:marTop w:val="0"/>
              <w:marBottom w:val="0"/>
              <w:divBdr>
                <w:top w:val="none" w:sz="0" w:space="0" w:color="auto"/>
                <w:left w:val="none" w:sz="0" w:space="0" w:color="auto"/>
                <w:bottom w:val="none" w:sz="0" w:space="0" w:color="auto"/>
                <w:right w:val="none" w:sz="0" w:space="0" w:color="auto"/>
              </w:divBdr>
            </w:div>
            <w:div w:id="343752255">
              <w:marLeft w:val="0"/>
              <w:marRight w:val="0"/>
              <w:marTop w:val="0"/>
              <w:marBottom w:val="0"/>
              <w:divBdr>
                <w:top w:val="none" w:sz="0" w:space="0" w:color="auto"/>
                <w:left w:val="none" w:sz="0" w:space="0" w:color="auto"/>
                <w:bottom w:val="none" w:sz="0" w:space="0" w:color="auto"/>
                <w:right w:val="none" w:sz="0" w:space="0" w:color="auto"/>
              </w:divBdr>
            </w:div>
            <w:div w:id="423309414">
              <w:marLeft w:val="0"/>
              <w:marRight w:val="0"/>
              <w:marTop w:val="0"/>
              <w:marBottom w:val="0"/>
              <w:divBdr>
                <w:top w:val="none" w:sz="0" w:space="0" w:color="auto"/>
                <w:left w:val="none" w:sz="0" w:space="0" w:color="auto"/>
                <w:bottom w:val="none" w:sz="0" w:space="0" w:color="auto"/>
                <w:right w:val="none" w:sz="0" w:space="0" w:color="auto"/>
              </w:divBdr>
            </w:div>
            <w:div w:id="1468232903">
              <w:marLeft w:val="0"/>
              <w:marRight w:val="0"/>
              <w:marTop w:val="0"/>
              <w:marBottom w:val="0"/>
              <w:divBdr>
                <w:top w:val="none" w:sz="0" w:space="0" w:color="auto"/>
                <w:left w:val="none" w:sz="0" w:space="0" w:color="auto"/>
                <w:bottom w:val="none" w:sz="0" w:space="0" w:color="auto"/>
                <w:right w:val="none" w:sz="0" w:space="0" w:color="auto"/>
              </w:divBdr>
            </w:div>
            <w:div w:id="763309309">
              <w:marLeft w:val="0"/>
              <w:marRight w:val="0"/>
              <w:marTop w:val="0"/>
              <w:marBottom w:val="0"/>
              <w:divBdr>
                <w:top w:val="none" w:sz="0" w:space="0" w:color="auto"/>
                <w:left w:val="none" w:sz="0" w:space="0" w:color="auto"/>
                <w:bottom w:val="none" w:sz="0" w:space="0" w:color="auto"/>
                <w:right w:val="none" w:sz="0" w:space="0" w:color="auto"/>
              </w:divBdr>
            </w:div>
            <w:div w:id="1789857889">
              <w:marLeft w:val="0"/>
              <w:marRight w:val="0"/>
              <w:marTop w:val="0"/>
              <w:marBottom w:val="0"/>
              <w:divBdr>
                <w:top w:val="none" w:sz="0" w:space="0" w:color="auto"/>
                <w:left w:val="none" w:sz="0" w:space="0" w:color="auto"/>
                <w:bottom w:val="none" w:sz="0" w:space="0" w:color="auto"/>
                <w:right w:val="none" w:sz="0" w:space="0" w:color="auto"/>
              </w:divBdr>
            </w:div>
            <w:div w:id="1784113311">
              <w:marLeft w:val="0"/>
              <w:marRight w:val="0"/>
              <w:marTop w:val="0"/>
              <w:marBottom w:val="0"/>
              <w:divBdr>
                <w:top w:val="none" w:sz="0" w:space="0" w:color="auto"/>
                <w:left w:val="none" w:sz="0" w:space="0" w:color="auto"/>
                <w:bottom w:val="none" w:sz="0" w:space="0" w:color="auto"/>
                <w:right w:val="none" w:sz="0" w:space="0" w:color="auto"/>
              </w:divBdr>
            </w:div>
            <w:div w:id="842402355">
              <w:marLeft w:val="0"/>
              <w:marRight w:val="0"/>
              <w:marTop w:val="0"/>
              <w:marBottom w:val="0"/>
              <w:divBdr>
                <w:top w:val="none" w:sz="0" w:space="0" w:color="auto"/>
                <w:left w:val="none" w:sz="0" w:space="0" w:color="auto"/>
                <w:bottom w:val="none" w:sz="0" w:space="0" w:color="auto"/>
                <w:right w:val="none" w:sz="0" w:space="0" w:color="auto"/>
              </w:divBdr>
            </w:div>
            <w:div w:id="1419476871">
              <w:marLeft w:val="0"/>
              <w:marRight w:val="0"/>
              <w:marTop w:val="0"/>
              <w:marBottom w:val="0"/>
              <w:divBdr>
                <w:top w:val="none" w:sz="0" w:space="0" w:color="auto"/>
                <w:left w:val="none" w:sz="0" w:space="0" w:color="auto"/>
                <w:bottom w:val="none" w:sz="0" w:space="0" w:color="auto"/>
                <w:right w:val="none" w:sz="0" w:space="0" w:color="auto"/>
              </w:divBdr>
            </w:div>
            <w:div w:id="238756809">
              <w:marLeft w:val="0"/>
              <w:marRight w:val="0"/>
              <w:marTop w:val="0"/>
              <w:marBottom w:val="0"/>
              <w:divBdr>
                <w:top w:val="none" w:sz="0" w:space="0" w:color="auto"/>
                <w:left w:val="none" w:sz="0" w:space="0" w:color="auto"/>
                <w:bottom w:val="none" w:sz="0" w:space="0" w:color="auto"/>
                <w:right w:val="none" w:sz="0" w:space="0" w:color="auto"/>
              </w:divBdr>
            </w:div>
            <w:div w:id="1510173947">
              <w:marLeft w:val="0"/>
              <w:marRight w:val="0"/>
              <w:marTop w:val="0"/>
              <w:marBottom w:val="0"/>
              <w:divBdr>
                <w:top w:val="none" w:sz="0" w:space="0" w:color="auto"/>
                <w:left w:val="none" w:sz="0" w:space="0" w:color="auto"/>
                <w:bottom w:val="none" w:sz="0" w:space="0" w:color="auto"/>
                <w:right w:val="none" w:sz="0" w:space="0" w:color="auto"/>
              </w:divBdr>
            </w:div>
            <w:div w:id="2124304252">
              <w:marLeft w:val="0"/>
              <w:marRight w:val="0"/>
              <w:marTop w:val="0"/>
              <w:marBottom w:val="0"/>
              <w:divBdr>
                <w:top w:val="none" w:sz="0" w:space="0" w:color="auto"/>
                <w:left w:val="none" w:sz="0" w:space="0" w:color="auto"/>
                <w:bottom w:val="none" w:sz="0" w:space="0" w:color="auto"/>
                <w:right w:val="none" w:sz="0" w:space="0" w:color="auto"/>
              </w:divBdr>
            </w:div>
            <w:div w:id="1576544981">
              <w:marLeft w:val="0"/>
              <w:marRight w:val="0"/>
              <w:marTop w:val="0"/>
              <w:marBottom w:val="0"/>
              <w:divBdr>
                <w:top w:val="none" w:sz="0" w:space="0" w:color="auto"/>
                <w:left w:val="none" w:sz="0" w:space="0" w:color="auto"/>
                <w:bottom w:val="none" w:sz="0" w:space="0" w:color="auto"/>
                <w:right w:val="none" w:sz="0" w:space="0" w:color="auto"/>
              </w:divBdr>
            </w:div>
            <w:div w:id="1249922923">
              <w:marLeft w:val="0"/>
              <w:marRight w:val="0"/>
              <w:marTop w:val="0"/>
              <w:marBottom w:val="0"/>
              <w:divBdr>
                <w:top w:val="none" w:sz="0" w:space="0" w:color="auto"/>
                <w:left w:val="none" w:sz="0" w:space="0" w:color="auto"/>
                <w:bottom w:val="none" w:sz="0" w:space="0" w:color="auto"/>
                <w:right w:val="none" w:sz="0" w:space="0" w:color="auto"/>
              </w:divBdr>
            </w:div>
            <w:div w:id="1761757588">
              <w:marLeft w:val="0"/>
              <w:marRight w:val="0"/>
              <w:marTop w:val="0"/>
              <w:marBottom w:val="0"/>
              <w:divBdr>
                <w:top w:val="none" w:sz="0" w:space="0" w:color="auto"/>
                <w:left w:val="none" w:sz="0" w:space="0" w:color="auto"/>
                <w:bottom w:val="none" w:sz="0" w:space="0" w:color="auto"/>
                <w:right w:val="none" w:sz="0" w:space="0" w:color="auto"/>
              </w:divBdr>
            </w:div>
            <w:div w:id="1639530561">
              <w:marLeft w:val="0"/>
              <w:marRight w:val="0"/>
              <w:marTop w:val="0"/>
              <w:marBottom w:val="0"/>
              <w:divBdr>
                <w:top w:val="none" w:sz="0" w:space="0" w:color="auto"/>
                <w:left w:val="none" w:sz="0" w:space="0" w:color="auto"/>
                <w:bottom w:val="none" w:sz="0" w:space="0" w:color="auto"/>
                <w:right w:val="none" w:sz="0" w:space="0" w:color="auto"/>
              </w:divBdr>
            </w:div>
            <w:div w:id="141193187">
              <w:marLeft w:val="0"/>
              <w:marRight w:val="0"/>
              <w:marTop w:val="0"/>
              <w:marBottom w:val="0"/>
              <w:divBdr>
                <w:top w:val="none" w:sz="0" w:space="0" w:color="auto"/>
                <w:left w:val="none" w:sz="0" w:space="0" w:color="auto"/>
                <w:bottom w:val="none" w:sz="0" w:space="0" w:color="auto"/>
                <w:right w:val="none" w:sz="0" w:space="0" w:color="auto"/>
              </w:divBdr>
            </w:div>
            <w:div w:id="281307821">
              <w:marLeft w:val="0"/>
              <w:marRight w:val="0"/>
              <w:marTop w:val="0"/>
              <w:marBottom w:val="0"/>
              <w:divBdr>
                <w:top w:val="none" w:sz="0" w:space="0" w:color="auto"/>
                <w:left w:val="none" w:sz="0" w:space="0" w:color="auto"/>
                <w:bottom w:val="none" w:sz="0" w:space="0" w:color="auto"/>
                <w:right w:val="none" w:sz="0" w:space="0" w:color="auto"/>
              </w:divBdr>
            </w:div>
            <w:div w:id="356977062">
              <w:marLeft w:val="0"/>
              <w:marRight w:val="0"/>
              <w:marTop w:val="0"/>
              <w:marBottom w:val="0"/>
              <w:divBdr>
                <w:top w:val="none" w:sz="0" w:space="0" w:color="auto"/>
                <w:left w:val="none" w:sz="0" w:space="0" w:color="auto"/>
                <w:bottom w:val="none" w:sz="0" w:space="0" w:color="auto"/>
                <w:right w:val="none" w:sz="0" w:space="0" w:color="auto"/>
              </w:divBdr>
            </w:div>
            <w:div w:id="618071011">
              <w:marLeft w:val="0"/>
              <w:marRight w:val="0"/>
              <w:marTop w:val="0"/>
              <w:marBottom w:val="0"/>
              <w:divBdr>
                <w:top w:val="none" w:sz="0" w:space="0" w:color="auto"/>
                <w:left w:val="none" w:sz="0" w:space="0" w:color="auto"/>
                <w:bottom w:val="none" w:sz="0" w:space="0" w:color="auto"/>
                <w:right w:val="none" w:sz="0" w:space="0" w:color="auto"/>
              </w:divBdr>
            </w:div>
            <w:div w:id="500387168">
              <w:marLeft w:val="0"/>
              <w:marRight w:val="0"/>
              <w:marTop w:val="0"/>
              <w:marBottom w:val="0"/>
              <w:divBdr>
                <w:top w:val="none" w:sz="0" w:space="0" w:color="auto"/>
                <w:left w:val="none" w:sz="0" w:space="0" w:color="auto"/>
                <w:bottom w:val="none" w:sz="0" w:space="0" w:color="auto"/>
                <w:right w:val="none" w:sz="0" w:space="0" w:color="auto"/>
              </w:divBdr>
            </w:div>
            <w:div w:id="2010711828">
              <w:marLeft w:val="0"/>
              <w:marRight w:val="0"/>
              <w:marTop w:val="0"/>
              <w:marBottom w:val="0"/>
              <w:divBdr>
                <w:top w:val="none" w:sz="0" w:space="0" w:color="auto"/>
                <w:left w:val="none" w:sz="0" w:space="0" w:color="auto"/>
                <w:bottom w:val="none" w:sz="0" w:space="0" w:color="auto"/>
                <w:right w:val="none" w:sz="0" w:space="0" w:color="auto"/>
              </w:divBdr>
            </w:div>
            <w:div w:id="571083695">
              <w:marLeft w:val="0"/>
              <w:marRight w:val="0"/>
              <w:marTop w:val="0"/>
              <w:marBottom w:val="0"/>
              <w:divBdr>
                <w:top w:val="none" w:sz="0" w:space="0" w:color="auto"/>
                <w:left w:val="none" w:sz="0" w:space="0" w:color="auto"/>
                <w:bottom w:val="none" w:sz="0" w:space="0" w:color="auto"/>
                <w:right w:val="none" w:sz="0" w:space="0" w:color="auto"/>
              </w:divBdr>
            </w:div>
            <w:div w:id="1363165987">
              <w:marLeft w:val="0"/>
              <w:marRight w:val="0"/>
              <w:marTop w:val="0"/>
              <w:marBottom w:val="0"/>
              <w:divBdr>
                <w:top w:val="none" w:sz="0" w:space="0" w:color="auto"/>
                <w:left w:val="none" w:sz="0" w:space="0" w:color="auto"/>
                <w:bottom w:val="none" w:sz="0" w:space="0" w:color="auto"/>
                <w:right w:val="none" w:sz="0" w:space="0" w:color="auto"/>
              </w:divBdr>
            </w:div>
            <w:div w:id="1079212905">
              <w:marLeft w:val="0"/>
              <w:marRight w:val="0"/>
              <w:marTop w:val="0"/>
              <w:marBottom w:val="0"/>
              <w:divBdr>
                <w:top w:val="none" w:sz="0" w:space="0" w:color="auto"/>
                <w:left w:val="none" w:sz="0" w:space="0" w:color="auto"/>
                <w:bottom w:val="none" w:sz="0" w:space="0" w:color="auto"/>
                <w:right w:val="none" w:sz="0" w:space="0" w:color="auto"/>
              </w:divBdr>
            </w:div>
            <w:div w:id="460880304">
              <w:marLeft w:val="0"/>
              <w:marRight w:val="0"/>
              <w:marTop w:val="0"/>
              <w:marBottom w:val="0"/>
              <w:divBdr>
                <w:top w:val="none" w:sz="0" w:space="0" w:color="auto"/>
                <w:left w:val="none" w:sz="0" w:space="0" w:color="auto"/>
                <w:bottom w:val="none" w:sz="0" w:space="0" w:color="auto"/>
                <w:right w:val="none" w:sz="0" w:space="0" w:color="auto"/>
              </w:divBdr>
            </w:div>
            <w:div w:id="15085605">
              <w:marLeft w:val="0"/>
              <w:marRight w:val="0"/>
              <w:marTop w:val="0"/>
              <w:marBottom w:val="0"/>
              <w:divBdr>
                <w:top w:val="none" w:sz="0" w:space="0" w:color="auto"/>
                <w:left w:val="none" w:sz="0" w:space="0" w:color="auto"/>
                <w:bottom w:val="none" w:sz="0" w:space="0" w:color="auto"/>
                <w:right w:val="none" w:sz="0" w:space="0" w:color="auto"/>
              </w:divBdr>
            </w:div>
            <w:div w:id="426080593">
              <w:marLeft w:val="0"/>
              <w:marRight w:val="0"/>
              <w:marTop w:val="0"/>
              <w:marBottom w:val="0"/>
              <w:divBdr>
                <w:top w:val="none" w:sz="0" w:space="0" w:color="auto"/>
                <w:left w:val="none" w:sz="0" w:space="0" w:color="auto"/>
                <w:bottom w:val="none" w:sz="0" w:space="0" w:color="auto"/>
                <w:right w:val="none" w:sz="0" w:space="0" w:color="auto"/>
              </w:divBdr>
            </w:div>
            <w:div w:id="1270815535">
              <w:marLeft w:val="0"/>
              <w:marRight w:val="0"/>
              <w:marTop w:val="0"/>
              <w:marBottom w:val="0"/>
              <w:divBdr>
                <w:top w:val="none" w:sz="0" w:space="0" w:color="auto"/>
                <w:left w:val="none" w:sz="0" w:space="0" w:color="auto"/>
                <w:bottom w:val="none" w:sz="0" w:space="0" w:color="auto"/>
                <w:right w:val="none" w:sz="0" w:space="0" w:color="auto"/>
              </w:divBdr>
            </w:div>
            <w:div w:id="1593928238">
              <w:marLeft w:val="0"/>
              <w:marRight w:val="0"/>
              <w:marTop w:val="0"/>
              <w:marBottom w:val="0"/>
              <w:divBdr>
                <w:top w:val="none" w:sz="0" w:space="0" w:color="auto"/>
                <w:left w:val="none" w:sz="0" w:space="0" w:color="auto"/>
                <w:bottom w:val="none" w:sz="0" w:space="0" w:color="auto"/>
                <w:right w:val="none" w:sz="0" w:space="0" w:color="auto"/>
              </w:divBdr>
            </w:div>
            <w:div w:id="94059059">
              <w:marLeft w:val="0"/>
              <w:marRight w:val="0"/>
              <w:marTop w:val="0"/>
              <w:marBottom w:val="0"/>
              <w:divBdr>
                <w:top w:val="none" w:sz="0" w:space="0" w:color="auto"/>
                <w:left w:val="none" w:sz="0" w:space="0" w:color="auto"/>
                <w:bottom w:val="none" w:sz="0" w:space="0" w:color="auto"/>
                <w:right w:val="none" w:sz="0" w:space="0" w:color="auto"/>
              </w:divBdr>
            </w:div>
            <w:div w:id="1346635169">
              <w:marLeft w:val="0"/>
              <w:marRight w:val="0"/>
              <w:marTop w:val="0"/>
              <w:marBottom w:val="0"/>
              <w:divBdr>
                <w:top w:val="none" w:sz="0" w:space="0" w:color="auto"/>
                <w:left w:val="none" w:sz="0" w:space="0" w:color="auto"/>
                <w:bottom w:val="none" w:sz="0" w:space="0" w:color="auto"/>
                <w:right w:val="none" w:sz="0" w:space="0" w:color="auto"/>
              </w:divBdr>
            </w:div>
            <w:div w:id="235015230">
              <w:marLeft w:val="0"/>
              <w:marRight w:val="0"/>
              <w:marTop w:val="0"/>
              <w:marBottom w:val="0"/>
              <w:divBdr>
                <w:top w:val="none" w:sz="0" w:space="0" w:color="auto"/>
                <w:left w:val="none" w:sz="0" w:space="0" w:color="auto"/>
                <w:bottom w:val="none" w:sz="0" w:space="0" w:color="auto"/>
                <w:right w:val="none" w:sz="0" w:space="0" w:color="auto"/>
              </w:divBdr>
            </w:div>
            <w:div w:id="529226286">
              <w:marLeft w:val="0"/>
              <w:marRight w:val="0"/>
              <w:marTop w:val="0"/>
              <w:marBottom w:val="0"/>
              <w:divBdr>
                <w:top w:val="none" w:sz="0" w:space="0" w:color="auto"/>
                <w:left w:val="none" w:sz="0" w:space="0" w:color="auto"/>
                <w:bottom w:val="none" w:sz="0" w:space="0" w:color="auto"/>
                <w:right w:val="none" w:sz="0" w:space="0" w:color="auto"/>
              </w:divBdr>
            </w:div>
            <w:div w:id="1205480184">
              <w:marLeft w:val="0"/>
              <w:marRight w:val="0"/>
              <w:marTop w:val="0"/>
              <w:marBottom w:val="0"/>
              <w:divBdr>
                <w:top w:val="none" w:sz="0" w:space="0" w:color="auto"/>
                <w:left w:val="none" w:sz="0" w:space="0" w:color="auto"/>
                <w:bottom w:val="none" w:sz="0" w:space="0" w:color="auto"/>
                <w:right w:val="none" w:sz="0" w:space="0" w:color="auto"/>
              </w:divBdr>
            </w:div>
            <w:div w:id="1995138726">
              <w:marLeft w:val="0"/>
              <w:marRight w:val="0"/>
              <w:marTop w:val="0"/>
              <w:marBottom w:val="0"/>
              <w:divBdr>
                <w:top w:val="none" w:sz="0" w:space="0" w:color="auto"/>
                <w:left w:val="none" w:sz="0" w:space="0" w:color="auto"/>
                <w:bottom w:val="none" w:sz="0" w:space="0" w:color="auto"/>
                <w:right w:val="none" w:sz="0" w:space="0" w:color="auto"/>
              </w:divBdr>
            </w:div>
            <w:div w:id="371073635">
              <w:marLeft w:val="0"/>
              <w:marRight w:val="0"/>
              <w:marTop w:val="0"/>
              <w:marBottom w:val="0"/>
              <w:divBdr>
                <w:top w:val="none" w:sz="0" w:space="0" w:color="auto"/>
                <w:left w:val="none" w:sz="0" w:space="0" w:color="auto"/>
                <w:bottom w:val="none" w:sz="0" w:space="0" w:color="auto"/>
                <w:right w:val="none" w:sz="0" w:space="0" w:color="auto"/>
              </w:divBdr>
            </w:div>
            <w:div w:id="818764011">
              <w:marLeft w:val="0"/>
              <w:marRight w:val="0"/>
              <w:marTop w:val="0"/>
              <w:marBottom w:val="0"/>
              <w:divBdr>
                <w:top w:val="none" w:sz="0" w:space="0" w:color="auto"/>
                <w:left w:val="none" w:sz="0" w:space="0" w:color="auto"/>
                <w:bottom w:val="none" w:sz="0" w:space="0" w:color="auto"/>
                <w:right w:val="none" w:sz="0" w:space="0" w:color="auto"/>
              </w:divBdr>
            </w:div>
            <w:div w:id="1605645406">
              <w:marLeft w:val="0"/>
              <w:marRight w:val="0"/>
              <w:marTop w:val="0"/>
              <w:marBottom w:val="0"/>
              <w:divBdr>
                <w:top w:val="none" w:sz="0" w:space="0" w:color="auto"/>
                <w:left w:val="none" w:sz="0" w:space="0" w:color="auto"/>
                <w:bottom w:val="none" w:sz="0" w:space="0" w:color="auto"/>
                <w:right w:val="none" w:sz="0" w:space="0" w:color="auto"/>
              </w:divBdr>
            </w:div>
            <w:div w:id="91168693">
              <w:marLeft w:val="0"/>
              <w:marRight w:val="0"/>
              <w:marTop w:val="0"/>
              <w:marBottom w:val="0"/>
              <w:divBdr>
                <w:top w:val="none" w:sz="0" w:space="0" w:color="auto"/>
                <w:left w:val="none" w:sz="0" w:space="0" w:color="auto"/>
                <w:bottom w:val="none" w:sz="0" w:space="0" w:color="auto"/>
                <w:right w:val="none" w:sz="0" w:space="0" w:color="auto"/>
              </w:divBdr>
            </w:div>
            <w:div w:id="91979086">
              <w:marLeft w:val="0"/>
              <w:marRight w:val="0"/>
              <w:marTop w:val="0"/>
              <w:marBottom w:val="0"/>
              <w:divBdr>
                <w:top w:val="none" w:sz="0" w:space="0" w:color="auto"/>
                <w:left w:val="none" w:sz="0" w:space="0" w:color="auto"/>
                <w:bottom w:val="none" w:sz="0" w:space="0" w:color="auto"/>
                <w:right w:val="none" w:sz="0" w:space="0" w:color="auto"/>
              </w:divBdr>
            </w:div>
            <w:div w:id="1185635639">
              <w:marLeft w:val="0"/>
              <w:marRight w:val="0"/>
              <w:marTop w:val="0"/>
              <w:marBottom w:val="0"/>
              <w:divBdr>
                <w:top w:val="none" w:sz="0" w:space="0" w:color="auto"/>
                <w:left w:val="none" w:sz="0" w:space="0" w:color="auto"/>
                <w:bottom w:val="none" w:sz="0" w:space="0" w:color="auto"/>
                <w:right w:val="none" w:sz="0" w:space="0" w:color="auto"/>
              </w:divBdr>
            </w:div>
            <w:div w:id="804930445">
              <w:marLeft w:val="0"/>
              <w:marRight w:val="0"/>
              <w:marTop w:val="0"/>
              <w:marBottom w:val="0"/>
              <w:divBdr>
                <w:top w:val="none" w:sz="0" w:space="0" w:color="auto"/>
                <w:left w:val="none" w:sz="0" w:space="0" w:color="auto"/>
                <w:bottom w:val="none" w:sz="0" w:space="0" w:color="auto"/>
                <w:right w:val="none" w:sz="0" w:space="0" w:color="auto"/>
              </w:divBdr>
            </w:div>
            <w:div w:id="519129495">
              <w:marLeft w:val="0"/>
              <w:marRight w:val="0"/>
              <w:marTop w:val="0"/>
              <w:marBottom w:val="0"/>
              <w:divBdr>
                <w:top w:val="none" w:sz="0" w:space="0" w:color="auto"/>
                <w:left w:val="none" w:sz="0" w:space="0" w:color="auto"/>
                <w:bottom w:val="none" w:sz="0" w:space="0" w:color="auto"/>
                <w:right w:val="none" w:sz="0" w:space="0" w:color="auto"/>
              </w:divBdr>
            </w:div>
            <w:div w:id="931744788">
              <w:marLeft w:val="0"/>
              <w:marRight w:val="0"/>
              <w:marTop w:val="0"/>
              <w:marBottom w:val="0"/>
              <w:divBdr>
                <w:top w:val="none" w:sz="0" w:space="0" w:color="auto"/>
                <w:left w:val="none" w:sz="0" w:space="0" w:color="auto"/>
                <w:bottom w:val="none" w:sz="0" w:space="0" w:color="auto"/>
                <w:right w:val="none" w:sz="0" w:space="0" w:color="auto"/>
              </w:divBdr>
            </w:div>
            <w:div w:id="1277712349">
              <w:marLeft w:val="0"/>
              <w:marRight w:val="0"/>
              <w:marTop w:val="0"/>
              <w:marBottom w:val="0"/>
              <w:divBdr>
                <w:top w:val="none" w:sz="0" w:space="0" w:color="auto"/>
                <w:left w:val="none" w:sz="0" w:space="0" w:color="auto"/>
                <w:bottom w:val="none" w:sz="0" w:space="0" w:color="auto"/>
                <w:right w:val="none" w:sz="0" w:space="0" w:color="auto"/>
              </w:divBdr>
            </w:div>
            <w:div w:id="1515072946">
              <w:marLeft w:val="0"/>
              <w:marRight w:val="0"/>
              <w:marTop w:val="0"/>
              <w:marBottom w:val="0"/>
              <w:divBdr>
                <w:top w:val="none" w:sz="0" w:space="0" w:color="auto"/>
                <w:left w:val="none" w:sz="0" w:space="0" w:color="auto"/>
                <w:bottom w:val="none" w:sz="0" w:space="0" w:color="auto"/>
                <w:right w:val="none" w:sz="0" w:space="0" w:color="auto"/>
              </w:divBdr>
            </w:div>
            <w:div w:id="544686041">
              <w:marLeft w:val="0"/>
              <w:marRight w:val="0"/>
              <w:marTop w:val="0"/>
              <w:marBottom w:val="0"/>
              <w:divBdr>
                <w:top w:val="none" w:sz="0" w:space="0" w:color="auto"/>
                <w:left w:val="none" w:sz="0" w:space="0" w:color="auto"/>
                <w:bottom w:val="none" w:sz="0" w:space="0" w:color="auto"/>
                <w:right w:val="none" w:sz="0" w:space="0" w:color="auto"/>
              </w:divBdr>
            </w:div>
            <w:div w:id="1913586878">
              <w:marLeft w:val="0"/>
              <w:marRight w:val="0"/>
              <w:marTop w:val="0"/>
              <w:marBottom w:val="0"/>
              <w:divBdr>
                <w:top w:val="none" w:sz="0" w:space="0" w:color="auto"/>
                <w:left w:val="none" w:sz="0" w:space="0" w:color="auto"/>
                <w:bottom w:val="none" w:sz="0" w:space="0" w:color="auto"/>
                <w:right w:val="none" w:sz="0" w:space="0" w:color="auto"/>
              </w:divBdr>
            </w:div>
            <w:div w:id="109322961">
              <w:marLeft w:val="0"/>
              <w:marRight w:val="0"/>
              <w:marTop w:val="0"/>
              <w:marBottom w:val="0"/>
              <w:divBdr>
                <w:top w:val="none" w:sz="0" w:space="0" w:color="auto"/>
                <w:left w:val="none" w:sz="0" w:space="0" w:color="auto"/>
                <w:bottom w:val="none" w:sz="0" w:space="0" w:color="auto"/>
                <w:right w:val="none" w:sz="0" w:space="0" w:color="auto"/>
              </w:divBdr>
            </w:div>
            <w:div w:id="858466898">
              <w:marLeft w:val="0"/>
              <w:marRight w:val="0"/>
              <w:marTop w:val="0"/>
              <w:marBottom w:val="0"/>
              <w:divBdr>
                <w:top w:val="none" w:sz="0" w:space="0" w:color="auto"/>
                <w:left w:val="none" w:sz="0" w:space="0" w:color="auto"/>
                <w:bottom w:val="none" w:sz="0" w:space="0" w:color="auto"/>
                <w:right w:val="none" w:sz="0" w:space="0" w:color="auto"/>
              </w:divBdr>
            </w:div>
            <w:div w:id="565457892">
              <w:marLeft w:val="0"/>
              <w:marRight w:val="0"/>
              <w:marTop w:val="0"/>
              <w:marBottom w:val="0"/>
              <w:divBdr>
                <w:top w:val="none" w:sz="0" w:space="0" w:color="auto"/>
                <w:left w:val="none" w:sz="0" w:space="0" w:color="auto"/>
                <w:bottom w:val="none" w:sz="0" w:space="0" w:color="auto"/>
                <w:right w:val="none" w:sz="0" w:space="0" w:color="auto"/>
              </w:divBdr>
            </w:div>
            <w:div w:id="1448617510">
              <w:marLeft w:val="0"/>
              <w:marRight w:val="0"/>
              <w:marTop w:val="0"/>
              <w:marBottom w:val="0"/>
              <w:divBdr>
                <w:top w:val="none" w:sz="0" w:space="0" w:color="auto"/>
                <w:left w:val="none" w:sz="0" w:space="0" w:color="auto"/>
                <w:bottom w:val="none" w:sz="0" w:space="0" w:color="auto"/>
                <w:right w:val="none" w:sz="0" w:space="0" w:color="auto"/>
              </w:divBdr>
            </w:div>
            <w:div w:id="106703847">
              <w:marLeft w:val="0"/>
              <w:marRight w:val="0"/>
              <w:marTop w:val="0"/>
              <w:marBottom w:val="0"/>
              <w:divBdr>
                <w:top w:val="none" w:sz="0" w:space="0" w:color="auto"/>
                <w:left w:val="none" w:sz="0" w:space="0" w:color="auto"/>
                <w:bottom w:val="none" w:sz="0" w:space="0" w:color="auto"/>
                <w:right w:val="none" w:sz="0" w:space="0" w:color="auto"/>
              </w:divBdr>
            </w:div>
            <w:div w:id="1325358553">
              <w:marLeft w:val="0"/>
              <w:marRight w:val="0"/>
              <w:marTop w:val="0"/>
              <w:marBottom w:val="0"/>
              <w:divBdr>
                <w:top w:val="none" w:sz="0" w:space="0" w:color="auto"/>
                <w:left w:val="none" w:sz="0" w:space="0" w:color="auto"/>
                <w:bottom w:val="none" w:sz="0" w:space="0" w:color="auto"/>
                <w:right w:val="none" w:sz="0" w:space="0" w:color="auto"/>
              </w:divBdr>
            </w:div>
            <w:div w:id="2105413986">
              <w:marLeft w:val="0"/>
              <w:marRight w:val="0"/>
              <w:marTop w:val="0"/>
              <w:marBottom w:val="0"/>
              <w:divBdr>
                <w:top w:val="none" w:sz="0" w:space="0" w:color="auto"/>
                <w:left w:val="none" w:sz="0" w:space="0" w:color="auto"/>
                <w:bottom w:val="none" w:sz="0" w:space="0" w:color="auto"/>
                <w:right w:val="none" w:sz="0" w:space="0" w:color="auto"/>
              </w:divBdr>
            </w:div>
            <w:div w:id="1879855413">
              <w:marLeft w:val="0"/>
              <w:marRight w:val="0"/>
              <w:marTop w:val="0"/>
              <w:marBottom w:val="0"/>
              <w:divBdr>
                <w:top w:val="none" w:sz="0" w:space="0" w:color="auto"/>
                <w:left w:val="none" w:sz="0" w:space="0" w:color="auto"/>
                <w:bottom w:val="none" w:sz="0" w:space="0" w:color="auto"/>
                <w:right w:val="none" w:sz="0" w:space="0" w:color="auto"/>
              </w:divBdr>
            </w:div>
            <w:div w:id="225800173">
              <w:marLeft w:val="0"/>
              <w:marRight w:val="0"/>
              <w:marTop w:val="0"/>
              <w:marBottom w:val="0"/>
              <w:divBdr>
                <w:top w:val="none" w:sz="0" w:space="0" w:color="auto"/>
                <w:left w:val="none" w:sz="0" w:space="0" w:color="auto"/>
                <w:bottom w:val="none" w:sz="0" w:space="0" w:color="auto"/>
                <w:right w:val="none" w:sz="0" w:space="0" w:color="auto"/>
              </w:divBdr>
            </w:div>
            <w:div w:id="302665365">
              <w:marLeft w:val="0"/>
              <w:marRight w:val="0"/>
              <w:marTop w:val="0"/>
              <w:marBottom w:val="0"/>
              <w:divBdr>
                <w:top w:val="none" w:sz="0" w:space="0" w:color="auto"/>
                <w:left w:val="none" w:sz="0" w:space="0" w:color="auto"/>
                <w:bottom w:val="none" w:sz="0" w:space="0" w:color="auto"/>
                <w:right w:val="none" w:sz="0" w:space="0" w:color="auto"/>
              </w:divBdr>
            </w:div>
            <w:div w:id="1129938645">
              <w:marLeft w:val="0"/>
              <w:marRight w:val="0"/>
              <w:marTop w:val="0"/>
              <w:marBottom w:val="0"/>
              <w:divBdr>
                <w:top w:val="none" w:sz="0" w:space="0" w:color="auto"/>
                <w:left w:val="none" w:sz="0" w:space="0" w:color="auto"/>
                <w:bottom w:val="none" w:sz="0" w:space="0" w:color="auto"/>
                <w:right w:val="none" w:sz="0" w:space="0" w:color="auto"/>
              </w:divBdr>
            </w:div>
            <w:div w:id="1301500323">
              <w:marLeft w:val="0"/>
              <w:marRight w:val="0"/>
              <w:marTop w:val="0"/>
              <w:marBottom w:val="0"/>
              <w:divBdr>
                <w:top w:val="none" w:sz="0" w:space="0" w:color="auto"/>
                <w:left w:val="none" w:sz="0" w:space="0" w:color="auto"/>
                <w:bottom w:val="none" w:sz="0" w:space="0" w:color="auto"/>
                <w:right w:val="none" w:sz="0" w:space="0" w:color="auto"/>
              </w:divBdr>
            </w:div>
            <w:div w:id="195774105">
              <w:marLeft w:val="0"/>
              <w:marRight w:val="0"/>
              <w:marTop w:val="0"/>
              <w:marBottom w:val="0"/>
              <w:divBdr>
                <w:top w:val="none" w:sz="0" w:space="0" w:color="auto"/>
                <w:left w:val="none" w:sz="0" w:space="0" w:color="auto"/>
                <w:bottom w:val="none" w:sz="0" w:space="0" w:color="auto"/>
                <w:right w:val="none" w:sz="0" w:space="0" w:color="auto"/>
              </w:divBdr>
            </w:div>
            <w:div w:id="2051806712">
              <w:marLeft w:val="0"/>
              <w:marRight w:val="0"/>
              <w:marTop w:val="0"/>
              <w:marBottom w:val="0"/>
              <w:divBdr>
                <w:top w:val="none" w:sz="0" w:space="0" w:color="auto"/>
                <w:left w:val="none" w:sz="0" w:space="0" w:color="auto"/>
                <w:bottom w:val="none" w:sz="0" w:space="0" w:color="auto"/>
                <w:right w:val="none" w:sz="0" w:space="0" w:color="auto"/>
              </w:divBdr>
            </w:div>
            <w:div w:id="1640301318">
              <w:marLeft w:val="0"/>
              <w:marRight w:val="0"/>
              <w:marTop w:val="0"/>
              <w:marBottom w:val="0"/>
              <w:divBdr>
                <w:top w:val="none" w:sz="0" w:space="0" w:color="auto"/>
                <w:left w:val="none" w:sz="0" w:space="0" w:color="auto"/>
                <w:bottom w:val="none" w:sz="0" w:space="0" w:color="auto"/>
                <w:right w:val="none" w:sz="0" w:space="0" w:color="auto"/>
              </w:divBdr>
            </w:div>
            <w:div w:id="193917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1450</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 Doa</dc:creator>
  <cp:lastModifiedBy>Kramek, Niva</cp:lastModifiedBy>
  <cp:revision>3</cp:revision>
  <cp:lastPrinted>2014-07-24T14:54:00Z</cp:lastPrinted>
  <dcterms:created xsi:type="dcterms:W3CDTF">2014-07-23T13:20:00Z</dcterms:created>
  <dcterms:modified xsi:type="dcterms:W3CDTF">2014-07-24T14:55:00Z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V.Tracking">
    <vt:lpwstr>true</vt:lpwstr>
  </property>
  <property fmtid="{D5CDD505-2E9C-101B-9397-08002B2CF9AE}" pid="3" name="DV.DocumentId">
    <vt:lpwstr>AMr4xK9fwLhlCJcM8pmPMh</vt:lpwstr>
  </property>
  <property fmtid="{D5CDD505-2E9C-101B-9397-08002B2CF9AE}" pid="4" name="DV.VersionId">
    <vt:lpwstr>dWGD71Et82CiaulpjuB1kP</vt:lpwstr>
  </property>
  <property fmtid="{D5CDD505-2E9C-101B-9397-08002B2CF9AE}" pid="5" name="DV.MergeIncapabilityFlags">
    <vt:i4>0</vt:i4>
  </property>
</Properties>
</file>