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7A742" w14:textId="77777777" w:rsidR="00FC0727" w:rsidRPr="00FC0727" w:rsidRDefault="00FC0727" w:rsidP="00FC0727">
      <w:pPr>
        <w:widowControl w:val="0"/>
        <w:spacing w:after="0" w:line="240" w:lineRule="auto"/>
        <w:ind w:right="1570"/>
        <w:rPr>
          <w:rFonts w:ascii="Times New Roman" w:eastAsia="Calibri" w:hAnsi="Times New Roman" w:cs="Times New Roman"/>
          <w:color w:val="000000"/>
          <w:sz w:val="32"/>
          <w:szCs w:val="32"/>
        </w:rPr>
      </w:pPr>
      <w:r w:rsidRPr="00FC0727">
        <w:rPr>
          <w:rFonts w:ascii="Times New Roman" w:eastAsia="Calibri" w:hAnsi="Times New Roman" w:cs="Times New Roman"/>
          <w:b/>
          <w:bCs/>
          <w:color w:val="000000"/>
          <w:w w:val="90"/>
          <w:sz w:val="32"/>
          <w:szCs w:val="32"/>
        </w:rPr>
        <w:t xml:space="preserve">Sample </w:t>
      </w:r>
      <w:r>
        <w:rPr>
          <w:rFonts w:ascii="Times New Roman" w:eastAsia="Calibri" w:hAnsi="Times New Roman" w:cs="Times New Roman"/>
          <w:b/>
          <w:bCs/>
          <w:color w:val="000000"/>
          <w:w w:val="90"/>
          <w:sz w:val="32"/>
          <w:szCs w:val="32"/>
        </w:rPr>
        <w:t xml:space="preserve">Exchange Network </w:t>
      </w:r>
      <w:r w:rsidRPr="00FC0727">
        <w:rPr>
          <w:rFonts w:ascii="Times New Roman" w:eastAsia="Calibri" w:hAnsi="Times New Roman" w:cs="Times New Roman"/>
          <w:b/>
          <w:bCs/>
          <w:color w:val="000000"/>
          <w:w w:val="90"/>
          <w:sz w:val="32"/>
          <w:szCs w:val="32"/>
        </w:rPr>
        <w:t>Project Goals, Outputs, and Outcomes</w:t>
      </w:r>
    </w:p>
    <w:p w14:paraId="3C1862BF"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4"/>
        </w:rPr>
      </w:pPr>
    </w:p>
    <w:p w14:paraId="0E911614" w14:textId="77777777" w:rsidR="00FC0727" w:rsidRPr="00FC0727" w:rsidRDefault="00FC0727" w:rsidP="00FC0727">
      <w:pPr>
        <w:widowControl w:val="0"/>
        <w:spacing w:after="0" w:line="240" w:lineRule="auto"/>
        <w:ind w:right="8460"/>
        <w:rPr>
          <w:rFonts w:ascii="Times New Roman" w:eastAsia="Calibri" w:hAnsi="Times New Roman" w:cs="Times New Roman"/>
          <w:color w:val="000000"/>
          <w:sz w:val="28"/>
          <w:szCs w:val="28"/>
        </w:rPr>
      </w:pPr>
      <w:r w:rsidRPr="00FC0727">
        <w:rPr>
          <w:rFonts w:ascii="Times New Roman" w:eastAsia="Calibri" w:hAnsi="Times New Roman" w:cs="Times New Roman"/>
          <w:b/>
          <w:bCs/>
          <w:color w:val="000000"/>
          <w:w w:val="90"/>
          <w:sz w:val="28"/>
          <w:szCs w:val="28"/>
        </w:rPr>
        <w:t>Goals</w:t>
      </w:r>
    </w:p>
    <w:p w14:paraId="6F08A4D3"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39A82F42" w14:textId="77777777" w:rsidR="00FC0727" w:rsidRPr="00FC0727" w:rsidRDefault="00FC0727" w:rsidP="00FC0727">
      <w:pPr>
        <w:widowControl w:val="0"/>
        <w:tabs>
          <w:tab w:val="left" w:pos="360"/>
        </w:tabs>
        <w:spacing w:after="0" w:line="240" w:lineRule="auto"/>
        <w:ind w:right="850"/>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1.</w:t>
      </w:r>
      <w:r w:rsidRPr="00FC0727">
        <w:rPr>
          <w:rFonts w:ascii="Times New Roman" w:eastAsia="Calibri" w:hAnsi="Times New Roman" w:cs="Times New Roman"/>
          <w:color w:val="000000"/>
          <w:w w:val="90"/>
          <w:sz w:val="24"/>
        </w:rPr>
        <w:tab/>
      </w:r>
      <w:r w:rsidRPr="00FC0727">
        <w:rPr>
          <w:rFonts w:ascii="Times New Roman" w:eastAsia="Calibri" w:hAnsi="Times New Roman" w:cs="Times New Roman"/>
          <w:b/>
          <w:bCs/>
          <w:color w:val="000000"/>
          <w:w w:val="90"/>
          <w:sz w:val="24"/>
        </w:rPr>
        <w:t xml:space="preserve">Emissions Inventory System (EIS) &amp; Greenhouse Gas (GHG) </w:t>
      </w:r>
      <w:r w:rsidRPr="00FC0727">
        <w:rPr>
          <w:rFonts w:ascii="Times New Roman" w:eastAsia="Times New Roman" w:hAnsi="Times New Roman" w:cs="Times New Roman"/>
          <w:b/>
          <w:bCs/>
          <w:color w:val="000000"/>
          <w:w w:val="90"/>
          <w:sz w:val="24"/>
        </w:rPr>
        <w:t>Data Flows</w:t>
      </w:r>
    </w:p>
    <w:p w14:paraId="0429D384" w14:textId="77777777" w:rsidR="00FC0727" w:rsidRPr="00FC0727" w:rsidRDefault="00FC0727" w:rsidP="00FC0727">
      <w:pPr>
        <w:widowControl w:val="0"/>
        <w:spacing w:after="0" w:line="240" w:lineRule="auto"/>
        <w:ind w:right="67"/>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 xml:space="preserve">Freedonia DEP has been sending NEI data to EPA using the Exchange Network. However, as EPA moves to a new database, called the Emissions Inventory System, this </w:t>
      </w:r>
      <w:r w:rsidRPr="00FC0727">
        <w:rPr>
          <w:rFonts w:ascii="Times New Roman" w:eastAsia="Times New Roman" w:hAnsi="Times New Roman" w:cs="Times New Roman"/>
          <w:color w:val="000000"/>
          <w:w w:val="90"/>
          <w:sz w:val="24"/>
        </w:rPr>
        <w:t>data flow</w:t>
      </w:r>
      <w:r w:rsidRPr="00FC0727">
        <w:rPr>
          <w:rFonts w:ascii="Times New Roman" w:eastAsia="Calibri" w:hAnsi="Times New Roman" w:cs="Times New Roman"/>
          <w:color w:val="000000"/>
          <w:w w:val="90"/>
          <w:sz w:val="24"/>
        </w:rPr>
        <w:t xml:space="preserve"> will need to be upgraded to meet the new schema, CERS.</w:t>
      </w:r>
    </w:p>
    <w:p w14:paraId="53A42EF1"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5CA9B209" w14:textId="77777777" w:rsidR="00FC0727" w:rsidRPr="00FC0727" w:rsidRDefault="00FC0727" w:rsidP="00FC0727">
      <w:pPr>
        <w:widowControl w:val="0"/>
        <w:spacing w:after="0" w:line="240" w:lineRule="auto"/>
        <w:ind w:right="59"/>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 xml:space="preserve">Freedonia requires Title V facilities to provide Greenhouse Gas (GHG) data to the state, unless they are providing data directly to The Climate Registry (TCR). Currently three Freedonia companies have agreed to supply data to TCR. The remainder of the Title V facilities must supply GHG data to Freedonia DEP annually using the same online system as NEI data. This system is called the </w:t>
      </w:r>
      <w:r w:rsidRPr="00FC0727">
        <w:rPr>
          <w:rFonts w:ascii="Times New Roman" w:eastAsia="Calibri" w:hAnsi="Times New Roman" w:cs="Times New Roman"/>
          <w:b/>
          <w:bCs/>
          <w:color w:val="000000"/>
          <w:w w:val="90"/>
          <w:sz w:val="24"/>
        </w:rPr>
        <w:t>Permitting and Air Reporting System of Freedonia (PARSOF)</w:t>
      </w:r>
      <w:r w:rsidRPr="00FC0727">
        <w:rPr>
          <w:rFonts w:ascii="Times New Roman" w:eastAsia="Calibri" w:hAnsi="Times New Roman" w:cs="Times New Roman"/>
          <w:color w:val="000000"/>
          <w:w w:val="90"/>
          <w:sz w:val="24"/>
        </w:rPr>
        <w:t>.</w:t>
      </w:r>
    </w:p>
    <w:p w14:paraId="751FDEFB"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62BA299C" w14:textId="27352E36" w:rsidR="00FC0727" w:rsidRPr="00FC0727" w:rsidRDefault="00912EDA" w:rsidP="00FC0727">
      <w:pPr>
        <w:widowControl w:val="0"/>
        <w:tabs>
          <w:tab w:val="left" w:pos="360"/>
        </w:tabs>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w w:val="90"/>
          <w:sz w:val="24"/>
        </w:rPr>
        <w:tab/>
      </w:r>
      <w:r w:rsidR="00FC0727" w:rsidRPr="00FC0727">
        <w:rPr>
          <w:rFonts w:ascii="Times New Roman" w:eastAsia="Calibri" w:hAnsi="Times New Roman" w:cs="Times New Roman"/>
          <w:color w:val="000000"/>
          <w:w w:val="90"/>
          <w:sz w:val="24"/>
        </w:rPr>
        <w:t>1.1.</w:t>
      </w:r>
      <w:r w:rsidR="00FC0727" w:rsidRPr="00FC0727">
        <w:rPr>
          <w:rFonts w:ascii="Times New Roman" w:eastAsia="Calibri" w:hAnsi="Times New Roman" w:cs="Times New Roman"/>
          <w:color w:val="000000"/>
          <w:w w:val="90"/>
          <w:sz w:val="24"/>
        </w:rPr>
        <w:tab/>
      </w:r>
      <w:r w:rsidR="00FC0727" w:rsidRPr="00FC0727">
        <w:rPr>
          <w:rFonts w:ascii="Times New Roman" w:eastAsia="Calibri" w:hAnsi="Times New Roman" w:cs="Times New Roman"/>
          <w:b/>
          <w:bCs/>
          <w:color w:val="000000"/>
          <w:w w:val="90"/>
          <w:sz w:val="24"/>
        </w:rPr>
        <w:t xml:space="preserve">Map EIS &amp; GHG data elements </w:t>
      </w:r>
      <w:r w:rsidR="00FC0727" w:rsidRPr="00FC0727">
        <w:rPr>
          <w:rFonts w:ascii="Times New Roman" w:eastAsia="Calibri" w:hAnsi="Times New Roman" w:cs="Times New Roman"/>
          <w:color w:val="000000"/>
          <w:w w:val="90"/>
          <w:sz w:val="24"/>
        </w:rPr>
        <w:t>to the CERS XML Schema.</w:t>
      </w:r>
    </w:p>
    <w:p w14:paraId="1ADB2B34" w14:textId="77777777" w:rsidR="00FC0727" w:rsidRPr="00FC0727" w:rsidRDefault="00FC0727" w:rsidP="00912EDA">
      <w:pPr>
        <w:widowControl w:val="0"/>
        <w:spacing w:after="0" w:line="240" w:lineRule="auto"/>
        <w:ind w:left="720" w:right="56"/>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This includes detailed analysis and specifications for transferring data from PARSOF to CERS schema.</w:t>
      </w:r>
    </w:p>
    <w:p w14:paraId="65152216"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76C988AB" w14:textId="6B31456F" w:rsidR="00FC0727" w:rsidRPr="00FC0727" w:rsidRDefault="00912EDA" w:rsidP="00FC0727">
      <w:pPr>
        <w:widowControl w:val="0"/>
        <w:tabs>
          <w:tab w:val="left" w:pos="360"/>
        </w:tabs>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w w:val="90"/>
          <w:sz w:val="24"/>
        </w:rPr>
        <w:tab/>
      </w:r>
      <w:r w:rsidR="00FC0727" w:rsidRPr="00FC0727">
        <w:rPr>
          <w:rFonts w:ascii="Times New Roman" w:eastAsia="Calibri" w:hAnsi="Times New Roman" w:cs="Times New Roman"/>
          <w:color w:val="000000"/>
          <w:w w:val="90"/>
          <w:sz w:val="24"/>
        </w:rPr>
        <w:t>1.2.</w:t>
      </w:r>
      <w:r w:rsidR="00FC0727" w:rsidRPr="00FC0727">
        <w:rPr>
          <w:rFonts w:ascii="Times New Roman" w:eastAsia="Times New Roman" w:hAnsi="Times New Roman" w:cs="Times New Roman"/>
          <w:color w:val="000000"/>
          <w:w w:val="90"/>
          <w:sz w:val="24"/>
          <w:szCs w:val="24"/>
        </w:rPr>
        <w:tab/>
      </w:r>
      <w:r w:rsidR="00FC0727" w:rsidRPr="00FC0727">
        <w:rPr>
          <w:rFonts w:ascii="Times New Roman" w:eastAsia="Calibri" w:hAnsi="Times New Roman" w:cs="Times New Roman"/>
          <w:color w:val="000000"/>
          <w:w w:val="90"/>
          <w:sz w:val="24"/>
        </w:rPr>
        <w:t xml:space="preserve">Implement the </w:t>
      </w:r>
      <w:r w:rsidR="00FC0727" w:rsidRPr="00FC0727">
        <w:rPr>
          <w:rFonts w:ascii="Times New Roman" w:eastAsia="Calibri" w:hAnsi="Times New Roman" w:cs="Times New Roman"/>
          <w:b/>
          <w:bCs/>
          <w:color w:val="000000"/>
          <w:w w:val="90"/>
          <w:sz w:val="24"/>
        </w:rPr>
        <w:t xml:space="preserve">production EIS </w:t>
      </w:r>
      <w:r w:rsidR="00FC0727" w:rsidRPr="00FC0727">
        <w:rPr>
          <w:rFonts w:ascii="Times New Roman" w:eastAsia="Times New Roman" w:hAnsi="Times New Roman" w:cs="Times New Roman"/>
          <w:b/>
          <w:bCs/>
          <w:color w:val="000000"/>
          <w:w w:val="90"/>
          <w:sz w:val="24"/>
        </w:rPr>
        <w:t>data flow</w:t>
      </w:r>
      <w:r w:rsidR="00FC0727" w:rsidRPr="00FC0727">
        <w:rPr>
          <w:rFonts w:ascii="Times New Roman" w:eastAsia="Calibri" w:hAnsi="Times New Roman" w:cs="Times New Roman"/>
          <w:color w:val="000000"/>
          <w:w w:val="90"/>
          <w:sz w:val="24"/>
        </w:rPr>
        <w:t>. This includes:</w:t>
      </w:r>
    </w:p>
    <w:p w14:paraId="2C8D10CB" w14:textId="77777777" w:rsidR="00FC0727" w:rsidRPr="00FC0727" w:rsidRDefault="00FC0727" w:rsidP="00912EDA">
      <w:pPr>
        <w:widowControl w:val="0"/>
        <w:numPr>
          <w:ilvl w:val="0"/>
          <w:numId w:val="1"/>
        </w:numPr>
        <w:tabs>
          <w:tab w:val="num" w:pos="216"/>
          <w:tab w:val="left" w:pos="1000"/>
          <w:tab w:val="left" w:pos="1170"/>
        </w:tabs>
        <w:spacing w:after="0" w:line="240" w:lineRule="auto"/>
        <w:ind w:left="990" w:right="61"/>
        <w:contextualSpacing/>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Develop the Extract, Transform and Load (ETL) process to load PARSOF data to staging tables</w:t>
      </w:r>
    </w:p>
    <w:p w14:paraId="3AC9FB36" w14:textId="77777777" w:rsidR="00FC0727" w:rsidRPr="00FC0727" w:rsidRDefault="00FC0727" w:rsidP="00912EDA">
      <w:pPr>
        <w:widowControl w:val="0"/>
        <w:numPr>
          <w:ilvl w:val="0"/>
          <w:numId w:val="1"/>
        </w:numPr>
        <w:tabs>
          <w:tab w:val="num" w:pos="216"/>
        </w:tabs>
        <w:spacing w:after="0" w:line="240" w:lineRule="auto"/>
        <w:ind w:left="990" w:right="130"/>
        <w:contextualSpacing/>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Develop an EIS node plug-in to transfer the data from the staging tables to XML</w:t>
      </w:r>
    </w:p>
    <w:p w14:paraId="71B71AAF" w14:textId="77777777" w:rsidR="00FC0727" w:rsidRPr="00FC0727" w:rsidRDefault="00FC0727" w:rsidP="00912EDA">
      <w:pPr>
        <w:widowControl w:val="0"/>
        <w:numPr>
          <w:ilvl w:val="0"/>
          <w:numId w:val="1"/>
        </w:numPr>
        <w:tabs>
          <w:tab w:val="num" w:pos="216"/>
        </w:tabs>
        <w:spacing w:after="0" w:line="240" w:lineRule="auto"/>
        <w:ind w:left="990" w:right="4270"/>
        <w:contextualSpacing/>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 xml:space="preserve">Configure the node </w:t>
      </w:r>
      <w:r w:rsidRPr="00FC0727">
        <w:rPr>
          <w:rFonts w:ascii="Times New Roman" w:eastAsia="Times New Roman" w:hAnsi="Times New Roman" w:cs="Times New Roman"/>
          <w:color w:val="000000"/>
          <w:w w:val="90"/>
          <w:sz w:val="24"/>
        </w:rPr>
        <w:t>data flow</w:t>
      </w:r>
    </w:p>
    <w:p w14:paraId="1887A423" w14:textId="77777777" w:rsidR="00FC0727" w:rsidRPr="00FC0727" w:rsidRDefault="00FC0727" w:rsidP="00912EDA">
      <w:pPr>
        <w:widowControl w:val="0"/>
        <w:numPr>
          <w:ilvl w:val="0"/>
          <w:numId w:val="1"/>
        </w:numPr>
        <w:tabs>
          <w:tab w:val="num" w:pos="216"/>
          <w:tab w:val="left" w:pos="7200"/>
          <w:tab w:val="left" w:pos="7290"/>
        </w:tabs>
        <w:spacing w:after="0" w:line="240" w:lineRule="auto"/>
        <w:ind w:left="990" w:right="2380"/>
        <w:contextualSpacing/>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 xml:space="preserve">Test the </w:t>
      </w:r>
      <w:r w:rsidRPr="00FC0727">
        <w:rPr>
          <w:rFonts w:ascii="Times New Roman" w:eastAsia="Times New Roman" w:hAnsi="Times New Roman" w:cs="Times New Roman"/>
          <w:color w:val="000000"/>
          <w:w w:val="90"/>
          <w:sz w:val="24"/>
        </w:rPr>
        <w:t>data flow</w:t>
      </w:r>
      <w:r w:rsidRPr="00FC0727">
        <w:rPr>
          <w:rFonts w:ascii="Times New Roman" w:eastAsia="Calibri" w:hAnsi="Times New Roman" w:cs="Times New Roman"/>
          <w:color w:val="000000"/>
          <w:w w:val="90"/>
          <w:sz w:val="24"/>
        </w:rPr>
        <w:t xml:space="preserve"> and perform quality assessment</w:t>
      </w:r>
    </w:p>
    <w:p w14:paraId="26B0903C"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5E9A0624" w14:textId="5AFC488E" w:rsidR="00FC0727" w:rsidRPr="00FC0727" w:rsidRDefault="00912EDA" w:rsidP="00FC0727">
      <w:pPr>
        <w:widowControl w:val="0"/>
        <w:tabs>
          <w:tab w:val="left" w:pos="360"/>
        </w:tabs>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w w:val="90"/>
          <w:sz w:val="24"/>
        </w:rPr>
        <w:tab/>
      </w:r>
      <w:r w:rsidR="00FC0727" w:rsidRPr="00FC0727">
        <w:rPr>
          <w:rFonts w:ascii="Times New Roman" w:eastAsia="Calibri" w:hAnsi="Times New Roman" w:cs="Times New Roman"/>
          <w:color w:val="000000"/>
          <w:w w:val="90"/>
          <w:sz w:val="24"/>
        </w:rPr>
        <w:t>1.3.</w:t>
      </w:r>
      <w:r w:rsidR="00FC0727" w:rsidRPr="00FC0727">
        <w:rPr>
          <w:rFonts w:ascii="Times New Roman" w:eastAsia="Times New Roman" w:hAnsi="Times New Roman" w:cs="Times New Roman"/>
          <w:color w:val="000000"/>
          <w:w w:val="90"/>
          <w:sz w:val="24"/>
          <w:szCs w:val="24"/>
        </w:rPr>
        <w:tab/>
      </w:r>
      <w:r w:rsidR="00FC0727" w:rsidRPr="00FC0727">
        <w:rPr>
          <w:rFonts w:ascii="Times New Roman" w:eastAsia="Calibri" w:hAnsi="Times New Roman" w:cs="Times New Roman"/>
          <w:color w:val="000000"/>
          <w:w w:val="90"/>
          <w:sz w:val="24"/>
        </w:rPr>
        <w:t xml:space="preserve">Implement the </w:t>
      </w:r>
      <w:r w:rsidR="00FC0727" w:rsidRPr="00FC0727">
        <w:rPr>
          <w:rFonts w:ascii="Times New Roman" w:eastAsia="Calibri" w:hAnsi="Times New Roman" w:cs="Times New Roman"/>
          <w:b/>
          <w:bCs/>
          <w:color w:val="000000"/>
          <w:w w:val="90"/>
          <w:sz w:val="24"/>
        </w:rPr>
        <w:t xml:space="preserve">GHG </w:t>
      </w:r>
      <w:r w:rsidR="00FC0727" w:rsidRPr="00FC0727">
        <w:rPr>
          <w:rFonts w:ascii="Times New Roman" w:eastAsia="Times New Roman" w:hAnsi="Times New Roman" w:cs="Times New Roman"/>
          <w:b/>
          <w:bCs/>
          <w:color w:val="000000"/>
          <w:w w:val="90"/>
          <w:sz w:val="24"/>
        </w:rPr>
        <w:t>data flow</w:t>
      </w:r>
      <w:r w:rsidR="00FC0727" w:rsidRPr="00FC0727">
        <w:rPr>
          <w:rFonts w:ascii="Times New Roman" w:eastAsia="Calibri" w:hAnsi="Times New Roman" w:cs="Times New Roman"/>
          <w:b/>
          <w:bCs/>
          <w:color w:val="000000"/>
          <w:w w:val="90"/>
          <w:sz w:val="24"/>
        </w:rPr>
        <w:t xml:space="preserve"> </w:t>
      </w:r>
      <w:r w:rsidR="00FC0727" w:rsidRPr="00FC0727">
        <w:rPr>
          <w:rFonts w:ascii="Times New Roman" w:eastAsia="Calibri" w:hAnsi="Times New Roman" w:cs="Times New Roman"/>
          <w:color w:val="000000"/>
          <w:w w:val="90"/>
          <w:sz w:val="24"/>
        </w:rPr>
        <w:t>to production.</w:t>
      </w:r>
    </w:p>
    <w:p w14:paraId="55EA83B2" w14:textId="77777777" w:rsidR="00FC0727" w:rsidRPr="00FC0727" w:rsidRDefault="00FC0727" w:rsidP="00912EDA">
      <w:pPr>
        <w:widowControl w:val="0"/>
        <w:spacing w:after="0" w:line="240" w:lineRule="auto"/>
        <w:ind w:right="2740" w:firstLine="720"/>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Repeat step 1.2 with minor adaptations for GHG data.</w:t>
      </w:r>
    </w:p>
    <w:p w14:paraId="20CB1DBB"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2B404F26" w14:textId="70A2CC65" w:rsidR="00FC0727" w:rsidRPr="00FC0727" w:rsidRDefault="00912EDA" w:rsidP="00912EDA">
      <w:pPr>
        <w:widowControl w:val="0"/>
        <w:tabs>
          <w:tab w:val="left" w:pos="360"/>
        </w:tabs>
        <w:spacing w:after="0" w:line="240" w:lineRule="auto"/>
        <w:ind w:left="720" w:right="58" w:hanging="900"/>
        <w:rPr>
          <w:rFonts w:ascii="Times New Roman" w:eastAsia="Calibri" w:hAnsi="Times New Roman" w:cs="Times New Roman"/>
          <w:color w:val="000000"/>
          <w:sz w:val="24"/>
        </w:rPr>
      </w:pPr>
      <w:r>
        <w:rPr>
          <w:rFonts w:ascii="Times New Roman" w:eastAsia="Calibri" w:hAnsi="Times New Roman" w:cs="Times New Roman"/>
          <w:color w:val="000000"/>
          <w:w w:val="90"/>
          <w:sz w:val="24"/>
        </w:rPr>
        <w:tab/>
      </w:r>
      <w:r w:rsidR="00FC0727" w:rsidRPr="00FC0727">
        <w:rPr>
          <w:rFonts w:ascii="Times New Roman" w:eastAsia="Calibri" w:hAnsi="Times New Roman" w:cs="Times New Roman"/>
          <w:color w:val="000000"/>
          <w:w w:val="90"/>
          <w:sz w:val="24"/>
        </w:rPr>
        <w:t>1.4.</w:t>
      </w:r>
      <w:r w:rsidR="00FC0727" w:rsidRPr="00FC0727">
        <w:rPr>
          <w:rFonts w:ascii="Times New Roman" w:eastAsia="Times New Roman" w:hAnsi="Times New Roman" w:cs="Times New Roman"/>
          <w:color w:val="000000"/>
          <w:w w:val="90"/>
          <w:sz w:val="24"/>
          <w:szCs w:val="24"/>
        </w:rPr>
        <w:tab/>
      </w:r>
      <w:r w:rsidR="00FC0727" w:rsidRPr="00FC0727">
        <w:rPr>
          <w:rFonts w:ascii="Times New Roman" w:eastAsia="Calibri" w:hAnsi="Times New Roman" w:cs="Times New Roman"/>
          <w:color w:val="000000"/>
          <w:w w:val="90"/>
          <w:sz w:val="24"/>
        </w:rPr>
        <w:t>Improve</w:t>
      </w:r>
      <w:r w:rsidR="00FC0727" w:rsidRPr="00FC0727">
        <w:rPr>
          <w:rFonts w:ascii="Times New Roman" w:eastAsia="Calibri" w:hAnsi="Times New Roman" w:cs="Times New Roman"/>
          <w:b/>
          <w:bCs/>
          <w:color w:val="000000"/>
          <w:w w:val="90"/>
          <w:sz w:val="24"/>
        </w:rPr>
        <w:t xml:space="preserve"> GIS Locations </w:t>
      </w:r>
      <w:r w:rsidR="00FC0727" w:rsidRPr="00FC0727">
        <w:rPr>
          <w:rFonts w:ascii="Times New Roman" w:eastAsia="Calibri" w:hAnsi="Times New Roman" w:cs="Times New Roman"/>
          <w:color w:val="000000"/>
          <w:w w:val="90"/>
          <w:sz w:val="24"/>
        </w:rPr>
        <w:t>for emission points from Title V facilities, including preparation of geospatial metadata for the Latitude/Longitude Data Standard and meeting EPA’s minimum accuracy of 25 meters for most points. This will improve the accuracy of data in both EIS and GHG.</w:t>
      </w:r>
    </w:p>
    <w:p w14:paraId="5D2931D4"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106987BB" w14:textId="77777777" w:rsidR="00FC0727" w:rsidRPr="00FC0727" w:rsidRDefault="00FC0727" w:rsidP="00912EDA">
      <w:pPr>
        <w:widowControl w:val="0"/>
        <w:spacing w:after="0" w:line="240" w:lineRule="auto"/>
        <w:ind w:left="720" w:right="62"/>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This includes obtaining and entering locations and stack parameters for approximately 9,500 emission points into the PARSOF database. Some of these data will need to be transformed from the Breeze modeling software, and some obtained from paper maps and checked against aerial photos. Also, if time allows, other locations and associated web applications for environmental assessment/integration may be improved.</w:t>
      </w:r>
    </w:p>
    <w:p w14:paraId="3B88D21F"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0AF1CA27"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4"/>
        </w:rPr>
      </w:pPr>
      <w:r w:rsidRPr="00FC0727">
        <w:rPr>
          <w:rFonts w:ascii="Times New Roman" w:eastAsia="Calibri" w:hAnsi="Times New Roman" w:cs="Times New Roman"/>
          <w:color w:val="000000"/>
          <w:w w:val="90"/>
          <w:sz w:val="24"/>
        </w:rPr>
        <w:br w:type="page"/>
      </w:r>
    </w:p>
    <w:p w14:paraId="78E4FA4E" w14:textId="766E8286" w:rsidR="00FC0727" w:rsidRPr="00FC0727" w:rsidRDefault="00FC0727" w:rsidP="00912EDA">
      <w:pPr>
        <w:widowControl w:val="0"/>
        <w:tabs>
          <w:tab w:val="left" w:pos="360"/>
        </w:tabs>
        <w:spacing w:after="0" w:line="240" w:lineRule="auto"/>
        <w:ind w:left="720" w:right="59" w:hanging="360"/>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lastRenderedPageBreak/>
        <w:t>1.5. Add</w:t>
      </w:r>
      <w:r w:rsidRPr="00FC0727">
        <w:rPr>
          <w:rFonts w:ascii="Times New Roman" w:eastAsia="Calibri" w:hAnsi="Times New Roman" w:cs="Times New Roman"/>
          <w:b/>
          <w:bCs/>
          <w:color w:val="000000"/>
          <w:w w:val="90"/>
          <w:sz w:val="24"/>
        </w:rPr>
        <w:t xml:space="preserve"> application module </w:t>
      </w:r>
      <w:r w:rsidRPr="00FC0727">
        <w:rPr>
          <w:rFonts w:ascii="Times New Roman" w:eastAsia="Calibri" w:hAnsi="Times New Roman" w:cs="Times New Roman"/>
          <w:color w:val="000000"/>
          <w:w w:val="90"/>
          <w:sz w:val="24"/>
        </w:rPr>
        <w:t xml:space="preserve">to the Facility Explorer web application </w:t>
      </w:r>
      <w:r w:rsidRPr="00FC0727">
        <w:rPr>
          <w:rFonts w:ascii="Times New Roman" w:eastAsia="Calibri" w:hAnsi="Times New Roman" w:cs="Times New Roman"/>
          <w:b/>
          <w:bCs/>
          <w:color w:val="000000"/>
          <w:w w:val="90"/>
          <w:sz w:val="24"/>
        </w:rPr>
        <w:t xml:space="preserve">to allow easy access to emission point locations </w:t>
      </w:r>
      <w:r w:rsidRPr="00FC0727">
        <w:rPr>
          <w:rFonts w:ascii="Times New Roman" w:eastAsia="Calibri" w:hAnsi="Times New Roman" w:cs="Times New Roman"/>
          <w:color w:val="000000"/>
          <w:w w:val="90"/>
          <w:sz w:val="24"/>
        </w:rPr>
        <w:t>and associated data. This will be used to evaluate emission rates of surrounding major facilities within a given radius of a proposed construction project.</w:t>
      </w:r>
    </w:p>
    <w:p w14:paraId="03636EC3" w14:textId="77777777" w:rsidR="00FC0727" w:rsidRPr="00FC0727" w:rsidRDefault="00FC0727" w:rsidP="00FC0727">
      <w:pPr>
        <w:widowControl w:val="0"/>
        <w:spacing w:after="0" w:line="240" w:lineRule="auto"/>
        <w:ind w:left="640" w:right="60"/>
        <w:rPr>
          <w:rFonts w:ascii="Times New Roman" w:eastAsia="Calibri" w:hAnsi="Times New Roman" w:cs="Times New Roman"/>
          <w:color w:val="000000"/>
          <w:w w:val="90"/>
          <w:sz w:val="24"/>
        </w:rPr>
      </w:pPr>
    </w:p>
    <w:p w14:paraId="189CDC06" w14:textId="77777777" w:rsidR="00FC0727" w:rsidRPr="00FC0727" w:rsidRDefault="00FC0727" w:rsidP="00912EDA">
      <w:pPr>
        <w:widowControl w:val="0"/>
        <w:spacing w:after="0" w:line="240" w:lineRule="auto"/>
        <w:ind w:left="720" w:right="60"/>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This is a required assessment under the Prevention of Significant Deterioration (PSD) permitting program.</w:t>
      </w:r>
    </w:p>
    <w:p w14:paraId="54B199F6" w14:textId="77777777" w:rsidR="00FC0727" w:rsidRPr="00FC0727" w:rsidRDefault="00FC0727" w:rsidP="00FC0727">
      <w:pPr>
        <w:widowControl w:val="0"/>
        <w:spacing w:after="0" w:line="240" w:lineRule="auto"/>
        <w:ind w:left="360"/>
        <w:rPr>
          <w:rFonts w:ascii="Times New Roman" w:eastAsia="Calibri" w:hAnsi="Times New Roman" w:cs="Times New Roman"/>
          <w:color w:val="000000"/>
          <w:w w:val="90"/>
          <w:sz w:val="26"/>
        </w:rPr>
      </w:pPr>
    </w:p>
    <w:p w14:paraId="3C6C4CA8" w14:textId="77777777" w:rsidR="00FC0727" w:rsidRPr="00FC0727" w:rsidRDefault="00FC0727" w:rsidP="00912EDA">
      <w:pPr>
        <w:widowControl w:val="0"/>
        <w:spacing w:after="0" w:line="240" w:lineRule="auto"/>
        <w:ind w:left="720" w:right="54"/>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Currently when a construction project is proposed, the applicant contacts DEP who then queries the database for nearby sites, and manually finds the emission point data for each site to send to the applicant. The proposed web application module will allow the applicant to run a simple query themselves, thus obtaining the data immediately, and eliminating the need for DEP staff to find data.</w:t>
      </w:r>
    </w:p>
    <w:p w14:paraId="21C59E27" w14:textId="77777777" w:rsidR="00FC0727" w:rsidRPr="00FC0727" w:rsidRDefault="00FC0727" w:rsidP="00FC0727">
      <w:pPr>
        <w:widowControl w:val="0"/>
        <w:spacing w:after="0" w:line="240" w:lineRule="auto"/>
        <w:ind w:left="360"/>
        <w:rPr>
          <w:rFonts w:ascii="Times New Roman" w:eastAsia="Calibri" w:hAnsi="Times New Roman" w:cs="Times New Roman"/>
          <w:color w:val="000000"/>
          <w:w w:val="90"/>
          <w:sz w:val="26"/>
        </w:rPr>
      </w:pPr>
    </w:p>
    <w:p w14:paraId="3550FED5" w14:textId="77777777" w:rsidR="00FC0727" w:rsidRPr="00FC0727" w:rsidRDefault="00FC0727" w:rsidP="00912EDA">
      <w:pPr>
        <w:widowControl w:val="0"/>
        <w:spacing w:after="0" w:line="240" w:lineRule="auto"/>
        <w:ind w:left="720" w:right="57"/>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The proposed application module includes programming to load the emission point locations as sub-entities into Freedonia’s Environmental Facilities Database (EFD) warehouse, request the search, do the GIS query, retrieve needed report data from EFD and PARSOF, and build the report using SQL Reporting Services. The report will include:</w:t>
      </w:r>
    </w:p>
    <w:p w14:paraId="7F4D01D9" w14:textId="77777777" w:rsidR="00FC0727" w:rsidRPr="00FC0727" w:rsidRDefault="00FC0727" w:rsidP="00912EDA">
      <w:pPr>
        <w:widowControl w:val="0"/>
        <w:numPr>
          <w:ilvl w:val="0"/>
          <w:numId w:val="2"/>
        </w:numPr>
        <w:spacing w:after="0" w:line="240" w:lineRule="auto"/>
        <w:ind w:left="1260" w:right="4450"/>
        <w:contextualSpacing/>
        <w:rPr>
          <w:rFonts w:ascii="Times New Roman" w:eastAsia="Calibri" w:hAnsi="Times New Roman" w:cs="Times New Roman"/>
          <w:color w:val="000000"/>
          <w:sz w:val="24"/>
        </w:rPr>
      </w:pPr>
      <w:r w:rsidRPr="00FC0727">
        <w:rPr>
          <w:rFonts w:ascii="Times New Roman" w:eastAsia="Calibri" w:hAnsi="Times New Roman" w:cs="Times New Roman"/>
          <w:b/>
          <w:bCs/>
          <w:color w:val="000000"/>
          <w:w w:val="90"/>
          <w:sz w:val="24"/>
        </w:rPr>
        <w:t xml:space="preserve">facility </w:t>
      </w:r>
      <w:r w:rsidRPr="00FC0727">
        <w:rPr>
          <w:rFonts w:ascii="Times New Roman" w:eastAsia="Calibri" w:hAnsi="Times New Roman" w:cs="Times New Roman"/>
          <w:color w:val="000000"/>
          <w:w w:val="90"/>
          <w:sz w:val="24"/>
        </w:rPr>
        <w:t>name, address, and plant ID;</w:t>
      </w:r>
    </w:p>
    <w:p w14:paraId="484CE52E" w14:textId="77777777" w:rsidR="00FC0727" w:rsidRPr="00FC0727" w:rsidRDefault="00FC0727" w:rsidP="00912EDA">
      <w:pPr>
        <w:widowControl w:val="0"/>
        <w:numPr>
          <w:ilvl w:val="0"/>
          <w:numId w:val="2"/>
        </w:numPr>
        <w:tabs>
          <w:tab w:val="left" w:pos="1000"/>
        </w:tabs>
        <w:spacing w:after="0" w:line="240" w:lineRule="auto"/>
        <w:ind w:left="1260" w:right="55"/>
        <w:contextualSpacing/>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 xml:space="preserve">permitted or potential facility-wide </w:t>
      </w:r>
      <w:r w:rsidRPr="00FC0727">
        <w:rPr>
          <w:rFonts w:ascii="Times New Roman" w:eastAsia="Calibri" w:hAnsi="Times New Roman" w:cs="Times New Roman"/>
          <w:b/>
          <w:bCs/>
          <w:color w:val="000000"/>
          <w:w w:val="90"/>
          <w:sz w:val="24"/>
        </w:rPr>
        <w:t xml:space="preserve">emission rates </w:t>
      </w:r>
      <w:r w:rsidRPr="00FC0727">
        <w:rPr>
          <w:rFonts w:ascii="Times New Roman" w:eastAsia="Calibri" w:hAnsi="Times New Roman" w:cs="Times New Roman"/>
          <w:color w:val="000000"/>
          <w:w w:val="90"/>
          <w:sz w:val="24"/>
        </w:rPr>
        <w:t>in tons per year for: SO</w:t>
      </w:r>
      <w:r w:rsidRPr="00FC0727">
        <w:rPr>
          <w:rFonts w:ascii="Times New Roman" w:eastAsia="Calibri" w:hAnsi="Times New Roman" w:cs="Times New Roman"/>
          <w:color w:val="000000"/>
          <w:w w:val="90"/>
          <w:position w:val="-3"/>
          <w:sz w:val="16"/>
          <w:szCs w:val="16"/>
        </w:rPr>
        <w:t>2,</w:t>
      </w:r>
      <w:r w:rsidRPr="00FC0727">
        <w:rPr>
          <w:rFonts w:ascii="Times New Roman" w:eastAsia="Calibri" w:hAnsi="Times New Roman" w:cs="Times New Roman"/>
          <w:color w:val="000000"/>
          <w:w w:val="90"/>
          <w:sz w:val="24"/>
        </w:rPr>
        <w:t xml:space="preserve"> NOx, CO, </w:t>
      </w:r>
      <w:proofErr w:type="spellStart"/>
      <w:r w:rsidRPr="00FC0727">
        <w:rPr>
          <w:rFonts w:ascii="Times New Roman" w:eastAsia="Calibri" w:hAnsi="Times New Roman" w:cs="Times New Roman"/>
          <w:color w:val="000000"/>
          <w:w w:val="90"/>
          <w:sz w:val="24"/>
        </w:rPr>
        <w:t>Pb</w:t>
      </w:r>
      <w:proofErr w:type="spellEnd"/>
      <w:r w:rsidRPr="00FC0727">
        <w:rPr>
          <w:rFonts w:ascii="Times New Roman" w:eastAsia="Calibri" w:hAnsi="Times New Roman" w:cs="Times New Roman"/>
          <w:color w:val="000000"/>
          <w:w w:val="90"/>
          <w:sz w:val="24"/>
        </w:rPr>
        <w:t>, PM</w:t>
      </w:r>
      <w:r w:rsidRPr="00FC0727">
        <w:rPr>
          <w:rFonts w:ascii="Times New Roman" w:eastAsia="Calibri" w:hAnsi="Times New Roman" w:cs="Times New Roman"/>
          <w:color w:val="000000"/>
          <w:w w:val="90"/>
          <w:position w:val="-3"/>
          <w:sz w:val="16"/>
          <w:szCs w:val="16"/>
        </w:rPr>
        <w:t>10,</w:t>
      </w:r>
      <w:r w:rsidRPr="00FC0727">
        <w:rPr>
          <w:rFonts w:ascii="Times New Roman" w:eastAsia="Calibri" w:hAnsi="Times New Roman" w:cs="Times New Roman"/>
          <w:color w:val="000000"/>
          <w:w w:val="90"/>
          <w:sz w:val="24"/>
        </w:rPr>
        <w:t xml:space="preserve"> and (if available) PM</w:t>
      </w:r>
      <w:r w:rsidRPr="00FC0727">
        <w:rPr>
          <w:rFonts w:ascii="Times New Roman" w:eastAsia="Calibri" w:hAnsi="Times New Roman" w:cs="Times New Roman"/>
          <w:color w:val="000000"/>
          <w:w w:val="90"/>
          <w:position w:val="-3"/>
          <w:sz w:val="16"/>
          <w:szCs w:val="16"/>
        </w:rPr>
        <w:t>2.5;</w:t>
      </w:r>
    </w:p>
    <w:p w14:paraId="4900FF96" w14:textId="77777777" w:rsidR="00FC0727" w:rsidRPr="00FC0727" w:rsidRDefault="00FC0727" w:rsidP="00912EDA">
      <w:pPr>
        <w:widowControl w:val="0"/>
        <w:numPr>
          <w:ilvl w:val="0"/>
          <w:numId w:val="2"/>
        </w:numPr>
        <w:tabs>
          <w:tab w:val="left" w:pos="8190"/>
        </w:tabs>
        <w:spacing w:after="0" w:line="240" w:lineRule="auto"/>
        <w:ind w:left="1260" w:right="1750"/>
        <w:contextualSpacing/>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 xml:space="preserve">a list of </w:t>
      </w:r>
      <w:r w:rsidRPr="00FC0727">
        <w:rPr>
          <w:rFonts w:ascii="Times New Roman" w:eastAsia="Calibri" w:hAnsi="Times New Roman" w:cs="Times New Roman"/>
          <w:b/>
          <w:bCs/>
          <w:color w:val="000000"/>
          <w:w w:val="90"/>
          <w:sz w:val="24"/>
        </w:rPr>
        <w:t xml:space="preserve">emission point locations </w:t>
      </w:r>
      <w:r w:rsidRPr="00FC0727">
        <w:rPr>
          <w:rFonts w:ascii="Times New Roman" w:eastAsia="Calibri" w:hAnsi="Times New Roman" w:cs="Times New Roman"/>
          <w:color w:val="000000"/>
          <w:w w:val="90"/>
          <w:sz w:val="24"/>
        </w:rPr>
        <w:t>with XY coordinates in UTM;</w:t>
      </w:r>
    </w:p>
    <w:p w14:paraId="4659EA38" w14:textId="77777777" w:rsidR="00FC0727" w:rsidRPr="00FC0727" w:rsidRDefault="00FC0727" w:rsidP="00912EDA">
      <w:pPr>
        <w:widowControl w:val="0"/>
        <w:numPr>
          <w:ilvl w:val="0"/>
          <w:numId w:val="2"/>
        </w:numPr>
        <w:tabs>
          <w:tab w:val="left" w:pos="1000"/>
        </w:tabs>
        <w:spacing w:after="0" w:line="240" w:lineRule="auto"/>
        <w:ind w:left="1260" w:right="55"/>
        <w:contextualSpacing/>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 xml:space="preserve">permitted or potential </w:t>
      </w:r>
      <w:r w:rsidRPr="00FC0727">
        <w:rPr>
          <w:rFonts w:ascii="Times New Roman" w:eastAsia="Calibri" w:hAnsi="Times New Roman" w:cs="Times New Roman"/>
          <w:b/>
          <w:bCs/>
          <w:color w:val="000000"/>
          <w:w w:val="90"/>
          <w:sz w:val="24"/>
        </w:rPr>
        <w:t xml:space="preserve">emission rates </w:t>
      </w:r>
      <w:r w:rsidRPr="00FC0727">
        <w:rPr>
          <w:rFonts w:ascii="Times New Roman" w:eastAsia="Calibri" w:hAnsi="Times New Roman" w:cs="Times New Roman"/>
          <w:color w:val="000000"/>
          <w:w w:val="90"/>
          <w:sz w:val="24"/>
        </w:rPr>
        <w:t>and the most recent two years of actual emissions for each emission point for: SO</w:t>
      </w:r>
      <w:r w:rsidRPr="00FC0727">
        <w:rPr>
          <w:rFonts w:ascii="Times New Roman" w:eastAsia="Calibri" w:hAnsi="Times New Roman" w:cs="Times New Roman"/>
          <w:color w:val="000000"/>
          <w:w w:val="90"/>
          <w:position w:val="-3"/>
          <w:sz w:val="16"/>
          <w:szCs w:val="16"/>
        </w:rPr>
        <w:t>2,</w:t>
      </w:r>
      <w:r w:rsidRPr="00FC0727">
        <w:rPr>
          <w:rFonts w:ascii="Times New Roman" w:eastAsia="Calibri" w:hAnsi="Times New Roman" w:cs="Times New Roman"/>
          <w:color w:val="000000"/>
          <w:w w:val="90"/>
          <w:sz w:val="24"/>
        </w:rPr>
        <w:t xml:space="preserve"> NOx, CO, </w:t>
      </w:r>
      <w:proofErr w:type="spellStart"/>
      <w:r w:rsidRPr="00FC0727">
        <w:rPr>
          <w:rFonts w:ascii="Times New Roman" w:eastAsia="Calibri" w:hAnsi="Times New Roman" w:cs="Times New Roman"/>
          <w:color w:val="000000"/>
          <w:w w:val="90"/>
          <w:sz w:val="24"/>
        </w:rPr>
        <w:t>Pb</w:t>
      </w:r>
      <w:proofErr w:type="spellEnd"/>
      <w:r w:rsidRPr="00FC0727">
        <w:rPr>
          <w:rFonts w:ascii="Times New Roman" w:eastAsia="Calibri" w:hAnsi="Times New Roman" w:cs="Times New Roman"/>
          <w:color w:val="000000"/>
          <w:w w:val="90"/>
          <w:sz w:val="24"/>
        </w:rPr>
        <w:t>, PM</w:t>
      </w:r>
      <w:r w:rsidRPr="00FC0727">
        <w:rPr>
          <w:rFonts w:ascii="Times New Roman" w:eastAsia="Calibri" w:hAnsi="Times New Roman" w:cs="Times New Roman"/>
          <w:color w:val="000000"/>
          <w:w w:val="90"/>
          <w:position w:val="-3"/>
          <w:sz w:val="16"/>
          <w:szCs w:val="16"/>
        </w:rPr>
        <w:t>10,</w:t>
      </w:r>
      <w:r w:rsidRPr="00FC0727">
        <w:rPr>
          <w:rFonts w:ascii="Times New Roman" w:eastAsia="Calibri" w:hAnsi="Times New Roman" w:cs="Times New Roman"/>
          <w:color w:val="000000"/>
          <w:w w:val="90"/>
          <w:sz w:val="24"/>
        </w:rPr>
        <w:t xml:space="preserve"> and (if available) PM</w:t>
      </w:r>
      <w:r w:rsidRPr="00FC0727">
        <w:rPr>
          <w:rFonts w:ascii="Times New Roman" w:eastAsia="Calibri" w:hAnsi="Times New Roman" w:cs="Times New Roman"/>
          <w:color w:val="000000"/>
          <w:w w:val="90"/>
          <w:position w:val="-3"/>
          <w:sz w:val="16"/>
          <w:szCs w:val="16"/>
        </w:rPr>
        <w:t>2.5;</w:t>
      </w:r>
      <w:r w:rsidRPr="00FC0727">
        <w:rPr>
          <w:rFonts w:ascii="Times New Roman" w:eastAsia="Calibri" w:hAnsi="Times New Roman" w:cs="Times New Roman"/>
          <w:color w:val="000000"/>
          <w:w w:val="90"/>
          <w:sz w:val="24"/>
        </w:rPr>
        <w:t xml:space="preserve"> and</w:t>
      </w:r>
    </w:p>
    <w:p w14:paraId="027B4030" w14:textId="77777777" w:rsidR="00FC0727" w:rsidRPr="00FC0727" w:rsidRDefault="00FC0727" w:rsidP="00912EDA">
      <w:pPr>
        <w:widowControl w:val="0"/>
        <w:numPr>
          <w:ilvl w:val="0"/>
          <w:numId w:val="2"/>
        </w:numPr>
        <w:tabs>
          <w:tab w:val="left" w:pos="1000"/>
        </w:tabs>
        <w:spacing w:after="0" w:line="240" w:lineRule="auto"/>
        <w:ind w:left="1260" w:right="61"/>
        <w:contextualSpacing/>
        <w:rPr>
          <w:rFonts w:ascii="Times New Roman" w:eastAsia="Calibri" w:hAnsi="Times New Roman" w:cs="Times New Roman"/>
          <w:color w:val="000000"/>
          <w:sz w:val="24"/>
        </w:rPr>
      </w:pPr>
      <w:r w:rsidRPr="00FC0727">
        <w:rPr>
          <w:rFonts w:ascii="Times New Roman" w:eastAsia="Calibri" w:hAnsi="Times New Roman" w:cs="Times New Roman"/>
          <w:b/>
          <w:bCs/>
          <w:color w:val="000000"/>
          <w:w w:val="90"/>
          <w:sz w:val="24"/>
        </w:rPr>
        <w:t>stack parameters</w:t>
      </w:r>
      <w:r w:rsidRPr="00FC0727">
        <w:rPr>
          <w:rFonts w:ascii="Times New Roman" w:eastAsia="Calibri" w:hAnsi="Times New Roman" w:cs="Times New Roman"/>
          <w:color w:val="000000"/>
          <w:w w:val="90"/>
          <w:sz w:val="24"/>
        </w:rPr>
        <w:t>, including stack ID, height, diameter, temperature, flow rate, emission point type, bypass stack (Y/N), and obstructed (Y/N).</w:t>
      </w:r>
    </w:p>
    <w:p w14:paraId="4D5A1CBF"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4"/>
        </w:rPr>
      </w:pPr>
    </w:p>
    <w:p w14:paraId="150DA4C8" w14:textId="77777777" w:rsidR="00FC0727" w:rsidRPr="00FC0727" w:rsidRDefault="00FC0727" w:rsidP="00FC0727">
      <w:pPr>
        <w:widowControl w:val="0"/>
        <w:tabs>
          <w:tab w:val="left" w:pos="4860"/>
        </w:tabs>
        <w:spacing w:after="0" w:line="240" w:lineRule="auto"/>
        <w:ind w:left="360" w:right="4720" w:hanging="360"/>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2.</w:t>
      </w:r>
      <w:r w:rsidRPr="00FC0727">
        <w:rPr>
          <w:rFonts w:ascii="Times New Roman" w:eastAsia="Calibri" w:hAnsi="Times New Roman" w:cs="Times New Roman"/>
          <w:color w:val="000000"/>
          <w:w w:val="90"/>
          <w:sz w:val="24"/>
        </w:rPr>
        <w:tab/>
      </w:r>
      <w:r w:rsidRPr="00FC0727">
        <w:rPr>
          <w:rFonts w:ascii="Times New Roman" w:eastAsia="Calibri" w:hAnsi="Times New Roman" w:cs="Times New Roman"/>
          <w:b/>
          <w:bCs/>
          <w:color w:val="000000"/>
          <w:w w:val="90"/>
          <w:sz w:val="24"/>
        </w:rPr>
        <w:t>Water Quality Exchange (WQX) Flow</w:t>
      </w:r>
    </w:p>
    <w:p w14:paraId="47774B85" w14:textId="77777777" w:rsidR="00FC0727" w:rsidRPr="00FC0727" w:rsidRDefault="00FC0727" w:rsidP="00FC0727">
      <w:pPr>
        <w:widowControl w:val="0"/>
        <w:spacing w:after="0" w:line="240" w:lineRule="auto"/>
        <w:ind w:right="64"/>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The replacement database for STORET, AWQMS (Ambient Water Quality Management System) is being developed by several states and Region 8, including Illinois, Minnesota, Utah, the National Park Service, and possibly Alaska. Freedonia is planning to implement this database to replace Freedonia STORET as the state database.</w:t>
      </w:r>
    </w:p>
    <w:p w14:paraId="4699165E"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79FBE0F2" w14:textId="08924452" w:rsidR="00FC0727" w:rsidRPr="00FC0727" w:rsidRDefault="00FC0727" w:rsidP="00912EDA">
      <w:pPr>
        <w:widowControl w:val="0"/>
        <w:spacing w:after="0" w:line="240" w:lineRule="auto"/>
        <w:ind w:right="59" w:firstLine="360"/>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2.1.</w:t>
      </w:r>
      <w:r w:rsidRPr="00FC0727">
        <w:rPr>
          <w:rFonts w:ascii="Times New Roman" w:eastAsia="Calibri" w:hAnsi="Times New Roman" w:cs="Times New Roman"/>
          <w:color w:val="000000"/>
          <w:w w:val="90"/>
          <w:sz w:val="24"/>
        </w:rPr>
        <w:tab/>
      </w:r>
      <w:r w:rsidRPr="00FC0727">
        <w:rPr>
          <w:rFonts w:ascii="Times New Roman" w:eastAsia="Calibri" w:hAnsi="Times New Roman" w:cs="Times New Roman"/>
          <w:b/>
          <w:bCs/>
          <w:color w:val="000000"/>
          <w:w w:val="90"/>
          <w:sz w:val="24"/>
        </w:rPr>
        <w:t xml:space="preserve">Map </w:t>
      </w:r>
      <w:r w:rsidRPr="00FC0727">
        <w:rPr>
          <w:rFonts w:ascii="Times New Roman" w:eastAsia="Calibri" w:hAnsi="Times New Roman" w:cs="Times New Roman"/>
          <w:color w:val="000000"/>
          <w:w w:val="90"/>
          <w:sz w:val="24"/>
        </w:rPr>
        <w:t>the data elements to the XML Schema. This includes detailed analysis and specifications for t</w:t>
      </w:r>
      <w:r w:rsidR="00912EDA">
        <w:rPr>
          <w:rFonts w:ascii="Times New Roman" w:eastAsia="Calibri" w:hAnsi="Times New Roman" w:cs="Times New Roman"/>
          <w:color w:val="000000"/>
          <w:w w:val="90"/>
          <w:sz w:val="24"/>
        </w:rPr>
        <w:tab/>
      </w:r>
      <w:proofErr w:type="spellStart"/>
      <w:r w:rsidRPr="00FC0727">
        <w:rPr>
          <w:rFonts w:ascii="Times New Roman" w:eastAsia="Calibri" w:hAnsi="Times New Roman" w:cs="Times New Roman"/>
          <w:color w:val="000000"/>
          <w:w w:val="90"/>
          <w:sz w:val="24"/>
        </w:rPr>
        <w:t>ransferring</w:t>
      </w:r>
      <w:proofErr w:type="spellEnd"/>
      <w:r w:rsidRPr="00FC0727">
        <w:rPr>
          <w:rFonts w:ascii="Times New Roman" w:eastAsia="Calibri" w:hAnsi="Times New Roman" w:cs="Times New Roman"/>
          <w:color w:val="000000"/>
          <w:w w:val="90"/>
          <w:sz w:val="24"/>
        </w:rPr>
        <w:t xml:space="preserve"> data from the state database to WQX schema.</w:t>
      </w:r>
    </w:p>
    <w:p w14:paraId="4EF1AB16"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283D388B" w14:textId="77777777" w:rsidR="00FC0727" w:rsidRPr="00FC0727" w:rsidRDefault="00FC0727" w:rsidP="00912EDA">
      <w:pPr>
        <w:widowControl w:val="0"/>
        <w:spacing w:after="0" w:line="240" w:lineRule="auto"/>
        <w:ind w:right="2380" w:firstLine="360"/>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2.2.</w:t>
      </w:r>
      <w:r w:rsidRPr="00FC0727">
        <w:rPr>
          <w:rFonts w:ascii="Times New Roman" w:eastAsia="Times New Roman" w:hAnsi="Times New Roman" w:cs="Times New Roman"/>
          <w:color w:val="000000"/>
          <w:w w:val="90"/>
          <w:sz w:val="24"/>
          <w:szCs w:val="24"/>
        </w:rPr>
        <w:tab/>
      </w:r>
      <w:r w:rsidRPr="00FC0727">
        <w:rPr>
          <w:rFonts w:ascii="Times New Roman" w:eastAsia="Calibri" w:hAnsi="Times New Roman" w:cs="Times New Roman"/>
          <w:b/>
          <w:bCs/>
          <w:color w:val="000000"/>
          <w:w w:val="90"/>
          <w:sz w:val="24"/>
        </w:rPr>
        <w:t xml:space="preserve">Implement </w:t>
      </w:r>
      <w:r w:rsidRPr="00FC0727">
        <w:rPr>
          <w:rFonts w:ascii="Times New Roman" w:eastAsia="Calibri" w:hAnsi="Times New Roman" w:cs="Times New Roman"/>
          <w:color w:val="000000"/>
          <w:w w:val="90"/>
          <w:sz w:val="24"/>
        </w:rPr>
        <w:t xml:space="preserve">the </w:t>
      </w:r>
      <w:r w:rsidRPr="00FC0727">
        <w:rPr>
          <w:rFonts w:ascii="Times New Roman" w:eastAsia="Times New Roman" w:hAnsi="Times New Roman" w:cs="Times New Roman"/>
          <w:color w:val="000000"/>
          <w:w w:val="90"/>
          <w:sz w:val="24"/>
        </w:rPr>
        <w:t>data flow</w:t>
      </w:r>
      <w:r w:rsidRPr="00FC0727">
        <w:rPr>
          <w:rFonts w:ascii="Times New Roman" w:eastAsia="Calibri" w:hAnsi="Times New Roman" w:cs="Times New Roman"/>
          <w:color w:val="000000"/>
          <w:w w:val="90"/>
          <w:sz w:val="24"/>
        </w:rPr>
        <w:t xml:space="preserve"> to CDX (EPA’s Node). This includes:</w:t>
      </w:r>
    </w:p>
    <w:p w14:paraId="4FAF0642" w14:textId="77777777" w:rsidR="00FC0727" w:rsidRPr="00FC0727" w:rsidRDefault="00FC0727" w:rsidP="00912EDA">
      <w:pPr>
        <w:widowControl w:val="0"/>
        <w:numPr>
          <w:ilvl w:val="0"/>
          <w:numId w:val="3"/>
        </w:numPr>
        <w:spacing w:after="0" w:line="240" w:lineRule="auto"/>
        <w:ind w:left="1260" w:right="59"/>
        <w:contextualSpacing/>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adapt the 4.1 WQX Windsor node plug-in to transfer the data from the state database to XML;</w:t>
      </w:r>
    </w:p>
    <w:p w14:paraId="0890030C" w14:textId="77777777" w:rsidR="00FC0727" w:rsidRPr="00FC0727" w:rsidRDefault="00FC0727" w:rsidP="00912EDA">
      <w:pPr>
        <w:widowControl w:val="0"/>
        <w:numPr>
          <w:ilvl w:val="0"/>
          <w:numId w:val="3"/>
        </w:numPr>
        <w:tabs>
          <w:tab w:val="left" w:pos="4230"/>
        </w:tabs>
        <w:spacing w:after="0" w:line="240" w:lineRule="auto"/>
        <w:ind w:left="1260" w:right="4990"/>
        <w:contextualSpacing/>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set up and configure the node; and</w:t>
      </w:r>
    </w:p>
    <w:p w14:paraId="17D19A82" w14:textId="77777777" w:rsidR="00FC0727" w:rsidRPr="00FC0727" w:rsidRDefault="00FC0727" w:rsidP="00912EDA">
      <w:pPr>
        <w:widowControl w:val="0"/>
        <w:numPr>
          <w:ilvl w:val="0"/>
          <w:numId w:val="3"/>
        </w:numPr>
        <w:spacing w:after="0" w:line="240" w:lineRule="auto"/>
        <w:ind w:left="1260" w:right="3100"/>
        <w:contextualSpacing/>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 xml:space="preserve">test the </w:t>
      </w:r>
      <w:r w:rsidRPr="00FC0727">
        <w:rPr>
          <w:rFonts w:ascii="Times New Roman" w:eastAsia="Times New Roman" w:hAnsi="Times New Roman" w:cs="Times New Roman"/>
          <w:color w:val="000000"/>
          <w:w w:val="90"/>
          <w:sz w:val="24"/>
        </w:rPr>
        <w:t>data flow</w:t>
      </w:r>
      <w:r w:rsidRPr="00FC0727">
        <w:rPr>
          <w:rFonts w:ascii="Times New Roman" w:eastAsia="Calibri" w:hAnsi="Times New Roman" w:cs="Times New Roman"/>
          <w:color w:val="000000"/>
          <w:w w:val="90"/>
          <w:sz w:val="24"/>
        </w:rPr>
        <w:t xml:space="preserve"> and perform quality assessment.</w:t>
      </w:r>
    </w:p>
    <w:p w14:paraId="5F213B13"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18E43D8B" w14:textId="77777777" w:rsidR="00FC0727" w:rsidRPr="00FC0727" w:rsidRDefault="00FC0727" w:rsidP="00912EDA">
      <w:pPr>
        <w:widowControl w:val="0"/>
        <w:spacing w:after="0" w:line="240" w:lineRule="auto"/>
        <w:ind w:left="720" w:right="55" w:hanging="360"/>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2.3.</w:t>
      </w:r>
      <w:r w:rsidRPr="00FC0727">
        <w:rPr>
          <w:rFonts w:ascii="Times New Roman" w:eastAsia="Times New Roman" w:hAnsi="Times New Roman" w:cs="Times New Roman"/>
          <w:color w:val="000000"/>
          <w:w w:val="90"/>
          <w:sz w:val="24"/>
          <w:szCs w:val="24"/>
        </w:rPr>
        <w:tab/>
      </w:r>
      <w:r w:rsidRPr="00FC0727">
        <w:rPr>
          <w:rFonts w:ascii="Times New Roman" w:eastAsia="Calibri" w:hAnsi="Times New Roman" w:cs="Times New Roman"/>
          <w:b/>
          <w:bCs/>
          <w:color w:val="000000"/>
          <w:w w:val="90"/>
          <w:sz w:val="24"/>
        </w:rPr>
        <w:t xml:space="preserve">Document the flow implementation </w:t>
      </w:r>
      <w:r w:rsidRPr="00FC0727">
        <w:rPr>
          <w:rFonts w:ascii="Times New Roman" w:eastAsia="Calibri" w:hAnsi="Times New Roman" w:cs="Times New Roman"/>
          <w:color w:val="000000"/>
          <w:w w:val="90"/>
          <w:sz w:val="24"/>
        </w:rPr>
        <w:t xml:space="preserve">for use by other states using AWQMS and the same type of Node. Illinois and Minnesota use a Windsor .NET node. Other agencies have also mentioned the possibility of using the Windsor Node by the time this is implemented. Freedonia DEP will develop the documentation and provide any applicable code to these other agencies for streamlined </w:t>
      </w:r>
      <w:r w:rsidRPr="00FC0727">
        <w:rPr>
          <w:rFonts w:ascii="Times New Roman" w:eastAsia="Calibri" w:hAnsi="Times New Roman" w:cs="Times New Roman"/>
          <w:color w:val="000000"/>
          <w:w w:val="90"/>
          <w:sz w:val="24"/>
        </w:rPr>
        <w:lastRenderedPageBreak/>
        <w:t>implementation.</w:t>
      </w:r>
    </w:p>
    <w:p w14:paraId="0719B7B8"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00A9C67E" w14:textId="77777777" w:rsidR="00FC0727" w:rsidRPr="00FC0727" w:rsidRDefault="00FC0727" w:rsidP="00912EDA">
      <w:pPr>
        <w:widowControl w:val="0"/>
        <w:spacing w:after="0" w:line="240" w:lineRule="auto"/>
        <w:ind w:left="720" w:right="66" w:hanging="360"/>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2.4.</w:t>
      </w:r>
      <w:r w:rsidRPr="00FC0727">
        <w:rPr>
          <w:rFonts w:ascii="Times New Roman" w:eastAsia="Times New Roman" w:hAnsi="Times New Roman" w:cs="Times New Roman"/>
          <w:color w:val="000000"/>
          <w:w w:val="90"/>
          <w:sz w:val="24"/>
          <w:szCs w:val="24"/>
        </w:rPr>
        <w:tab/>
      </w:r>
      <w:r w:rsidRPr="00FC0727">
        <w:rPr>
          <w:rFonts w:ascii="Times New Roman" w:eastAsia="Calibri" w:hAnsi="Times New Roman" w:cs="Times New Roman"/>
          <w:color w:val="000000"/>
          <w:w w:val="90"/>
          <w:sz w:val="24"/>
        </w:rPr>
        <w:t xml:space="preserve">Publish a </w:t>
      </w:r>
      <w:r w:rsidRPr="00FC0727">
        <w:rPr>
          <w:rFonts w:ascii="Times New Roman" w:eastAsia="Calibri" w:hAnsi="Times New Roman" w:cs="Times New Roman"/>
          <w:b/>
          <w:bCs/>
          <w:color w:val="000000"/>
          <w:w w:val="90"/>
          <w:sz w:val="24"/>
        </w:rPr>
        <w:t xml:space="preserve">web service </w:t>
      </w:r>
      <w:r w:rsidRPr="00FC0727">
        <w:rPr>
          <w:rFonts w:ascii="Times New Roman" w:eastAsia="Calibri" w:hAnsi="Times New Roman" w:cs="Times New Roman"/>
          <w:color w:val="000000"/>
          <w:w w:val="90"/>
          <w:sz w:val="24"/>
        </w:rPr>
        <w:t>that will allow applications to pull water quality monitoring data. This web service will allow applications to query water quality monitoring data from the state’s database. Initial plans are for at least two staging tables which can be populated using an automated DTS/SSIS or other script.</w:t>
      </w:r>
    </w:p>
    <w:p w14:paraId="0C308F8A" w14:textId="77777777" w:rsidR="00FC0727" w:rsidRPr="00FC0727" w:rsidRDefault="00FC0727" w:rsidP="00FC0727">
      <w:pPr>
        <w:widowControl w:val="0"/>
        <w:spacing w:after="0" w:line="240" w:lineRule="auto"/>
        <w:rPr>
          <w:rFonts w:ascii="Times New Roman" w:eastAsia="Calibri" w:hAnsi="Times New Roman" w:cs="Times New Roman"/>
          <w:color w:val="000000"/>
          <w:w w:val="90"/>
          <w:sz w:val="26"/>
        </w:rPr>
      </w:pPr>
    </w:p>
    <w:p w14:paraId="3DFF6AB7" w14:textId="77777777" w:rsidR="00FC0727" w:rsidRPr="00FC0727" w:rsidRDefault="00FC0727" w:rsidP="00912EDA">
      <w:pPr>
        <w:widowControl w:val="0"/>
        <w:spacing w:after="0" w:line="240" w:lineRule="auto"/>
        <w:ind w:left="720" w:right="120"/>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At a minimum, the staging tables should include the following elements and any other required elements in the WQX schema.</w:t>
      </w:r>
    </w:p>
    <w:p w14:paraId="0AADBBB3" w14:textId="77777777" w:rsidR="00FC0727" w:rsidRPr="00FC0727" w:rsidRDefault="00FC0727" w:rsidP="00FC0727">
      <w:pPr>
        <w:widowControl w:val="0"/>
        <w:spacing w:after="0" w:line="240" w:lineRule="auto"/>
        <w:ind w:left="360"/>
        <w:rPr>
          <w:rFonts w:ascii="Times New Roman" w:eastAsia="Calibri" w:hAnsi="Times New Roman" w:cs="Times New Roman"/>
          <w:color w:val="000000"/>
          <w:w w:val="90"/>
          <w:sz w:val="24"/>
        </w:rPr>
      </w:pPr>
    </w:p>
    <w:p w14:paraId="4606694A" w14:textId="77777777" w:rsidR="00FC0727" w:rsidRPr="00FC0727" w:rsidRDefault="00FC0727" w:rsidP="00912EDA">
      <w:pPr>
        <w:widowControl w:val="0"/>
        <w:spacing w:after="0" w:line="240" w:lineRule="auto"/>
        <w:ind w:left="720" w:right="119"/>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The output will be in WQX standard XML and include all elements in the staging tables. This grant will focus on making this work with Freedonia data. However, this can be extended later in two ways:</w:t>
      </w:r>
    </w:p>
    <w:p w14:paraId="7F021C9D" w14:textId="74F36FBF" w:rsidR="00FC0727" w:rsidRPr="00912EDA" w:rsidRDefault="00FC0727" w:rsidP="00912EDA">
      <w:pPr>
        <w:pStyle w:val="ListParagraph"/>
        <w:widowControl w:val="0"/>
        <w:numPr>
          <w:ilvl w:val="0"/>
          <w:numId w:val="5"/>
        </w:numPr>
        <w:tabs>
          <w:tab w:val="left" w:pos="1350"/>
        </w:tabs>
        <w:spacing w:after="0" w:line="240" w:lineRule="auto"/>
        <w:ind w:left="1260" w:right="116"/>
        <w:rPr>
          <w:rFonts w:ascii="Times New Roman" w:eastAsia="Calibri" w:hAnsi="Times New Roman" w:cs="Times New Roman"/>
          <w:color w:val="000000"/>
          <w:sz w:val="24"/>
        </w:rPr>
      </w:pPr>
      <w:bookmarkStart w:id="0" w:name="_GoBack"/>
      <w:bookmarkEnd w:id="0"/>
      <w:r w:rsidRPr="00912EDA">
        <w:rPr>
          <w:rFonts w:ascii="Times New Roman" w:eastAsia="Calibri" w:hAnsi="Times New Roman" w:cs="Times New Roman"/>
          <w:color w:val="000000"/>
          <w:w w:val="90"/>
          <w:sz w:val="24"/>
        </w:rPr>
        <w:t>add data to Freedonia’s staging tables from other sources, such as USGS, the Freedonia Pesticide Monitoring database (FPEST), and raw water samples from the Safe Drinking Water Information System (SDWIS). This will allow applications to pull easily pull monitoring data from a variety of sources; or</w:t>
      </w:r>
    </w:p>
    <w:p w14:paraId="6284E714" w14:textId="77777777" w:rsidR="00912EDA" w:rsidRPr="00FC0727" w:rsidRDefault="00912EDA" w:rsidP="00912EDA">
      <w:pPr>
        <w:widowControl w:val="0"/>
        <w:numPr>
          <w:ilvl w:val="0"/>
          <w:numId w:val="5"/>
        </w:numPr>
        <w:spacing w:after="0" w:line="240" w:lineRule="auto"/>
        <w:ind w:left="1260" w:right="1480"/>
        <w:contextualSpacing/>
        <w:rPr>
          <w:rFonts w:ascii="Times New Roman" w:eastAsia="Calibri" w:hAnsi="Times New Roman" w:cs="Times New Roman"/>
          <w:color w:val="000000"/>
          <w:sz w:val="24"/>
        </w:rPr>
      </w:pPr>
      <w:r w:rsidRPr="00FC0727">
        <w:rPr>
          <w:rFonts w:ascii="Times New Roman" w:eastAsia="Calibri" w:hAnsi="Times New Roman" w:cs="Times New Roman"/>
          <w:color w:val="000000"/>
          <w:w w:val="90"/>
          <w:sz w:val="24"/>
        </w:rPr>
        <w:t>share the code and documentation with other states using AWQMS.</w:t>
      </w:r>
    </w:p>
    <w:p w14:paraId="3A12E986" w14:textId="77777777" w:rsidR="00912EDA" w:rsidRPr="00912EDA" w:rsidRDefault="00912EDA" w:rsidP="00912EDA">
      <w:pPr>
        <w:pStyle w:val="ListParagraph"/>
        <w:widowControl w:val="0"/>
        <w:tabs>
          <w:tab w:val="left" w:pos="1120"/>
        </w:tabs>
        <w:spacing w:after="0" w:line="240" w:lineRule="auto"/>
        <w:ind w:left="1620" w:right="116"/>
        <w:rPr>
          <w:rFonts w:ascii="Times New Roman" w:eastAsia="Calibri" w:hAnsi="Times New Roman" w:cs="Times New Roman"/>
          <w:color w:val="000000"/>
          <w:sz w:val="24"/>
        </w:rPr>
      </w:pPr>
    </w:p>
    <w:p w14:paraId="0BD63E39" w14:textId="77777777" w:rsidR="005F2E2A" w:rsidRDefault="00912EDA"/>
    <w:sectPr w:rsidR="005F2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7EB"/>
    <w:multiLevelType w:val="hybridMultilevel"/>
    <w:tmpl w:val="AF829A20"/>
    <w:lvl w:ilvl="0" w:tplc="04090001">
      <w:start w:val="1"/>
      <w:numFmt w:val="bullet"/>
      <w:lvlText w:val=""/>
      <w:lvlJc w:val="left"/>
      <w:pPr>
        <w:ind w:left="2020" w:hanging="360"/>
      </w:pPr>
      <w:rPr>
        <w:rFonts w:ascii="Symbol" w:hAnsi="Symbol" w:hint="default"/>
      </w:rPr>
    </w:lvl>
    <w:lvl w:ilvl="1" w:tplc="D8606158">
      <w:numFmt w:val="bullet"/>
      <w:lvlText w:val="•"/>
      <w:lvlJc w:val="left"/>
      <w:pPr>
        <w:ind w:left="2740" w:hanging="360"/>
      </w:pPr>
      <w:rPr>
        <w:rFonts w:ascii="Cambria" w:eastAsia="Times New Roman" w:hAnsi="Cambria" w:cs="Times New Roman"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1" w15:restartNumberingAfterBreak="0">
    <w:nsid w:val="3F527694"/>
    <w:multiLevelType w:val="hybridMultilevel"/>
    <w:tmpl w:val="BFF6EA12"/>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42BF598B"/>
    <w:multiLevelType w:val="hybridMultilevel"/>
    <w:tmpl w:val="FCBC63EA"/>
    <w:lvl w:ilvl="0" w:tplc="04090001">
      <w:start w:val="1"/>
      <w:numFmt w:val="bullet"/>
      <w:lvlText w:val=""/>
      <w:lvlJc w:val="left"/>
      <w:pPr>
        <w:ind w:left="1440" w:hanging="360"/>
      </w:pPr>
      <w:rPr>
        <w:rFonts w:ascii="Symbol" w:hAnsi="Symbol" w:hint="default"/>
      </w:rPr>
    </w:lvl>
    <w:lvl w:ilvl="1" w:tplc="D8606158">
      <w:numFmt w:val="bullet"/>
      <w:lvlText w:val="•"/>
      <w:lvlJc w:val="left"/>
      <w:pPr>
        <w:ind w:left="2160" w:hanging="360"/>
      </w:pPr>
      <w:rPr>
        <w:rFonts w:ascii="Cambria" w:eastAsia="Times New Roman" w:hAnsi="Cambria"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8E77B2E"/>
    <w:multiLevelType w:val="hybridMultilevel"/>
    <w:tmpl w:val="BEBCE4DC"/>
    <w:lvl w:ilvl="0" w:tplc="04090001">
      <w:start w:val="1"/>
      <w:numFmt w:val="bullet"/>
      <w:lvlText w:val=""/>
      <w:lvlJc w:val="left"/>
      <w:pPr>
        <w:ind w:left="720" w:hanging="360"/>
      </w:pPr>
      <w:rPr>
        <w:rFonts w:ascii="Symbol" w:hAnsi="Symbol" w:hint="default"/>
      </w:rPr>
    </w:lvl>
    <w:lvl w:ilvl="1" w:tplc="D8606158">
      <w:numFmt w:val="bullet"/>
      <w:lvlText w:val="•"/>
      <w:lvlJc w:val="left"/>
      <w:pPr>
        <w:ind w:left="1440" w:hanging="360"/>
      </w:pPr>
      <w:rPr>
        <w:rFonts w:ascii="Cambria" w:eastAsia="Times New Roman"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1A05B6"/>
    <w:multiLevelType w:val="hybridMultilevel"/>
    <w:tmpl w:val="6AE442A2"/>
    <w:lvl w:ilvl="0" w:tplc="04090001">
      <w:start w:val="1"/>
      <w:numFmt w:val="bullet"/>
      <w:lvlText w:val=""/>
      <w:lvlJc w:val="left"/>
      <w:pPr>
        <w:tabs>
          <w:tab w:val="num" w:pos="-54"/>
        </w:tabs>
        <w:ind w:left="306" w:hanging="216"/>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727"/>
    <w:rsid w:val="00694EF7"/>
    <w:rsid w:val="007C4A8A"/>
    <w:rsid w:val="00912EDA"/>
    <w:rsid w:val="00D901F7"/>
    <w:rsid w:val="00DC59A6"/>
    <w:rsid w:val="00FC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93AFA"/>
  <w15:chartTrackingRefBased/>
  <w15:docId w15:val="{024B9B72-3B19-46AE-9F85-F3C73618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881</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Devon</dc:creator>
  <cp:keywords/>
  <dc:description/>
  <cp:lastModifiedBy>Martin, Devon</cp:lastModifiedBy>
  <cp:revision>3</cp:revision>
  <dcterms:created xsi:type="dcterms:W3CDTF">2018-09-25T20:21:00Z</dcterms:created>
  <dcterms:modified xsi:type="dcterms:W3CDTF">2018-09-25T20:26:00Z</dcterms:modified>
</cp:coreProperties>
</file>