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4E27" w14:textId="0A804E13" w:rsidR="00444CEA" w:rsidRDefault="0075210D" w:rsidP="004E4D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Request for EPA Confirmation</w:t>
      </w:r>
      <w:r w:rsidR="0035570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0A10EB">
        <w:rPr>
          <w:rFonts w:ascii="TimesNewRomanPS-BoldMT" w:hAnsi="TimesNewRomanPS-BoldMT" w:cs="TimesNewRomanPS-BoldMT"/>
          <w:b/>
          <w:bCs/>
          <w:sz w:val="24"/>
          <w:szCs w:val="24"/>
        </w:rPr>
        <w:t>of Exemption Eligibility</w:t>
      </w:r>
      <w:r w:rsidR="00A43A1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per 40 CFR </w:t>
      </w:r>
      <w:r w:rsidR="007E2AEA">
        <w:rPr>
          <w:rFonts w:ascii="TimesNewRomanPS-BoldMT" w:hAnsi="TimesNewRomanPS-BoldMT" w:cs="TimesNewRomanPS-BoldMT"/>
          <w:b/>
          <w:bCs/>
          <w:sz w:val="24"/>
          <w:szCs w:val="24"/>
        </w:rPr>
        <w:t>174.90</w:t>
      </w:r>
    </w:p>
    <w:p w14:paraId="784FA57A" w14:textId="77777777" w:rsidR="00564E37" w:rsidRDefault="00564E37" w:rsidP="004E4D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748E0934" w14:textId="47B766DC" w:rsidR="00564E37" w:rsidRDefault="00564E37" w:rsidP="004E4D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Submitting Company:</w:t>
      </w:r>
    </w:p>
    <w:p w14:paraId="6A95E1FD" w14:textId="77777777" w:rsidR="00564E37" w:rsidRDefault="00564E37" w:rsidP="004E4D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405BFD9D" w14:textId="14449B29" w:rsidR="00564E37" w:rsidRDefault="00564E37" w:rsidP="004E4D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Contact information:</w:t>
      </w:r>
    </w:p>
    <w:p w14:paraId="1A853BD8" w14:textId="0F7139D2" w:rsidR="0075210D" w:rsidRDefault="0075210D" w:rsidP="004E4D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05C3F90C" w14:textId="4A35E6F9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10EABF58" w14:textId="18BB4121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62BE3E44" w14:textId="3767A825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1EAA6D6F" w14:textId="77777777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5AB4AD32" w14:textId="77777777" w:rsidR="00444CEA" w:rsidRDefault="00444CEA" w:rsidP="004E4D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DCD6A9D" w14:textId="4D0C5BC7" w:rsidR="00817D9C" w:rsidRPr="00D16460" w:rsidRDefault="00817D9C" w:rsidP="004E4D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16460">
        <w:rPr>
          <w:rFonts w:ascii="TimesNewRomanPS-BoldMT" w:hAnsi="TimesNewRomanPS-BoldMT" w:cs="TimesNewRomanPS-BoldMT"/>
          <w:b/>
          <w:bCs/>
          <w:sz w:val="24"/>
          <w:szCs w:val="24"/>
        </w:rPr>
        <w:t>Information related to each of the required documentation as outlined in 40 CFR 174.95 is below:</w:t>
      </w:r>
    </w:p>
    <w:p w14:paraId="15657E8C" w14:textId="36FC1E46" w:rsidR="00C75EDD" w:rsidRDefault="00383CFB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B0C850C" wp14:editId="0B64C86A">
                <wp:simplePos x="0" y="0"/>
                <wp:positionH relativeFrom="column">
                  <wp:posOffset>-67945</wp:posOffset>
                </wp:positionH>
                <wp:positionV relativeFrom="paragraph">
                  <wp:posOffset>136261</wp:posOffset>
                </wp:positionV>
                <wp:extent cx="6126480" cy="603502"/>
                <wp:effectExtent l="0" t="0" r="2667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60350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F3C2D" id="Rectangle 1" o:spid="_x0000_s1026" style="position:absolute;margin-left:-5.35pt;margin-top:10.75pt;width:482.4pt;height:47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" fillcolor="#f2f2f2 [3052]" strokecolor="black [3213]" strokeweight="1pt"/>
            </w:pict>
          </mc:Fallback>
        </mc:AlternateContent>
      </w:r>
    </w:p>
    <w:p w14:paraId="2B67BA70" w14:textId="139B7AD5" w:rsidR="004E4D64" w:rsidRPr="00D417D9" w:rsidRDefault="004E4D64" w:rsidP="00D417D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417D9">
        <w:rPr>
          <w:rFonts w:ascii="TimesNewRomanPSMT" w:hAnsi="TimesNewRomanPSMT" w:cs="TimesNewRomanPSMT"/>
          <w:sz w:val="24"/>
          <w:szCs w:val="24"/>
        </w:rPr>
        <w:t>Biology of the plant.</w:t>
      </w:r>
    </w:p>
    <w:p w14:paraId="2C718EAE" w14:textId="38768C96" w:rsidR="00D417D9" w:rsidRPr="00D417D9" w:rsidRDefault="00D417D9" w:rsidP="00D417D9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NewRomanPSMT" w:hAnsi="TimesNewRomanPSMT" w:cs="TimesNewRomanPSMT"/>
          <w:sz w:val="24"/>
          <w:szCs w:val="24"/>
        </w:rPr>
      </w:pPr>
    </w:p>
    <w:p w14:paraId="4568161B" w14:textId="76F3F1F6" w:rsidR="004E4D64" w:rsidRDefault="004E4D64" w:rsidP="00DD1D8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(1) The identity of the recipient plant, including genus and species.</w:t>
      </w:r>
    </w:p>
    <w:p w14:paraId="25AFEEAC" w14:textId="289CF851" w:rsidR="001F3E96" w:rsidRDefault="001F3E96" w:rsidP="00DD1D8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</w:p>
    <w:p w14:paraId="7853C0EC" w14:textId="77777777" w:rsidR="00FA6782" w:rsidRDefault="00FA6782" w:rsidP="00DD1D8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i/>
          <w:iCs/>
          <w:sz w:val="24"/>
          <w:szCs w:val="24"/>
        </w:rPr>
      </w:pPr>
    </w:p>
    <w:p w14:paraId="00A6706D" w14:textId="4B90427E" w:rsidR="0046584C" w:rsidRPr="0046584C" w:rsidRDefault="00E57184" w:rsidP="00DD1D8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04396F89" wp14:editId="5EFC008B">
                <wp:simplePos x="0" y="0"/>
                <wp:positionH relativeFrom="column">
                  <wp:posOffset>-69011</wp:posOffset>
                </wp:positionH>
                <wp:positionV relativeFrom="paragraph">
                  <wp:posOffset>130750</wp:posOffset>
                </wp:positionV>
                <wp:extent cx="6126480" cy="802257"/>
                <wp:effectExtent l="0" t="0" r="2667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80225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191B7" id="Rectangle 2" o:spid="_x0000_s1026" style="position:absolute;margin-left:-5.45pt;margin-top:10.3pt;width:482.4pt;height:63.1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" fillcolor="#f2f2f2 [3052]" strokecolor="black [3213]" strokeweight="1pt"/>
            </w:pict>
          </mc:Fallback>
        </mc:AlternateContent>
      </w:r>
    </w:p>
    <w:p w14:paraId="4524E539" w14:textId="072BD291" w:rsidR="004E4D64" w:rsidRDefault="004E4D64" w:rsidP="00DD1D8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(2) If the plant-incorporated protectant was derived from a plant species other than the</w:t>
      </w:r>
    </w:p>
    <w:p w14:paraId="30D3F21A" w14:textId="730ADD75" w:rsidR="004E4D64" w:rsidRDefault="004E4D64" w:rsidP="00C75ED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recipient plant species, provide the identity of the source plant including genus and species and</w:t>
      </w:r>
      <w:r w:rsidR="00C75EDD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information to support the determination that the recipient plant and the source plant are sexually</w:t>
      </w:r>
      <w:r w:rsidR="00C75EDD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compatible (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e.g.</w:t>
      </w:r>
      <w:r>
        <w:rPr>
          <w:rFonts w:ascii="TimesNewRomanPSMT" w:hAnsi="TimesNewRomanPSMT" w:cs="TimesNewRomanPSMT"/>
          <w:sz w:val="24"/>
          <w:szCs w:val="24"/>
        </w:rPr>
        <w:t>, through peer-reviewed literature rationale).</w:t>
      </w:r>
    </w:p>
    <w:p w14:paraId="27A953D2" w14:textId="0086E0BF" w:rsidR="006C1390" w:rsidRDefault="006C1390" w:rsidP="00C75ED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4"/>
          <w:szCs w:val="24"/>
        </w:rPr>
      </w:pPr>
    </w:p>
    <w:p w14:paraId="394E83B6" w14:textId="343B9A24" w:rsidR="00FA6782" w:rsidRDefault="00FA6782" w:rsidP="00C75ED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4"/>
          <w:szCs w:val="24"/>
        </w:rPr>
      </w:pPr>
    </w:p>
    <w:p w14:paraId="6D953077" w14:textId="77777777" w:rsidR="00FA6782" w:rsidRDefault="00FA6782" w:rsidP="00C75ED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4"/>
          <w:szCs w:val="24"/>
        </w:rPr>
      </w:pPr>
    </w:p>
    <w:p w14:paraId="21A97E64" w14:textId="401D262E" w:rsidR="006C1390" w:rsidRDefault="00063E82" w:rsidP="00C75ED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902486B" wp14:editId="1656674C">
                <wp:simplePos x="0" y="0"/>
                <wp:positionH relativeFrom="column">
                  <wp:posOffset>-69526</wp:posOffset>
                </wp:positionH>
                <wp:positionV relativeFrom="paragraph">
                  <wp:posOffset>102870</wp:posOffset>
                </wp:positionV>
                <wp:extent cx="6126480" cy="888520"/>
                <wp:effectExtent l="0" t="0" r="2667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888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B7168" id="Rectangle 3" o:spid="_x0000_s1026" style="position:absolute;margin-left:-5.45pt;margin-top:8.1pt;width:482.4pt;height:69.9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" fillcolor="#f2f2f2 [3052]" strokecolor="black [3213]" strokeweight="1pt"/>
            </w:pict>
          </mc:Fallback>
        </mc:AlternateContent>
      </w:r>
    </w:p>
    <w:p w14:paraId="4DFB9E0B" w14:textId="2A82EAE2" w:rsidR="004E4D64" w:rsidRDefault="004E4D64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(b) Description of the pesticidal trait and how the trait was engineered into the plant.</w:t>
      </w:r>
    </w:p>
    <w:p w14:paraId="48EAFA97" w14:textId="0D10617F" w:rsidR="004E4D64" w:rsidRDefault="004E4D64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Include a description of the measures that were taken to ensure that no engineering components</w:t>
      </w:r>
    </w:p>
    <w:p w14:paraId="799C5096" w14:textId="77777777" w:rsidR="004E4D64" w:rsidRDefault="004E4D64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e.g.</w:t>
      </w:r>
      <w:r>
        <w:rPr>
          <w:rFonts w:ascii="TimesNewRomanPSMT" w:hAnsi="TimesNewRomanPSMT" w:cs="TimesNewRomanPSMT"/>
          <w:sz w:val="24"/>
          <w:szCs w:val="24"/>
        </w:rPr>
        <w:t>, Cas proteins) are present in the final plant product and the measures taken to maximize the</w:t>
      </w:r>
    </w:p>
    <w:p w14:paraId="7CCC939C" w14:textId="592AA596" w:rsidR="004E4D64" w:rsidRDefault="004E4D64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likelihood that the modification to the recipient plant is limited to the intended modification.</w:t>
      </w:r>
    </w:p>
    <w:p w14:paraId="2DEA2946" w14:textId="3BFFE18C" w:rsidR="00C75EDD" w:rsidRPr="00095F1B" w:rsidRDefault="00C75EDD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Cs/>
          <w:sz w:val="24"/>
          <w:szCs w:val="24"/>
        </w:rPr>
      </w:pPr>
    </w:p>
    <w:p w14:paraId="743B34F4" w14:textId="39EBE14D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i/>
          <w:sz w:val="24"/>
          <w:szCs w:val="24"/>
        </w:rPr>
      </w:pPr>
    </w:p>
    <w:p w14:paraId="292F07F0" w14:textId="0C50482D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i/>
          <w:sz w:val="24"/>
          <w:szCs w:val="24"/>
        </w:rPr>
      </w:pPr>
    </w:p>
    <w:p w14:paraId="7EED8C7C" w14:textId="7A335C57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i/>
          <w:sz w:val="24"/>
          <w:szCs w:val="24"/>
        </w:rPr>
      </w:pPr>
    </w:p>
    <w:p w14:paraId="1F6A7A02" w14:textId="52D750B4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i/>
          <w:sz w:val="24"/>
          <w:szCs w:val="24"/>
        </w:rPr>
      </w:pPr>
    </w:p>
    <w:p w14:paraId="293FE927" w14:textId="3F58041C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i/>
          <w:sz w:val="24"/>
          <w:szCs w:val="24"/>
        </w:rPr>
      </w:pPr>
    </w:p>
    <w:p w14:paraId="2EA2755F" w14:textId="297D9721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i/>
          <w:sz w:val="24"/>
          <w:szCs w:val="24"/>
        </w:rPr>
      </w:pPr>
    </w:p>
    <w:p w14:paraId="521B89C1" w14:textId="058096DF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i/>
          <w:sz w:val="24"/>
          <w:szCs w:val="24"/>
        </w:rPr>
      </w:pPr>
    </w:p>
    <w:p w14:paraId="31288FC0" w14:textId="7C1F8F10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i/>
          <w:sz w:val="24"/>
          <w:szCs w:val="24"/>
        </w:rPr>
      </w:pPr>
    </w:p>
    <w:p w14:paraId="61C0629B" w14:textId="2C93AFA6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i/>
          <w:sz w:val="24"/>
          <w:szCs w:val="24"/>
        </w:rPr>
      </w:pPr>
    </w:p>
    <w:p w14:paraId="38C636E4" w14:textId="27349C86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i/>
          <w:sz w:val="24"/>
          <w:szCs w:val="24"/>
        </w:rPr>
      </w:pPr>
    </w:p>
    <w:p w14:paraId="28659666" w14:textId="5C47991A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i/>
          <w:sz w:val="24"/>
          <w:szCs w:val="24"/>
        </w:rPr>
      </w:pPr>
    </w:p>
    <w:p w14:paraId="164D72D9" w14:textId="32845411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i/>
          <w:sz w:val="24"/>
          <w:szCs w:val="24"/>
        </w:rPr>
      </w:pPr>
    </w:p>
    <w:p w14:paraId="1999F09C" w14:textId="77777777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i/>
          <w:sz w:val="24"/>
          <w:szCs w:val="24"/>
        </w:rPr>
      </w:pPr>
    </w:p>
    <w:p w14:paraId="310C8BBF" w14:textId="05C94AF6" w:rsidR="0070372C" w:rsidRDefault="00181DDA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4E01CEB" wp14:editId="57B05271">
                <wp:simplePos x="0" y="0"/>
                <wp:positionH relativeFrom="column">
                  <wp:posOffset>-120650</wp:posOffset>
                </wp:positionH>
                <wp:positionV relativeFrom="paragraph">
                  <wp:posOffset>143774</wp:posOffset>
                </wp:positionV>
                <wp:extent cx="6126480" cy="1811020"/>
                <wp:effectExtent l="0" t="0" r="26670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1811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E9D9A" id="Rectangle 4" o:spid="_x0000_s1026" style="position:absolute;margin-left:-9.5pt;margin-top:11.3pt;width:482.4pt;height:142.6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" fillcolor="#f2f2f2 [3052]" strokecolor="black [3213]" strokeweight="1pt"/>
            </w:pict>
          </mc:Fallback>
        </mc:AlternateContent>
      </w:r>
    </w:p>
    <w:p w14:paraId="4F47B118" w14:textId="0F676113" w:rsidR="004E4D64" w:rsidRDefault="004E4D64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(c) Molecular characterization of the plant-incorporated protectant. A nucleic acid</w:t>
      </w:r>
    </w:p>
    <w:p w14:paraId="0C61D571" w14:textId="2EE83D52" w:rsidR="004E4D64" w:rsidRDefault="004E4D64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sequence comparison of the plant-incorporated protectant between the recipient plant and the</w:t>
      </w:r>
    </w:p>
    <w:p w14:paraId="2045FCDC" w14:textId="49CFB8DD" w:rsidR="004E4D64" w:rsidRDefault="004E4D64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comparator(s). A deduced amino acid sequence comparison is additionally required when the</w:t>
      </w:r>
    </w:p>
    <w:p w14:paraId="335DA113" w14:textId="3607B0FD" w:rsidR="004E4D64" w:rsidRDefault="004E4D64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pesticidal substance is proteinaceous. The relevant comparator(s) for the sequence comparison(s)</w:t>
      </w:r>
    </w:p>
    <w:p w14:paraId="29F91A50" w14:textId="453DEAD4" w:rsidR="004E4D64" w:rsidRDefault="004E4D64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are determined by the type of modification:</w:t>
      </w:r>
    </w:p>
    <w:p w14:paraId="2973BF3E" w14:textId="6BCA9460" w:rsidR="003B61D1" w:rsidRDefault="003B61D1" w:rsidP="003B61D1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</w:p>
    <w:p w14:paraId="547342AE" w14:textId="357FA6FC" w:rsidR="004E4D64" w:rsidRDefault="004E4D64" w:rsidP="009147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For 174.26(a)(1), sequences in the source plant and in the recipient plant.</w:t>
      </w:r>
    </w:p>
    <w:p w14:paraId="6BA0C14E" w14:textId="2A2B79B8" w:rsidR="0091470F" w:rsidRPr="0091470F" w:rsidRDefault="0091470F" w:rsidP="0091470F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4"/>
          <w:szCs w:val="24"/>
        </w:rPr>
      </w:pPr>
      <w:r w:rsidRPr="0091470F">
        <w:rPr>
          <w:rFonts w:ascii="TimesNewRomanPSMT" w:hAnsi="TimesNewRomanPSMT" w:cs="TimesNewRomanPSMT"/>
          <w:sz w:val="24"/>
          <w:szCs w:val="24"/>
        </w:rPr>
        <w:t>(2) For 174.26(a)(2), sequences in the recipient plant before the modification, after the modification, and the sequence in the source plant. The polymorphic site(s) must be indicated.</w:t>
      </w:r>
    </w:p>
    <w:p w14:paraId="028AD367" w14:textId="77777777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DCF4A20" w14:textId="48AA722E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DEB2720" w14:textId="5148DD5A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360A0A8" w14:textId="5D003A80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CD128DF" w14:textId="2F19F430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1B9B4F9" w14:textId="1C607EA3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CE70650" w14:textId="05E9EF67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A91E8B4" w14:textId="4A993AA0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36AE211" w14:textId="666F8D20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085F4A4" w14:textId="0E0726A0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36182F2" w14:textId="0EE947F2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679D413" w14:textId="2AC9A97B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5779F97" w14:textId="29321768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1B8C96D" w14:textId="29140981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0BD6878" w14:textId="7D5D7C76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67CB5E8" w14:textId="795B27AC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90DD9A3" w14:textId="63630845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94138E6" w14:textId="0630B6BC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5DF0259" w14:textId="2769BEB7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EC636AB" w14:textId="352BFCD6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38F78DA" w14:textId="621C3E9A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09A7A13" w14:textId="714A2CD3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5A699A8" w14:textId="23619760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1F91371" w14:textId="7B6BC085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FC5B2DD" w14:textId="0E6BAE91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414A1E7" w14:textId="369401B8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712D1C6" w14:textId="58068247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CC0C679" w14:textId="5A8AB9EA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70B3B6C" w14:textId="24F369EA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932FB05" w14:textId="23D4AD75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10F35A6" w14:textId="2F89FA78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B5AAD47" w14:textId="40B654E9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DE43980" w14:textId="277EA896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16481A" w14:textId="0ED8DD79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0B51E22" w14:textId="77777777" w:rsidR="00FA6782" w:rsidRDefault="00FA6782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2CD1F48" w14:textId="45E2C0F5" w:rsidR="00C75EDD" w:rsidRDefault="008E3A9E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371EDF86" wp14:editId="4A413456">
                <wp:simplePos x="0" y="0"/>
                <wp:positionH relativeFrom="column">
                  <wp:posOffset>-120770</wp:posOffset>
                </wp:positionH>
                <wp:positionV relativeFrom="paragraph">
                  <wp:posOffset>128377</wp:posOffset>
                </wp:positionV>
                <wp:extent cx="6126480" cy="1526851"/>
                <wp:effectExtent l="0" t="0" r="26670" b="165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152685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58375" id="Rectangle 10" o:spid="_x0000_s1026" style="position:absolute;margin-left:-9.5pt;margin-top:10.1pt;width:482.4pt;height:120.2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" fillcolor="#f2f2f2 [3052]" strokecolor="black [3213]" strokeweight="1pt"/>
            </w:pict>
          </mc:Fallback>
        </mc:AlternateContent>
      </w:r>
    </w:p>
    <w:p w14:paraId="66091F48" w14:textId="6A246F42" w:rsidR="004E4D64" w:rsidRDefault="004E4D64" w:rsidP="004E4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(d) Information on the history of safe use of the plant-incorporated protectant.</w:t>
      </w:r>
    </w:p>
    <w:p w14:paraId="5A1CD514" w14:textId="17F726A2" w:rsidR="003B61D1" w:rsidRDefault="003B61D1" w:rsidP="009831EC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4"/>
          <w:szCs w:val="24"/>
        </w:rPr>
      </w:pPr>
    </w:p>
    <w:p w14:paraId="58289DF1" w14:textId="7023480B" w:rsidR="004E4D64" w:rsidRDefault="004E4D64" w:rsidP="00FA6782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(1) If the pesticidal substance is a known allergen or mammalian toxin/toxicant (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e.g.</w:t>
      </w:r>
      <w:r>
        <w:rPr>
          <w:rFonts w:ascii="TimesNewRomanPSMT" w:hAnsi="TimesNewRomanPSMT" w:cs="TimesNewRomanPSMT"/>
          <w:sz w:val="24"/>
          <w:szCs w:val="24"/>
        </w:rPr>
        <w:t>,</w:t>
      </w:r>
      <w:r w:rsidR="00FA678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solanine), describe how conventional breeding practices are being used to ensure that it does not</w:t>
      </w:r>
      <w:r w:rsidR="009831E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exceed human dietary safety levels in the recipient food plant (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i.e.</w:t>
      </w:r>
      <w:r>
        <w:rPr>
          <w:rFonts w:ascii="TimesNewRomanPSMT" w:hAnsi="TimesNewRomanPSMT" w:cs="TimesNewRomanPSMT"/>
          <w:sz w:val="24"/>
          <w:szCs w:val="24"/>
        </w:rPr>
        <w:t>, ensure residues of pesticidal</w:t>
      </w:r>
      <w:r w:rsidR="009831E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substance are not present in food at levels that are injurious or deleterious and are within the</w:t>
      </w:r>
      <w:r w:rsidR="009831E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ranges of levels generally seen in plant varieties currently on the market and/or known to</w:t>
      </w:r>
      <w:r w:rsidR="009831E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produce food safe for consumption).</w:t>
      </w:r>
    </w:p>
    <w:p w14:paraId="07BFCFF5" w14:textId="2024A2ED" w:rsidR="00817D9C" w:rsidRDefault="00817D9C" w:rsidP="009831EC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4"/>
          <w:szCs w:val="24"/>
        </w:rPr>
      </w:pPr>
    </w:p>
    <w:p w14:paraId="388B1432" w14:textId="4A92A18C" w:rsidR="00FA6782" w:rsidRDefault="00FA6782" w:rsidP="009831EC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4"/>
          <w:szCs w:val="24"/>
        </w:rPr>
      </w:pPr>
    </w:p>
    <w:p w14:paraId="764C5A76" w14:textId="6A376291" w:rsidR="00FA6782" w:rsidRDefault="00FA6782" w:rsidP="009831EC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4"/>
          <w:szCs w:val="24"/>
        </w:rPr>
      </w:pPr>
    </w:p>
    <w:p w14:paraId="69CD3EB2" w14:textId="01EB33B2" w:rsidR="00FA6782" w:rsidRDefault="00FA6782" w:rsidP="009831EC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4"/>
          <w:szCs w:val="24"/>
        </w:rPr>
      </w:pPr>
    </w:p>
    <w:p w14:paraId="372ADEE6" w14:textId="02B5EFFB" w:rsidR="00FA6782" w:rsidRDefault="00FA6782" w:rsidP="009831EC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4"/>
          <w:szCs w:val="24"/>
        </w:rPr>
      </w:pPr>
    </w:p>
    <w:p w14:paraId="18C4332C" w14:textId="77777777" w:rsidR="00FA6782" w:rsidRDefault="00FA6782" w:rsidP="009831EC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4"/>
          <w:szCs w:val="24"/>
        </w:rPr>
      </w:pPr>
    </w:p>
    <w:p w14:paraId="6A21A9F3" w14:textId="0525CB5D" w:rsidR="007912C0" w:rsidRDefault="008E3A9E" w:rsidP="009831EC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1EE86346" wp14:editId="068E5E0F">
                <wp:simplePos x="0" y="0"/>
                <wp:positionH relativeFrom="column">
                  <wp:posOffset>-101864</wp:posOffset>
                </wp:positionH>
                <wp:positionV relativeFrom="paragraph">
                  <wp:posOffset>114935</wp:posOffset>
                </wp:positionV>
                <wp:extent cx="6126480" cy="1526876"/>
                <wp:effectExtent l="0" t="0" r="26670" b="165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152687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877D5" id="Rectangle 12" o:spid="_x0000_s1026" style="position:absolute;margin-left:-8pt;margin-top:9.05pt;width:482.4pt;height:120.2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" fillcolor="#f2f2f2 [3052]" strokecolor="black [3213]" strokeweight="1pt"/>
            </w:pict>
          </mc:Fallback>
        </mc:AlternateContent>
      </w:r>
    </w:p>
    <w:p w14:paraId="46988EE2" w14:textId="4A92010E" w:rsidR="004E4D64" w:rsidRDefault="004E4D64" w:rsidP="009831EC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(2) If the source plant is a wild relative of the recipient plant, describe why the plant-incorporated</w:t>
      </w:r>
      <w:r w:rsidR="0075793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protectant is not anticipated to pose a hazard to humans or the environment (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e.g.</w:t>
      </w:r>
      <w:r>
        <w:rPr>
          <w:rFonts w:ascii="TimesNewRomanPSMT" w:hAnsi="TimesNewRomanPSMT" w:cs="TimesNewRomanPSMT"/>
          <w:sz w:val="24"/>
          <w:szCs w:val="24"/>
        </w:rPr>
        <w:t>,</w:t>
      </w:r>
      <w:r w:rsidR="009831E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Are levels of the pesticidal substance produced in the recipient plant within the ranges of levels</w:t>
      </w:r>
      <w:r w:rsidR="009831E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generally seen in plant varieties currently on the market and/or known to produce food safe for</w:t>
      </w:r>
      <w:r w:rsidR="009831E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consumption? Is the pesticidal mode of action non-toxic? Does the plant-incorporated protectant</w:t>
      </w:r>
      <w:r w:rsidR="009831E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lack sequence similarity to known mammalian toxins, toxicants, or allergens? Is the plant-incorporated</w:t>
      </w:r>
      <w:r w:rsidR="0075793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protectant a commonly screened substance and therefore familiar to plant</w:t>
      </w:r>
      <w:r w:rsidR="009831E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breeders?).</w:t>
      </w:r>
    </w:p>
    <w:p w14:paraId="40626C51" w14:textId="77777777" w:rsidR="009831EC" w:rsidRDefault="009831EC" w:rsidP="009831EC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4"/>
          <w:szCs w:val="24"/>
        </w:rPr>
      </w:pPr>
    </w:p>
    <w:p w14:paraId="3F1459AF" w14:textId="24D86A0B" w:rsidR="00B817A1" w:rsidRDefault="00B817A1" w:rsidP="00B817A1">
      <w:pPr>
        <w:ind w:left="720"/>
        <w:rPr>
          <w:rFonts w:ascii="TimesNewRomanPSMT" w:hAnsi="TimesNewRomanPSMT" w:cs="TimesNewRomanPSMT"/>
          <w:sz w:val="24"/>
          <w:szCs w:val="24"/>
        </w:rPr>
      </w:pPr>
    </w:p>
    <w:p w14:paraId="1D68F699" w14:textId="5EC913D0" w:rsidR="00FA6782" w:rsidRDefault="00FA6782" w:rsidP="00B817A1">
      <w:pPr>
        <w:ind w:left="720"/>
        <w:rPr>
          <w:rFonts w:ascii="TimesNewRomanPSMT" w:hAnsi="TimesNewRomanPSMT" w:cs="TimesNewRomanPSMT"/>
          <w:sz w:val="24"/>
          <w:szCs w:val="24"/>
        </w:rPr>
      </w:pPr>
    </w:p>
    <w:p w14:paraId="6309F04C" w14:textId="77777777" w:rsidR="00FA6782" w:rsidRPr="00B817A1" w:rsidRDefault="00FA6782" w:rsidP="00B817A1">
      <w:pPr>
        <w:ind w:left="720"/>
        <w:rPr>
          <w:rFonts w:ascii="TimesNewRomanPSMT" w:hAnsi="TimesNewRomanPSMT" w:cs="TimesNewRomanPSMT"/>
          <w:sz w:val="24"/>
          <w:szCs w:val="24"/>
        </w:rPr>
      </w:pPr>
    </w:p>
    <w:p w14:paraId="0E35BEEF" w14:textId="485B81B1" w:rsidR="0035570C" w:rsidRPr="00BC57F8" w:rsidRDefault="00BC57F8" w:rsidP="003557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57F8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5E15958E" w14:textId="77777777" w:rsidR="0035570C" w:rsidRPr="0035570C" w:rsidRDefault="0035570C" w:rsidP="0035570C"/>
    <w:p w14:paraId="026D097A" w14:textId="77777777" w:rsidR="0035570C" w:rsidRPr="0035570C" w:rsidRDefault="0035570C" w:rsidP="0035570C"/>
    <w:p w14:paraId="2E3D14C8" w14:textId="77777777" w:rsidR="0035570C" w:rsidRPr="0035570C" w:rsidRDefault="0035570C" w:rsidP="0035570C"/>
    <w:p w14:paraId="274DAF67" w14:textId="77777777" w:rsidR="0035570C" w:rsidRPr="0035570C" w:rsidRDefault="0035570C" w:rsidP="0035570C"/>
    <w:p w14:paraId="6E702121" w14:textId="77777777" w:rsidR="0035570C" w:rsidRPr="0035570C" w:rsidRDefault="0035570C" w:rsidP="0035570C"/>
    <w:p w14:paraId="356259C7" w14:textId="77777777" w:rsidR="0035570C" w:rsidRDefault="0035570C" w:rsidP="0035570C">
      <w:pPr>
        <w:rPr>
          <w:rFonts w:ascii="TimesNewRomanPSMT" w:hAnsi="TimesNewRomanPSMT" w:cs="TimesNewRomanPSMT"/>
          <w:sz w:val="24"/>
          <w:szCs w:val="24"/>
        </w:rPr>
      </w:pPr>
    </w:p>
    <w:p w14:paraId="38D9CBA0" w14:textId="4E4102F5" w:rsidR="0035570C" w:rsidRDefault="0035570C" w:rsidP="0035570C">
      <w:pPr>
        <w:tabs>
          <w:tab w:val="left" w:pos="1008"/>
        </w:tabs>
      </w:pPr>
      <w:r>
        <w:tab/>
      </w:r>
    </w:p>
    <w:p w14:paraId="4D089D08" w14:textId="70F11DC1" w:rsidR="0076529A" w:rsidRPr="00FA6782" w:rsidRDefault="0076529A" w:rsidP="0076529A"/>
    <w:sectPr w:rsidR="0076529A" w:rsidRPr="00FA6782" w:rsidSect="00727DB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52003" w14:textId="77777777" w:rsidR="00615D0D" w:rsidRDefault="00615D0D" w:rsidP="00615D0D">
      <w:pPr>
        <w:spacing w:after="0" w:line="240" w:lineRule="auto"/>
      </w:pPr>
      <w:r>
        <w:separator/>
      </w:r>
    </w:p>
  </w:endnote>
  <w:endnote w:type="continuationSeparator" w:id="0">
    <w:p w14:paraId="45C4C213" w14:textId="77777777" w:rsidR="00615D0D" w:rsidRDefault="00615D0D" w:rsidP="00615D0D">
      <w:pPr>
        <w:spacing w:after="0" w:line="240" w:lineRule="auto"/>
      </w:pPr>
      <w:r>
        <w:continuationSeparator/>
      </w:r>
    </w:p>
  </w:endnote>
  <w:endnote w:type="continuationNotice" w:id="1">
    <w:p w14:paraId="0D7DC102" w14:textId="77777777" w:rsidR="00E30561" w:rsidRDefault="00E305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5421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73B383" w14:textId="66F0EA3C" w:rsidR="00DB2794" w:rsidRDefault="00DB27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3361F0" w14:textId="77777777" w:rsidR="00615D0D" w:rsidRDefault="00615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1E3B6" w14:textId="77777777" w:rsidR="00615D0D" w:rsidRDefault="00615D0D" w:rsidP="00615D0D">
      <w:pPr>
        <w:spacing w:after="0" w:line="240" w:lineRule="auto"/>
      </w:pPr>
      <w:r>
        <w:separator/>
      </w:r>
    </w:p>
  </w:footnote>
  <w:footnote w:type="continuationSeparator" w:id="0">
    <w:p w14:paraId="6F464A09" w14:textId="77777777" w:rsidR="00615D0D" w:rsidRDefault="00615D0D" w:rsidP="00615D0D">
      <w:pPr>
        <w:spacing w:after="0" w:line="240" w:lineRule="auto"/>
      </w:pPr>
      <w:r>
        <w:continuationSeparator/>
      </w:r>
    </w:p>
  </w:footnote>
  <w:footnote w:type="continuationNotice" w:id="1">
    <w:p w14:paraId="081B7131" w14:textId="77777777" w:rsidR="00E30561" w:rsidRDefault="00E305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4295104"/>
      <w:docPartObj>
        <w:docPartGallery w:val="Watermarks"/>
        <w:docPartUnique/>
      </w:docPartObj>
    </w:sdtPr>
    <w:sdtEndPr/>
    <w:sdtContent>
      <w:p w14:paraId="3EC18C0D" w14:textId="53C36AFD" w:rsidR="00615D0D" w:rsidRDefault="00DB2794">
        <w:pPr>
          <w:pStyle w:val="Header"/>
        </w:pPr>
        <w:r>
          <w:rPr>
            <w:noProof/>
          </w:rPr>
          <w:pict w14:anchorId="73FD9D6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918080" o:spid="_x0000_s2049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57A00"/>
    <w:multiLevelType w:val="hybridMultilevel"/>
    <w:tmpl w:val="69D81106"/>
    <w:lvl w:ilvl="0" w:tplc="AF4C6AE0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A821303"/>
    <w:multiLevelType w:val="hybridMultilevel"/>
    <w:tmpl w:val="EF9CB20E"/>
    <w:lvl w:ilvl="0" w:tplc="776618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618947">
    <w:abstractNumId w:val="0"/>
  </w:num>
  <w:num w:numId="2" w16cid:durableId="13286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64"/>
    <w:rsid w:val="00002BD4"/>
    <w:rsid w:val="0000327C"/>
    <w:rsid w:val="00013692"/>
    <w:rsid w:val="00013B98"/>
    <w:rsid w:val="000158B6"/>
    <w:rsid w:val="00020F77"/>
    <w:rsid w:val="00033C6C"/>
    <w:rsid w:val="00035E93"/>
    <w:rsid w:val="00044497"/>
    <w:rsid w:val="000557CA"/>
    <w:rsid w:val="00063E82"/>
    <w:rsid w:val="00066E19"/>
    <w:rsid w:val="00067E03"/>
    <w:rsid w:val="00071ADD"/>
    <w:rsid w:val="00071C9A"/>
    <w:rsid w:val="00075BB8"/>
    <w:rsid w:val="000852FD"/>
    <w:rsid w:val="0009022E"/>
    <w:rsid w:val="00095289"/>
    <w:rsid w:val="000956E9"/>
    <w:rsid w:val="00095F1B"/>
    <w:rsid w:val="000A10EB"/>
    <w:rsid w:val="000A2BEB"/>
    <w:rsid w:val="000A55B1"/>
    <w:rsid w:val="000A74AB"/>
    <w:rsid w:val="000A7888"/>
    <w:rsid w:val="000B4BE3"/>
    <w:rsid w:val="000C1BBB"/>
    <w:rsid w:val="000C6F09"/>
    <w:rsid w:val="000D2215"/>
    <w:rsid w:val="000D26E4"/>
    <w:rsid w:val="000D2ABA"/>
    <w:rsid w:val="000E13AC"/>
    <w:rsid w:val="000E2FFB"/>
    <w:rsid w:val="000E4278"/>
    <w:rsid w:val="001030A0"/>
    <w:rsid w:val="00121DA8"/>
    <w:rsid w:val="00124F1C"/>
    <w:rsid w:val="001253AD"/>
    <w:rsid w:val="001259E3"/>
    <w:rsid w:val="00130F61"/>
    <w:rsid w:val="00131F03"/>
    <w:rsid w:val="0015319C"/>
    <w:rsid w:val="00153C51"/>
    <w:rsid w:val="001563CE"/>
    <w:rsid w:val="001815E1"/>
    <w:rsid w:val="00181DDA"/>
    <w:rsid w:val="0018322A"/>
    <w:rsid w:val="00184318"/>
    <w:rsid w:val="001A2198"/>
    <w:rsid w:val="001A6248"/>
    <w:rsid w:val="001B4D3E"/>
    <w:rsid w:val="001C1512"/>
    <w:rsid w:val="001C4F2C"/>
    <w:rsid w:val="001D4F96"/>
    <w:rsid w:val="001D7215"/>
    <w:rsid w:val="001D7CF9"/>
    <w:rsid w:val="001E04A7"/>
    <w:rsid w:val="001E3443"/>
    <w:rsid w:val="001E4495"/>
    <w:rsid w:val="001E55B6"/>
    <w:rsid w:val="001E5C04"/>
    <w:rsid w:val="001E6771"/>
    <w:rsid w:val="001F0505"/>
    <w:rsid w:val="001F2301"/>
    <w:rsid w:val="001F3E96"/>
    <w:rsid w:val="001F6DCC"/>
    <w:rsid w:val="00205432"/>
    <w:rsid w:val="00211778"/>
    <w:rsid w:val="002244D8"/>
    <w:rsid w:val="0024304F"/>
    <w:rsid w:val="00244B59"/>
    <w:rsid w:val="00251040"/>
    <w:rsid w:val="00252EC7"/>
    <w:rsid w:val="0025418F"/>
    <w:rsid w:val="002577E9"/>
    <w:rsid w:val="0026757F"/>
    <w:rsid w:val="00295663"/>
    <w:rsid w:val="002A6941"/>
    <w:rsid w:val="002C099B"/>
    <w:rsid w:val="002C20D6"/>
    <w:rsid w:val="002C303D"/>
    <w:rsid w:val="002C3117"/>
    <w:rsid w:val="002C6BE7"/>
    <w:rsid w:val="002D26DD"/>
    <w:rsid w:val="002E32A2"/>
    <w:rsid w:val="003174E8"/>
    <w:rsid w:val="00322726"/>
    <w:rsid w:val="00333EB6"/>
    <w:rsid w:val="003415BF"/>
    <w:rsid w:val="003520F3"/>
    <w:rsid w:val="00352BAF"/>
    <w:rsid w:val="003535F9"/>
    <w:rsid w:val="0035570C"/>
    <w:rsid w:val="00365E91"/>
    <w:rsid w:val="0037456F"/>
    <w:rsid w:val="00381BF4"/>
    <w:rsid w:val="00383474"/>
    <w:rsid w:val="00383CC9"/>
    <w:rsid w:val="00383CFB"/>
    <w:rsid w:val="00385802"/>
    <w:rsid w:val="003910F0"/>
    <w:rsid w:val="00392E71"/>
    <w:rsid w:val="003939D8"/>
    <w:rsid w:val="0039614D"/>
    <w:rsid w:val="003A0062"/>
    <w:rsid w:val="003A1211"/>
    <w:rsid w:val="003A4A29"/>
    <w:rsid w:val="003A7F08"/>
    <w:rsid w:val="003B42BD"/>
    <w:rsid w:val="003B61D1"/>
    <w:rsid w:val="003B6625"/>
    <w:rsid w:val="003B7D75"/>
    <w:rsid w:val="003C2833"/>
    <w:rsid w:val="003D6F2A"/>
    <w:rsid w:val="003E45B5"/>
    <w:rsid w:val="003E6214"/>
    <w:rsid w:val="003E6693"/>
    <w:rsid w:val="003E6D45"/>
    <w:rsid w:val="003E7EE7"/>
    <w:rsid w:val="003F3BE3"/>
    <w:rsid w:val="003F747A"/>
    <w:rsid w:val="004135AE"/>
    <w:rsid w:val="00422D24"/>
    <w:rsid w:val="00424042"/>
    <w:rsid w:val="00440873"/>
    <w:rsid w:val="00444CEA"/>
    <w:rsid w:val="00446636"/>
    <w:rsid w:val="00446BE2"/>
    <w:rsid w:val="00447054"/>
    <w:rsid w:val="0046584C"/>
    <w:rsid w:val="00465D8D"/>
    <w:rsid w:val="00466A66"/>
    <w:rsid w:val="00471835"/>
    <w:rsid w:val="0047472E"/>
    <w:rsid w:val="00476565"/>
    <w:rsid w:val="004766B4"/>
    <w:rsid w:val="0047708D"/>
    <w:rsid w:val="004853E4"/>
    <w:rsid w:val="0048641A"/>
    <w:rsid w:val="004878CA"/>
    <w:rsid w:val="00487A2E"/>
    <w:rsid w:val="004934D3"/>
    <w:rsid w:val="00495255"/>
    <w:rsid w:val="004A0CCB"/>
    <w:rsid w:val="004A4D10"/>
    <w:rsid w:val="004A5CF4"/>
    <w:rsid w:val="004C2095"/>
    <w:rsid w:val="004C35DC"/>
    <w:rsid w:val="004D4E70"/>
    <w:rsid w:val="004E3118"/>
    <w:rsid w:val="004E4D64"/>
    <w:rsid w:val="004E66D1"/>
    <w:rsid w:val="004F3108"/>
    <w:rsid w:val="00500830"/>
    <w:rsid w:val="0050151D"/>
    <w:rsid w:val="005041F4"/>
    <w:rsid w:val="00511836"/>
    <w:rsid w:val="00515B34"/>
    <w:rsid w:val="00521919"/>
    <w:rsid w:val="00522215"/>
    <w:rsid w:val="00522F5B"/>
    <w:rsid w:val="0053384F"/>
    <w:rsid w:val="005347E0"/>
    <w:rsid w:val="00535FEF"/>
    <w:rsid w:val="00557A5C"/>
    <w:rsid w:val="005619D3"/>
    <w:rsid w:val="00564E37"/>
    <w:rsid w:val="00566BD2"/>
    <w:rsid w:val="00566E73"/>
    <w:rsid w:val="005679AB"/>
    <w:rsid w:val="00573F45"/>
    <w:rsid w:val="00582AD1"/>
    <w:rsid w:val="00584C70"/>
    <w:rsid w:val="00585C73"/>
    <w:rsid w:val="005A0D97"/>
    <w:rsid w:val="005B59E7"/>
    <w:rsid w:val="005C31F7"/>
    <w:rsid w:val="005E5CE6"/>
    <w:rsid w:val="005E6E61"/>
    <w:rsid w:val="005F5A0D"/>
    <w:rsid w:val="005F6116"/>
    <w:rsid w:val="00602E0E"/>
    <w:rsid w:val="00615D0D"/>
    <w:rsid w:val="00622521"/>
    <w:rsid w:val="00630BCE"/>
    <w:rsid w:val="006347B8"/>
    <w:rsid w:val="00636421"/>
    <w:rsid w:val="0065141B"/>
    <w:rsid w:val="006567CF"/>
    <w:rsid w:val="00656881"/>
    <w:rsid w:val="0066018B"/>
    <w:rsid w:val="00662DDD"/>
    <w:rsid w:val="00664659"/>
    <w:rsid w:val="006667EE"/>
    <w:rsid w:val="00670695"/>
    <w:rsid w:val="006708D0"/>
    <w:rsid w:val="0067192F"/>
    <w:rsid w:val="006762B7"/>
    <w:rsid w:val="00676D18"/>
    <w:rsid w:val="0068023D"/>
    <w:rsid w:val="0068028B"/>
    <w:rsid w:val="00682844"/>
    <w:rsid w:val="00696997"/>
    <w:rsid w:val="00696B72"/>
    <w:rsid w:val="006B754A"/>
    <w:rsid w:val="006C1390"/>
    <w:rsid w:val="0070372C"/>
    <w:rsid w:val="0070415D"/>
    <w:rsid w:val="00711DD8"/>
    <w:rsid w:val="00727DB6"/>
    <w:rsid w:val="00727F33"/>
    <w:rsid w:val="007301E8"/>
    <w:rsid w:val="0073223D"/>
    <w:rsid w:val="007362DE"/>
    <w:rsid w:val="00750309"/>
    <w:rsid w:val="0075210D"/>
    <w:rsid w:val="00753E5B"/>
    <w:rsid w:val="00755DE8"/>
    <w:rsid w:val="00756A8B"/>
    <w:rsid w:val="00757938"/>
    <w:rsid w:val="007635B4"/>
    <w:rsid w:val="0076529A"/>
    <w:rsid w:val="007708C8"/>
    <w:rsid w:val="007802F5"/>
    <w:rsid w:val="00785613"/>
    <w:rsid w:val="00785C21"/>
    <w:rsid w:val="007912C0"/>
    <w:rsid w:val="00791F48"/>
    <w:rsid w:val="00792CC4"/>
    <w:rsid w:val="00796D99"/>
    <w:rsid w:val="007A4A6B"/>
    <w:rsid w:val="007A529E"/>
    <w:rsid w:val="007A568D"/>
    <w:rsid w:val="007B2A0B"/>
    <w:rsid w:val="007B7EAC"/>
    <w:rsid w:val="007C32D5"/>
    <w:rsid w:val="007C73EC"/>
    <w:rsid w:val="007D2173"/>
    <w:rsid w:val="007D22CF"/>
    <w:rsid w:val="007E07F7"/>
    <w:rsid w:val="007E2AEA"/>
    <w:rsid w:val="007E629E"/>
    <w:rsid w:val="007E6458"/>
    <w:rsid w:val="007E6B47"/>
    <w:rsid w:val="007F193C"/>
    <w:rsid w:val="007F1EBD"/>
    <w:rsid w:val="008100E1"/>
    <w:rsid w:val="008107CC"/>
    <w:rsid w:val="00817D9C"/>
    <w:rsid w:val="00840CBD"/>
    <w:rsid w:val="00841255"/>
    <w:rsid w:val="008448D4"/>
    <w:rsid w:val="00844F6E"/>
    <w:rsid w:val="008505CC"/>
    <w:rsid w:val="0085338D"/>
    <w:rsid w:val="008614B7"/>
    <w:rsid w:val="00872514"/>
    <w:rsid w:val="00875FF3"/>
    <w:rsid w:val="00880443"/>
    <w:rsid w:val="00880E5E"/>
    <w:rsid w:val="00885489"/>
    <w:rsid w:val="00885D53"/>
    <w:rsid w:val="00885E42"/>
    <w:rsid w:val="00885FF8"/>
    <w:rsid w:val="00893232"/>
    <w:rsid w:val="00897057"/>
    <w:rsid w:val="008A6763"/>
    <w:rsid w:val="008B5011"/>
    <w:rsid w:val="008B5A1E"/>
    <w:rsid w:val="008C271D"/>
    <w:rsid w:val="008C3A10"/>
    <w:rsid w:val="008D14D6"/>
    <w:rsid w:val="008D1C37"/>
    <w:rsid w:val="008D5488"/>
    <w:rsid w:val="008D6B52"/>
    <w:rsid w:val="008D6DB6"/>
    <w:rsid w:val="008E3A9E"/>
    <w:rsid w:val="008E3B09"/>
    <w:rsid w:val="008E606F"/>
    <w:rsid w:val="008E6DA6"/>
    <w:rsid w:val="00907E89"/>
    <w:rsid w:val="0091470F"/>
    <w:rsid w:val="00932091"/>
    <w:rsid w:val="00937EF7"/>
    <w:rsid w:val="00941BC1"/>
    <w:rsid w:val="009423DB"/>
    <w:rsid w:val="009579C7"/>
    <w:rsid w:val="00960FA9"/>
    <w:rsid w:val="009630C2"/>
    <w:rsid w:val="0096680B"/>
    <w:rsid w:val="00970E74"/>
    <w:rsid w:val="009831EC"/>
    <w:rsid w:val="00987288"/>
    <w:rsid w:val="00987381"/>
    <w:rsid w:val="00987703"/>
    <w:rsid w:val="00990449"/>
    <w:rsid w:val="00993FCE"/>
    <w:rsid w:val="00994E5C"/>
    <w:rsid w:val="009A0C27"/>
    <w:rsid w:val="009A134C"/>
    <w:rsid w:val="009B39F1"/>
    <w:rsid w:val="009B500F"/>
    <w:rsid w:val="009C347E"/>
    <w:rsid w:val="009D5A30"/>
    <w:rsid w:val="009E1A60"/>
    <w:rsid w:val="009E338A"/>
    <w:rsid w:val="009E3D03"/>
    <w:rsid w:val="009E6736"/>
    <w:rsid w:val="009F18AB"/>
    <w:rsid w:val="009F6964"/>
    <w:rsid w:val="00A13B53"/>
    <w:rsid w:val="00A1590A"/>
    <w:rsid w:val="00A16802"/>
    <w:rsid w:val="00A20BE6"/>
    <w:rsid w:val="00A21642"/>
    <w:rsid w:val="00A31799"/>
    <w:rsid w:val="00A40EB1"/>
    <w:rsid w:val="00A43A15"/>
    <w:rsid w:val="00A615F2"/>
    <w:rsid w:val="00A64ACB"/>
    <w:rsid w:val="00A6502E"/>
    <w:rsid w:val="00A658F6"/>
    <w:rsid w:val="00A733F2"/>
    <w:rsid w:val="00A7565D"/>
    <w:rsid w:val="00A81FED"/>
    <w:rsid w:val="00A82EF6"/>
    <w:rsid w:val="00A83735"/>
    <w:rsid w:val="00A95E03"/>
    <w:rsid w:val="00AA1B52"/>
    <w:rsid w:val="00AA6403"/>
    <w:rsid w:val="00AC0E26"/>
    <w:rsid w:val="00AC46E3"/>
    <w:rsid w:val="00AC521D"/>
    <w:rsid w:val="00AC7116"/>
    <w:rsid w:val="00AD1F13"/>
    <w:rsid w:val="00AD2E57"/>
    <w:rsid w:val="00AF0C6B"/>
    <w:rsid w:val="00AF282E"/>
    <w:rsid w:val="00AF6615"/>
    <w:rsid w:val="00B0091F"/>
    <w:rsid w:val="00B03401"/>
    <w:rsid w:val="00B10739"/>
    <w:rsid w:val="00B15670"/>
    <w:rsid w:val="00B20150"/>
    <w:rsid w:val="00B255A4"/>
    <w:rsid w:val="00B27569"/>
    <w:rsid w:val="00B33F55"/>
    <w:rsid w:val="00B4603E"/>
    <w:rsid w:val="00B560BF"/>
    <w:rsid w:val="00B57763"/>
    <w:rsid w:val="00B626D0"/>
    <w:rsid w:val="00B648BE"/>
    <w:rsid w:val="00B6521B"/>
    <w:rsid w:val="00B65E72"/>
    <w:rsid w:val="00B757AF"/>
    <w:rsid w:val="00B775E6"/>
    <w:rsid w:val="00B80E6D"/>
    <w:rsid w:val="00B817A1"/>
    <w:rsid w:val="00B90FF3"/>
    <w:rsid w:val="00B9630D"/>
    <w:rsid w:val="00BA142E"/>
    <w:rsid w:val="00BC0E9B"/>
    <w:rsid w:val="00BC57F8"/>
    <w:rsid w:val="00BD6308"/>
    <w:rsid w:val="00BE432F"/>
    <w:rsid w:val="00BE62AB"/>
    <w:rsid w:val="00BE6D41"/>
    <w:rsid w:val="00BF6CA6"/>
    <w:rsid w:val="00C03D78"/>
    <w:rsid w:val="00C076E5"/>
    <w:rsid w:val="00C13D4E"/>
    <w:rsid w:val="00C171B1"/>
    <w:rsid w:val="00C30995"/>
    <w:rsid w:val="00C31DE7"/>
    <w:rsid w:val="00C356C6"/>
    <w:rsid w:val="00C37D0A"/>
    <w:rsid w:val="00C40726"/>
    <w:rsid w:val="00C42750"/>
    <w:rsid w:val="00C462DF"/>
    <w:rsid w:val="00C46A1C"/>
    <w:rsid w:val="00C5670B"/>
    <w:rsid w:val="00C63F47"/>
    <w:rsid w:val="00C64DEF"/>
    <w:rsid w:val="00C66DDB"/>
    <w:rsid w:val="00C7040B"/>
    <w:rsid w:val="00C739EE"/>
    <w:rsid w:val="00C75EDD"/>
    <w:rsid w:val="00C81CFF"/>
    <w:rsid w:val="00C90D47"/>
    <w:rsid w:val="00C90E76"/>
    <w:rsid w:val="00C95A78"/>
    <w:rsid w:val="00CA522F"/>
    <w:rsid w:val="00CA6937"/>
    <w:rsid w:val="00CB2FD7"/>
    <w:rsid w:val="00CB36ED"/>
    <w:rsid w:val="00CB74B9"/>
    <w:rsid w:val="00CC1C77"/>
    <w:rsid w:val="00CC1D54"/>
    <w:rsid w:val="00CC50C1"/>
    <w:rsid w:val="00CD5096"/>
    <w:rsid w:val="00CE3A1D"/>
    <w:rsid w:val="00CE3B10"/>
    <w:rsid w:val="00CE60AF"/>
    <w:rsid w:val="00D03D98"/>
    <w:rsid w:val="00D068E5"/>
    <w:rsid w:val="00D1313C"/>
    <w:rsid w:val="00D16460"/>
    <w:rsid w:val="00D22AE4"/>
    <w:rsid w:val="00D310DE"/>
    <w:rsid w:val="00D35CDA"/>
    <w:rsid w:val="00D35DFE"/>
    <w:rsid w:val="00D4025D"/>
    <w:rsid w:val="00D417D9"/>
    <w:rsid w:val="00D43B73"/>
    <w:rsid w:val="00D50C7B"/>
    <w:rsid w:val="00D5777B"/>
    <w:rsid w:val="00D63D8E"/>
    <w:rsid w:val="00D7710E"/>
    <w:rsid w:val="00D7794B"/>
    <w:rsid w:val="00D83A0A"/>
    <w:rsid w:val="00D83D3F"/>
    <w:rsid w:val="00D96644"/>
    <w:rsid w:val="00DB2794"/>
    <w:rsid w:val="00DB4B3E"/>
    <w:rsid w:val="00DC1C64"/>
    <w:rsid w:val="00DD1D8B"/>
    <w:rsid w:val="00DD2BFA"/>
    <w:rsid w:val="00DD5160"/>
    <w:rsid w:val="00DD52C1"/>
    <w:rsid w:val="00DE0114"/>
    <w:rsid w:val="00DE6762"/>
    <w:rsid w:val="00E0375C"/>
    <w:rsid w:val="00E05D47"/>
    <w:rsid w:val="00E07FC9"/>
    <w:rsid w:val="00E11D45"/>
    <w:rsid w:val="00E27D67"/>
    <w:rsid w:val="00E30561"/>
    <w:rsid w:val="00E354C0"/>
    <w:rsid w:val="00E4006C"/>
    <w:rsid w:val="00E453B3"/>
    <w:rsid w:val="00E509DA"/>
    <w:rsid w:val="00E57184"/>
    <w:rsid w:val="00E60D16"/>
    <w:rsid w:val="00E6142A"/>
    <w:rsid w:val="00E67898"/>
    <w:rsid w:val="00E73FB9"/>
    <w:rsid w:val="00E74240"/>
    <w:rsid w:val="00E87524"/>
    <w:rsid w:val="00E96257"/>
    <w:rsid w:val="00EA2186"/>
    <w:rsid w:val="00EA2F4B"/>
    <w:rsid w:val="00EA68EE"/>
    <w:rsid w:val="00EA7E54"/>
    <w:rsid w:val="00EB42C8"/>
    <w:rsid w:val="00EB4C4C"/>
    <w:rsid w:val="00EC63CB"/>
    <w:rsid w:val="00ED029B"/>
    <w:rsid w:val="00ED5BF6"/>
    <w:rsid w:val="00EE1061"/>
    <w:rsid w:val="00EE73BB"/>
    <w:rsid w:val="00F141B2"/>
    <w:rsid w:val="00F16F27"/>
    <w:rsid w:val="00F20428"/>
    <w:rsid w:val="00F21245"/>
    <w:rsid w:val="00F260AE"/>
    <w:rsid w:val="00F31848"/>
    <w:rsid w:val="00F3484B"/>
    <w:rsid w:val="00F36B0D"/>
    <w:rsid w:val="00F4134F"/>
    <w:rsid w:val="00F5300B"/>
    <w:rsid w:val="00F53308"/>
    <w:rsid w:val="00F62060"/>
    <w:rsid w:val="00F746E9"/>
    <w:rsid w:val="00F80C83"/>
    <w:rsid w:val="00F9067E"/>
    <w:rsid w:val="00F96F98"/>
    <w:rsid w:val="00FA6782"/>
    <w:rsid w:val="00FB6272"/>
    <w:rsid w:val="00FC04E4"/>
    <w:rsid w:val="00FC47D3"/>
    <w:rsid w:val="00FC6AB3"/>
    <w:rsid w:val="00FE36D4"/>
    <w:rsid w:val="00FE61DF"/>
    <w:rsid w:val="00FF0A41"/>
    <w:rsid w:val="00FF0DE8"/>
    <w:rsid w:val="00FF1140"/>
    <w:rsid w:val="00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C2EA4A"/>
  <w15:chartTrackingRefBased/>
  <w15:docId w15:val="{63963A67-D946-499C-8D60-ED50A38B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6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696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164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3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22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448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17D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E73B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C50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D0D"/>
  </w:style>
  <w:style w:type="paragraph" w:styleId="Footer">
    <w:name w:val="footer"/>
    <w:basedOn w:val="Normal"/>
    <w:link w:val="FooterChar"/>
    <w:uiPriority w:val="99"/>
    <w:unhideWhenUsed/>
    <w:rsid w:val="00615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E210C2A32274E8239BAA0B65C2B15" ma:contentTypeVersion="6" ma:contentTypeDescription="Create a new document." ma:contentTypeScope="" ma:versionID="bbfee13d9eb0f4568bfa1921b462a312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dbe56419-d50b-414a-b2f9-40973e02fd29" xmlns:ns6="ed7dd8e5-4eb3-44b2-95e5-8ff76e681368" targetNamespace="http://schemas.microsoft.com/office/2006/metadata/properties" ma:root="true" ma:fieldsID="f5e68b31f32a40c86c0650d877838fd9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dbe56419-d50b-414a-b2f9-40973e02fd29"/>
    <xsd:import namespace="ed7dd8e5-4eb3-44b2-95e5-8ff76e681368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8e583381-14b0-486d-adcc-0f777f117673}" ma:internalName="TaxCatchAllLabel" ma:readOnly="true" ma:showField="CatchAllDataLabel" ma:web="ed7dd8e5-4eb3-44b2-95e5-8ff76e681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8e583381-14b0-486d-adcc-0f777f117673}" ma:internalName="TaxCatchAll" ma:showField="CatchAllData" ma:web="ed7dd8e5-4eb3-44b2-95e5-8ff76e681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56419-d50b-414a-b2f9-40973e02f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d8e5-4eb3-44b2-95e5-8ff76e681368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2023-06-14T17:10:09+00:00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SharedWithUsers xmlns="ed7dd8e5-4eb3-44b2-95e5-8ff76e681368">
      <UserInfo>
        <DisplayName>Mendelsohn, Mike</DisplayName>
        <AccountId>19</AccountId>
        <AccountType/>
      </UserInfo>
      <UserInfo>
        <DisplayName>Reynolds, Alan</DisplayName>
        <AccountId>30</AccountId>
        <AccountType/>
      </UserInfo>
      <UserInfo>
        <DisplayName>Le, Madison</DisplayName>
        <AccountId>66</AccountId>
        <AccountType/>
      </UserInfo>
      <UserInfo>
        <DisplayName>Huskey, Angela (she/her/hers)</DisplayName>
        <AccountId>39</AccountId>
        <AccountType/>
      </UserInfo>
      <UserInfo>
        <DisplayName>Wakefield, Benjamin J.</DisplayName>
        <AccountId>37</AccountId>
        <AccountType/>
      </UserInfo>
      <UserInfo>
        <DisplayName>Rebersak, Shannon (she/her/hers)</DisplayName>
        <AccountId>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B873B28-FEBE-4FC0-AE92-61CB6B805B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8D64FD-214B-42EC-93F5-02CB4BDD3B1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79EFBAD-6133-431E-ACD5-B9D8E685B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7A7148-A9FC-4715-AB13-1D0B9D65D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dbe56419-d50b-414a-b2f9-40973e02fd29"/>
    <ds:schemaRef ds:uri="ed7dd8e5-4eb3-44b2-95e5-8ff76e681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91713D-D732-40D1-A99E-EDD6C4733308}">
  <ds:schemaRefs>
    <ds:schemaRef ds:uri="http://purl.org/dc/elements/1.1/"/>
    <ds:schemaRef ds:uri="ed7dd8e5-4eb3-44b2-95e5-8ff76e681368"/>
    <ds:schemaRef ds:uri="http://schemas.microsoft.com/sharepoint.v3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purl.org/dc/dcmitype/"/>
    <ds:schemaRef ds:uri="dbe56419-d50b-414a-b2f9-40973e02fd29"/>
    <ds:schemaRef ds:uri="http://schemas.microsoft.com/sharepoint/v3/fields"/>
    <ds:schemaRef ds:uri="4ffa91fb-a0ff-4ac5-b2db-65c790d184a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Pierce, Amanda</dc:creator>
  <cp:keywords/>
  <dc:description/>
  <cp:lastModifiedBy>Pierce, Amanda</cp:lastModifiedBy>
  <cp:revision>4</cp:revision>
  <dcterms:created xsi:type="dcterms:W3CDTF">2023-07-14T13:02:00Z</dcterms:created>
  <dcterms:modified xsi:type="dcterms:W3CDTF">2023-07-14T13:07:00Z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0x010100598E210C2A32274E8239BAA0B65C2B15</vt:lpwstr>
  </property>
  <property fmtid="{D5CDD505-2E9C-101B-9397-08002B2CF9AE}" pid="3" name="TaxKeyword">
    <vt:lpwstr/>
  </property>
  <property fmtid="{D5CDD505-2E9C-101B-9397-08002B2CF9AE}" pid="4" name="e3f09c3df709400db2417a7161762d62">
    <vt:lpwstr/>
  </property>
  <property fmtid="{D5CDD505-2E9C-101B-9397-08002B2CF9AE}" pid="5" name="EPA_x0020_Subject">
    <vt:lpwstr/>
  </property>
  <property fmtid="{D5CDD505-2E9C-101B-9397-08002B2CF9AE}" pid="6" name="Document Type">
    <vt:lpwstr/>
  </property>
  <property fmtid="{D5CDD505-2E9C-101B-9397-08002B2CF9AE}" pid="7" name="EPA Subject">
    <vt:lpwstr/>
  </property>
</Properties>
</file>