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6946B" w14:textId="77777777" w:rsidR="00B732D8" w:rsidRPr="00A25F97" w:rsidRDefault="00124AB6" w:rsidP="00B732D8">
      <w:pPr>
        <w:jc w:val="center"/>
        <w:rPr>
          <w:rFonts w:cs="Open Sans"/>
          <w:b/>
          <w:sz w:val="36"/>
          <w:szCs w:val="36"/>
        </w:rPr>
      </w:pPr>
      <w:r>
        <w:rPr>
          <w:noProof/>
          <w14:ligatures w14:val="standardContextual"/>
        </w:rPr>
        <w:drawing>
          <wp:anchor distT="0" distB="0" distL="114300" distR="114300" simplePos="0" relativeHeight="251658240" behindDoc="0" locked="0" layoutInCell="1" allowOverlap="1" wp14:anchorId="54191B6D" wp14:editId="236873ED">
            <wp:simplePos x="0" y="0"/>
            <wp:positionH relativeFrom="margin">
              <wp:align>right</wp:align>
            </wp:positionH>
            <wp:positionV relativeFrom="paragraph">
              <wp:posOffset>0</wp:posOffset>
            </wp:positionV>
            <wp:extent cx="5942863" cy="2048256"/>
            <wp:effectExtent l="0" t="0" r="0" b="0"/>
            <wp:wrapTopAndBottom/>
            <wp:docPr id="1057946327"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946327" name="Picture 1"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2863" cy="2048256"/>
                    </a:xfrm>
                    <a:prstGeom prst="rect">
                      <a:avLst/>
                    </a:prstGeom>
                  </pic:spPr>
                </pic:pic>
              </a:graphicData>
            </a:graphic>
            <wp14:sizeRelV relativeFrom="margin">
              <wp14:pctHeight>0</wp14:pctHeight>
            </wp14:sizeRelV>
          </wp:anchor>
        </w:drawing>
      </w:r>
      <w:r w:rsidRPr="00A25F97">
        <w:rPr>
          <w:rFonts w:cs="Open Sans"/>
          <w:b/>
          <w:sz w:val="36"/>
          <w:szCs w:val="36"/>
        </w:rPr>
        <w:t>Bureau of Air Quality</w:t>
      </w:r>
    </w:p>
    <w:p w14:paraId="5E78C0C9" w14:textId="77777777" w:rsidR="00B732D8" w:rsidRPr="00A25F97" w:rsidRDefault="00124AB6" w:rsidP="00B732D8">
      <w:pPr>
        <w:jc w:val="center"/>
        <w:rPr>
          <w:rFonts w:cs="Open Sans"/>
          <w:b/>
          <w:sz w:val="36"/>
          <w:szCs w:val="36"/>
        </w:rPr>
      </w:pPr>
      <w:r w:rsidRPr="00A25F97">
        <w:rPr>
          <w:rFonts w:cs="Open Sans"/>
          <w:b/>
          <w:sz w:val="36"/>
          <w:szCs w:val="36"/>
        </w:rPr>
        <w:t>Title V Operating Permit</w:t>
      </w:r>
    </w:p>
    <w:p w14:paraId="5988B8DB" w14:textId="77777777" w:rsidR="00402777" w:rsidRPr="00402777" w:rsidRDefault="00402777" w:rsidP="00402777">
      <w:pPr>
        <w:rPr>
          <w:rFonts w:cs="Open Sans"/>
          <w:szCs w:val="20"/>
        </w:rPr>
      </w:pPr>
    </w:p>
    <w:p w14:paraId="6D28A197" w14:textId="77777777" w:rsidR="00402777" w:rsidRPr="00402777" w:rsidRDefault="00124AB6" w:rsidP="00402777">
      <w:pPr>
        <w:jc w:val="center"/>
        <w:rPr>
          <w:rFonts w:cs="Open Sans"/>
          <w:b/>
          <w:bCs/>
          <w:szCs w:val="20"/>
        </w:rPr>
      </w:pPr>
      <w:r w:rsidRPr="00402777">
        <w:rPr>
          <w:rFonts w:cs="Open Sans"/>
          <w:b/>
          <w:bCs/>
          <w:szCs w:val="20"/>
        </w:rPr>
        <w:t>BASF Chemical Corporation White Stone Site</w:t>
      </w:r>
    </w:p>
    <w:p w14:paraId="4ACC1D9C" w14:textId="77777777" w:rsidR="00402777" w:rsidRPr="00402777" w:rsidRDefault="00124AB6" w:rsidP="00402777">
      <w:pPr>
        <w:jc w:val="center"/>
        <w:rPr>
          <w:rFonts w:cs="Open Sans"/>
          <w:b/>
          <w:szCs w:val="20"/>
        </w:rPr>
      </w:pPr>
      <w:r w:rsidRPr="00402777">
        <w:rPr>
          <w:rFonts w:cs="Open Sans"/>
          <w:b/>
          <w:szCs w:val="20"/>
        </w:rPr>
        <w:t>3455 Southport Road</w:t>
      </w:r>
    </w:p>
    <w:p w14:paraId="1398B7FA" w14:textId="77777777" w:rsidR="00402777" w:rsidRPr="00402777" w:rsidRDefault="00124AB6" w:rsidP="00402777">
      <w:pPr>
        <w:jc w:val="center"/>
        <w:rPr>
          <w:rFonts w:cs="Open Sans"/>
          <w:b/>
          <w:szCs w:val="20"/>
        </w:rPr>
      </w:pPr>
      <w:r w:rsidRPr="00402777">
        <w:rPr>
          <w:rFonts w:cs="Open Sans"/>
          <w:b/>
          <w:szCs w:val="20"/>
        </w:rPr>
        <w:t>Spartanburg, South Carolina 29302</w:t>
      </w:r>
    </w:p>
    <w:p w14:paraId="64D69E2D" w14:textId="77777777" w:rsidR="00402777" w:rsidRPr="00402777" w:rsidRDefault="00124AB6" w:rsidP="00402777">
      <w:pPr>
        <w:jc w:val="center"/>
        <w:rPr>
          <w:rFonts w:cs="Open Sans"/>
          <w:szCs w:val="20"/>
        </w:rPr>
      </w:pPr>
      <w:r w:rsidRPr="00402777">
        <w:rPr>
          <w:rFonts w:cs="Open Sans"/>
          <w:b/>
          <w:szCs w:val="20"/>
        </w:rPr>
        <w:t>Spartanburg County</w:t>
      </w:r>
    </w:p>
    <w:p w14:paraId="187F1292" w14:textId="77777777" w:rsidR="00402777" w:rsidRPr="002022FA" w:rsidRDefault="00402777" w:rsidP="00402777">
      <w:pPr>
        <w:rPr>
          <w:rFonts w:cs="Open Sans"/>
          <w:szCs w:val="20"/>
        </w:rPr>
      </w:pPr>
    </w:p>
    <w:p w14:paraId="5DF825EE" w14:textId="77777777" w:rsidR="00F244AE" w:rsidRDefault="00124AB6" w:rsidP="00F244AE">
      <w:pPr>
        <w:rPr>
          <w:rFonts w:cs="Open Sans"/>
          <w:szCs w:val="20"/>
        </w:rPr>
      </w:pPr>
      <w:r>
        <w:rPr>
          <w:rFonts w:cs="Open Sans"/>
          <w:szCs w:val="20"/>
        </w:rPr>
        <w:t>In accordance with the provisions of the Pollution Control Act, Sections 48-1-50(5), 48-1-100(A), and 48-1-110(a), the 1976 Code of Laws of South Carolina, as amended, and South Carolina Regulation 61-62, Air Pollution Control Regulations and Standards, the Bureau of Air Quality authorizes the operation of this facility and the equipment specified herein in accordance with valid construction permits, and the plans, specifications, and other information submitted in the Title V permit application received on  October 16, 2023, as amended. All official correspondence, plans, permit applications, and written statements are an integral part of the permit. Any false information or misrepresentation in the application for a construction permit may be grounds for permit revocation.</w:t>
      </w:r>
    </w:p>
    <w:p w14:paraId="13D412D3" w14:textId="77777777" w:rsidR="00F244AE" w:rsidRDefault="00F244AE" w:rsidP="00F244AE">
      <w:pPr>
        <w:rPr>
          <w:rFonts w:cs="Open Sans"/>
          <w:szCs w:val="20"/>
        </w:rPr>
      </w:pPr>
    </w:p>
    <w:p w14:paraId="49E2E9B1" w14:textId="77777777" w:rsidR="00F244AE" w:rsidRDefault="00124AB6" w:rsidP="00F244AE">
      <w:pPr>
        <w:rPr>
          <w:rFonts w:cs="Open Sans"/>
          <w:szCs w:val="20"/>
        </w:rPr>
      </w:pPr>
      <w:r>
        <w:rPr>
          <w:rFonts w:cs="Open Sans"/>
          <w:szCs w:val="20"/>
        </w:rPr>
        <w:t>The operation of this facility is subject to and conditioned upon the terms, limitations, standards, and schedules contained herein or as specified by this permit and its accompanying attachments.</w:t>
      </w:r>
    </w:p>
    <w:p w14:paraId="212BF841" w14:textId="77777777" w:rsidR="00B732D8" w:rsidRPr="002022FA" w:rsidRDefault="00B732D8" w:rsidP="00B732D8">
      <w:pPr>
        <w:rPr>
          <w:rFonts w:cs="Open Sans"/>
          <w:szCs w:val="20"/>
        </w:rPr>
      </w:pPr>
    </w:p>
    <w:p w14:paraId="2EDF9DFF" w14:textId="77777777" w:rsidR="00B732D8" w:rsidRDefault="00124AB6" w:rsidP="00267B27">
      <w:pPr>
        <w:tabs>
          <w:tab w:val="left" w:pos="2880"/>
          <w:tab w:val="left" w:pos="5040"/>
        </w:tabs>
        <w:jc w:val="left"/>
        <w:rPr>
          <w:rFonts w:cs="Open Sans"/>
          <w:b/>
          <w:szCs w:val="20"/>
        </w:rPr>
      </w:pPr>
      <w:r>
        <w:rPr>
          <w:rFonts w:cs="Open Sans"/>
          <w:b/>
          <w:szCs w:val="20"/>
        </w:rPr>
        <w:tab/>
      </w:r>
      <w:r w:rsidRPr="002022FA">
        <w:rPr>
          <w:rFonts w:cs="Open Sans"/>
          <w:b/>
          <w:szCs w:val="20"/>
        </w:rPr>
        <w:t>Permit Number:</w:t>
      </w:r>
      <w:r w:rsidRPr="002022FA">
        <w:rPr>
          <w:rFonts w:cs="Open Sans"/>
          <w:b/>
          <w:szCs w:val="20"/>
        </w:rPr>
        <w:tab/>
      </w:r>
      <w:r w:rsidR="004672FB" w:rsidRPr="002022FA">
        <w:rPr>
          <w:rFonts w:cs="Open Sans"/>
          <w:b/>
          <w:szCs w:val="20"/>
        </w:rPr>
        <w:t>TV-2060-0068 v1.2</w:t>
      </w:r>
    </w:p>
    <w:p w14:paraId="53BD04F2" w14:textId="77777777" w:rsidR="002C57B4" w:rsidRPr="002022FA" w:rsidRDefault="00124AB6" w:rsidP="00267B27">
      <w:pPr>
        <w:tabs>
          <w:tab w:val="left" w:pos="2880"/>
          <w:tab w:val="left" w:pos="5040"/>
        </w:tabs>
        <w:jc w:val="left"/>
        <w:rPr>
          <w:rFonts w:cs="Open Sans"/>
          <w:b/>
          <w:szCs w:val="20"/>
        </w:rPr>
      </w:pPr>
      <w:r>
        <w:rPr>
          <w:rFonts w:cs="Open Sans"/>
          <w:b/>
          <w:szCs w:val="20"/>
        </w:rPr>
        <w:tab/>
      </w:r>
      <w:r>
        <w:rPr>
          <w:b/>
          <w:szCs w:val="20"/>
        </w:rPr>
        <w:t>Agency Air Number:</w:t>
      </w:r>
      <w:r>
        <w:rPr>
          <w:b/>
          <w:szCs w:val="20"/>
        </w:rPr>
        <w:tab/>
      </w:r>
      <w:r w:rsidR="005801A4" w:rsidRPr="005801A4">
        <w:rPr>
          <w:b/>
          <w:szCs w:val="20"/>
        </w:rPr>
        <w:t>2060-0068</w:t>
      </w:r>
    </w:p>
    <w:p w14:paraId="1573926E" w14:textId="77777777" w:rsidR="00A25F97" w:rsidRPr="00402777" w:rsidRDefault="00A25F97" w:rsidP="00A25F97">
      <w:pPr>
        <w:rPr>
          <w:rFonts w:cs="Open Sans"/>
          <w:szCs w:val="20"/>
        </w:rPr>
      </w:pPr>
    </w:p>
    <w:p w14:paraId="0DC549A0" w14:textId="77777777" w:rsidR="00124AB6" w:rsidRPr="00402777" w:rsidRDefault="00124AB6" w:rsidP="00124AB6">
      <w:pPr>
        <w:tabs>
          <w:tab w:val="left" w:pos="2880"/>
          <w:tab w:val="left" w:pos="5040"/>
        </w:tabs>
        <w:rPr>
          <w:rFonts w:cs="Open Sans"/>
          <w:b/>
          <w:szCs w:val="20"/>
        </w:rPr>
      </w:pPr>
      <w:r>
        <w:rPr>
          <w:rFonts w:cs="Open Sans"/>
          <w:b/>
          <w:szCs w:val="20"/>
        </w:rPr>
        <w:tab/>
      </w:r>
      <w:r w:rsidRPr="00402777">
        <w:rPr>
          <w:rFonts w:cs="Open Sans"/>
          <w:b/>
          <w:szCs w:val="20"/>
        </w:rPr>
        <w:t>Issue Date:</w:t>
      </w:r>
      <w:r w:rsidRPr="00402777">
        <w:rPr>
          <w:rFonts w:cs="Open Sans"/>
          <w:b/>
          <w:szCs w:val="20"/>
        </w:rPr>
        <w:tab/>
      </w:r>
      <w:sdt>
        <w:sdtPr>
          <w:rPr>
            <w:b/>
          </w:rPr>
          <w:id w:val="799573816"/>
          <w:placeholder>
            <w:docPart w:val="2203FAE8948F4A65ACC9F438241A60EF"/>
          </w:placeholder>
          <w:date w:fullDate="2021-12-06T00:00:00Z">
            <w:dateFormat w:val="MMMM d, yyyy"/>
            <w:lid w:val="en-US"/>
            <w:storeMappedDataAs w:val="dateTime"/>
            <w:calendar w:val="gregorian"/>
          </w:date>
        </w:sdtPr>
        <w:sdtEndPr/>
        <w:sdtContent>
          <w:r>
            <w:rPr>
              <w:b/>
            </w:rPr>
            <w:t>December 6, 2021</w:t>
          </w:r>
        </w:sdtContent>
      </w:sdt>
    </w:p>
    <w:p w14:paraId="64A6336C" w14:textId="77777777" w:rsidR="00124AB6" w:rsidRPr="00402777" w:rsidRDefault="00124AB6" w:rsidP="00124AB6">
      <w:pPr>
        <w:tabs>
          <w:tab w:val="left" w:pos="2880"/>
          <w:tab w:val="left" w:pos="5040"/>
        </w:tabs>
        <w:rPr>
          <w:rFonts w:cs="Open Sans"/>
          <w:szCs w:val="20"/>
        </w:rPr>
      </w:pPr>
      <w:r>
        <w:rPr>
          <w:rFonts w:cs="Open Sans"/>
          <w:b/>
          <w:szCs w:val="20"/>
        </w:rPr>
        <w:tab/>
      </w:r>
      <w:r w:rsidRPr="00402777">
        <w:rPr>
          <w:rFonts w:cs="Open Sans"/>
          <w:b/>
          <w:szCs w:val="20"/>
        </w:rPr>
        <w:t>Effective Date:</w:t>
      </w:r>
      <w:r w:rsidRPr="00402777">
        <w:rPr>
          <w:rFonts w:cs="Open Sans"/>
          <w:b/>
          <w:szCs w:val="20"/>
        </w:rPr>
        <w:tab/>
      </w:r>
      <w:r>
        <w:rPr>
          <w:b/>
        </w:rPr>
        <w:t>January 1, 2022</w:t>
      </w:r>
    </w:p>
    <w:p w14:paraId="570FAE32" w14:textId="77777777" w:rsidR="00124AB6" w:rsidRPr="00402777" w:rsidRDefault="00124AB6" w:rsidP="00124AB6">
      <w:pPr>
        <w:tabs>
          <w:tab w:val="left" w:pos="2880"/>
          <w:tab w:val="left" w:pos="5040"/>
        </w:tabs>
        <w:rPr>
          <w:rFonts w:cs="Open Sans"/>
          <w:b/>
          <w:szCs w:val="20"/>
        </w:rPr>
      </w:pPr>
      <w:r>
        <w:rPr>
          <w:rFonts w:cs="Open Sans"/>
          <w:b/>
          <w:szCs w:val="20"/>
        </w:rPr>
        <w:tab/>
      </w:r>
      <w:r w:rsidRPr="00402777">
        <w:rPr>
          <w:rFonts w:cs="Open Sans"/>
          <w:b/>
          <w:szCs w:val="20"/>
        </w:rPr>
        <w:t>Expiration Date:</w:t>
      </w:r>
      <w:r w:rsidRPr="00402777">
        <w:rPr>
          <w:rFonts w:cs="Open Sans"/>
          <w:b/>
          <w:szCs w:val="20"/>
        </w:rPr>
        <w:tab/>
      </w:r>
      <w:r>
        <w:rPr>
          <w:b/>
        </w:rPr>
        <w:t>December 31, 2026</w:t>
      </w:r>
    </w:p>
    <w:p w14:paraId="0F9A8697" w14:textId="77777777" w:rsidR="00A25F97" w:rsidRPr="00402777" w:rsidRDefault="00A25F97" w:rsidP="00124AB6">
      <w:pPr>
        <w:tabs>
          <w:tab w:val="left" w:pos="2880"/>
          <w:tab w:val="left" w:pos="5040"/>
        </w:tabs>
        <w:rPr>
          <w:rFonts w:cs="Open Sans"/>
          <w:b/>
          <w:szCs w:val="20"/>
        </w:rPr>
      </w:pPr>
    </w:p>
    <w:p w14:paraId="3629FAD7" w14:textId="77777777" w:rsidR="00A25F97" w:rsidRPr="00402777" w:rsidRDefault="00A25F97" w:rsidP="00A25F97">
      <w:pPr>
        <w:rPr>
          <w:rFonts w:cs="Open Sans"/>
          <w:szCs w:val="20"/>
        </w:rPr>
      </w:pPr>
    </w:p>
    <w:tbl>
      <w:tblPr>
        <w:tblStyle w:val="TableGrid"/>
        <w:tblpPr w:leftFromText="187" w:rightFromText="187" w:vertAnchor="page" w:horzAnchor="page" w:tblpXSpec="center" w:tblpY="12788"/>
        <w:tblOverlap w:val="never"/>
        <w:tblW w:w="0" w:type="auto"/>
        <w:jc w:val="lef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00"/>
      </w:tblGrid>
      <w:tr w:rsidR="00D54368" w14:paraId="3372C58C" w14:textId="77777777" w:rsidTr="001C2177">
        <w:trPr>
          <w:trHeight w:val="720"/>
          <w:jc w:val="left"/>
        </w:trPr>
        <w:tc>
          <w:tcPr>
            <w:tcW w:w="3600" w:type="dxa"/>
          </w:tcPr>
          <w:p w14:paraId="0388D57D" w14:textId="77777777" w:rsidR="00B732D8" w:rsidRPr="00402777" w:rsidRDefault="00B732D8" w:rsidP="001C2177">
            <w:pPr>
              <w:jc w:val="center"/>
              <w:rPr>
                <w:rFonts w:cs="Open Sans"/>
                <w:szCs w:val="20"/>
              </w:rPr>
            </w:pPr>
          </w:p>
        </w:tc>
      </w:tr>
      <w:tr w:rsidR="00D54368" w14:paraId="75E04319" w14:textId="77777777" w:rsidTr="001C2177">
        <w:trPr>
          <w:jc w:val="left"/>
        </w:trPr>
        <w:tc>
          <w:tcPr>
            <w:tcW w:w="3600" w:type="dxa"/>
          </w:tcPr>
          <w:p w14:paraId="55115AFC" w14:textId="77777777" w:rsidR="00B732D8" w:rsidRPr="00402777" w:rsidRDefault="00124AB6" w:rsidP="001C2177">
            <w:pPr>
              <w:jc w:val="center"/>
              <w:rPr>
                <w:rFonts w:cs="Open Sans"/>
                <w:b/>
                <w:szCs w:val="20"/>
              </w:rPr>
            </w:pPr>
            <w:r w:rsidRPr="00402777">
              <w:rPr>
                <w:rFonts w:cs="Open Sans"/>
                <w:b/>
                <w:szCs w:val="20"/>
              </w:rPr>
              <w:t>Steve McCaslin, P. E., Director</w:t>
            </w:r>
          </w:p>
          <w:p w14:paraId="15DC4832" w14:textId="77777777" w:rsidR="00B732D8" w:rsidRPr="00402777" w:rsidRDefault="00124AB6" w:rsidP="001C2177">
            <w:pPr>
              <w:jc w:val="center"/>
              <w:rPr>
                <w:rFonts w:cs="Open Sans"/>
                <w:b/>
                <w:szCs w:val="20"/>
              </w:rPr>
            </w:pPr>
            <w:r w:rsidRPr="00402777">
              <w:rPr>
                <w:rFonts w:cs="Open Sans"/>
                <w:b/>
                <w:szCs w:val="20"/>
              </w:rPr>
              <w:t>Air Permitting Division</w:t>
            </w:r>
          </w:p>
          <w:p w14:paraId="3ECA670D" w14:textId="77777777" w:rsidR="00B732D8" w:rsidRPr="00402777" w:rsidRDefault="00124AB6" w:rsidP="001C2177">
            <w:pPr>
              <w:jc w:val="center"/>
              <w:rPr>
                <w:rFonts w:cs="Open Sans"/>
                <w:szCs w:val="20"/>
              </w:rPr>
            </w:pPr>
            <w:r w:rsidRPr="00402777">
              <w:rPr>
                <w:rFonts w:cs="Open Sans"/>
                <w:b/>
                <w:szCs w:val="20"/>
              </w:rPr>
              <w:t>Bureau of Air Quality</w:t>
            </w:r>
          </w:p>
        </w:tc>
      </w:tr>
    </w:tbl>
    <w:p w14:paraId="377B0D12" w14:textId="77777777" w:rsidR="00B732D8" w:rsidRPr="00402777" w:rsidRDefault="00124AB6" w:rsidP="00B732D8">
      <w:pPr>
        <w:autoSpaceDE/>
        <w:autoSpaceDN/>
        <w:adjustRightInd/>
        <w:spacing w:after="160" w:line="259" w:lineRule="auto"/>
        <w:rPr>
          <w:rFonts w:cs="Open Sans"/>
          <w:sz w:val="4"/>
          <w:szCs w:val="4"/>
        </w:rPr>
      </w:pPr>
      <w:r w:rsidRPr="00402777">
        <w:rPr>
          <w:rFonts w:cs="Open Sans"/>
          <w:sz w:val="4"/>
          <w:szCs w:val="4"/>
        </w:rPr>
        <w:br w:type="page"/>
      </w:r>
    </w:p>
    <w:tbl>
      <w:tblPr>
        <w:tblStyle w:val="TableGrid"/>
        <w:tblW w:w="10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68"/>
        <w:gridCol w:w="967"/>
        <w:gridCol w:w="8465"/>
      </w:tblGrid>
      <w:tr w:rsidR="00D54368" w14:paraId="497E2A16" w14:textId="77777777" w:rsidTr="00220AED">
        <w:trPr>
          <w:cantSplit w:val="0"/>
          <w:tblHeader/>
        </w:trPr>
        <w:tc>
          <w:tcPr>
            <w:tcW w:w="10800" w:type="dxa"/>
            <w:gridSpan w:val="3"/>
            <w:tcBorders>
              <w:top w:val="single" w:sz="2" w:space="0" w:color="auto"/>
              <w:left w:val="single" w:sz="2" w:space="0" w:color="auto"/>
              <w:bottom w:val="single" w:sz="2" w:space="0" w:color="auto"/>
              <w:right w:val="single" w:sz="2" w:space="0" w:color="auto"/>
            </w:tcBorders>
          </w:tcPr>
          <w:p w14:paraId="06B1301A" w14:textId="77777777" w:rsidR="00F244AE" w:rsidRDefault="00124AB6">
            <w:pPr>
              <w:jc w:val="left"/>
              <w:rPr>
                <w:rFonts w:cs="Open Sans"/>
                <w:b/>
                <w:szCs w:val="20"/>
              </w:rPr>
            </w:pPr>
            <w:r>
              <w:rPr>
                <w:rFonts w:cs="Open Sans"/>
                <w:b/>
                <w:szCs w:val="20"/>
              </w:rPr>
              <w:t>RECORD OF REVISIONS</w:t>
            </w:r>
          </w:p>
          <w:p w14:paraId="568F10A3" w14:textId="77777777" w:rsidR="00F244AE" w:rsidRDefault="00F244AE">
            <w:pPr>
              <w:jc w:val="left"/>
              <w:rPr>
                <w:rFonts w:cs="Open Sans"/>
                <w:b/>
                <w:szCs w:val="20"/>
              </w:rPr>
            </w:pPr>
          </w:p>
        </w:tc>
      </w:tr>
      <w:tr w:rsidR="00D54368" w14:paraId="27E172DB" w14:textId="77777777" w:rsidTr="00220AED">
        <w:trPr>
          <w:cantSplit w:val="0"/>
          <w:tblHeader/>
        </w:trPr>
        <w:tc>
          <w:tcPr>
            <w:tcW w:w="1368"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082164EA" w14:textId="77777777" w:rsidR="00F244AE" w:rsidRDefault="00124AB6">
            <w:pPr>
              <w:jc w:val="center"/>
              <w:rPr>
                <w:rFonts w:cs="Open Sans"/>
                <w:b/>
                <w:szCs w:val="20"/>
              </w:rPr>
            </w:pPr>
            <w:r>
              <w:rPr>
                <w:rFonts w:cs="Open Sans"/>
                <w:b/>
                <w:szCs w:val="20"/>
              </w:rPr>
              <w:t>Date</w:t>
            </w:r>
          </w:p>
        </w:tc>
        <w:tc>
          <w:tcPr>
            <w:tcW w:w="967"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04290D19" w14:textId="77777777" w:rsidR="00F244AE" w:rsidRDefault="00124AB6">
            <w:pPr>
              <w:jc w:val="center"/>
              <w:rPr>
                <w:rFonts w:cs="Open Sans"/>
                <w:b/>
                <w:szCs w:val="20"/>
              </w:rPr>
            </w:pPr>
            <w:r>
              <w:rPr>
                <w:rFonts w:cs="Open Sans"/>
                <w:b/>
                <w:szCs w:val="20"/>
              </w:rPr>
              <w:t>Type</w:t>
            </w:r>
          </w:p>
        </w:tc>
        <w:tc>
          <w:tcPr>
            <w:tcW w:w="8465"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35E83261" w14:textId="77777777" w:rsidR="00F244AE" w:rsidRDefault="00124AB6">
            <w:pPr>
              <w:jc w:val="center"/>
              <w:rPr>
                <w:rFonts w:cs="Open Sans"/>
                <w:b/>
                <w:szCs w:val="20"/>
              </w:rPr>
            </w:pPr>
            <w:r>
              <w:rPr>
                <w:rFonts w:cs="Open Sans"/>
                <w:b/>
                <w:szCs w:val="20"/>
              </w:rPr>
              <w:t>Description of Changes</w:t>
            </w:r>
          </w:p>
        </w:tc>
      </w:tr>
      <w:tr w:rsidR="00124AB6" w14:paraId="6BD514E0"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8" w:type="dxa"/>
          </w:tcPr>
          <w:p w14:paraId="0EFFF734" w14:textId="77777777" w:rsidR="00124AB6" w:rsidRDefault="00124AB6" w:rsidP="004E3BFD">
            <w:pPr>
              <w:jc w:val="center"/>
            </w:pPr>
            <w:r>
              <w:t>02-02-2022</w:t>
            </w:r>
          </w:p>
        </w:tc>
        <w:tc>
          <w:tcPr>
            <w:tcW w:w="967" w:type="dxa"/>
          </w:tcPr>
          <w:p w14:paraId="0CBB4FD9" w14:textId="77777777" w:rsidR="00124AB6" w:rsidRDefault="00124AB6" w:rsidP="004E3BFD">
            <w:pPr>
              <w:jc w:val="center"/>
            </w:pPr>
            <w:r>
              <w:t>AA</w:t>
            </w:r>
          </w:p>
        </w:tc>
        <w:tc>
          <w:tcPr>
            <w:tcW w:w="8465" w:type="dxa"/>
          </w:tcPr>
          <w:p w14:paraId="08F2F607" w14:textId="77777777" w:rsidR="00124AB6" w:rsidRDefault="00124AB6" w:rsidP="004E3BFD">
            <w:r>
              <w:t xml:space="preserve">Changed the incorrect </w:t>
            </w:r>
            <w:r w:rsidRPr="00B904BD">
              <w:rPr>
                <w:bCs/>
              </w:rPr>
              <w:t>NESHAP Periodic Reporting Schedule Summary</w:t>
            </w:r>
            <w:r>
              <w:rPr>
                <w:bCs/>
              </w:rPr>
              <w:t xml:space="preserve"> Reporting Period for 40CFR63 to VVVVVV of “</w:t>
            </w:r>
            <w:r>
              <w:rPr>
                <w:bCs/>
                <w:szCs w:val="18"/>
              </w:rPr>
              <w:t xml:space="preserve">March 21 through October 20 and October 21 through March 20” to the correct “January 1 through June 30 and </w:t>
            </w:r>
            <w:r>
              <w:rPr>
                <w:szCs w:val="18"/>
              </w:rPr>
              <w:t>July 1 through December 31”</w:t>
            </w:r>
          </w:p>
        </w:tc>
      </w:tr>
      <w:tr w:rsidR="00124AB6" w14:paraId="4E94B54E"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8" w:type="dxa"/>
          </w:tcPr>
          <w:p w14:paraId="688EC744" w14:textId="77777777" w:rsidR="00124AB6" w:rsidRDefault="00124AB6" w:rsidP="004E3BFD">
            <w:pPr>
              <w:jc w:val="center"/>
            </w:pPr>
            <w:r>
              <w:t>09-27-2022</w:t>
            </w:r>
          </w:p>
        </w:tc>
        <w:tc>
          <w:tcPr>
            <w:tcW w:w="967" w:type="dxa"/>
          </w:tcPr>
          <w:p w14:paraId="487F5923" w14:textId="77777777" w:rsidR="00124AB6" w:rsidRDefault="00124AB6" w:rsidP="004E3BFD">
            <w:pPr>
              <w:jc w:val="center"/>
            </w:pPr>
            <w:r>
              <w:t>MM</w:t>
            </w:r>
          </w:p>
        </w:tc>
        <w:tc>
          <w:tcPr>
            <w:tcW w:w="8465" w:type="dxa"/>
          </w:tcPr>
          <w:p w14:paraId="588B80F6" w14:textId="77777777" w:rsidR="00124AB6" w:rsidRDefault="00124AB6" w:rsidP="004E3BFD">
            <w:pPr>
              <w:rPr>
                <w:rFonts w:cs="Open Sans"/>
              </w:rPr>
            </w:pPr>
            <w:r>
              <w:rPr>
                <w:rFonts w:cs="Open Sans"/>
              </w:rPr>
              <w:t>Incorporated the requirements of Construction Permit 2060-0068-CZ as follows:</w:t>
            </w:r>
          </w:p>
          <w:p w14:paraId="7ADF30C2" w14:textId="77777777" w:rsidR="00124AB6" w:rsidRDefault="00124AB6" w:rsidP="004E3BFD">
            <w:pPr>
              <w:rPr>
                <w:rFonts w:cs="Open Sans"/>
              </w:rPr>
            </w:pPr>
          </w:p>
          <w:p w14:paraId="5F5E890C" w14:textId="77777777" w:rsidR="00124AB6" w:rsidRDefault="00124AB6" w:rsidP="004E3BFD">
            <w:pPr>
              <w:pStyle w:val="ListParagraph"/>
              <w:numPr>
                <w:ilvl w:val="0"/>
                <w:numId w:val="21"/>
              </w:numPr>
              <w:spacing w:before="0" w:after="0"/>
              <w:contextualSpacing/>
            </w:pPr>
            <w:r w:rsidRPr="00C7701E">
              <w:t xml:space="preserve">Permit template and conditions updated to most current </w:t>
            </w:r>
            <w:proofErr w:type="gramStart"/>
            <w:r w:rsidRPr="00C7701E">
              <w:t>template</w:t>
            </w:r>
            <w:proofErr w:type="gramEnd"/>
          </w:p>
          <w:p w14:paraId="48BC73E4" w14:textId="77777777" w:rsidR="00124AB6" w:rsidRPr="00C7701E" w:rsidRDefault="00124AB6" w:rsidP="004E3BFD">
            <w:pPr>
              <w:ind w:left="360"/>
              <w:rPr>
                <w:rFonts w:cs="Open Sans"/>
                <w:szCs w:val="20"/>
              </w:rPr>
            </w:pPr>
          </w:p>
          <w:p w14:paraId="00B6C634" w14:textId="77777777" w:rsidR="00124AB6" w:rsidRDefault="00124AB6" w:rsidP="004E3BFD">
            <w:pPr>
              <w:pStyle w:val="NormalWeb"/>
              <w:numPr>
                <w:ilvl w:val="0"/>
                <w:numId w:val="21"/>
              </w:numPr>
              <w:spacing w:before="0" w:beforeAutospacing="0" w:after="0" w:afterAutospacing="0"/>
              <w:jc w:val="both"/>
              <w:rPr>
                <w:rFonts w:ascii="Open Sans" w:hAnsi="Open Sans" w:cs="Open Sans"/>
                <w:sz w:val="20"/>
                <w:szCs w:val="20"/>
              </w:rPr>
            </w:pPr>
            <w:r>
              <w:rPr>
                <w:rFonts w:ascii="Open Sans" w:hAnsi="Open Sans" w:cs="Open Sans"/>
                <w:sz w:val="20"/>
                <w:szCs w:val="20"/>
              </w:rPr>
              <w:t>Changed</w:t>
            </w:r>
            <w:r w:rsidRPr="00C7701E">
              <w:rPr>
                <w:rFonts w:ascii="Open Sans" w:hAnsi="Open Sans" w:cs="Open Sans"/>
                <w:sz w:val="20"/>
                <w:szCs w:val="20"/>
              </w:rPr>
              <w:t xml:space="preserve"> </w:t>
            </w:r>
            <w:r>
              <w:rPr>
                <w:rFonts w:ascii="Open Sans" w:hAnsi="Open Sans" w:cs="Open Sans"/>
                <w:sz w:val="20"/>
                <w:szCs w:val="20"/>
              </w:rPr>
              <w:t xml:space="preserve">the installation date of R-8 in Table B.4 from “1981” to “2022” as the existing reactor was replaced with a new </w:t>
            </w:r>
            <w:proofErr w:type="gramStart"/>
            <w:r>
              <w:rPr>
                <w:rFonts w:ascii="Open Sans" w:hAnsi="Open Sans" w:cs="Open Sans"/>
                <w:sz w:val="20"/>
                <w:szCs w:val="20"/>
              </w:rPr>
              <w:t>reactor</w:t>
            </w:r>
            <w:proofErr w:type="gramEnd"/>
          </w:p>
          <w:p w14:paraId="7EDE5A3B" w14:textId="77777777" w:rsidR="00124AB6" w:rsidRDefault="00124AB6" w:rsidP="004E3BFD">
            <w:pPr>
              <w:pStyle w:val="NormalWeb"/>
              <w:spacing w:before="0" w:beforeAutospacing="0" w:after="0" w:afterAutospacing="0"/>
              <w:jc w:val="both"/>
              <w:rPr>
                <w:rFonts w:ascii="Open Sans" w:hAnsi="Open Sans" w:cs="Open Sans"/>
                <w:sz w:val="20"/>
                <w:szCs w:val="20"/>
              </w:rPr>
            </w:pPr>
          </w:p>
          <w:p w14:paraId="3338831F" w14:textId="77777777" w:rsidR="00124AB6" w:rsidRDefault="00124AB6" w:rsidP="004E3BFD">
            <w:pPr>
              <w:pStyle w:val="NormalWeb"/>
              <w:numPr>
                <w:ilvl w:val="0"/>
                <w:numId w:val="21"/>
              </w:numPr>
              <w:spacing w:before="0" w:beforeAutospacing="0" w:after="0" w:afterAutospacing="0"/>
              <w:jc w:val="both"/>
              <w:rPr>
                <w:rFonts w:ascii="Open Sans" w:hAnsi="Open Sans" w:cs="Open Sans"/>
                <w:sz w:val="20"/>
                <w:szCs w:val="20"/>
              </w:rPr>
            </w:pPr>
            <w:r>
              <w:rPr>
                <w:rFonts w:ascii="Open Sans" w:hAnsi="Open Sans" w:cs="Open Sans"/>
                <w:sz w:val="20"/>
                <w:szCs w:val="20"/>
              </w:rPr>
              <w:t>Removed R-8 and Emission Unit 07 from Condition C.7 and added R-8 to Condition C.6</w:t>
            </w:r>
          </w:p>
          <w:p w14:paraId="1A0AFAAE" w14:textId="77777777" w:rsidR="00124AB6" w:rsidRPr="00310254" w:rsidRDefault="00124AB6" w:rsidP="004E3BFD">
            <w:pPr>
              <w:pStyle w:val="NormalWeb"/>
              <w:spacing w:before="0" w:beforeAutospacing="0" w:after="0" w:afterAutospacing="0"/>
              <w:ind w:left="360"/>
            </w:pPr>
          </w:p>
          <w:p w14:paraId="323FA474" w14:textId="77777777" w:rsidR="00124AB6" w:rsidRDefault="00124AB6" w:rsidP="004E3BFD">
            <w:pPr>
              <w:pStyle w:val="NormalWeb"/>
              <w:numPr>
                <w:ilvl w:val="0"/>
                <w:numId w:val="21"/>
              </w:numPr>
              <w:spacing w:before="0" w:beforeAutospacing="0" w:after="0" w:afterAutospacing="0"/>
            </w:pPr>
            <w:r>
              <w:rPr>
                <w:rFonts w:ascii="Open Sans" w:hAnsi="Open Sans" w:cs="Open Sans"/>
                <w:sz w:val="20"/>
                <w:szCs w:val="20"/>
              </w:rPr>
              <w:t xml:space="preserve">Added new Condition C.17 for 40CFR60 Subpart </w:t>
            </w:r>
            <w:proofErr w:type="spellStart"/>
            <w:r>
              <w:rPr>
                <w:rFonts w:ascii="Open Sans" w:hAnsi="Open Sans" w:cs="Open Sans"/>
                <w:sz w:val="20"/>
                <w:szCs w:val="20"/>
              </w:rPr>
              <w:t>VVa</w:t>
            </w:r>
            <w:proofErr w:type="spellEnd"/>
            <w:r>
              <w:rPr>
                <w:rFonts w:ascii="Open Sans" w:hAnsi="Open Sans" w:cs="Open Sans"/>
                <w:sz w:val="20"/>
                <w:szCs w:val="20"/>
              </w:rPr>
              <w:t xml:space="preserve"> requirements</w:t>
            </w:r>
          </w:p>
        </w:tc>
      </w:tr>
      <w:tr w:rsidR="00124AB6" w14:paraId="603E3164"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8" w:type="dxa"/>
          </w:tcPr>
          <w:p w14:paraId="39FC4FE5" w14:textId="77777777" w:rsidR="00124AB6" w:rsidRDefault="00124AB6" w:rsidP="004E3BFD">
            <w:pPr>
              <w:jc w:val="center"/>
            </w:pPr>
            <w:r>
              <w:t>05-22-2023</w:t>
            </w:r>
          </w:p>
        </w:tc>
        <w:tc>
          <w:tcPr>
            <w:tcW w:w="967" w:type="dxa"/>
          </w:tcPr>
          <w:p w14:paraId="1F91E6E0" w14:textId="77777777" w:rsidR="00124AB6" w:rsidRDefault="00124AB6" w:rsidP="004E3BFD">
            <w:pPr>
              <w:jc w:val="center"/>
            </w:pPr>
            <w:r>
              <w:t>MM</w:t>
            </w:r>
          </w:p>
        </w:tc>
        <w:tc>
          <w:tcPr>
            <w:tcW w:w="8465" w:type="dxa"/>
          </w:tcPr>
          <w:p w14:paraId="3B52DB51" w14:textId="77777777" w:rsidR="00124AB6" w:rsidRDefault="00124AB6" w:rsidP="004E3BFD">
            <w:pPr>
              <w:rPr>
                <w:rFonts w:cs="Open Sans"/>
              </w:rPr>
            </w:pPr>
            <w:r>
              <w:rPr>
                <w:rFonts w:cs="Open Sans"/>
              </w:rPr>
              <w:t>The changes made are as follows.</w:t>
            </w:r>
          </w:p>
          <w:p w14:paraId="74B49840" w14:textId="77777777" w:rsidR="00124AB6" w:rsidRDefault="00124AB6" w:rsidP="004E3BFD">
            <w:pPr>
              <w:rPr>
                <w:rFonts w:cs="Open Sans"/>
              </w:rPr>
            </w:pPr>
          </w:p>
          <w:p w14:paraId="4F41C9AF" w14:textId="77777777" w:rsidR="00124AB6" w:rsidRDefault="00124AB6" w:rsidP="004E3BFD">
            <w:pPr>
              <w:pStyle w:val="ListParagraph"/>
              <w:numPr>
                <w:ilvl w:val="0"/>
                <w:numId w:val="21"/>
              </w:numPr>
              <w:spacing w:before="0" w:after="0"/>
              <w:contextualSpacing/>
            </w:pPr>
            <w:r>
              <w:t xml:space="preserve">Added the modification date of 2023 to Equipment Description Table B.2.   </w:t>
            </w:r>
          </w:p>
          <w:p w14:paraId="29E310EC" w14:textId="77777777" w:rsidR="00124AB6" w:rsidRDefault="00124AB6" w:rsidP="004E3BFD">
            <w:pPr>
              <w:pStyle w:val="ListParagraph"/>
              <w:numPr>
                <w:ilvl w:val="0"/>
                <w:numId w:val="21"/>
              </w:numPr>
              <w:spacing w:before="0" w:after="0"/>
              <w:contextualSpacing/>
            </w:pPr>
            <w:r>
              <w:t>Added “R-2” to Equipment ID in Condition C.17</w:t>
            </w:r>
          </w:p>
          <w:p w14:paraId="070CF91E" w14:textId="77777777" w:rsidR="00124AB6" w:rsidRPr="004B787C" w:rsidRDefault="00124AB6" w:rsidP="004E3BFD">
            <w:pPr>
              <w:ind w:left="360"/>
              <w:rPr>
                <w:rFonts w:cs="Open Sans"/>
              </w:rPr>
            </w:pPr>
          </w:p>
          <w:p w14:paraId="17BD9D09" w14:textId="77777777" w:rsidR="00124AB6" w:rsidRDefault="00124AB6" w:rsidP="004E3BFD">
            <w:pPr>
              <w:pStyle w:val="ListParagraph"/>
              <w:numPr>
                <w:ilvl w:val="0"/>
                <w:numId w:val="21"/>
              </w:numPr>
              <w:spacing w:before="0" w:after="0"/>
              <w:contextualSpacing/>
            </w:pPr>
            <w:r>
              <w:t xml:space="preserve">Removed R-11 and R-12 from Condition C.17. Condition C.17 is the 40CFR60 Subpart </w:t>
            </w:r>
            <w:proofErr w:type="spellStart"/>
            <w:r>
              <w:t>VVa</w:t>
            </w:r>
            <w:proofErr w:type="spellEnd"/>
            <w:r>
              <w:t xml:space="preserve"> requirements. R-11 and R-12 are subject not Subject to </w:t>
            </w:r>
            <w:proofErr w:type="spellStart"/>
            <w:r>
              <w:t>VVa</w:t>
            </w:r>
            <w:proofErr w:type="spellEnd"/>
            <w:r>
              <w:t xml:space="preserve"> but subject to 40CFR60 Subpart VV.    </w:t>
            </w:r>
          </w:p>
        </w:tc>
      </w:tr>
      <w:tr w:rsidR="00124AB6" w14:paraId="3106CB4F"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8" w:type="dxa"/>
          </w:tcPr>
          <w:p w14:paraId="4CF9C256" w14:textId="77777777" w:rsidR="00124AB6" w:rsidRDefault="00124AB6" w:rsidP="004E3BFD">
            <w:pPr>
              <w:jc w:val="center"/>
            </w:pPr>
          </w:p>
        </w:tc>
        <w:tc>
          <w:tcPr>
            <w:tcW w:w="967" w:type="dxa"/>
          </w:tcPr>
          <w:p w14:paraId="24A1447F" w14:textId="77777777" w:rsidR="00124AB6" w:rsidRDefault="00124AB6" w:rsidP="004E3BFD">
            <w:pPr>
              <w:jc w:val="center"/>
            </w:pPr>
            <w:r>
              <w:t>MM</w:t>
            </w:r>
          </w:p>
        </w:tc>
        <w:tc>
          <w:tcPr>
            <w:tcW w:w="8465" w:type="dxa"/>
          </w:tcPr>
          <w:p w14:paraId="59CD7B26" w14:textId="77777777" w:rsidR="00124AB6" w:rsidRPr="0048352A" w:rsidRDefault="00124AB6" w:rsidP="004E3BFD">
            <w:pPr>
              <w:numPr>
                <w:ilvl w:val="0"/>
                <w:numId w:val="21"/>
              </w:numPr>
              <w:contextualSpacing/>
              <w:rPr>
                <w:rFonts w:cs="Open Sans"/>
              </w:rPr>
            </w:pPr>
            <w:r w:rsidRPr="0048352A">
              <w:rPr>
                <w:rFonts w:cs="Open Sans"/>
              </w:rPr>
              <w:t>Updated permit template.</w:t>
            </w:r>
          </w:p>
          <w:p w14:paraId="3AFA57CB" w14:textId="77777777" w:rsidR="00124AB6" w:rsidRDefault="00124AB6" w:rsidP="004E3BFD">
            <w:pPr>
              <w:numPr>
                <w:ilvl w:val="0"/>
                <w:numId w:val="21"/>
              </w:numPr>
              <w:contextualSpacing/>
              <w:rPr>
                <w:rFonts w:cs="Open Sans"/>
              </w:rPr>
            </w:pPr>
            <w:r w:rsidRPr="0048352A">
              <w:rPr>
                <w:rFonts w:cs="Open Sans"/>
              </w:rPr>
              <w:t xml:space="preserve">Added the modification date of 2023 to Equipment Description Table B.2 for R-4. </w:t>
            </w:r>
          </w:p>
        </w:tc>
      </w:tr>
    </w:tbl>
    <w:p w14:paraId="6CB250E4" w14:textId="77777777" w:rsidR="00124AB6" w:rsidRDefault="00124AB6" w:rsidP="00F244AE">
      <w:pPr>
        <w:autoSpaceDE/>
        <w:adjustRightInd/>
        <w:rPr>
          <w:rFonts w:cs="Open Sans"/>
          <w:szCs w:val="20"/>
        </w:rPr>
      </w:pPr>
    </w:p>
    <w:p w14:paraId="0FD627B4" w14:textId="77777777" w:rsidR="00F244AE" w:rsidRDefault="00124AB6" w:rsidP="00F244AE">
      <w:pPr>
        <w:autoSpaceDE/>
        <w:adjustRightInd/>
        <w:rPr>
          <w:rFonts w:cs="Open Sans"/>
          <w:szCs w:val="20"/>
        </w:rPr>
      </w:pPr>
      <w:r>
        <w:rPr>
          <w:rFonts w:cs="Open Sans"/>
          <w:szCs w:val="20"/>
        </w:rPr>
        <w:t>AA</w:t>
      </w:r>
      <w:r>
        <w:rPr>
          <w:rFonts w:cs="Open Sans"/>
          <w:szCs w:val="20"/>
        </w:rPr>
        <w:tab/>
        <w:t>Administrative Amendment</w:t>
      </w:r>
    </w:p>
    <w:p w14:paraId="25BDD505" w14:textId="77777777" w:rsidR="00F244AE" w:rsidRDefault="00124AB6" w:rsidP="00F244AE">
      <w:pPr>
        <w:autoSpaceDE/>
        <w:adjustRightInd/>
        <w:rPr>
          <w:rFonts w:cs="Open Sans"/>
          <w:szCs w:val="20"/>
        </w:rPr>
      </w:pPr>
      <w:r>
        <w:rPr>
          <w:rFonts w:cs="Open Sans"/>
          <w:szCs w:val="20"/>
        </w:rPr>
        <w:t>MM</w:t>
      </w:r>
      <w:r>
        <w:rPr>
          <w:rFonts w:cs="Open Sans"/>
          <w:szCs w:val="20"/>
        </w:rPr>
        <w:tab/>
        <w:t>Minor Modification</w:t>
      </w:r>
    </w:p>
    <w:p w14:paraId="7EA1F63B" w14:textId="77777777" w:rsidR="00F244AE" w:rsidRDefault="00124AB6" w:rsidP="00F244AE">
      <w:pPr>
        <w:autoSpaceDE/>
        <w:adjustRightInd/>
        <w:rPr>
          <w:rFonts w:cs="Open Sans"/>
          <w:szCs w:val="20"/>
        </w:rPr>
      </w:pPr>
      <w:r>
        <w:rPr>
          <w:rFonts w:cs="Open Sans"/>
          <w:szCs w:val="20"/>
        </w:rPr>
        <w:t>SM</w:t>
      </w:r>
      <w:r>
        <w:rPr>
          <w:rFonts w:cs="Open Sans"/>
          <w:szCs w:val="20"/>
        </w:rPr>
        <w:tab/>
        <w:t>Significant Modification</w:t>
      </w:r>
    </w:p>
    <w:p w14:paraId="26703856" w14:textId="77777777" w:rsidR="00A25F97" w:rsidRPr="005F66A2" w:rsidRDefault="00124AB6" w:rsidP="00A25F97">
      <w:pPr>
        <w:autoSpaceDE/>
        <w:autoSpaceDN/>
        <w:adjustRightInd/>
        <w:spacing w:after="160" w:line="259" w:lineRule="auto"/>
        <w:rPr>
          <w:rFonts w:cs="Open Sans"/>
          <w:szCs w:val="20"/>
        </w:rPr>
      </w:pPr>
      <w:r w:rsidRPr="005F66A2">
        <w:rPr>
          <w:rFonts w:cs="Open Sans"/>
          <w:szCs w:val="20"/>
        </w:rPr>
        <w:br w:type="page"/>
      </w:r>
    </w:p>
    <w:tbl>
      <w:tblPr>
        <w:tblStyle w:val="TableGrid"/>
        <w:tblW w:w="10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77"/>
        <w:gridCol w:w="9423"/>
      </w:tblGrid>
      <w:tr w:rsidR="00D54368" w14:paraId="7EA050F8" w14:textId="77777777" w:rsidTr="00BD4159">
        <w:trPr>
          <w:tblHeader/>
        </w:trPr>
        <w:tc>
          <w:tcPr>
            <w:tcW w:w="10800" w:type="dxa"/>
            <w:gridSpan w:val="2"/>
            <w:tcBorders>
              <w:top w:val="single" w:sz="2" w:space="0" w:color="auto"/>
              <w:left w:val="single" w:sz="2" w:space="0" w:color="auto"/>
              <w:bottom w:val="single" w:sz="2" w:space="0" w:color="auto"/>
              <w:right w:val="single" w:sz="2" w:space="0" w:color="auto"/>
            </w:tcBorders>
          </w:tcPr>
          <w:p w14:paraId="3A2DFB4E" w14:textId="77777777" w:rsidR="00F244AE" w:rsidRPr="00A3574E" w:rsidRDefault="00124AB6" w:rsidP="00971C71">
            <w:pPr>
              <w:pStyle w:val="TableHeading"/>
            </w:pPr>
            <w:r w:rsidRPr="00971C71">
              <w:t>EMISSION</w:t>
            </w:r>
            <w:r w:rsidRPr="00A3574E">
              <w:t xml:space="preserve"> UNIT</w:t>
            </w:r>
            <w:r w:rsidR="00600438">
              <w:t>(</w:t>
            </w:r>
            <w:r w:rsidRPr="00A3574E">
              <w:t>S</w:t>
            </w:r>
            <w:r w:rsidR="00600438">
              <w:t>)</w:t>
            </w:r>
            <w:r>
              <w:t>, EQUIPMENT, AND CONTROL DEVICE(S)</w:t>
            </w:r>
          </w:p>
          <w:p w14:paraId="110EC4CB" w14:textId="77777777" w:rsidR="00F244AE" w:rsidRDefault="00F244AE">
            <w:pPr>
              <w:rPr>
                <w:rFonts w:cs="Open Sans"/>
                <w:szCs w:val="20"/>
              </w:rPr>
            </w:pPr>
          </w:p>
        </w:tc>
      </w:tr>
      <w:tr w:rsidR="00D54368" w14:paraId="715CFDA1" w14:textId="77777777" w:rsidTr="00BD4159">
        <w:trPr>
          <w:tblHeader/>
        </w:trPr>
        <w:tc>
          <w:tcPr>
            <w:tcW w:w="1377"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674F4742" w14:textId="77777777" w:rsidR="00F244AE" w:rsidRDefault="00124AB6">
            <w:pPr>
              <w:jc w:val="center"/>
              <w:rPr>
                <w:rFonts w:cs="Open Sans"/>
                <w:b/>
                <w:szCs w:val="20"/>
              </w:rPr>
            </w:pPr>
            <w:r>
              <w:rPr>
                <w:rFonts w:cs="Open Sans"/>
                <w:b/>
                <w:szCs w:val="20"/>
              </w:rPr>
              <w:t>Emission Unit ID</w:t>
            </w:r>
          </w:p>
        </w:tc>
        <w:tc>
          <w:tcPr>
            <w:tcW w:w="9423"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676D90E8" w14:textId="77777777" w:rsidR="00F244AE" w:rsidRDefault="00124AB6">
            <w:pPr>
              <w:jc w:val="center"/>
              <w:rPr>
                <w:rFonts w:cs="Open Sans"/>
                <w:b/>
                <w:szCs w:val="20"/>
              </w:rPr>
            </w:pPr>
            <w:r>
              <w:rPr>
                <w:rFonts w:cs="Open Sans"/>
                <w:b/>
                <w:szCs w:val="20"/>
              </w:rPr>
              <w:t>Emission Unit Description</w:t>
            </w:r>
          </w:p>
        </w:tc>
      </w:tr>
      <w:tr w:rsidR="00124AB6" w:rsidRPr="004E6804" w14:paraId="094AD40D"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77" w:type="dxa"/>
          </w:tcPr>
          <w:p w14:paraId="177AF22A" w14:textId="77777777" w:rsidR="00124AB6" w:rsidRPr="00812F0C" w:rsidRDefault="00124AB6" w:rsidP="004E3BFD">
            <w:pPr>
              <w:jc w:val="center"/>
              <w:rPr>
                <w:szCs w:val="20"/>
              </w:rPr>
            </w:pPr>
            <w:r w:rsidRPr="00812F0C">
              <w:rPr>
                <w:szCs w:val="20"/>
              </w:rPr>
              <w:t>03</w:t>
            </w:r>
          </w:p>
        </w:tc>
        <w:tc>
          <w:tcPr>
            <w:tcW w:w="9423" w:type="dxa"/>
          </w:tcPr>
          <w:p w14:paraId="62A905A7" w14:textId="77777777" w:rsidR="00124AB6" w:rsidRPr="004E6804" w:rsidRDefault="00124AB6" w:rsidP="004E3BFD">
            <w:pPr>
              <w:jc w:val="center"/>
            </w:pPr>
            <w:r w:rsidRPr="004E6804">
              <w:t>Boilers</w:t>
            </w:r>
          </w:p>
        </w:tc>
      </w:tr>
      <w:tr w:rsidR="00124AB6" w:rsidRPr="004E6804" w14:paraId="35E2B09E"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77" w:type="dxa"/>
          </w:tcPr>
          <w:p w14:paraId="16B5BE48" w14:textId="77777777" w:rsidR="00124AB6" w:rsidRPr="00812F0C" w:rsidRDefault="00124AB6" w:rsidP="004E3BFD">
            <w:pPr>
              <w:jc w:val="center"/>
              <w:rPr>
                <w:szCs w:val="20"/>
              </w:rPr>
            </w:pPr>
            <w:r w:rsidRPr="00812F0C">
              <w:rPr>
                <w:szCs w:val="20"/>
              </w:rPr>
              <w:t>06</w:t>
            </w:r>
          </w:p>
        </w:tc>
        <w:tc>
          <w:tcPr>
            <w:tcW w:w="9423" w:type="dxa"/>
          </w:tcPr>
          <w:p w14:paraId="5551958A" w14:textId="77777777" w:rsidR="00124AB6" w:rsidRPr="004E6804" w:rsidRDefault="00124AB6" w:rsidP="004E3BFD">
            <w:pPr>
              <w:jc w:val="center"/>
            </w:pPr>
            <w:smartTag w:uri="urn:schemas-microsoft-com:office:smarttags" w:element="place">
              <w:r w:rsidRPr="004E6804">
                <w:rPr>
                  <w:noProof/>
                </w:rPr>
                <w:t>South Polyol</w:t>
              </w:r>
            </w:smartTag>
            <w:r w:rsidRPr="004E6804">
              <w:rPr>
                <w:noProof/>
              </w:rPr>
              <w:t xml:space="preserve"> Reactor System</w:t>
            </w:r>
          </w:p>
        </w:tc>
      </w:tr>
      <w:tr w:rsidR="00124AB6" w:rsidRPr="004E6804" w14:paraId="39400525"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77" w:type="dxa"/>
          </w:tcPr>
          <w:p w14:paraId="549E5CF0" w14:textId="77777777" w:rsidR="00124AB6" w:rsidRPr="00812F0C" w:rsidRDefault="00124AB6" w:rsidP="004E3BFD">
            <w:pPr>
              <w:jc w:val="center"/>
              <w:rPr>
                <w:szCs w:val="20"/>
              </w:rPr>
            </w:pPr>
            <w:r w:rsidRPr="00812F0C">
              <w:rPr>
                <w:szCs w:val="20"/>
              </w:rPr>
              <w:t>07</w:t>
            </w:r>
          </w:p>
        </w:tc>
        <w:tc>
          <w:tcPr>
            <w:tcW w:w="9423" w:type="dxa"/>
          </w:tcPr>
          <w:p w14:paraId="5A603E39" w14:textId="77777777" w:rsidR="00124AB6" w:rsidRPr="004E6804" w:rsidRDefault="00124AB6" w:rsidP="004E3BFD">
            <w:pPr>
              <w:jc w:val="center"/>
            </w:pPr>
            <w:smartTag w:uri="urn:schemas-microsoft-com:office:smarttags" w:element="place">
              <w:r w:rsidRPr="004E6804">
                <w:rPr>
                  <w:noProof/>
                </w:rPr>
                <w:t>North Polyol</w:t>
              </w:r>
            </w:smartTag>
            <w:r w:rsidRPr="004E6804">
              <w:rPr>
                <w:noProof/>
              </w:rPr>
              <w:t xml:space="preserve"> Reactor System</w:t>
            </w:r>
          </w:p>
        </w:tc>
      </w:tr>
      <w:tr w:rsidR="00124AB6" w:rsidRPr="004E6804" w14:paraId="57E16851"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77" w:type="dxa"/>
          </w:tcPr>
          <w:p w14:paraId="6812409E" w14:textId="77777777" w:rsidR="00124AB6" w:rsidRPr="00812F0C" w:rsidRDefault="00124AB6" w:rsidP="004E3BFD">
            <w:pPr>
              <w:jc w:val="center"/>
              <w:rPr>
                <w:szCs w:val="20"/>
              </w:rPr>
            </w:pPr>
            <w:r w:rsidRPr="00812F0C">
              <w:rPr>
                <w:szCs w:val="20"/>
              </w:rPr>
              <w:t>14</w:t>
            </w:r>
          </w:p>
        </w:tc>
        <w:tc>
          <w:tcPr>
            <w:tcW w:w="9423" w:type="dxa"/>
          </w:tcPr>
          <w:p w14:paraId="1F45E7FC" w14:textId="77777777" w:rsidR="00124AB6" w:rsidRPr="004E6804" w:rsidRDefault="00124AB6" w:rsidP="004E3BFD">
            <w:pPr>
              <w:jc w:val="center"/>
            </w:pPr>
            <w:r w:rsidRPr="004E6804">
              <w:rPr>
                <w:bCs/>
                <w:noProof/>
              </w:rPr>
              <w:t>Sokalan PG 101 Process</w:t>
            </w:r>
          </w:p>
        </w:tc>
      </w:tr>
      <w:tr w:rsidR="00124AB6" w:rsidRPr="004E6804" w14:paraId="4A2526D3"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77" w:type="dxa"/>
          </w:tcPr>
          <w:p w14:paraId="7D6BC6FC" w14:textId="77777777" w:rsidR="00124AB6" w:rsidRPr="00812F0C" w:rsidRDefault="00124AB6" w:rsidP="004E3BFD">
            <w:pPr>
              <w:jc w:val="center"/>
              <w:rPr>
                <w:szCs w:val="20"/>
              </w:rPr>
            </w:pPr>
            <w:r w:rsidRPr="00812F0C">
              <w:rPr>
                <w:szCs w:val="20"/>
              </w:rPr>
              <w:t>15</w:t>
            </w:r>
          </w:p>
        </w:tc>
        <w:tc>
          <w:tcPr>
            <w:tcW w:w="9423" w:type="dxa"/>
          </w:tcPr>
          <w:p w14:paraId="2ABDB067" w14:textId="77777777" w:rsidR="00124AB6" w:rsidRPr="004E6804" w:rsidRDefault="00124AB6" w:rsidP="004E3BFD">
            <w:pPr>
              <w:jc w:val="center"/>
              <w:rPr>
                <w:bCs/>
                <w:noProof/>
              </w:rPr>
            </w:pPr>
            <w:r w:rsidRPr="004E6804">
              <w:rPr>
                <w:bCs/>
                <w:noProof/>
              </w:rPr>
              <w:t>Non-NSPS Subpart Kb Storage Tanks</w:t>
            </w:r>
          </w:p>
        </w:tc>
      </w:tr>
      <w:tr w:rsidR="00124AB6" w:rsidRPr="004E6804" w14:paraId="7BB3D801"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77" w:type="dxa"/>
          </w:tcPr>
          <w:p w14:paraId="0E4F4A77" w14:textId="77777777" w:rsidR="00124AB6" w:rsidRPr="00812F0C" w:rsidRDefault="00124AB6" w:rsidP="004E3BFD">
            <w:pPr>
              <w:jc w:val="center"/>
              <w:rPr>
                <w:szCs w:val="20"/>
              </w:rPr>
            </w:pPr>
            <w:r w:rsidRPr="00812F0C">
              <w:rPr>
                <w:szCs w:val="20"/>
              </w:rPr>
              <w:t>18</w:t>
            </w:r>
          </w:p>
        </w:tc>
        <w:tc>
          <w:tcPr>
            <w:tcW w:w="9423" w:type="dxa"/>
          </w:tcPr>
          <w:p w14:paraId="12E87A98" w14:textId="77777777" w:rsidR="00124AB6" w:rsidRPr="004E6804" w:rsidRDefault="00124AB6" w:rsidP="004E3BFD">
            <w:pPr>
              <w:jc w:val="center"/>
              <w:rPr>
                <w:noProof/>
              </w:rPr>
            </w:pPr>
            <w:r w:rsidRPr="004E6804">
              <w:rPr>
                <w:bCs/>
                <w:noProof/>
              </w:rPr>
              <w:t>NSPS Subpart Kb Storage Tanks</w:t>
            </w:r>
          </w:p>
        </w:tc>
      </w:tr>
    </w:tbl>
    <w:p w14:paraId="3D72A6CF" w14:textId="77777777" w:rsidR="00F244AE" w:rsidRDefault="00F244AE" w:rsidP="00F244AE">
      <w:pPr>
        <w:rPr>
          <w:rFonts w:cs="Open Sans"/>
          <w:sz w:val="4"/>
          <w:szCs w:val="4"/>
        </w:rPr>
      </w:pPr>
    </w:p>
    <w:p w14:paraId="72762432" w14:textId="77777777" w:rsidR="00124AB6" w:rsidRPr="00A3574E" w:rsidRDefault="00124AB6" w:rsidP="00F244AE">
      <w:pPr>
        <w:rPr>
          <w:rFonts w:cs="Open Sans"/>
          <w:sz w:val="4"/>
          <w:szCs w:val="4"/>
        </w:rPr>
      </w:pPr>
    </w:p>
    <w:tbl>
      <w:tblPr>
        <w:tblStyle w:val="TableGrid"/>
        <w:tblW w:w="10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800"/>
      </w:tblGrid>
      <w:tr w:rsidR="00D54368" w14:paraId="6BDF7CA0" w14:textId="77777777" w:rsidTr="00963838">
        <w:trPr>
          <w:tblHeader/>
        </w:trPr>
        <w:tc>
          <w:tcPr>
            <w:tcW w:w="10800" w:type="dxa"/>
            <w:tcBorders>
              <w:top w:val="single" w:sz="2" w:space="0" w:color="auto"/>
              <w:left w:val="single" w:sz="2" w:space="0" w:color="auto"/>
              <w:bottom w:val="single" w:sz="2" w:space="0" w:color="auto"/>
              <w:right w:val="single" w:sz="2" w:space="0" w:color="auto"/>
            </w:tcBorders>
            <w:shd w:val="clear" w:color="auto" w:fill="auto"/>
          </w:tcPr>
          <w:p w14:paraId="39577991" w14:textId="77777777" w:rsidR="00F244AE" w:rsidRDefault="00124AB6">
            <w:pPr>
              <w:rPr>
                <w:rFonts w:cs="Open Sans"/>
                <w:szCs w:val="20"/>
              </w:rPr>
            </w:pPr>
            <w:r>
              <w:rPr>
                <w:rStyle w:val="normaltextrun"/>
                <w:rFonts w:cs="Open Sans"/>
                <w:color w:val="000000"/>
                <w:szCs w:val="20"/>
                <w:shd w:val="clear" w:color="auto" w:fill="FFFFFF"/>
              </w:rPr>
              <w:t xml:space="preserve">Equipment </w:t>
            </w:r>
            <w:r w:rsidRPr="00963838">
              <w:rPr>
                <w:rStyle w:val="normaltextrun"/>
                <w:rFonts w:cs="Open Sans"/>
                <w:color w:val="000000"/>
                <w:szCs w:val="20"/>
              </w:rPr>
              <w:t>and control device capacities provided under the Description columns of Equipment and Control Device Tables below are not intended to be permit limits unless otherwise specified within the Table “Limitations, Monitoring, and Reporting</w:t>
            </w:r>
            <w:r w:rsidR="00674704" w:rsidRPr="00963838">
              <w:rPr>
                <w:rStyle w:val="normaltextrun"/>
                <w:rFonts w:cs="Open Sans"/>
                <w:color w:val="000000"/>
                <w:szCs w:val="20"/>
              </w:rPr>
              <w:t>.</w:t>
            </w:r>
            <w:r w:rsidRPr="00963838">
              <w:rPr>
                <w:rStyle w:val="normaltextrun"/>
                <w:rFonts w:cs="Open Sans"/>
                <w:color w:val="000000"/>
                <w:szCs w:val="20"/>
              </w:rPr>
              <w:t>” However, this condition does not exempt the facility from the construction permitting process, from PSD review, nor from any other applicable requirements that must be addressed prior to increasing production rates.</w:t>
            </w:r>
          </w:p>
        </w:tc>
      </w:tr>
    </w:tbl>
    <w:p w14:paraId="77BCF4DE" w14:textId="77777777" w:rsidR="00F66676" w:rsidRDefault="00F66676" w:rsidP="00BD4159">
      <w:pPr>
        <w:pStyle w:val="BTables"/>
        <w:numPr>
          <w:ilvl w:val="0"/>
          <w:numId w:val="0"/>
        </w:numPr>
        <w:spacing w:before="0" w:after="0"/>
        <w:ind w:left="-720"/>
      </w:pPr>
    </w:p>
    <w:tbl>
      <w:tblPr>
        <w:tblStyle w:val="TableGrid"/>
        <w:tblW w:w="10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66"/>
        <w:gridCol w:w="5204"/>
        <w:gridCol w:w="1625"/>
        <w:gridCol w:w="1347"/>
        <w:gridCol w:w="1258"/>
      </w:tblGrid>
      <w:tr w:rsidR="00124AB6" w:rsidRPr="00124AB6" w14:paraId="5D26AFA6" w14:textId="77777777" w:rsidTr="004E3BFD">
        <w:trPr>
          <w:tblHeader/>
        </w:trPr>
        <w:tc>
          <w:tcPr>
            <w:tcW w:w="10800" w:type="dxa"/>
            <w:gridSpan w:val="5"/>
            <w:tcBorders>
              <w:top w:val="single" w:sz="2" w:space="0" w:color="auto"/>
              <w:left w:val="single" w:sz="2" w:space="0" w:color="auto"/>
              <w:bottom w:val="single" w:sz="2" w:space="0" w:color="auto"/>
              <w:right w:val="single" w:sz="2" w:space="0" w:color="auto"/>
            </w:tcBorders>
          </w:tcPr>
          <w:p w14:paraId="270AD479" w14:textId="77777777" w:rsidR="00124AB6" w:rsidRPr="00124AB6" w:rsidRDefault="00124AB6" w:rsidP="00124AB6">
            <w:pPr>
              <w:keepNext/>
              <w:keepLines/>
              <w:numPr>
                <w:ilvl w:val="0"/>
                <w:numId w:val="5"/>
              </w:numPr>
              <w:rPr>
                <w:rFonts w:eastAsiaTheme="majorEastAsia" w:cstheme="majorBidi"/>
                <w:b/>
                <w:szCs w:val="26"/>
              </w:rPr>
            </w:pPr>
            <w:r w:rsidRPr="00124AB6">
              <w:rPr>
                <w:rFonts w:eastAsiaTheme="majorEastAsia" w:cstheme="majorBidi"/>
                <w:b/>
                <w:szCs w:val="26"/>
              </w:rPr>
              <w:t>EQUIPMENT FOR EMISSION UNIT 03 – BOILERS</w:t>
            </w:r>
          </w:p>
          <w:p w14:paraId="6585E81E" w14:textId="77777777" w:rsidR="00124AB6" w:rsidRPr="00124AB6" w:rsidRDefault="00124AB6" w:rsidP="00124AB6"/>
        </w:tc>
      </w:tr>
      <w:tr w:rsidR="00124AB6" w:rsidRPr="00124AB6" w14:paraId="7284A970" w14:textId="77777777" w:rsidTr="004E3BFD">
        <w:trPr>
          <w:tblHeader/>
        </w:trPr>
        <w:tc>
          <w:tcPr>
            <w:tcW w:w="1366"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302D4A99" w14:textId="77777777" w:rsidR="00124AB6" w:rsidRPr="00124AB6" w:rsidRDefault="00124AB6" w:rsidP="00124AB6">
            <w:pPr>
              <w:jc w:val="center"/>
              <w:rPr>
                <w:b/>
              </w:rPr>
            </w:pPr>
            <w:r w:rsidRPr="00124AB6">
              <w:rPr>
                <w:b/>
              </w:rPr>
              <w:t>Equipment ID</w:t>
            </w:r>
          </w:p>
        </w:tc>
        <w:tc>
          <w:tcPr>
            <w:tcW w:w="5204"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54939A82" w14:textId="77777777" w:rsidR="00124AB6" w:rsidRPr="00124AB6" w:rsidRDefault="00124AB6" w:rsidP="00124AB6">
            <w:pPr>
              <w:jc w:val="center"/>
              <w:rPr>
                <w:b/>
              </w:rPr>
            </w:pPr>
            <w:r w:rsidRPr="00124AB6">
              <w:rPr>
                <w:b/>
              </w:rPr>
              <w:t>Equipment Description</w:t>
            </w:r>
          </w:p>
        </w:tc>
        <w:tc>
          <w:tcPr>
            <w:tcW w:w="1625"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3D9B5FA4" w14:textId="77777777" w:rsidR="00124AB6" w:rsidRPr="00124AB6" w:rsidRDefault="00124AB6" w:rsidP="00124AB6">
            <w:pPr>
              <w:jc w:val="center"/>
              <w:rPr>
                <w:b/>
              </w:rPr>
            </w:pPr>
            <w:r w:rsidRPr="00124AB6">
              <w:rPr>
                <w:b/>
              </w:rPr>
              <w:t>Installation Date</w:t>
            </w:r>
          </w:p>
        </w:tc>
        <w:tc>
          <w:tcPr>
            <w:tcW w:w="1347"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0CB0FE6F" w14:textId="77777777" w:rsidR="00124AB6" w:rsidRPr="00124AB6" w:rsidRDefault="00124AB6" w:rsidP="00124AB6">
            <w:pPr>
              <w:jc w:val="center"/>
              <w:rPr>
                <w:b/>
              </w:rPr>
            </w:pPr>
            <w:r w:rsidRPr="00124AB6">
              <w:rPr>
                <w:b/>
              </w:rPr>
              <w:t>Control Device ID</w:t>
            </w:r>
          </w:p>
        </w:tc>
        <w:tc>
          <w:tcPr>
            <w:tcW w:w="1258"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7D1D925B" w14:textId="77777777" w:rsidR="00124AB6" w:rsidRPr="00124AB6" w:rsidRDefault="00124AB6" w:rsidP="00124AB6">
            <w:pPr>
              <w:jc w:val="center"/>
              <w:rPr>
                <w:b/>
              </w:rPr>
            </w:pPr>
            <w:r w:rsidRPr="00124AB6">
              <w:rPr>
                <w:b/>
              </w:rPr>
              <w:t>Emission Point ID</w:t>
            </w:r>
          </w:p>
        </w:tc>
      </w:tr>
      <w:tr w:rsidR="00124AB6" w:rsidRPr="00124AB6" w14:paraId="6110E0BA" w14:textId="77777777" w:rsidTr="004E3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6" w:type="dxa"/>
          </w:tcPr>
          <w:p w14:paraId="66651B9B" w14:textId="77777777" w:rsidR="00124AB6" w:rsidRPr="00124AB6" w:rsidRDefault="00124AB6" w:rsidP="00124AB6">
            <w:pPr>
              <w:jc w:val="center"/>
              <w:rPr>
                <w:bCs/>
                <w:szCs w:val="18"/>
              </w:rPr>
            </w:pPr>
            <w:r w:rsidRPr="00124AB6">
              <w:rPr>
                <w:bCs/>
                <w:szCs w:val="18"/>
              </w:rPr>
              <w:t>B-3</w:t>
            </w:r>
          </w:p>
        </w:tc>
        <w:tc>
          <w:tcPr>
            <w:tcW w:w="5204" w:type="dxa"/>
          </w:tcPr>
          <w:p w14:paraId="4FE0F521" w14:textId="77777777" w:rsidR="00124AB6" w:rsidRPr="00124AB6" w:rsidRDefault="00124AB6" w:rsidP="00124AB6">
            <w:pPr>
              <w:jc w:val="center"/>
              <w:rPr>
                <w:bCs/>
                <w:szCs w:val="18"/>
              </w:rPr>
            </w:pPr>
            <w:r w:rsidRPr="00124AB6">
              <w:rPr>
                <w:bCs/>
                <w:szCs w:val="18"/>
              </w:rPr>
              <w:t>Boiler No.3</w:t>
            </w:r>
          </w:p>
          <w:p w14:paraId="0428DB71" w14:textId="77777777" w:rsidR="00124AB6" w:rsidRPr="00124AB6" w:rsidRDefault="00124AB6" w:rsidP="00124AB6">
            <w:pPr>
              <w:jc w:val="center"/>
              <w:rPr>
                <w:bCs/>
                <w:szCs w:val="18"/>
              </w:rPr>
            </w:pPr>
            <w:r w:rsidRPr="00124AB6">
              <w:rPr>
                <w:bCs/>
                <w:szCs w:val="18"/>
              </w:rPr>
              <w:t>Natural Gas and No.2 Fuel Oil (Back-up) as Fuels</w:t>
            </w:r>
          </w:p>
        </w:tc>
        <w:tc>
          <w:tcPr>
            <w:tcW w:w="1625" w:type="dxa"/>
          </w:tcPr>
          <w:p w14:paraId="2E773978" w14:textId="77777777" w:rsidR="00124AB6" w:rsidRPr="00124AB6" w:rsidRDefault="00124AB6" w:rsidP="00124AB6">
            <w:pPr>
              <w:jc w:val="center"/>
              <w:rPr>
                <w:bCs/>
                <w:szCs w:val="18"/>
              </w:rPr>
            </w:pPr>
            <w:r w:rsidRPr="00124AB6">
              <w:rPr>
                <w:bCs/>
                <w:szCs w:val="18"/>
              </w:rPr>
              <w:t>1982</w:t>
            </w:r>
          </w:p>
        </w:tc>
        <w:tc>
          <w:tcPr>
            <w:tcW w:w="1347" w:type="dxa"/>
          </w:tcPr>
          <w:p w14:paraId="2EE48C02" w14:textId="77777777" w:rsidR="00124AB6" w:rsidRPr="00124AB6" w:rsidRDefault="00124AB6" w:rsidP="00124AB6">
            <w:pPr>
              <w:jc w:val="center"/>
              <w:rPr>
                <w:bCs/>
                <w:szCs w:val="18"/>
              </w:rPr>
            </w:pPr>
            <w:r w:rsidRPr="00124AB6">
              <w:rPr>
                <w:bCs/>
                <w:szCs w:val="18"/>
              </w:rPr>
              <w:t>None</w:t>
            </w:r>
          </w:p>
        </w:tc>
        <w:tc>
          <w:tcPr>
            <w:tcW w:w="1258" w:type="dxa"/>
          </w:tcPr>
          <w:p w14:paraId="10DBF349" w14:textId="77777777" w:rsidR="00124AB6" w:rsidRPr="00124AB6" w:rsidRDefault="00124AB6" w:rsidP="00124AB6">
            <w:pPr>
              <w:jc w:val="center"/>
              <w:rPr>
                <w:bCs/>
                <w:szCs w:val="18"/>
              </w:rPr>
            </w:pPr>
            <w:r w:rsidRPr="00124AB6">
              <w:rPr>
                <w:bCs/>
                <w:szCs w:val="18"/>
              </w:rPr>
              <w:t>02</w:t>
            </w:r>
          </w:p>
        </w:tc>
      </w:tr>
      <w:tr w:rsidR="00124AB6" w:rsidRPr="00124AB6" w14:paraId="33F49ADC" w14:textId="77777777" w:rsidTr="004E3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6" w:type="dxa"/>
          </w:tcPr>
          <w:p w14:paraId="5F8A3C06" w14:textId="77777777" w:rsidR="00124AB6" w:rsidRPr="00124AB6" w:rsidRDefault="00124AB6" w:rsidP="00124AB6">
            <w:pPr>
              <w:jc w:val="center"/>
              <w:rPr>
                <w:bCs/>
                <w:szCs w:val="18"/>
              </w:rPr>
            </w:pPr>
            <w:r w:rsidRPr="00124AB6">
              <w:rPr>
                <w:bCs/>
                <w:szCs w:val="18"/>
              </w:rPr>
              <w:t>B-5</w:t>
            </w:r>
          </w:p>
        </w:tc>
        <w:tc>
          <w:tcPr>
            <w:tcW w:w="5204" w:type="dxa"/>
          </w:tcPr>
          <w:p w14:paraId="552DA711" w14:textId="77777777" w:rsidR="00124AB6" w:rsidRPr="00124AB6" w:rsidRDefault="00124AB6" w:rsidP="00124AB6">
            <w:pPr>
              <w:jc w:val="center"/>
              <w:rPr>
                <w:bCs/>
                <w:szCs w:val="18"/>
              </w:rPr>
            </w:pPr>
            <w:r w:rsidRPr="00124AB6">
              <w:rPr>
                <w:bCs/>
                <w:szCs w:val="18"/>
              </w:rPr>
              <w:t>Boiler No.5</w:t>
            </w:r>
          </w:p>
          <w:p w14:paraId="536F1ECD" w14:textId="77777777" w:rsidR="00124AB6" w:rsidRPr="00124AB6" w:rsidRDefault="00124AB6" w:rsidP="00124AB6">
            <w:pPr>
              <w:jc w:val="center"/>
              <w:rPr>
                <w:bCs/>
                <w:szCs w:val="18"/>
              </w:rPr>
            </w:pPr>
            <w:r w:rsidRPr="00124AB6">
              <w:rPr>
                <w:bCs/>
                <w:szCs w:val="18"/>
              </w:rPr>
              <w:t>Natural Gas and No.2 Fuel Oil (Back-up) as Fuels</w:t>
            </w:r>
          </w:p>
        </w:tc>
        <w:tc>
          <w:tcPr>
            <w:tcW w:w="1625" w:type="dxa"/>
          </w:tcPr>
          <w:p w14:paraId="68FD8054" w14:textId="77777777" w:rsidR="00124AB6" w:rsidRPr="00124AB6" w:rsidRDefault="00124AB6" w:rsidP="00124AB6">
            <w:pPr>
              <w:jc w:val="center"/>
              <w:rPr>
                <w:bCs/>
                <w:szCs w:val="18"/>
              </w:rPr>
            </w:pPr>
            <w:r w:rsidRPr="00124AB6">
              <w:rPr>
                <w:bCs/>
                <w:szCs w:val="18"/>
              </w:rPr>
              <w:t>1989</w:t>
            </w:r>
          </w:p>
        </w:tc>
        <w:tc>
          <w:tcPr>
            <w:tcW w:w="1347" w:type="dxa"/>
          </w:tcPr>
          <w:p w14:paraId="6030F8E5" w14:textId="77777777" w:rsidR="00124AB6" w:rsidRPr="00124AB6" w:rsidRDefault="00124AB6" w:rsidP="00124AB6">
            <w:pPr>
              <w:jc w:val="center"/>
              <w:rPr>
                <w:bCs/>
                <w:szCs w:val="18"/>
              </w:rPr>
            </w:pPr>
            <w:r w:rsidRPr="00124AB6">
              <w:rPr>
                <w:bCs/>
                <w:szCs w:val="18"/>
              </w:rPr>
              <w:t>None</w:t>
            </w:r>
          </w:p>
        </w:tc>
        <w:tc>
          <w:tcPr>
            <w:tcW w:w="1258" w:type="dxa"/>
          </w:tcPr>
          <w:p w14:paraId="51C955FD" w14:textId="77777777" w:rsidR="00124AB6" w:rsidRPr="00124AB6" w:rsidRDefault="00124AB6" w:rsidP="00124AB6">
            <w:pPr>
              <w:jc w:val="center"/>
              <w:rPr>
                <w:bCs/>
                <w:szCs w:val="18"/>
              </w:rPr>
            </w:pPr>
            <w:r w:rsidRPr="00124AB6">
              <w:rPr>
                <w:bCs/>
                <w:szCs w:val="18"/>
              </w:rPr>
              <w:t>12</w:t>
            </w:r>
          </w:p>
        </w:tc>
      </w:tr>
      <w:tr w:rsidR="00124AB6" w:rsidRPr="00124AB6" w14:paraId="07C3C74F" w14:textId="77777777" w:rsidTr="004E3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6" w:type="dxa"/>
          </w:tcPr>
          <w:p w14:paraId="49E5BC7E" w14:textId="77777777" w:rsidR="00124AB6" w:rsidRPr="00124AB6" w:rsidRDefault="00124AB6" w:rsidP="00124AB6">
            <w:pPr>
              <w:jc w:val="center"/>
              <w:rPr>
                <w:bCs/>
                <w:szCs w:val="18"/>
              </w:rPr>
            </w:pPr>
            <w:r w:rsidRPr="00124AB6">
              <w:t>H-800R</w:t>
            </w:r>
          </w:p>
        </w:tc>
        <w:tc>
          <w:tcPr>
            <w:tcW w:w="5204" w:type="dxa"/>
          </w:tcPr>
          <w:p w14:paraId="0D7D0E0F" w14:textId="77777777" w:rsidR="00124AB6" w:rsidRPr="00124AB6" w:rsidRDefault="00124AB6" w:rsidP="00124AB6">
            <w:pPr>
              <w:widowControl/>
              <w:jc w:val="center"/>
              <w:rPr>
                <w:bCs/>
                <w:szCs w:val="18"/>
              </w:rPr>
            </w:pPr>
            <w:r w:rsidRPr="00124AB6">
              <w:rPr>
                <w:bCs/>
                <w:szCs w:val="18"/>
              </w:rPr>
              <w:t>Boiler H-800R</w:t>
            </w:r>
          </w:p>
          <w:p w14:paraId="11911897" w14:textId="77777777" w:rsidR="00124AB6" w:rsidRPr="00124AB6" w:rsidRDefault="00124AB6" w:rsidP="00124AB6">
            <w:pPr>
              <w:jc w:val="center"/>
              <w:rPr>
                <w:bCs/>
                <w:szCs w:val="18"/>
              </w:rPr>
            </w:pPr>
            <w:r w:rsidRPr="00124AB6">
              <w:rPr>
                <w:bCs/>
                <w:szCs w:val="18"/>
              </w:rPr>
              <w:t>Natural Gas and No.2 Fuel Oil (Back-up) as Fuels</w:t>
            </w:r>
          </w:p>
        </w:tc>
        <w:tc>
          <w:tcPr>
            <w:tcW w:w="1625" w:type="dxa"/>
          </w:tcPr>
          <w:p w14:paraId="066902BF" w14:textId="77777777" w:rsidR="00124AB6" w:rsidRPr="00124AB6" w:rsidRDefault="00124AB6" w:rsidP="00124AB6">
            <w:pPr>
              <w:jc w:val="center"/>
              <w:rPr>
                <w:bCs/>
                <w:szCs w:val="18"/>
              </w:rPr>
            </w:pPr>
            <w:r w:rsidRPr="00124AB6">
              <w:rPr>
                <w:bCs/>
                <w:szCs w:val="18"/>
              </w:rPr>
              <w:t>2017</w:t>
            </w:r>
          </w:p>
        </w:tc>
        <w:tc>
          <w:tcPr>
            <w:tcW w:w="1347" w:type="dxa"/>
          </w:tcPr>
          <w:p w14:paraId="059AFB1C" w14:textId="77777777" w:rsidR="00124AB6" w:rsidRPr="00124AB6" w:rsidRDefault="00124AB6" w:rsidP="00124AB6">
            <w:pPr>
              <w:jc w:val="center"/>
              <w:rPr>
                <w:bCs/>
                <w:szCs w:val="18"/>
              </w:rPr>
            </w:pPr>
            <w:r w:rsidRPr="00124AB6">
              <w:rPr>
                <w:bCs/>
                <w:szCs w:val="18"/>
              </w:rPr>
              <w:t>None</w:t>
            </w:r>
          </w:p>
        </w:tc>
        <w:tc>
          <w:tcPr>
            <w:tcW w:w="1258" w:type="dxa"/>
          </w:tcPr>
          <w:p w14:paraId="25A00A9C" w14:textId="77777777" w:rsidR="00124AB6" w:rsidRPr="00124AB6" w:rsidRDefault="00124AB6" w:rsidP="00124AB6">
            <w:pPr>
              <w:jc w:val="center"/>
              <w:rPr>
                <w:bCs/>
                <w:szCs w:val="18"/>
              </w:rPr>
            </w:pPr>
            <w:r w:rsidRPr="00124AB6">
              <w:rPr>
                <w:bCs/>
                <w:szCs w:val="18"/>
              </w:rPr>
              <w:t>16</w:t>
            </w:r>
          </w:p>
        </w:tc>
      </w:tr>
    </w:tbl>
    <w:p w14:paraId="7CC1E3DC" w14:textId="77777777" w:rsidR="00124AB6" w:rsidRPr="00124AB6" w:rsidRDefault="00124AB6" w:rsidP="00124AB6"/>
    <w:tbl>
      <w:tblPr>
        <w:tblStyle w:val="TableGrid"/>
        <w:tblW w:w="10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65"/>
        <w:gridCol w:w="5172"/>
        <w:gridCol w:w="1664"/>
        <w:gridCol w:w="1343"/>
        <w:gridCol w:w="1256"/>
      </w:tblGrid>
      <w:tr w:rsidR="00124AB6" w:rsidRPr="00124AB6" w14:paraId="0B0BB4F7" w14:textId="77777777" w:rsidTr="004E3BFD">
        <w:trPr>
          <w:tblHeader/>
        </w:trPr>
        <w:tc>
          <w:tcPr>
            <w:tcW w:w="10800" w:type="dxa"/>
            <w:gridSpan w:val="5"/>
            <w:tcBorders>
              <w:top w:val="single" w:sz="2" w:space="0" w:color="auto"/>
              <w:left w:val="single" w:sz="2" w:space="0" w:color="auto"/>
              <w:bottom w:val="single" w:sz="2" w:space="0" w:color="auto"/>
              <w:right w:val="single" w:sz="2" w:space="0" w:color="auto"/>
            </w:tcBorders>
          </w:tcPr>
          <w:p w14:paraId="354F57AC" w14:textId="77777777" w:rsidR="00124AB6" w:rsidRPr="00124AB6" w:rsidRDefault="00124AB6" w:rsidP="00124AB6">
            <w:pPr>
              <w:keepNext/>
              <w:keepLines/>
              <w:numPr>
                <w:ilvl w:val="0"/>
                <w:numId w:val="5"/>
              </w:numPr>
              <w:rPr>
                <w:rFonts w:eastAsiaTheme="majorEastAsia" w:cstheme="majorBidi"/>
                <w:b/>
                <w:szCs w:val="26"/>
              </w:rPr>
            </w:pPr>
            <w:r w:rsidRPr="00124AB6">
              <w:rPr>
                <w:rFonts w:eastAsiaTheme="majorEastAsia" w:cstheme="majorBidi"/>
                <w:b/>
                <w:szCs w:val="26"/>
              </w:rPr>
              <w:t xml:space="preserve">EQUIPMENT FOR EMISSION UNIT </w:t>
            </w:r>
            <w:r w:rsidRPr="00124AB6">
              <w:rPr>
                <w:rFonts w:eastAsiaTheme="majorEastAsia" w:cstheme="majorBidi"/>
                <w:b/>
                <w:szCs w:val="20"/>
              </w:rPr>
              <w:t>06 – SOUTH POLYOL REACTOR SYSTEM</w:t>
            </w:r>
          </w:p>
          <w:p w14:paraId="3FE338ED" w14:textId="77777777" w:rsidR="00124AB6" w:rsidRPr="00124AB6" w:rsidRDefault="00124AB6" w:rsidP="00124AB6"/>
        </w:tc>
      </w:tr>
      <w:tr w:rsidR="00124AB6" w:rsidRPr="00124AB6" w14:paraId="37B37491" w14:textId="77777777" w:rsidTr="004E3BFD">
        <w:trPr>
          <w:tblHeader/>
        </w:trPr>
        <w:tc>
          <w:tcPr>
            <w:tcW w:w="1365"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5B2A2B8A" w14:textId="77777777" w:rsidR="00124AB6" w:rsidRPr="00124AB6" w:rsidRDefault="00124AB6" w:rsidP="00124AB6">
            <w:pPr>
              <w:jc w:val="center"/>
              <w:rPr>
                <w:b/>
              </w:rPr>
            </w:pPr>
            <w:r w:rsidRPr="00124AB6">
              <w:rPr>
                <w:b/>
              </w:rPr>
              <w:t>Equipment ID</w:t>
            </w:r>
          </w:p>
        </w:tc>
        <w:tc>
          <w:tcPr>
            <w:tcW w:w="5172"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7BD535BB" w14:textId="77777777" w:rsidR="00124AB6" w:rsidRPr="00124AB6" w:rsidRDefault="00124AB6" w:rsidP="00124AB6">
            <w:pPr>
              <w:jc w:val="center"/>
              <w:rPr>
                <w:b/>
              </w:rPr>
            </w:pPr>
            <w:r w:rsidRPr="00124AB6">
              <w:rPr>
                <w:b/>
              </w:rPr>
              <w:t>Equipment Description</w:t>
            </w:r>
          </w:p>
        </w:tc>
        <w:tc>
          <w:tcPr>
            <w:tcW w:w="1664"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3D7B36A7" w14:textId="77777777" w:rsidR="00124AB6" w:rsidRPr="00124AB6" w:rsidRDefault="00124AB6" w:rsidP="00124AB6">
            <w:pPr>
              <w:jc w:val="center"/>
              <w:rPr>
                <w:b/>
              </w:rPr>
            </w:pPr>
            <w:r w:rsidRPr="00124AB6">
              <w:rPr>
                <w:b/>
              </w:rPr>
              <w:t>Installation Date</w:t>
            </w:r>
          </w:p>
        </w:tc>
        <w:tc>
          <w:tcPr>
            <w:tcW w:w="1343"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3AEC77EA" w14:textId="77777777" w:rsidR="00124AB6" w:rsidRPr="00124AB6" w:rsidRDefault="00124AB6" w:rsidP="00124AB6">
            <w:pPr>
              <w:jc w:val="center"/>
              <w:rPr>
                <w:b/>
              </w:rPr>
            </w:pPr>
            <w:r w:rsidRPr="00124AB6">
              <w:rPr>
                <w:b/>
              </w:rPr>
              <w:t>Control Device ID</w:t>
            </w:r>
          </w:p>
        </w:tc>
        <w:tc>
          <w:tcPr>
            <w:tcW w:w="1256"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1CC11E48" w14:textId="77777777" w:rsidR="00124AB6" w:rsidRPr="00124AB6" w:rsidRDefault="00124AB6" w:rsidP="00124AB6">
            <w:pPr>
              <w:jc w:val="center"/>
              <w:rPr>
                <w:b/>
              </w:rPr>
            </w:pPr>
            <w:r w:rsidRPr="00124AB6">
              <w:rPr>
                <w:b/>
              </w:rPr>
              <w:t>Emission Point ID</w:t>
            </w:r>
          </w:p>
        </w:tc>
      </w:tr>
      <w:tr w:rsidR="00124AB6" w:rsidRPr="00124AB6" w14:paraId="6413562D" w14:textId="77777777" w:rsidTr="004E3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5" w:type="dxa"/>
          </w:tcPr>
          <w:p w14:paraId="7A8BB24B" w14:textId="77777777" w:rsidR="00124AB6" w:rsidRPr="00124AB6" w:rsidRDefault="00124AB6" w:rsidP="00124AB6">
            <w:pPr>
              <w:jc w:val="center"/>
              <w:rPr>
                <w:bCs/>
                <w:szCs w:val="18"/>
              </w:rPr>
            </w:pPr>
            <w:r w:rsidRPr="00124AB6">
              <w:rPr>
                <w:bCs/>
                <w:szCs w:val="18"/>
              </w:rPr>
              <w:t>R-2</w:t>
            </w:r>
          </w:p>
        </w:tc>
        <w:tc>
          <w:tcPr>
            <w:tcW w:w="5172" w:type="dxa"/>
          </w:tcPr>
          <w:p w14:paraId="5C43DC5C" w14:textId="77777777" w:rsidR="00124AB6" w:rsidRPr="00124AB6" w:rsidRDefault="00124AB6" w:rsidP="00124AB6">
            <w:pPr>
              <w:jc w:val="center"/>
              <w:rPr>
                <w:bCs/>
                <w:szCs w:val="18"/>
              </w:rPr>
            </w:pPr>
            <w:r w:rsidRPr="00124AB6">
              <w:rPr>
                <w:bCs/>
                <w:szCs w:val="18"/>
              </w:rPr>
              <w:t>Reactor No.2</w:t>
            </w:r>
          </w:p>
        </w:tc>
        <w:tc>
          <w:tcPr>
            <w:tcW w:w="1664" w:type="dxa"/>
          </w:tcPr>
          <w:p w14:paraId="32698BAA" w14:textId="77777777" w:rsidR="00124AB6" w:rsidRPr="00124AB6" w:rsidRDefault="00124AB6" w:rsidP="00124AB6">
            <w:pPr>
              <w:jc w:val="center"/>
              <w:rPr>
                <w:bCs/>
                <w:szCs w:val="18"/>
              </w:rPr>
            </w:pPr>
            <w:r w:rsidRPr="00124AB6">
              <w:rPr>
                <w:bCs/>
                <w:szCs w:val="18"/>
              </w:rPr>
              <w:t>Pre-1981/2010/2023</w:t>
            </w:r>
          </w:p>
        </w:tc>
        <w:tc>
          <w:tcPr>
            <w:tcW w:w="1343" w:type="dxa"/>
          </w:tcPr>
          <w:p w14:paraId="161FD539" w14:textId="77777777" w:rsidR="00124AB6" w:rsidRPr="00124AB6" w:rsidRDefault="00124AB6" w:rsidP="00124AB6">
            <w:pPr>
              <w:jc w:val="center"/>
              <w:rPr>
                <w:bCs/>
                <w:szCs w:val="18"/>
              </w:rPr>
            </w:pPr>
            <w:r w:rsidRPr="00124AB6">
              <w:rPr>
                <w:bCs/>
                <w:szCs w:val="18"/>
              </w:rPr>
              <w:t>NP-1</w:t>
            </w:r>
          </w:p>
        </w:tc>
        <w:tc>
          <w:tcPr>
            <w:tcW w:w="1256" w:type="dxa"/>
          </w:tcPr>
          <w:p w14:paraId="5E43A4BA" w14:textId="77777777" w:rsidR="00124AB6" w:rsidRPr="00124AB6" w:rsidRDefault="00124AB6" w:rsidP="00124AB6">
            <w:pPr>
              <w:jc w:val="center"/>
              <w:rPr>
                <w:bCs/>
                <w:szCs w:val="18"/>
              </w:rPr>
            </w:pPr>
            <w:r w:rsidRPr="00124AB6">
              <w:rPr>
                <w:bCs/>
                <w:szCs w:val="18"/>
              </w:rPr>
              <w:t>05</w:t>
            </w:r>
          </w:p>
        </w:tc>
      </w:tr>
      <w:tr w:rsidR="00124AB6" w:rsidRPr="00124AB6" w14:paraId="44A3B992" w14:textId="77777777" w:rsidTr="004E3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5" w:type="dxa"/>
          </w:tcPr>
          <w:p w14:paraId="54DDD7AF" w14:textId="77777777" w:rsidR="00124AB6" w:rsidRPr="00124AB6" w:rsidRDefault="00124AB6" w:rsidP="00124AB6">
            <w:pPr>
              <w:jc w:val="center"/>
              <w:rPr>
                <w:bCs/>
                <w:szCs w:val="18"/>
              </w:rPr>
            </w:pPr>
            <w:r w:rsidRPr="00124AB6">
              <w:rPr>
                <w:bCs/>
                <w:szCs w:val="18"/>
              </w:rPr>
              <w:t>R-3</w:t>
            </w:r>
          </w:p>
        </w:tc>
        <w:tc>
          <w:tcPr>
            <w:tcW w:w="5172" w:type="dxa"/>
          </w:tcPr>
          <w:p w14:paraId="5DA83E85" w14:textId="77777777" w:rsidR="00124AB6" w:rsidRPr="00124AB6" w:rsidRDefault="00124AB6" w:rsidP="00124AB6">
            <w:pPr>
              <w:jc w:val="center"/>
              <w:rPr>
                <w:bCs/>
                <w:szCs w:val="18"/>
              </w:rPr>
            </w:pPr>
            <w:r w:rsidRPr="00124AB6">
              <w:rPr>
                <w:bCs/>
                <w:szCs w:val="18"/>
              </w:rPr>
              <w:t>Reactor No.3</w:t>
            </w:r>
          </w:p>
        </w:tc>
        <w:tc>
          <w:tcPr>
            <w:tcW w:w="1664" w:type="dxa"/>
          </w:tcPr>
          <w:p w14:paraId="1A736E61" w14:textId="77777777" w:rsidR="00124AB6" w:rsidRPr="00124AB6" w:rsidRDefault="00124AB6" w:rsidP="00124AB6">
            <w:pPr>
              <w:jc w:val="center"/>
              <w:rPr>
                <w:bCs/>
                <w:szCs w:val="18"/>
              </w:rPr>
            </w:pPr>
            <w:r w:rsidRPr="00124AB6">
              <w:rPr>
                <w:bCs/>
                <w:szCs w:val="18"/>
              </w:rPr>
              <w:t>Pre-1981/2010</w:t>
            </w:r>
          </w:p>
        </w:tc>
        <w:tc>
          <w:tcPr>
            <w:tcW w:w="1343" w:type="dxa"/>
          </w:tcPr>
          <w:p w14:paraId="595E2E97" w14:textId="77777777" w:rsidR="00124AB6" w:rsidRPr="00124AB6" w:rsidRDefault="00124AB6" w:rsidP="00124AB6">
            <w:pPr>
              <w:jc w:val="center"/>
              <w:rPr>
                <w:bCs/>
                <w:szCs w:val="18"/>
              </w:rPr>
            </w:pPr>
            <w:r w:rsidRPr="00124AB6">
              <w:rPr>
                <w:bCs/>
                <w:szCs w:val="18"/>
              </w:rPr>
              <w:t>NP-1</w:t>
            </w:r>
          </w:p>
        </w:tc>
        <w:tc>
          <w:tcPr>
            <w:tcW w:w="1256" w:type="dxa"/>
          </w:tcPr>
          <w:p w14:paraId="0D2E4F45" w14:textId="77777777" w:rsidR="00124AB6" w:rsidRPr="00124AB6" w:rsidRDefault="00124AB6" w:rsidP="00124AB6">
            <w:pPr>
              <w:jc w:val="center"/>
              <w:rPr>
                <w:bCs/>
                <w:szCs w:val="18"/>
              </w:rPr>
            </w:pPr>
            <w:r w:rsidRPr="00124AB6">
              <w:rPr>
                <w:bCs/>
                <w:szCs w:val="18"/>
              </w:rPr>
              <w:t>05</w:t>
            </w:r>
          </w:p>
        </w:tc>
      </w:tr>
      <w:tr w:rsidR="00124AB6" w:rsidRPr="00124AB6" w14:paraId="2BBCB2A3" w14:textId="77777777" w:rsidTr="004E3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5" w:type="dxa"/>
          </w:tcPr>
          <w:p w14:paraId="5812F605" w14:textId="77777777" w:rsidR="00124AB6" w:rsidRPr="00124AB6" w:rsidRDefault="00124AB6" w:rsidP="00124AB6">
            <w:pPr>
              <w:jc w:val="center"/>
              <w:rPr>
                <w:bCs/>
                <w:szCs w:val="18"/>
              </w:rPr>
            </w:pPr>
            <w:r w:rsidRPr="00124AB6">
              <w:rPr>
                <w:bCs/>
                <w:szCs w:val="18"/>
              </w:rPr>
              <w:t>R-4</w:t>
            </w:r>
          </w:p>
        </w:tc>
        <w:tc>
          <w:tcPr>
            <w:tcW w:w="5172" w:type="dxa"/>
          </w:tcPr>
          <w:p w14:paraId="6A7511CE" w14:textId="77777777" w:rsidR="00124AB6" w:rsidRPr="00124AB6" w:rsidRDefault="00124AB6" w:rsidP="00124AB6">
            <w:pPr>
              <w:jc w:val="center"/>
              <w:rPr>
                <w:bCs/>
                <w:szCs w:val="18"/>
              </w:rPr>
            </w:pPr>
            <w:r w:rsidRPr="00124AB6">
              <w:rPr>
                <w:bCs/>
                <w:szCs w:val="18"/>
              </w:rPr>
              <w:t>Reactor No.4</w:t>
            </w:r>
          </w:p>
        </w:tc>
        <w:tc>
          <w:tcPr>
            <w:tcW w:w="1664" w:type="dxa"/>
          </w:tcPr>
          <w:p w14:paraId="2838EC92" w14:textId="77777777" w:rsidR="00124AB6" w:rsidRPr="00124AB6" w:rsidRDefault="00124AB6" w:rsidP="00124AB6">
            <w:pPr>
              <w:jc w:val="center"/>
              <w:rPr>
                <w:bCs/>
                <w:szCs w:val="18"/>
              </w:rPr>
            </w:pPr>
            <w:r w:rsidRPr="00124AB6">
              <w:rPr>
                <w:bCs/>
                <w:szCs w:val="18"/>
              </w:rPr>
              <w:t>Pre-1981/2010/2023</w:t>
            </w:r>
          </w:p>
        </w:tc>
        <w:tc>
          <w:tcPr>
            <w:tcW w:w="1343" w:type="dxa"/>
          </w:tcPr>
          <w:p w14:paraId="2AD863A0" w14:textId="77777777" w:rsidR="00124AB6" w:rsidRPr="00124AB6" w:rsidRDefault="00124AB6" w:rsidP="00124AB6">
            <w:pPr>
              <w:jc w:val="center"/>
              <w:rPr>
                <w:bCs/>
                <w:szCs w:val="18"/>
              </w:rPr>
            </w:pPr>
            <w:r w:rsidRPr="00124AB6">
              <w:rPr>
                <w:bCs/>
                <w:szCs w:val="18"/>
              </w:rPr>
              <w:t>NP-1</w:t>
            </w:r>
          </w:p>
        </w:tc>
        <w:tc>
          <w:tcPr>
            <w:tcW w:w="1256" w:type="dxa"/>
          </w:tcPr>
          <w:p w14:paraId="4A72A8A6" w14:textId="77777777" w:rsidR="00124AB6" w:rsidRPr="00124AB6" w:rsidRDefault="00124AB6" w:rsidP="00124AB6">
            <w:pPr>
              <w:jc w:val="center"/>
              <w:rPr>
                <w:bCs/>
                <w:szCs w:val="18"/>
              </w:rPr>
            </w:pPr>
            <w:r w:rsidRPr="00124AB6">
              <w:rPr>
                <w:bCs/>
                <w:szCs w:val="18"/>
              </w:rPr>
              <w:t>05</w:t>
            </w:r>
          </w:p>
        </w:tc>
      </w:tr>
      <w:tr w:rsidR="00124AB6" w:rsidRPr="00124AB6" w14:paraId="6713CAF0" w14:textId="77777777" w:rsidTr="004E3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5" w:type="dxa"/>
          </w:tcPr>
          <w:p w14:paraId="011DD1E3" w14:textId="77777777" w:rsidR="00124AB6" w:rsidRPr="00124AB6" w:rsidRDefault="00124AB6" w:rsidP="00124AB6">
            <w:pPr>
              <w:jc w:val="center"/>
              <w:rPr>
                <w:bCs/>
                <w:szCs w:val="18"/>
              </w:rPr>
            </w:pPr>
            <w:r w:rsidRPr="00124AB6">
              <w:rPr>
                <w:bCs/>
                <w:szCs w:val="18"/>
              </w:rPr>
              <w:t>R-6</w:t>
            </w:r>
          </w:p>
        </w:tc>
        <w:tc>
          <w:tcPr>
            <w:tcW w:w="5172" w:type="dxa"/>
          </w:tcPr>
          <w:p w14:paraId="7009AD8E" w14:textId="77777777" w:rsidR="00124AB6" w:rsidRPr="00124AB6" w:rsidRDefault="00124AB6" w:rsidP="00124AB6">
            <w:pPr>
              <w:jc w:val="center"/>
              <w:rPr>
                <w:bCs/>
                <w:szCs w:val="18"/>
              </w:rPr>
            </w:pPr>
            <w:r w:rsidRPr="00124AB6">
              <w:rPr>
                <w:bCs/>
                <w:szCs w:val="18"/>
              </w:rPr>
              <w:t>Reactor No.6</w:t>
            </w:r>
          </w:p>
        </w:tc>
        <w:tc>
          <w:tcPr>
            <w:tcW w:w="1664" w:type="dxa"/>
          </w:tcPr>
          <w:p w14:paraId="3E54145A" w14:textId="77777777" w:rsidR="00124AB6" w:rsidRPr="00124AB6" w:rsidRDefault="00124AB6" w:rsidP="00124AB6">
            <w:pPr>
              <w:jc w:val="center"/>
              <w:rPr>
                <w:bCs/>
                <w:szCs w:val="18"/>
              </w:rPr>
            </w:pPr>
            <w:r w:rsidRPr="00124AB6">
              <w:rPr>
                <w:bCs/>
                <w:szCs w:val="18"/>
              </w:rPr>
              <w:t>1997/2010</w:t>
            </w:r>
          </w:p>
        </w:tc>
        <w:tc>
          <w:tcPr>
            <w:tcW w:w="1343" w:type="dxa"/>
          </w:tcPr>
          <w:p w14:paraId="3A9D9823" w14:textId="77777777" w:rsidR="00124AB6" w:rsidRPr="00124AB6" w:rsidRDefault="00124AB6" w:rsidP="00124AB6">
            <w:pPr>
              <w:jc w:val="center"/>
              <w:rPr>
                <w:bCs/>
                <w:szCs w:val="18"/>
              </w:rPr>
            </w:pPr>
            <w:r w:rsidRPr="00124AB6">
              <w:rPr>
                <w:bCs/>
                <w:szCs w:val="18"/>
              </w:rPr>
              <w:t>NP-1</w:t>
            </w:r>
          </w:p>
        </w:tc>
        <w:tc>
          <w:tcPr>
            <w:tcW w:w="1256" w:type="dxa"/>
          </w:tcPr>
          <w:p w14:paraId="4AE24F94" w14:textId="77777777" w:rsidR="00124AB6" w:rsidRPr="00124AB6" w:rsidRDefault="00124AB6" w:rsidP="00124AB6">
            <w:pPr>
              <w:jc w:val="center"/>
              <w:rPr>
                <w:bCs/>
                <w:szCs w:val="18"/>
              </w:rPr>
            </w:pPr>
            <w:r w:rsidRPr="00124AB6">
              <w:rPr>
                <w:bCs/>
                <w:szCs w:val="18"/>
              </w:rPr>
              <w:t>05</w:t>
            </w:r>
          </w:p>
        </w:tc>
      </w:tr>
      <w:tr w:rsidR="00124AB6" w:rsidRPr="00124AB6" w14:paraId="7C238D25" w14:textId="77777777" w:rsidTr="004E3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5" w:type="dxa"/>
          </w:tcPr>
          <w:p w14:paraId="7D5D41C9" w14:textId="77777777" w:rsidR="00124AB6" w:rsidRPr="00124AB6" w:rsidRDefault="00124AB6" w:rsidP="00124AB6">
            <w:pPr>
              <w:jc w:val="center"/>
              <w:rPr>
                <w:bCs/>
                <w:szCs w:val="18"/>
              </w:rPr>
            </w:pPr>
            <w:r w:rsidRPr="00124AB6">
              <w:rPr>
                <w:bCs/>
                <w:szCs w:val="18"/>
              </w:rPr>
              <w:t>R-7</w:t>
            </w:r>
          </w:p>
        </w:tc>
        <w:tc>
          <w:tcPr>
            <w:tcW w:w="5172" w:type="dxa"/>
          </w:tcPr>
          <w:p w14:paraId="7DB1ABBC" w14:textId="77777777" w:rsidR="00124AB6" w:rsidRPr="00124AB6" w:rsidRDefault="00124AB6" w:rsidP="00124AB6">
            <w:pPr>
              <w:jc w:val="center"/>
              <w:rPr>
                <w:bCs/>
                <w:szCs w:val="18"/>
              </w:rPr>
            </w:pPr>
            <w:r w:rsidRPr="00124AB6">
              <w:rPr>
                <w:bCs/>
                <w:szCs w:val="18"/>
              </w:rPr>
              <w:t>Reactor No.7</w:t>
            </w:r>
          </w:p>
        </w:tc>
        <w:tc>
          <w:tcPr>
            <w:tcW w:w="1664" w:type="dxa"/>
          </w:tcPr>
          <w:p w14:paraId="241644E8" w14:textId="77777777" w:rsidR="00124AB6" w:rsidRPr="00124AB6" w:rsidRDefault="00124AB6" w:rsidP="00124AB6">
            <w:pPr>
              <w:jc w:val="center"/>
              <w:rPr>
                <w:bCs/>
                <w:szCs w:val="18"/>
              </w:rPr>
            </w:pPr>
            <w:r w:rsidRPr="00124AB6">
              <w:rPr>
                <w:bCs/>
                <w:szCs w:val="18"/>
              </w:rPr>
              <w:t>1997/2010</w:t>
            </w:r>
          </w:p>
        </w:tc>
        <w:tc>
          <w:tcPr>
            <w:tcW w:w="1343" w:type="dxa"/>
          </w:tcPr>
          <w:p w14:paraId="055E4AA2" w14:textId="77777777" w:rsidR="00124AB6" w:rsidRPr="00124AB6" w:rsidRDefault="00124AB6" w:rsidP="00124AB6">
            <w:pPr>
              <w:jc w:val="center"/>
              <w:rPr>
                <w:bCs/>
                <w:szCs w:val="18"/>
              </w:rPr>
            </w:pPr>
            <w:r w:rsidRPr="00124AB6">
              <w:rPr>
                <w:bCs/>
                <w:szCs w:val="18"/>
              </w:rPr>
              <w:t>NP-1</w:t>
            </w:r>
          </w:p>
        </w:tc>
        <w:tc>
          <w:tcPr>
            <w:tcW w:w="1256" w:type="dxa"/>
          </w:tcPr>
          <w:p w14:paraId="0D61CDDF" w14:textId="77777777" w:rsidR="00124AB6" w:rsidRPr="00124AB6" w:rsidRDefault="00124AB6" w:rsidP="00124AB6">
            <w:pPr>
              <w:jc w:val="center"/>
              <w:rPr>
                <w:bCs/>
                <w:szCs w:val="18"/>
              </w:rPr>
            </w:pPr>
            <w:r w:rsidRPr="00124AB6">
              <w:rPr>
                <w:bCs/>
                <w:szCs w:val="18"/>
              </w:rPr>
              <w:t>05</w:t>
            </w:r>
          </w:p>
        </w:tc>
      </w:tr>
    </w:tbl>
    <w:p w14:paraId="7AEAB9ED" w14:textId="77777777" w:rsidR="00124AB6" w:rsidRPr="00124AB6" w:rsidRDefault="00124AB6" w:rsidP="00124AB6"/>
    <w:tbl>
      <w:tblPr>
        <w:tblStyle w:val="TableGrid"/>
        <w:tblW w:w="10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50"/>
        <w:gridCol w:w="4860"/>
        <w:gridCol w:w="1890"/>
        <w:gridCol w:w="1440"/>
        <w:gridCol w:w="1260"/>
      </w:tblGrid>
      <w:tr w:rsidR="00124AB6" w:rsidRPr="00124AB6" w14:paraId="1EC50DB3" w14:textId="77777777" w:rsidTr="004E3BFD">
        <w:trPr>
          <w:tblHeader/>
        </w:trPr>
        <w:tc>
          <w:tcPr>
            <w:tcW w:w="10800" w:type="dxa"/>
            <w:gridSpan w:val="5"/>
            <w:tcBorders>
              <w:top w:val="single" w:sz="2" w:space="0" w:color="auto"/>
              <w:left w:val="single" w:sz="2" w:space="0" w:color="auto"/>
              <w:bottom w:val="single" w:sz="2" w:space="0" w:color="auto"/>
              <w:right w:val="single" w:sz="2" w:space="0" w:color="auto"/>
            </w:tcBorders>
          </w:tcPr>
          <w:p w14:paraId="19EBB21C" w14:textId="77777777" w:rsidR="00124AB6" w:rsidRPr="00124AB6" w:rsidRDefault="00124AB6" w:rsidP="00124AB6">
            <w:pPr>
              <w:keepNext/>
              <w:keepLines/>
              <w:numPr>
                <w:ilvl w:val="0"/>
                <w:numId w:val="5"/>
              </w:numPr>
              <w:rPr>
                <w:rFonts w:eastAsiaTheme="majorEastAsia" w:cstheme="majorBidi"/>
                <w:b/>
                <w:szCs w:val="26"/>
              </w:rPr>
            </w:pPr>
            <w:r w:rsidRPr="00124AB6">
              <w:rPr>
                <w:rFonts w:eastAsiaTheme="majorEastAsia" w:cstheme="majorBidi"/>
                <w:b/>
                <w:szCs w:val="26"/>
              </w:rPr>
              <w:t xml:space="preserve">CONTROL DEVICE(S) FOR EMISSION UNIT </w:t>
            </w:r>
            <w:r w:rsidRPr="00124AB6">
              <w:rPr>
                <w:rFonts w:eastAsiaTheme="majorEastAsia" w:cstheme="majorBidi"/>
                <w:b/>
                <w:szCs w:val="20"/>
              </w:rPr>
              <w:t>06 – SOUTH POLYOL REACTOR SYSTEM</w:t>
            </w:r>
          </w:p>
          <w:p w14:paraId="021C9D24" w14:textId="77777777" w:rsidR="00124AB6" w:rsidRPr="00124AB6" w:rsidRDefault="00124AB6" w:rsidP="00124AB6"/>
        </w:tc>
      </w:tr>
      <w:tr w:rsidR="00124AB6" w:rsidRPr="00124AB6" w14:paraId="79840C76" w14:textId="77777777" w:rsidTr="004E3BFD">
        <w:trPr>
          <w:tblHeader/>
        </w:trPr>
        <w:tc>
          <w:tcPr>
            <w:tcW w:w="1350"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08AB5889" w14:textId="77777777" w:rsidR="00124AB6" w:rsidRPr="00124AB6" w:rsidRDefault="00124AB6" w:rsidP="00124AB6">
            <w:pPr>
              <w:jc w:val="center"/>
              <w:rPr>
                <w:b/>
              </w:rPr>
            </w:pPr>
            <w:r w:rsidRPr="00124AB6">
              <w:rPr>
                <w:b/>
              </w:rPr>
              <w:t>Control Device ID</w:t>
            </w:r>
          </w:p>
        </w:tc>
        <w:tc>
          <w:tcPr>
            <w:tcW w:w="4860"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30703558" w14:textId="77777777" w:rsidR="00124AB6" w:rsidRPr="00124AB6" w:rsidRDefault="00124AB6" w:rsidP="00124AB6">
            <w:pPr>
              <w:jc w:val="center"/>
              <w:rPr>
                <w:b/>
              </w:rPr>
            </w:pPr>
            <w:r w:rsidRPr="00124AB6">
              <w:rPr>
                <w:b/>
              </w:rPr>
              <w:t>Control Device Description</w:t>
            </w:r>
          </w:p>
        </w:tc>
        <w:tc>
          <w:tcPr>
            <w:tcW w:w="1890"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5BBB45F0" w14:textId="77777777" w:rsidR="00124AB6" w:rsidRPr="00124AB6" w:rsidRDefault="00124AB6" w:rsidP="00124AB6">
            <w:pPr>
              <w:jc w:val="center"/>
              <w:rPr>
                <w:b/>
              </w:rPr>
            </w:pPr>
            <w:r w:rsidRPr="00124AB6">
              <w:rPr>
                <w:b/>
              </w:rPr>
              <w:t>Pollutant(s) Controlled</w:t>
            </w:r>
          </w:p>
        </w:tc>
        <w:tc>
          <w:tcPr>
            <w:tcW w:w="1440"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3A76E147" w14:textId="77777777" w:rsidR="00124AB6" w:rsidRPr="00124AB6" w:rsidRDefault="00124AB6" w:rsidP="00124AB6">
            <w:pPr>
              <w:jc w:val="center"/>
              <w:rPr>
                <w:b/>
              </w:rPr>
            </w:pPr>
            <w:r w:rsidRPr="00124AB6">
              <w:rPr>
                <w:b/>
              </w:rPr>
              <w:t>Installation Date</w:t>
            </w:r>
          </w:p>
        </w:tc>
        <w:tc>
          <w:tcPr>
            <w:tcW w:w="1260"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7DAD3981" w14:textId="77777777" w:rsidR="00124AB6" w:rsidRPr="00124AB6" w:rsidRDefault="00124AB6" w:rsidP="00124AB6">
            <w:pPr>
              <w:jc w:val="center"/>
              <w:rPr>
                <w:b/>
              </w:rPr>
            </w:pPr>
            <w:r w:rsidRPr="00124AB6">
              <w:rPr>
                <w:b/>
              </w:rPr>
              <w:t>Emission Point ID</w:t>
            </w:r>
          </w:p>
        </w:tc>
      </w:tr>
      <w:tr w:rsidR="00124AB6" w:rsidRPr="00124AB6" w14:paraId="77D0E066" w14:textId="77777777" w:rsidTr="004E3BFD">
        <w:trPr>
          <w:trHeight w:val="432"/>
        </w:trPr>
        <w:tc>
          <w:tcPr>
            <w:tcW w:w="1350" w:type="dxa"/>
            <w:tcBorders>
              <w:top w:val="single" w:sz="2" w:space="0" w:color="auto"/>
              <w:left w:val="single" w:sz="2" w:space="0" w:color="auto"/>
              <w:bottom w:val="single" w:sz="2" w:space="0" w:color="auto"/>
              <w:right w:val="single" w:sz="2" w:space="0" w:color="auto"/>
            </w:tcBorders>
          </w:tcPr>
          <w:p w14:paraId="59DEFBC8" w14:textId="77777777" w:rsidR="00124AB6" w:rsidRPr="00124AB6" w:rsidRDefault="00124AB6" w:rsidP="00124AB6">
            <w:pPr>
              <w:jc w:val="center"/>
            </w:pPr>
            <w:r w:rsidRPr="00124AB6">
              <w:rPr>
                <w:szCs w:val="20"/>
              </w:rPr>
              <w:t>NP-1</w:t>
            </w:r>
          </w:p>
        </w:tc>
        <w:tc>
          <w:tcPr>
            <w:tcW w:w="4860" w:type="dxa"/>
            <w:tcBorders>
              <w:top w:val="single" w:sz="2" w:space="0" w:color="auto"/>
              <w:left w:val="single" w:sz="2" w:space="0" w:color="auto"/>
              <w:bottom w:val="single" w:sz="2" w:space="0" w:color="auto"/>
              <w:right w:val="single" w:sz="2" w:space="0" w:color="auto"/>
            </w:tcBorders>
          </w:tcPr>
          <w:p w14:paraId="5A6E1DAB" w14:textId="77777777" w:rsidR="00124AB6" w:rsidRPr="00124AB6" w:rsidRDefault="00124AB6" w:rsidP="00124AB6">
            <w:pPr>
              <w:jc w:val="center"/>
            </w:pPr>
            <w:r w:rsidRPr="00124AB6">
              <w:t>North Polyol Scrubber</w:t>
            </w:r>
          </w:p>
        </w:tc>
        <w:tc>
          <w:tcPr>
            <w:tcW w:w="1890" w:type="dxa"/>
            <w:tcBorders>
              <w:top w:val="single" w:sz="2" w:space="0" w:color="auto"/>
              <w:left w:val="single" w:sz="2" w:space="0" w:color="auto"/>
              <w:bottom w:val="single" w:sz="2" w:space="0" w:color="auto"/>
              <w:right w:val="single" w:sz="2" w:space="0" w:color="auto"/>
            </w:tcBorders>
          </w:tcPr>
          <w:p w14:paraId="4D75062E" w14:textId="77777777" w:rsidR="00124AB6" w:rsidRPr="00124AB6" w:rsidRDefault="00124AB6" w:rsidP="00124AB6">
            <w:pPr>
              <w:jc w:val="center"/>
              <w:rPr>
                <w:lang w:val="it-IT"/>
              </w:rPr>
            </w:pPr>
            <w:r w:rsidRPr="00124AB6">
              <w:rPr>
                <w:lang w:val="it-IT"/>
              </w:rPr>
              <w:t>PM</w:t>
            </w:r>
            <w:r w:rsidRPr="00124AB6">
              <w:rPr>
                <w:vertAlign w:val="subscript"/>
                <w:lang w:val="it-IT"/>
              </w:rPr>
              <w:t>10</w:t>
            </w:r>
            <w:r w:rsidRPr="00124AB6">
              <w:rPr>
                <w:lang w:val="it-IT"/>
              </w:rPr>
              <w:t xml:space="preserve"> </w:t>
            </w:r>
          </w:p>
          <w:p w14:paraId="1D7B037B" w14:textId="77777777" w:rsidR="00124AB6" w:rsidRPr="00124AB6" w:rsidRDefault="00124AB6" w:rsidP="00124AB6">
            <w:pPr>
              <w:jc w:val="center"/>
            </w:pPr>
            <w:r w:rsidRPr="00124AB6">
              <w:rPr>
                <w:lang w:val="it-IT"/>
              </w:rPr>
              <w:t xml:space="preserve">Ethylene Oxide  </w:t>
            </w:r>
            <w:r w:rsidRPr="00124AB6">
              <w:t xml:space="preserve">Propylene Oxide </w:t>
            </w:r>
            <w:r w:rsidRPr="00124AB6">
              <w:rPr>
                <w:lang w:val="it-IT"/>
              </w:rPr>
              <w:t>Butylene Oxide</w:t>
            </w:r>
          </w:p>
        </w:tc>
        <w:tc>
          <w:tcPr>
            <w:tcW w:w="1440" w:type="dxa"/>
            <w:tcBorders>
              <w:top w:val="single" w:sz="2" w:space="0" w:color="auto"/>
              <w:left w:val="single" w:sz="2" w:space="0" w:color="auto"/>
              <w:bottom w:val="single" w:sz="2" w:space="0" w:color="auto"/>
              <w:right w:val="single" w:sz="2" w:space="0" w:color="auto"/>
            </w:tcBorders>
          </w:tcPr>
          <w:p w14:paraId="13414753" w14:textId="77777777" w:rsidR="00124AB6" w:rsidRPr="00124AB6" w:rsidRDefault="00124AB6" w:rsidP="00124AB6">
            <w:pPr>
              <w:jc w:val="center"/>
            </w:pPr>
            <w:r w:rsidRPr="00124AB6">
              <w:t>1995/2010</w:t>
            </w:r>
          </w:p>
        </w:tc>
        <w:tc>
          <w:tcPr>
            <w:tcW w:w="1260" w:type="dxa"/>
            <w:tcBorders>
              <w:top w:val="single" w:sz="2" w:space="0" w:color="auto"/>
              <w:left w:val="single" w:sz="2" w:space="0" w:color="auto"/>
              <w:bottom w:val="single" w:sz="2" w:space="0" w:color="auto"/>
              <w:right w:val="single" w:sz="2" w:space="0" w:color="auto"/>
            </w:tcBorders>
          </w:tcPr>
          <w:p w14:paraId="4A59F320" w14:textId="77777777" w:rsidR="00124AB6" w:rsidRPr="00124AB6" w:rsidRDefault="00124AB6" w:rsidP="00124AB6">
            <w:pPr>
              <w:jc w:val="center"/>
            </w:pPr>
            <w:r w:rsidRPr="00124AB6">
              <w:t>05</w:t>
            </w:r>
          </w:p>
        </w:tc>
      </w:tr>
    </w:tbl>
    <w:p w14:paraId="233D97BA" w14:textId="77777777" w:rsidR="00124AB6" w:rsidRPr="00124AB6" w:rsidRDefault="00124AB6" w:rsidP="00124AB6"/>
    <w:tbl>
      <w:tblPr>
        <w:tblStyle w:val="TableGrid"/>
        <w:tblW w:w="10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66"/>
        <w:gridCol w:w="5204"/>
        <w:gridCol w:w="1625"/>
        <w:gridCol w:w="1347"/>
        <w:gridCol w:w="1258"/>
      </w:tblGrid>
      <w:tr w:rsidR="00124AB6" w:rsidRPr="00124AB6" w14:paraId="36883455" w14:textId="77777777" w:rsidTr="004E3BFD">
        <w:trPr>
          <w:tblHeader/>
        </w:trPr>
        <w:tc>
          <w:tcPr>
            <w:tcW w:w="10800" w:type="dxa"/>
            <w:gridSpan w:val="5"/>
            <w:tcBorders>
              <w:top w:val="single" w:sz="2" w:space="0" w:color="auto"/>
              <w:left w:val="single" w:sz="2" w:space="0" w:color="auto"/>
              <w:bottom w:val="single" w:sz="2" w:space="0" w:color="auto"/>
              <w:right w:val="single" w:sz="2" w:space="0" w:color="auto"/>
            </w:tcBorders>
          </w:tcPr>
          <w:p w14:paraId="0CF278FD" w14:textId="77777777" w:rsidR="00124AB6" w:rsidRPr="00124AB6" w:rsidRDefault="00124AB6" w:rsidP="00124AB6">
            <w:pPr>
              <w:keepNext/>
              <w:keepLines/>
              <w:numPr>
                <w:ilvl w:val="0"/>
                <w:numId w:val="5"/>
              </w:numPr>
              <w:rPr>
                <w:rFonts w:eastAsiaTheme="majorEastAsia" w:cstheme="majorBidi"/>
                <w:b/>
                <w:szCs w:val="26"/>
              </w:rPr>
            </w:pPr>
            <w:r w:rsidRPr="00124AB6">
              <w:rPr>
                <w:rFonts w:eastAsiaTheme="majorEastAsia" w:cstheme="majorBidi"/>
                <w:b/>
                <w:szCs w:val="26"/>
              </w:rPr>
              <w:t xml:space="preserve">EQUIPMENT FOR EMISSION UNIT </w:t>
            </w:r>
            <w:r w:rsidRPr="00124AB6">
              <w:rPr>
                <w:rFonts w:eastAsiaTheme="majorEastAsia" w:cstheme="majorBidi"/>
                <w:b/>
                <w:szCs w:val="20"/>
              </w:rPr>
              <w:t>07 – NORTH POLYOL REACTOR SYSTEM</w:t>
            </w:r>
          </w:p>
          <w:p w14:paraId="4D184126" w14:textId="77777777" w:rsidR="00124AB6" w:rsidRPr="00124AB6" w:rsidRDefault="00124AB6" w:rsidP="00124AB6"/>
        </w:tc>
      </w:tr>
      <w:tr w:rsidR="00124AB6" w:rsidRPr="00124AB6" w14:paraId="3A832874" w14:textId="77777777" w:rsidTr="004E3BFD">
        <w:trPr>
          <w:tblHeader/>
        </w:trPr>
        <w:tc>
          <w:tcPr>
            <w:tcW w:w="1366"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224C7F71" w14:textId="77777777" w:rsidR="00124AB6" w:rsidRPr="00124AB6" w:rsidRDefault="00124AB6" w:rsidP="00124AB6">
            <w:pPr>
              <w:jc w:val="center"/>
              <w:rPr>
                <w:b/>
              </w:rPr>
            </w:pPr>
            <w:r w:rsidRPr="00124AB6">
              <w:rPr>
                <w:b/>
              </w:rPr>
              <w:t>Equipment ID</w:t>
            </w:r>
          </w:p>
        </w:tc>
        <w:tc>
          <w:tcPr>
            <w:tcW w:w="5204"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6BC1CE5E" w14:textId="77777777" w:rsidR="00124AB6" w:rsidRPr="00124AB6" w:rsidRDefault="00124AB6" w:rsidP="00124AB6">
            <w:pPr>
              <w:jc w:val="center"/>
              <w:rPr>
                <w:b/>
              </w:rPr>
            </w:pPr>
            <w:r w:rsidRPr="00124AB6">
              <w:rPr>
                <w:b/>
              </w:rPr>
              <w:t>Equipment Description</w:t>
            </w:r>
          </w:p>
        </w:tc>
        <w:tc>
          <w:tcPr>
            <w:tcW w:w="1625"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0516CE75" w14:textId="77777777" w:rsidR="00124AB6" w:rsidRPr="00124AB6" w:rsidRDefault="00124AB6" w:rsidP="00124AB6">
            <w:pPr>
              <w:jc w:val="center"/>
              <w:rPr>
                <w:b/>
              </w:rPr>
            </w:pPr>
            <w:r w:rsidRPr="00124AB6">
              <w:rPr>
                <w:b/>
              </w:rPr>
              <w:t>Installation Date</w:t>
            </w:r>
          </w:p>
        </w:tc>
        <w:tc>
          <w:tcPr>
            <w:tcW w:w="1347"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56FB1DF8" w14:textId="77777777" w:rsidR="00124AB6" w:rsidRPr="00124AB6" w:rsidRDefault="00124AB6" w:rsidP="00124AB6">
            <w:pPr>
              <w:jc w:val="center"/>
              <w:rPr>
                <w:b/>
              </w:rPr>
            </w:pPr>
            <w:r w:rsidRPr="00124AB6">
              <w:rPr>
                <w:b/>
              </w:rPr>
              <w:t>Control Device ID</w:t>
            </w:r>
          </w:p>
        </w:tc>
        <w:tc>
          <w:tcPr>
            <w:tcW w:w="1258"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7AB98729" w14:textId="77777777" w:rsidR="00124AB6" w:rsidRPr="00124AB6" w:rsidRDefault="00124AB6" w:rsidP="00124AB6">
            <w:pPr>
              <w:jc w:val="center"/>
              <w:rPr>
                <w:b/>
              </w:rPr>
            </w:pPr>
            <w:r w:rsidRPr="00124AB6">
              <w:rPr>
                <w:b/>
              </w:rPr>
              <w:t>Emission Point ID</w:t>
            </w:r>
          </w:p>
        </w:tc>
      </w:tr>
      <w:tr w:rsidR="00124AB6" w:rsidRPr="00124AB6" w14:paraId="20D5BDEA" w14:textId="77777777" w:rsidTr="004E3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6" w:type="dxa"/>
          </w:tcPr>
          <w:p w14:paraId="54B3CE05" w14:textId="77777777" w:rsidR="00124AB6" w:rsidRPr="00124AB6" w:rsidRDefault="00124AB6" w:rsidP="00124AB6">
            <w:pPr>
              <w:jc w:val="center"/>
              <w:rPr>
                <w:bCs/>
                <w:szCs w:val="18"/>
              </w:rPr>
            </w:pPr>
            <w:r w:rsidRPr="00124AB6">
              <w:rPr>
                <w:bCs/>
                <w:szCs w:val="18"/>
              </w:rPr>
              <w:t>R-8</w:t>
            </w:r>
          </w:p>
        </w:tc>
        <w:tc>
          <w:tcPr>
            <w:tcW w:w="5204" w:type="dxa"/>
          </w:tcPr>
          <w:p w14:paraId="10F37487" w14:textId="77777777" w:rsidR="00124AB6" w:rsidRPr="00124AB6" w:rsidRDefault="00124AB6" w:rsidP="00124AB6">
            <w:pPr>
              <w:jc w:val="center"/>
              <w:rPr>
                <w:bCs/>
                <w:szCs w:val="18"/>
              </w:rPr>
            </w:pPr>
            <w:r w:rsidRPr="00124AB6">
              <w:rPr>
                <w:bCs/>
                <w:szCs w:val="18"/>
              </w:rPr>
              <w:t>Reactor No.8</w:t>
            </w:r>
          </w:p>
        </w:tc>
        <w:tc>
          <w:tcPr>
            <w:tcW w:w="1625" w:type="dxa"/>
          </w:tcPr>
          <w:p w14:paraId="66CA294B" w14:textId="77777777" w:rsidR="00124AB6" w:rsidRPr="00124AB6" w:rsidRDefault="00124AB6" w:rsidP="00124AB6">
            <w:pPr>
              <w:jc w:val="center"/>
              <w:rPr>
                <w:bCs/>
                <w:szCs w:val="18"/>
              </w:rPr>
            </w:pPr>
            <w:r w:rsidRPr="00124AB6">
              <w:rPr>
                <w:bCs/>
                <w:szCs w:val="18"/>
              </w:rPr>
              <w:t>2022</w:t>
            </w:r>
          </w:p>
        </w:tc>
        <w:tc>
          <w:tcPr>
            <w:tcW w:w="1347" w:type="dxa"/>
          </w:tcPr>
          <w:p w14:paraId="749F22AC" w14:textId="77777777" w:rsidR="00124AB6" w:rsidRPr="00124AB6" w:rsidRDefault="00124AB6" w:rsidP="00124AB6">
            <w:pPr>
              <w:jc w:val="center"/>
              <w:rPr>
                <w:bCs/>
                <w:szCs w:val="18"/>
              </w:rPr>
            </w:pPr>
            <w:r w:rsidRPr="00124AB6">
              <w:rPr>
                <w:bCs/>
                <w:szCs w:val="18"/>
              </w:rPr>
              <w:t>NP-1</w:t>
            </w:r>
          </w:p>
        </w:tc>
        <w:tc>
          <w:tcPr>
            <w:tcW w:w="1258" w:type="dxa"/>
          </w:tcPr>
          <w:p w14:paraId="18020710" w14:textId="77777777" w:rsidR="00124AB6" w:rsidRPr="00124AB6" w:rsidRDefault="00124AB6" w:rsidP="00124AB6">
            <w:pPr>
              <w:jc w:val="center"/>
              <w:rPr>
                <w:bCs/>
                <w:szCs w:val="18"/>
              </w:rPr>
            </w:pPr>
            <w:r w:rsidRPr="00124AB6">
              <w:rPr>
                <w:bCs/>
                <w:szCs w:val="18"/>
              </w:rPr>
              <w:t>05</w:t>
            </w:r>
          </w:p>
        </w:tc>
      </w:tr>
      <w:tr w:rsidR="00124AB6" w:rsidRPr="00124AB6" w14:paraId="3656E84C" w14:textId="77777777" w:rsidTr="004E3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6" w:type="dxa"/>
          </w:tcPr>
          <w:p w14:paraId="42E39053" w14:textId="77777777" w:rsidR="00124AB6" w:rsidRPr="00124AB6" w:rsidRDefault="00124AB6" w:rsidP="00124AB6">
            <w:pPr>
              <w:jc w:val="center"/>
              <w:rPr>
                <w:bCs/>
                <w:szCs w:val="18"/>
              </w:rPr>
            </w:pPr>
            <w:r w:rsidRPr="00124AB6">
              <w:rPr>
                <w:bCs/>
                <w:szCs w:val="18"/>
              </w:rPr>
              <w:t>R-11</w:t>
            </w:r>
          </w:p>
        </w:tc>
        <w:tc>
          <w:tcPr>
            <w:tcW w:w="5204" w:type="dxa"/>
          </w:tcPr>
          <w:p w14:paraId="2F24A395" w14:textId="77777777" w:rsidR="00124AB6" w:rsidRPr="00124AB6" w:rsidRDefault="00124AB6" w:rsidP="00124AB6">
            <w:pPr>
              <w:jc w:val="center"/>
              <w:rPr>
                <w:bCs/>
                <w:szCs w:val="18"/>
              </w:rPr>
            </w:pPr>
            <w:r w:rsidRPr="00124AB6">
              <w:rPr>
                <w:bCs/>
                <w:szCs w:val="18"/>
              </w:rPr>
              <w:t>Reactor No.11</w:t>
            </w:r>
          </w:p>
        </w:tc>
        <w:tc>
          <w:tcPr>
            <w:tcW w:w="1625" w:type="dxa"/>
          </w:tcPr>
          <w:p w14:paraId="2BA46665" w14:textId="77777777" w:rsidR="00124AB6" w:rsidRPr="00124AB6" w:rsidRDefault="00124AB6" w:rsidP="00124AB6">
            <w:pPr>
              <w:jc w:val="center"/>
              <w:rPr>
                <w:bCs/>
                <w:szCs w:val="18"/>
              </w:rPr>
            </w:pPr>
            <w:r w:rsidRPr="00124AB6">
              <w:rPr>
                <w:bCs/>
                <w:szCs w:val="18"/>
              </w:rPr>
              <w:t>1995</w:t>
            </w:r>
          </w:p>
        </w:tc>
        <w:tc>
          <w:tcPr>
            <w:tcW w:w="1347" w:type="dxa"/>
          </w:tcPr>
          <w:p w14:paraId="5CF8ED4F" w14:textId="77777777" w:rsidR="00124AB6" w:rsidRPr="00124AB6" w:rsidRDefault="00124AB6" w:rsidP="00124AB6">
            <w:pPr>
              <w:jc w:val="center"/>
              <w:rPr>
                <w:bCs/>
                <w:szCs w:val="18"/>
              </w:rPr>
            </w:pPr>
            <w:r w:rsidRPr="00124AB6">
              <w:rPr>
                <w:bCs/>
                <w:szCs w:val="18"/>
              </w:rPr>
              <w:t>NP-1</w:t>
            </w:r>
          </w:p>
        </w:tc>
        <w:tc>
          <w:tcPr>
            <w:tcW w:w="1258" w:type="dxa"/>
          </w:tcPr>
          <w:p w14:paraId="54B4C784" w14:textId="77777777" w:rsidR="00124AB6" w:rsidRPr="00124AB6" w:rsidRDefault="00124AB6" w:rsidP="00124AB6">
            <w:pPr>
              <w:jc w:val="center"/>
              <w:rPr>
                <w:bCs/>
                <w:szCs w:val="18"/>
              </w:rPr>
            </w:pPr>
            <w:r w:rsidRPr="00124AB6">
              <w:rPr>
                <w:bCs/>
                <w:szCs w:val="18"/>
              </w:rPr>
              <w:t>05</w:t>
            </w:r>
          </w:p>
        </w:tc>
      </w:tr>
      <w:tr w:rsidR="00124AB6" w:rsidRPr="00124AB6" w14:paraId="0B4F0EF5" w14:textId="77777777" w:rsidTr="004E3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6" w:type="dxa"/>
          </w:tcPr>
          <w:p w14:paraId="3F1A812E" w14:textId="77777777" w:rsidR="00124AB6" w:rsidRPr="00124AB6" w:rsidRDefault="00124AB6" w:rsidP="00124AB6">
            <w:pPr>
              <w:jc w:val="center"/>
              <w:rPr>
                <w:bCs/>
                <w:szCs w:val="18"/>
              </w:rPr>
            </w:pPr>
            <w:r w:rsidRPr="00124AB6">
              <w:rPr>
                <w:bCs/>
                <w:szCs w:val="18"/>
              </w:rPr>
              <w:t>R-12</w:t>
            </w:r>
          </w:p>
        </w:tc>
        <w:tc>
          <w:tcPr>
            <w:tcW w:w="5204" w:type="dxa"/>
          </w:tcPr>
          <w:p w14:paraId="76DA85D1" w14:textId="77777777" w:rsidR="00124AB6" w:rsidRPr="00124AB6" w:rsidRDefault="00124AB6" w:rsidP="00124AB6">
            <w:pPr>
              <w:jc w:val="center"/>
              <w:rPr>
                <w:bCs/>
                <w:szCs w:val="18"/>
              </w:rPr>
            </w:pPr>
            <w:r w:rsidRPr="00124AB6">
              <w:rPr>
                <w:bCs/>
                <w:szCs w:val="18"/>
              </w:rPr>
              <w:t>Reactor No.12</w:t>
            </w:r>
          </w:p>
        </w:tc>
        <w:tc>
          <w:tcPr>
            <w:tcW w:w="1625" w:type="dxa"/>
          </w:tcPr>
          <w:p w14:paraId="384CA766" w14:textId="77777777" w:rsidR="00124AB6" w:rsidRPr="00124AB6" w:rsidRDefault="00124AB6" w:rsidP="00124AB6">
            <w:pPr>
              <w:jc w:val="center"/>
              <w:rPr>
                <w:bCs/>
                <w:szCs w:val="18"/>
              </w:rPr>
            </w:pPr>
            <w:r w:rsidRPr="00124AB6">
              <w:rPr>
                <w:bCs/>
                <w:szCs w:val="18"/>
              </w:rPr>
              <w:t>1998</w:t>
            </w:r>
          </w:p>
        </w:tc>
        <w:tc>
          <w:tcPr>
            <w:tcW w:w="1347" w:type="dxa"/>
          </w:tcPr>
          <w:p w14:paraId="6FBED349" w14:textId="77777777" w:rsidR="00124AB6" w:rsidRPr="00124AB6" w:rsidRDefault="00124AB6" w:rsidP="00124AB6">
            <w:pPr>
              <w:jc w:val="center"/>
              <w:rPr>
                <w:bCs/>
                <w:szCs w:val="18"/>
              </w:rPr>
            </w:pPr>
            <w:r w:rsidRPr="00124AB6">
              <w:rPr>
                <w:bCs/>
                <w:szCs w:val="18"/>
              </w:rPr>
              <w:t>NP-1</w:t>
            </w:r>
          </w:p>
        </w:tc>
        <w:tc>
          <w:tcPr>
            <w:tcW w:w="1258" w:type="dxa"/>
          </w:tcPr>
          <w:p w14:paraId="06BC928E" w14:textId="77777777" w:rsidR="00124AB6" w:rsidRPr="00124AB6" w:rsidRDefault="00124AB6" w:rsidP="00124AB6">
            <w:pPr>
              <w:jc w:val="center"/>
              <w:rPr>
                <w:bCs/>
                <w:szCs w:val="18"/>
              </w:rPr>
            </w:pPr>
            <w:r w:rsidRPr="00124AB6">
              <w:rPr>
                <w:bCs/>
                <w:szCs w:val="18"/>
              </w:rPr>
              <w:t>05</w:t>
            </w:r>
          </w:p>
        </w:tc>
      </w:tr>
    </w:tbl>
    <w:p w14:paraId="72FD7769" w14:textId="77777777" w:rsidR="00124AB6" w:rsidRPr="00124AB6" w:rsidRDefault="00124AB6" w:rsidP="00124AB6"/>
    <w:tbl>
      <w:tblPr>
        <w:tblStyle w:val="TableGrid"/>
        <w:tblW w:w="10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50"/>
        <w:gridCol w:w="4860"/>
        <w:gridCol w:w="1890"/>
        <w:gridCol w:w="1440"/>
        <w:gridCol w:w="1260"/>
      </w:tblGrid>
      <w:tr w:rsidR="00124AB6" w:rsidRPr="00124AB6" w14:paraId="3BD2CD57" w14:textId="77777777" w:rsidTr="004E3BFD">
        <w:trPr>
          <w:tblHeader/>
        </w:trPr>
        <w:tc>
          <w:tcPr>
            <w:tcW w:w="10800" w:type="dxa"/>
            <w:gridSpan w:val="5"/>
            <w:tcBorders>
              <w:top w:val="single" w:sz="2" w:space="0" w:color="auto"/>
              <w:left w:val="single" w:sz="2" w:space="0" w:color="auto"/>
              <w:bottom w:val="single" w:sz="2" w:space="0" w:color="auto"/>
              <w:right w:val="single" w:sz="2" w:space="0" w:color="auto"/>
            </w:tcBorders>
          </w:tcPr>
          <w:p w14:paraId="00DAF002" w14:textId="77777777" w:rsidR="00124AB6" w:rsidRPr="00124AB6" w:rsidRDefault="00124AB6" w:rsidP="00124AB6">
            <w:pPr>
              <w:keepNext/>
              <w:keepLines/>
              <w:numPr>
                <w:ilvl w:val="0"/>
                <w:numId w:val="5"/>
              </w:numPr>
              <w:rPr>
                <w:rFonts w:eastAsiaTheme="majorEastAsia" w:cstheme="majorBidi"/>
                <w:b/>
                <w:szCs w:val="26"/>
              </w:rPr>
            </w:pPr>
            <w:r w:rsidRPr="00124AB6">
              <w:rPr>
                <w:rFonts w:eastAsiaTheme="majorEastAsia" w:cstheme="majorBidi"/>
                <w:b/>
                <w:szCs w:val="26"/>
              </w:rPr>
              <w:t xml:space="preserve">CONTROL DEVICE(S) FOR EMISSION UNIT </w:t>
            </w:r>
            <w:r w:rsidRPr="00124AB6">
              <w:rPr>
                <w:rFonts w:eastAsiaTheme="majorEastAsia" w:cstheme="majorBidi"/>
                <w:b/>
                <w:szCs w:val="20"/>
              </w:rPr>
              <w:t>07 – NORTH POLYOL REACTOR SYSTEM</w:t>
            </w:r>
          </w:p>
          <w:p w14:paraId="6A362FC0" w14:textId="77777777" w:rsidR="00124AB6" w:rsidRPr="00124AB6" w:rsidRDefault="00124AB6" w:rsidP="00124AB6"/>
        </w:tc>
      </w:tr>
      <w:tr w:rsidR="00124AB6" w:rsidRPr="00124AB6" w14:paraId="3A021CD2" w14:textId="77777777" w:rsidTr="004E3BFD">
        <w:trPr>
          <w:tblHeader/>
        </w:trPr>
        <w:tc>
          <w:tcPr>
            <w:tcW w:w="1350"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211C59D3" w14:textId="77777777" w:rsidR="00124AB6" w:rsidRPr="00124AB6" w:rsidRDefault="00124AB6" w:rsidP="00124AB6">
            <w:pPr>
              <w:jc w:val="center"/>
              <w:rPr>
                <w:b/>
              </w:rPr>
            </w:pPr>
            <w:r w:rsidRPr="00124AB6">
              <w:rPr>
                <w:b/>
              </w:rPr>
              <w:t>Control Device ID</w:t>
            </w:r>
          </w:p>
        </w:tc>
        <w:tc>
          <w:tcPr>
            <w:tcW w:w="4860"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57AEB79C" w14:textId="77777777" w:rsidR="00124AB6" w:rsidRPr="00124AB6" w:rsidRDefault="00124AB6" w:rsidP="00124AB6">
            <w:pPr>
              <w:jc w:val="center"/>
              <w:rPr>
                <w:b/>
              </w:rPr>
            </w:pPr>
            <w:r w:rsidRPr="00124AB6">
              <w:rPr>
                <w:b/>
              </w:rPr>
              <w:t>Control Device Description</w:t>
            </w:r>
          </w:p>
        </w:tc>
        <w:tc>
          <w:tcPr>
            <w:tcW w:w="1890"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64C6D235" w14:textId="77777777" w:rsidR="00124AB6" w:rsidRPr="00124AB6" w:rsidRDefault="00124AB6" w:rsidP="00124AB6">
            <w:pPr>
              <w:jc w:val="center"/>
              <w:rPr>
                <w:b/>
              </w:rPr>
            </w:pPr>
            <w:r w:rsidRPr="00124AB6">
              <w:rPr>
                <w:b/>
              </w:rPr>
              <w:t>Pollutant(s) Controlled</w:t>
            </w:r>
          </w:p>
        </w:tc>
        <w:tc>
          <w:tcPr>
            <w:tcW w:w="1440"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3A7B22BB" w14:textId="77777777" w:rsidR="00124AB6" w:rsidRPr="00124AB6" w:rsidRDefault="00124AB6" w:rsidP="00124AB6">
            <w:pPr>
              <w:jc w:val="center"/>
              <w:rPr>
                <w:b/>
              </w:rPr>
            </w:pPr>
            <w:r w:rsidRPr="00124AB6">
              <w:rPr>
                <w:b/>
              </w:rPr>
              <w:t>Installation Date</w:t>
            </w:r>
          </w:p>
        </w:tc>
        <w:tc>
          <w:tcPr>
            <w:tcW w:w="1260"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20F033DB" w14:textId="77777777" w:rsidR="00124AB6" w:rsidRPr="00124AB6" w:rsidRDefault="00124AB6" w:rsidP="00124AB6">
            <w:pPr>
              <w:jc w:val="center"/>
              <w:rPr>
                <w:b/>
              </w:rPr>
            </w:pPr>
            <w:r w:rsidRPr="00124AB6">
              <w:rPr>
                <w:b/>
              </w:rPr>
              <w:t>Emission Point ID</w:t>
            </w:r>
          </w:p>
        </w:tc>
      </w:tr>
      <w:tr w:rsidR="00124AB6" w:rsidRPr="00124AB6" w14:paraId="67ACF728" w14:textId="77777777" w:rsidTr="004E3BFD">
        <w:trPr>
          <w:trHeight w:val="432"/>
        </w:trPr>
        <w:tc>
          <w:tcPr>
            <w:tcW w:w="1350" w:type="dxa"/>
            <w:tcBorders>
              <w:top w:val="single" w:sz="2" w:space="0" w:color="auto"/>
              <w:left w:val="single" w:sz="2" w:space="0" w:color="auto"/>
              <w:bottom w:val="single" w:sz="2" w:space="0" w:color="auto"/>
              <w:right w:val="single" w:sz="2" w:space="0" w:color="auto"/>
            </w:tcBorders>
          </w:tcPr>
          <w:p w14:paraId="7E1869F8" w14:textId="77777777" w:rsidR="00124AB6" w:rsidRPr="00124AB6" w:rsidRDefault="00124AB6" w:rsidP="00124AB6">
            <w:pPr>
              <w:jc w:val="center"/>
            </w:pPr>
            <w:r w:rsidRPr="00124AB6">
              <w:rPr>
                <w:szCs w:val="20"/>
              </w:rPr>
              <w:t>NP-1</w:t>
            </w:r>
          </w:p>
        </w:tc>
        <w:tc>
          <w:tcPr>
            <w:tcW w:w="4860" w:type="dxa"/>
            <w:tcBorders>
              <w:top w:val="single" w:sz="2" w:space="0" w:color="auto"/>
              <w:left w:val="single" w:sz="2" w:space="0" w:color="auto"/>
              <w:bottom w:val="single" w:sz="2" w:space="0" w:color="auto"/>
              <w:right w:val="single" w:sz="2" w:space="0" w:color="auto"/>
            </w:tcBorders>
          </w:tcPr>
          <w:p w14:paraId="09A64C74" w14:textId="77777777" w:rsidR="00124AB6" w:rsidRPr="00124AB6" w:rsidRDefault="00124AB6" w:rsidP="00124AB6">
            <w:pPr>
              <w:jc w:val="center"/>
            </w:pPr>
            <w:r w:rsidRPr="00124AB6">
              <w:t>North Polyol Scrubber</w:t>
            </w:r>
          </w:p>
        </w:tc>
        <w:tc>
          <w:tcPr>
            <w:tcW w:w="1890" w:type="dxa"/>
            <w:tcBorders>
              <w:top w:val="single" w:sz="2" w:space="0" w:color="auto"/>
              <w:left w:val="single" w:sz="2" w:space="0" w:color="auto"/>
              <w:bottom w:val="single" w:sz="2" w:space="0" w:color="auto"/>
              <w:right w:val="single" w:sz="2" w:space="0" w:color="auto"/>
            </w:tcBorders>
          </w:tcPr>
          <w:p w14:paraId="4BCFAD45" w14:textId="77777777" w:rsidR="00124AB6" w:rsidRPr="00124AB6" w:rsidRDefault="00124AB6" w:rsidP="00124AB6">
            <w:pPr>
              <w:jc w:val="center"/>
              <w:rPr>
                <w:lang w:val="it-IT"/>
              </w:rPr>
            </w:pPr>
            <w:r w:rsidRPr="00124AB6">
              <w:rPr>
                <w:lang w:val="it-IT"/>
              </w:rPr>
              <w:t>PM</w:t>
            </w:r>
            <w:r w:rsidRPr="00124AB6">
              <w:rPr>
                <w:vertAlign w:val="subscript"/>
                <w:lang w:val="it-IT"/>
              </w:rPr>
              <w:t>10</w:t>
            </w:r>
            <w:r w:rsidRPr="00124AB6">
              <w:rPr>
                <w:lang w:val="it-IT"/>
              </w:rPr>
              <w:t xml:space="preserve"> </w:t>
            </w:r>
          </w:p>
          <w:p w14:paraId="79371391" w14:textId="77777777" w:rsidR="00124AB6" w:rsidRPr="00124AB6" w:rsidRDefault="00124AB6" w:rsidP="00124AB6">
            <w:pPr>
              <w:jc w:val="center"/>
            </w:pPr>
            <w:r w:rsidRPr="00124AB6">
              <w:rPr>
                <w:lang w:val="it-IT"/>
              </w:rPr>
              <w:t xml:space="preserve">Ethylene Oxide  </w:t>
            </w:r>
            <w:r w:rsidRPr="00124AB6">
              <w:t xml:space="preserve">Propylene Oxide </w:t>
            </w:r>
            <w:r w:rsidRPr="00124AB6">
              <w:rPr>
                <w:lang w:val="it-IT"/>
              </w:rPr>
              <w:t>Butylene Oxide</w:t>
            </w:r>
          </w:p>
        </w:tc>
        <w:tc>
          <w:tcPr>
            <w:tcW w:w="1440" w:type="dxa"/>
            <w:tcBorders>
              <w:top w:val="single" w:sz="2" w:space="0" w:color="auto"/>
              <w:left w:val="single" w:sz="2" w:space="0" w:color="auto"/>
              <w:bottom w:val="single" w:sz="2" w:space="0" w:color="auto"/>
              <w:right w:val="single" w:sz="2" w:space="0" w:color="auto"/>
            </w:tcBorders>
          </w:tcPr>
          <w:p w14:paraId="50F6AA45" w14:textId="77777777" w:rsidR="00124AB6" w:rsidRPr="00124AB6" w:rsidRDefault="00124AB6" w:rsidP="00124AB6">
            <w:pPr>
              <w:jc w:val="center"/>
            </w:pPr>
            <w:r w:rsidRPr="00124AB6">
              <w:t>1995/2010</w:t>
            </w:r>
          </w:p>
        </w:tc>
        <w:tc>
          <w:tcPr>
            <w:tcW w:w="1260" w:type="dxa"/>
            <w:tcBorders>
              <w:top w:val="single" w:sz="2" w:space="0" w:color="auto"/>
              <w:left w:val="single" w:sz="2" w:space="0" w:color="auto"/>
              <w:bottom w:val="single" w:sz="2" w:space="0" w:color="auto"/>
              <w:right w:val="single" w:sz="2" w:space="0" w:color="auto"/>
            </w:tcBorders>
          </w:tcPr>
          <w:p w14:paraId="21EEF801" w14:textId="77777777" w:rsidR="00124AB6" w:rsidRPr="00124AB6" w:rsidRDefault="00124AB6" w:rsidP="00124AB6">
            <w:pPr>
              <w:jc w:val="center"/>
            </w:pPr>
            <w:r w:rsidRPr="00124AB6">
              <w:t>05</w:t>
            </w:r>
          </w:p>
        </w:tc>
      </w:tr>
    </w:tbl>
    <w:p w14:paraId="7192AD98" w14:textId="77777777" w:rsidR="00124AB6" w:rsidRPr="00124AB6" w:rsidRDefault="00124AB6" w:rsidP="00124AB6"/>
    <w:tbl>
      <w:tblPr>
        <w:tblW w:w="1080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2" w:type="dxa"/>
          <w:right w:w="72" w:type="dxa"/>
        </w:tblCellMar>
        <w:tblLook w:val="01E0" w:firstRow="1" w:lastRow="1" w:firstColumn="1" w:lastColumn="1" w:noHBand="0" w:noVBand="0"/>
      </w:tblPr>
      <w:tblGrid>
        <w:gridCol w:w="1260"/>
        <w:gridCol w:w="4950"/>
        <w:gridCol w:w="2250"/>
        <w:gridCol w:w="1173"/>
        <w:gridCol w:w="1167"/>
      </w:tblGrid>
      <w:tr w:rsidR="00124AB6" w:rsidRPr="00124AB6" w14:paraId="7ECEFB6C" w14:textId="77777777" w:rsidTr="004E3BFD">
        <w:trPr>
          <w:cantSplit/>
          <w:tblHeader/>
          <w:jc w:val="center"/>
        </w:trPr>
        <w:tc>
          <w:tcPr>
            <w:tcW w:w="10800" w:type="dxa"/>
            <w:gridSpan w:val="5"/>
            <w:vAlign w:val="center"/>
          </w:tcPr>
          <w:p w14:paraId="231A87EC" w14:textId="77777777" w:rsidR="00124AB6" w:rsidRPr="00124AB6" w:rsidRDefault="00124AB6" w:rsidP="00124AB6">
            <w:pPr>
              <w:keepNext/>
              <w:keepLines/>
              <w:widowControl w:val="0"/>
              <w:numPr>
                <w:ilvl w:val="0"/>
                <w:numId w:val="5"/>
              </w:numPr>
              <w:rPr>
                <w:rFonts w:eastAsiaTheme="majorEastAsia" w:cstheme="majorBidi"/>
                <w:b/>
                <w:szCs w:val="26"/>
              </w:rPr>
            </w:pPr>
            <w:r w:rsidRPr="00124AB6">
              <w:rPr>
                <w:rFonts w:eastAsiaTheme="majorEastAsia" w:cstheme="majorBidi"/>
                <w:b/>
                <w:szCs w:val="26"/>
              </w:rPr>
              <w:t xml:space="preserve">EQUIPMENT FOR EMISSION </w:t>
            </w:r>
            <w:smartTag w:uri="urn:schemas-microsoft-com:office:smarttags" w:element="stockticker">
              <w:r w:rsidRPr="00124AB6">
                <w:rPr>
                  <w:rFonts w:eastAsiaTheme="majorEastAsia" w:cstheme="majorBidi"/>
                  <w:b/>
                  <w:szCs w:val="26"/>
                </w:rPr>
                <w:t>UNIT</w:t>
              </w:r>
            </w:smartTag>
            <w:r w:rsidRPr="00124AB6">
              <w:rPr>
                <w:rFonts w:eastAsiaTheme="majorEastAsia" w:cstheme="majorBidi"/>
                <w:b/>
                <w:szCs w:val="26"/>
              </w:rPr>
              <w:t xml:space="preserve"> 14 – SOKALAN PG-101 PROCESS</w:t>
            </w:r>
          </w:p>
          <w:p w14:paraId="4BDD2B32" w14:textId="77777777" w:rsidR="00124AB6" w:rsidRPr="00124AB6" w:rsidRDefault="00124AB6" w:rsidP="00124AB6">
            <w:pPr>
              <w:rPr>
                <w:b/>
                <w:szCs w:val="20"/>
              </w:rPr>
            </w:pPr>
          </w:p>
        </w:tc>
      </w:tr>
      <w:tr w:rsidR="00124AB6" w:rsidRPr="00124AB6" w14:paraId="3AA817D3" w14:textId="77777777" w:rsidTr="004E3BFD">
        <w:trPr>
          <w:cantSplit/>
          <w:trHeight w:val="432"/>
          <w:tblHeader/>
          <w:jc w:val="center"/>
        </w:trPr>
        <w:tc>
          <w:tcPr>
            <w:tcW w:w="1260" w:type="dxa"/>
            <w:shd w:val="pct10" w:color="auto" w:fill="auto"/>
            <w:vAlign w:val="center"/>
          </w:tcPr>
          <w:p w14:paraId="65904B67" w14:textId="77777777" w:rsidR="00124AB6" w:rsidRPr="00124AB6" w:rsidRDefault="00124AB6" w:rsidP="00124AB6">
            <w:pPr>
              <w:jc w:val="center"/>
              <w:rPr>
                <w:b/>
              </w:rPr>
            </w:pPr>
            <w:r w:rsidRPr="00124AB6">
              <w:rPr>
                <w:b/>
              </w:rPr>
              <w:t>Equipment ID</w:t>
            </w:r>
          </w:p>
        </w:tc>
        <w:tc>
          <w:tcPr>
            <w:tcW w:w="4950" w:type="dxa"/>
            <w:shd w:val="pct10" w:color="auto" w:fill="auto"/>
            <w:vAlign w:val="center"/>
          </w:tcPr>
          <w:p w14:paraId="6BA9A148" w14:textId="77777777" w:rsidR="00124AB6" w:rsidRPr="00124AB6" w:rsidRDefault="00124AB6" w:rsidP="00124AB6">
            <w:pPr>
              <w:jc w:val="center"/>
              <w:rPr>
                <w:b/>
              </w:rPr>
            </w:pPr>
            <w:r w:rsidRPr="00124AB6">
              <w:rPr>
                <w:b/>
              </w:rPr>
              <w:t>Equipment Description</w:t>
            </w:r>
          </w:p>
        </w:tc>
        <w:tc>
          <w:tcPr>
            <w:tcW w:w="2250" w:type="dxa"/>
            <w:shd w:val="pct10" w:color="auto" w:fill="auto"/>
            <w:vAlign w:val="center"/>
          </w:tcPr>
          <w:p w14:paraId="659D3274" w14:textId="77777777" w:rsidR="00124AB6" w:rsidRPr="00124AB6" w:rsidRDefault="00124AB6" w:rsidP="00124AB6">
            <w:pPr>
              <w:jc w:val="center"/>
              <w:rPr>
                <w:b/>
              </w:rPr>
            </w:pPr>
            <w:r w:rsidRPr="00124AB6">
              <w:rPr>
                <w:b/>
              </w:rPr>
              <w:t>Installation Date</w:t>
            </w:r>
          </w:p>
        </w:tc>
        <w:tc>
          <w:tcPr>
            <w:tcW w:w="1173" w:type="dxa"/>
            <w:shd w:val="pct10" w:color="auto" w:fill="auto"/>
            <w:vAlign w:val="center"/>
          </w:tcPr>
          <w:p w14:paraId="5AA56A2D" w14:textId="77777777" w:rsidR="00124AB6" w:rsidRPr="00124AB6" w:rsidRDefault="00124AB6" w:rsidP="00124AB6">
            <w:pPr>
              <w:jc w:val="center"/>
              <w:rPr>
                <w:b/>
              </w:rPr>
            </w:pPr>
            <w:r w:rsidRPr="00124AB6">
              <w:rPr>
                <w:b/>
              </w:rPr>
              <w:t>Control Device ID</w:t>
            </w:r>
          </w:p>
        </w:tc>
        <w:tc>
          <w:tcPr>
            <w:tcW w:w="1167" w:type="dxa"/>
            <w:shd w:val="pct10" w:color="auto" w:fill="auto"/>
            <w:vAlign w:val="center"/>
          </w:tcPr>
          <w:p w14:paraId="16E7189E" w14:textId="77777777" w:rsidR="00124AB6" w:rsidRPr="00124AB6" w:rsidRDefault="00124AB6" w:rsidP="00124AB6">
            <w:pPr>
              <w:jc w:val="center"/>
              <w:rPr>
                <w:b/>
              </w:rPr>
            </w:pPr>
            <w:smartTag w:uri="urn:schemas-microsoft-com:office:smarttags" w:element="place">
              <w:smartTag w:uri="urn:schemas-microsoft-com:office:smarttags" w:element="PlaceName">
                <w:r w:rsidRPr="00124AB6">
                  <w:rPr>
                    <w:b/>
                  </w:rPr>
                  <w:t>Emission</w:t>
                </w:r>
              </w:smartTag>
              <w:r w:rsidRPr="00124AB6">
                <w:rPr>
                  <w:b/>
                </w:rPr>
                <w:t xml:space="preserve"> </w:t>
              </w:r>
              <w:smartTag w:uri="urn:schemas-microsoft-com:office:smarttags" w:element="PlaceType">
                <w:r w:rsidRPr="00124AB6">
                  <w:rPr>
                    <w:b/>
                  </w:rPr>
                  <w:t>Point</w:t>
                </w:r>
              </w:smartTag>
              <w:r w:rsidRPr="00124AB6">
                <w:rPr>
                  <w:b/>
                </w:rPr>
                <w:t xml:space="preserve"> </w:t>
              </w:r>
              <w:smartTag w:uri="urn:schemas-microsoft-com:office:smarttags" w:element="PlaceName">
                <w:r w:rsidRPr="00124AB6">
                  <w:rPr>
                    <w:b/>
                  </w:rPr>
                  <w:t>ID</w:t>
                </w:r>
              </w:smartTag>
            </w:smartTag>
          </w:p>
        </w:tc>
      </w:tr>
      <w:tr w:rsidR="00124AB6" w:rsidRPr="00124AB6" w14:paraId="2BB0F3F6" w14:textId="77777777" w:rsidTr="004E3BFD">
        <w:trPr>
          <w:cantSplit/>
          <w:trHeight w:val="432"/>
          <w:jc w:val="center"/>
        </w:trPr>
        <w:tc>
          <w:tcPr>
            <w:tcW w:w="1260" w:type="dxa"/>
            <w:vAlign w:val="center"/>
          </w:tcPr>
          <w:p w14:paraId="5DA6DCDB" w14:textId="77777777" w:rsidR="00124AB6" w:rsidRPr="00124AB6" w:rsidRDefault="00124AB6" w:rsidP="00124AB6">
            <w:pPr>
              <w:jc w:val="center"/>
              <w:rPr>
                <w:bCs/>
                <w:szCs w:val="18"/>
              </w:rPr>
            </w:pPr>
            <w:r w:rsidRPr="00124AB6">
              <w:rPr>
                <w:bCs/>
                <w:szCs w:val="18"/>
              </w:rPr>
              <w:t>R-10</w:t>
            </w:r>
          </w:p>
        </w:tc>
        <w:tc>
          <w:tcPr>
            <w:tcW w:w="4950" w:type="dxa"/>
            <w:vAlign w:val="center"/>
          </w:tcPr>
          <w:p w14:paraId="6573AA47" w14:textId="77777777" w:rsidR="00124AB6" w:rsidRPr="00124AB6" w:rsidRDefault="00124AB6" w:rsidP="00124AB6">
            <w:pPr>
              <w:jc w:val="center"/>
              <w:rPr>
                <w:bCs/>
                <w:szCs w:val="18"/>
              </w:rPr>
            </w:pPr>
            <w:r w:rsidRPr="00124AB6">
              <w:rPr>
                <w:bCs/>
                <w:szCs w:val="18"/>
              </w:rPr>
              <w:t>Reactor No.10</w:t>
            </w:r>
          </w:p>
        </w:tc>
        <w:tc>
          <w:tcPr>
            <w:tcW w:w="2250" w:type="dxa"/>
            <w:vAlign w:val="center"/>
          </w:tcPr>
          <w:p w14:paraId="21585523" w14:textId="77777777" w:rsidR="00124AB6" w:rsidRPr="00124AB6" w:rsidRDefault="00124AB6" w:rsidP="00124AB6">
            <w:pPr>
              <w:jc w:val="center"/>
              <w:rPr>
                <w:bCs/>
                <w:szCs w:val="18"/>
              </w:rPr>
            </w:pPr>
            <w:r w:rsidRPr="00124AB6">
              <w:rPr>
                <w:bCs/>
                <w:szCs w:val="18"/>
              </w:rPr>
              <w:t>1991/2007</w:t>
            </w:r>
          </w:p>
        </w:tc>
        <w:tc>
          <w:tcPr>
            <w:tcW w:w="1173" w:type="dxa"/>
            <w:vAlign w:val="center"/>
          </w:tcPr>
          <w:p w14:paraId="54C6F668" w14:textId="77777777" w:rsidR="00124AB6" w:rsidRPr="00124AB6" w:rsidRDefault="00124AB6" w:rsidP="00124AB6">
            <w:pPr>
              <w:jc w:val="center"/>
              <w:rPr>
                <w:bCs/>
                <w:szCs w:val="18"/>
              </w:rPr>
            </w:pPr>
            <w:r w:rsidRPr="00124AB6">
              <w:rPr>
                <w:bCs/>
                <w:szCs w:val="18"/>
              </w:rPr>
              <w:t>TO-1</w:t>
            </w:r>
          </w:p>
        </w:tc>
        <w:tc>
          <w:tcPr>
            <w:tcW w:w="1167" w:type="dxa"/>
            <w:vAlign w:val="center"/>
          </w:tcPr>
          <w:p w14:paraId="6FE7D3B0" w14:textId="77777777" w:rsidR="00124AB6" w:rsidRPr="00124AB6" w:rsidRDefault="00124AB6" w:rsidP="00124AB6">
            <w:pPr>
              <w:jc w:val="center"/>
              <w:rPr>
                <w:bCs/>
                <w:szCs w:val="18"/>
              </w:rPr>
            </w:pPr>
            <w:r w:rsidRPr="00124AB6">
              <w:rPr>
                <w:bCs/>
                <w:szCs w:val="18"/>
              </w:rPr>
              <w:t>13</w:t>
            </w:r>
          </w:p>
        </w:tc>
      </w:tr>
      <w:tr w:rsidR="00124AB6" w:rsidRPr="00124AB6" w14:paraId="5F441620" w14:textId="77777777" w:rsidTr="004E3BFD">
        <w:trPr>
          <w:cantSplit/>
          <w:trHeight w:val="432"/>
          <w:jc w:val="center"/>
        </w:trPr>
        <w:tc>
          <w:tcPr>
            <w:tcW w:w="1260" w:type="dxa"/>
            <w:vAlign w:val="center"/>
          </w:tcPr>
          <w:p w14:paraId="3E8BE2EF" w14:textId="77777777" w:rsidR="00124AB6" w:rsidRPr="00124AB6" w:rsidRDefault="00124AB6" w:rsidP="00124AB6">
            <w:pPr>
              <w:jc w:val="center"/>
              <w:rPr>
                <w:bCs/>
                <w:szCs w:val="18"/>
              </w:rPr>
            </w:pPr>
            <w:r w:rsidRPr="00124AB6">
              <w:rPr>
                <w:bCs/>
                <w:szCs w:val="18"/>
              </w:rPr>
              <w:t>T-234</w:t>
            </w:r>
          </w:p>
        </w:tc>
        <w:tc>
          <w:tcPr>
            <w:tcW w:w="4950" w:type="dxa"/>
            <w:vAlign w:val="center"/>
          </w:tcPr>
          <w:p w14:paraId="178DB801" w14:textId="77777777" w:rsidR="00124AB6" w:rsidRPr="00124AB6" w:rsidRDefault="00124AB6" w:rsidP="00124AB6">
            <w:pPr>
              <w:jc w:val="center"/>
              <w:rPr>
                <w:bCs/>
                <w:szCs w:val="18"/>
              </w:rPr>
            </w:pPr>
            <w:r w:rsidRPr="00124AB6">
              <w:t>Post Polymerization Vessel T-234</w:t>
            </w:r>
          </w:p>
        </w:tc>
        <w:tc>
          <w:tcPr>
            <w:tcW w:w="2250" w:type="dxa"/>
            <w:vAlign w:val="center"/>
          </w:tcPr>
          <w:p w14:paraId="32D8B549" w14:textId="77777777" w:rsidR="00124AB6" w:rsidRPr="00124AB6" w:rsidRDefault="00124AB6" w:rsidP="00124AB6">
            <w:pPr>
              <w:jc w:val="center"/>
              <w:rPr>
                <w:bCs/>
                <w:szCs w:val="18"/>
              </w:rPr>
            </w:pPr>
            <w:r w:rsidRPr="00124AB6">
              <w:rPr>
                <w:bCs/>
                <w:szCs w:val="18"/>
              </w:rPr>
              <w:t>2007</w:t>
            </w:r>
          </w:p>
        </w:tc>
        <w:tc>
          <w:tcPr>
            <w:tcW w:w="1173" w:type="dxa"/>
            <w:vAlign w:val="center"/>
          </w:tcPr>
          <w:p w14:paraId="3EAF90D4" w14:textId="77777777" w:rsidR="00124AB6" w:rsidRPr="00124AB6" w:rsidRDefault="00124AB6" w:rsidP="00124AB6">
            <w:pPr>
              <w:jc w:val="center"/>
              <w:rPr>
                <w:bCs/>
                <w:szCs w:val="18"/>
              </w:rPr>
            </w:pPr>
            <w:r w:rsidRPr="00124AB6">
              <w:rPr>
                <w:bCs/>
                <w:szCs w:val="18"/>
              </w:rPr>
              <w:t>TO-1</w:t>
            </w:r>
          </w:p>
        </w:tc>
        <w:tc>
          <w:tcPr>
            <w:tcW w:w="1167" w:type="dxa"/>
            <w:vAlign w:val="center"/>
          </w:tcPr>
          <w:p w14:paraId="7053F0A6" w14:textId="77777777" w:rsidR="00124AB6" w:rsidRPr="00124AB6" w:rsidRDefault="00124AB6" w:rsidP="00124AB6">
            <w:pPr>
              <w:jc w:val="center"/>
              <w:rPr>
                <w:bCs/>
                <w:szCs w:val="18"/>
              </w:rPr>
            </w:pPr>
            <w:r w:rsidRPr="00124AB6">
              <w:rPr>
                <w:bCs/>
                <w:szCs w:val="18"/>
              </w:rPr>
              <w:t>13</w:t>
            </w:r>
          </w:p>
        </w:tc>
      </w:tr>
      <w:tr w:rsidR="00124AB6" w:rsidRPr="00124AB6" w14:paraId="124D1657" w14:textId="77777777" w:rsidTr="004E3BFD">
        <w:trPr>
          <w:cantSplit/>
          <w:trHeight w:val="432"/>
          <w:jc w:val="center"/>
        </w:trPr>
        <w:tc>
          <w:tcPr>
            <w:tcW w:w="1260" w:type="dxa"/>
            <w:vAlign w:val="center"/>
          </w:tcPr>
          <w:p w14:paraId="5211B359" w14:textId="77777777" w:rsidR="00124AB6" w:rsidRPr="00124AB6" w:rsidRDefault="00124AB6" w:rsidP="00124AB6">
            <w:pPr>
              <w:jc w:val="center"/>
              <w:rPr>
                <w:bCs/>
                <w:szCs w:val="18"/>
              </w:rPr>
            </w:pPr>
            <w:r w:rsidRPr="00124AB6">
              <w:rPr>
                <w:bCs/>
                <w:szCs w:val="18"/>
              </w:rPr>
              <w:t>T-501</w:t>
            </w:r>
          </w:p>
        </w:tc>
        <w:tc>
          <w:tcPr>
            <w:tcW w:w="4950" w:type="dxa"/>
            <w:vAlign w:val="center"/>
          </w:tcPr>
          <w:p w14:paraId="0C1A427D" w14:textId="77777777" w:rsidR="00124AB6" w:rsidRPr="00124AB6" w:rsidRDefault="00124AB6" w:rsidP="00124AB6">
            <w:pPr>
              <w:jc w:val="center"/>
            </w:pPr>
            <w:r w:rsidRPr="00124AB6">
              <w:t>Product Storage Tank T-501</w:t>
            </w:r>
          </w:p>
        </w:tc>
        <w:tc>
          <w:tcPr>
            <w:tcW w:w="2250" w:type="dxa"/>
            <w:vAlign w:val="center"/>
          </w:tcPr>
          <w:p w14:paraId="66757120" w14:textId="77777777" w:rsidR="00124AB6" w:rsidRPr="00124AB6" w:rsidRDefault="00124AB6" w:rsidP="00124AB6">
            <w:pPr>
              <w:jc w:val="center"/>
              <w:rPr>
                <w:bCs/>
                <w:szCs w:val="18"/>
              </w:rPr>
            </w:pPr>
            <w:r w:rsidRPr="00124AB6">
              <w:rPr>
                <w:bCs/>
                <w:szCs w:val="18"/>
              </w:rPr>
              <w:t>2007</w:t>
            </w:r>
          </w:p>
        </w:tc>
        <w:tc>
          <w:tcPr>
            <w:tcW w:w="1173" w:type="dxa"/>
            <w:vAlign w:val="center"/>
          </w:tcPr>
          <w:p w14:paraId="4281CFE9" w14:textId="77777777" w:rsidR="00124AB6" w:rsidRPr="00124AB6" w:rsidRDefault="00124AB6" w:rsidP="00124AB6">
            <w:pPr>
              <w:jc w:val="center"/>
              <w:rPr>
                <w:bCs/>
                <w:szCs w:val="18"/>
              </w:rPr>
            </w:pPr>
            <w:r w:rsidRPr="00124AB6">
              <w:rPr>
                <w:bCs/>
                <w:szCs w:val="18"/>
              </w:rPr>
              <w:t>TO-1</w:t>
            </w:r>
          </w:p>
        </w:tc>
        <w:tc>
          <w:tcPr>
            <w:tcW w:w="1167" w:type="dxa"/>
            <w:vAlign w:val="center"/>
          </w:tcPr>
          <w:p w14:paraId="0911FE15" w14:textId="77777777" w:rsidR="00124AB6" w:rsidRPr="00124AB6" w:rsidRDefault="00124AB6" w:rsidP="00124AB6">
            <w:pPr>
              <w:jc w:val="center"/>
              <w:rPr>
                <w:bCs/>
                <w:szCs w:val="18"/>
              </w:rPr>
            </w:pPr>
            <w:r w:rsidRPr="00124AB6">
              <w:rPr>
                <w:bCs/>
                <w:szCs w:val="18"/>
              </w:rPr>
              <w:t>13</w:t>
            </w:r>
          </w:p>
        </w:tc>
      </w:tr>
    </w:tbl>
    <w:p w14:paraId="325ECF9D" w14:textId="77777777" w:rsidR="00124AB6" w:rsidRPr="00124AB6" w:rsidRDefault="00124AB6" w:rsidP="00124AB6"/>
    <w:tbl>
      <w:tblPr>
        <w:tblStyle w:val="TableGrid"/>
        <w:tblW w:w="10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50"/>
        <w:gridCol w:w="4860"/>
        <w:gridCol w:w="1890"/>
        <w:gridCol w:w="1440"/>
        <w:gridCol w:w="1260"/>
      </w:tblGrid>
      <w:tr w:rsidR="00124AB6" w:rsidRPr="00124AB6" w14:paraId="0A2C22A6" w14:textId="77777777" w:rsidTr="004E3BFD">
        <w:trPr>
          <w:tblHeader/>
        </w:trPr>
        <w:tc>
          <w:tcPr>
            <w:tcW w:w="10800" w:type="dxa"/>
            <w:gridSpan w:val="5"/>
            <w:tcBorders>
              <w:top w:val="single" w:sz="2" w:space="0" w:color="auto"/>
              <w:left w:val="single" w:sz="2" w:space="0" w:color="auto"/>
              <w:bottom w:val="single" w:sz="2" w:space="0" w:color="auto"/>
              <w:right w:val="single" w:sz="2" w:space="0" w:color="auto"/>
            </w:tcBorders>
          </w:tcPr>
          <w:p w14:paraId="7A4F82DD" w14:textId="77777777" w:rsidR="00124AB6" w:rsidRPr="00124AB6" w:rsidRDefault="00124AB6" w:rsidP="00124AB6">
            <w:pPr>
              <w:keepNext/>
              <w:keepLines/>
              <w:numPr>
                <w:ilvl w:val="0"/>
                <w:numId w:val="5"/>
              </w:numPr>
              <w:ind w:left="735" w:hanging="735"/>
              <w:rPr>
                <w:rFonts w:eastAsiaTheme="majorEastAsia" w:cstheme="majorBidi"/>
                <w:b/>
                <w:szCs w:val="26"/>
              </w:rPr>
            </w:pPr>
            <w:r w:rsidRPr="00124AB6">
              <w:rPr>
                <w:rFonts w:eastAsiaTheme="majorEastAsia" w:cstheme="majorBidi"/>
                <w:b/>
                <w:szCs w:val="26"/>
              </w:rPr>
              <w:t>CONTROL DEVICE(S) FOR EMISSION UNIT 14 – SOKALAN PG-101 PROCESS</w:t>
            </w:r>
          </w:p>
          <w:p w14:paraId="575C4767" w14:textId="77777777" w:rsidR="00124AB6" w:rsidRPr="00124AB6" w:rsidRDefault="00124AB6" w:rsidP="00124AB6"/>
        </w:tc>
      </w:tr>
      <w:tr w:rsidR="00124AB6" w:rsidRPr="00124AB6" w14:paraId="6870C07F" w14:textId="77777777" w:rsidTr="004E3BFD">
        <w:trPr>
          <w:trHeight w:val="432"/>
          <w:tblHeader/>
        </w:trPr>
        <w:tc>
          <w:tcPr>
            <w:tcW w:w="1350"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5A39E0D1" w14:textId="77777777" w:rsidR="00124AB6" w:rsidRPr="00124AB6" w:rsidRDefault="00124AB6" w:rsidP="00124AB6">
            <w:pPr>
              <w:jc w:val="center"/>
              <w:rPr>
                <w:b/>
              </w:rPr>
            </w:pPr>
            <w:r w:rsidRPr="00124AB6">
              <w:rPr>
                <w:b/>
              </w:rPr>
              <w:t>Control Device ID</w:t>
            </w:r>
          </w:p>
        </w:tc>
        <w:tc>
          <w:tcPr>
            <w:tcW w:w="4860"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797299B3" w14:textId="77777777" w:rsidR="00124AB6" w:rsidRPr="00124AB6" w:rsidRDefault="00124AB6" w:rsidP="00124AB6">
            <w:pPr>
              <w:jc w:val="center"/>
              <w:rPr>
                <w:b/>
              </w:rPr>
            </w:pPr>
            <w:r w:rsidRPr="00124AB6">
              <w:rPr>
                <w:b/>
              </w:rPr>
              <w:t>Control Device Description</w:t>
            </w:r>
          </w:p>
        </w:tc>
        <w:tc>
          <w:tcPr>
            <w:tcW w:w="1890"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3C7F57D2" w14:textId="77777777" w:rsidR="00124AB6" w:rsidRPr="00124AB6" w:rsidRDefault="00124AB6" w:rsidP="00124AB6">
            <w:pPr>
              <w:jc w:val="center"/>
              <w:rPr>
                <w:b/>
              </w:rPr>
            </w:pPr>
            <w:r w:rsidRPr="00124AB6">
              <w:rPr>
                <w:b/>
              </w:rPr>
              <w:t>Pollutant(s) Controlled</w:t>
            </w:r>
          </w:p>
        </w:tc>
        <w:tc>
          <w:tcPr>
            <w:tcW w:w="1440"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7C58ED6D" w14:textId="77777777" w:rsidR="00124AB6" w:rsidRPr="00124AB6" w:rsidRDefault="00124AB6" w:rsidP="00124AB6">
            <w:pPr>
              <w:jc w:val="center"/>
              <w:rPr>
                <w:b/>
              </w:rPr>
            </w:pPr>
            <w:r w:rsidRPr="00124AB6">
              <w:rPr>
                <w:b/>
              </w:rPr>
              <w:t>Installation Date</w:t>
            </w:r>
          </w:p>
        </w:tc>
        <w:tc>
          <w:tcPr>
            <w:tcW w:w="1260"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7A995C24" w14:textId="77777777" w:rsidR="00124AB6" w:rsidRPr="00124AB6" w:rsidRDefault="00124AB6" w:rsidP="00124AB6">
            <w:pPr>
              <w:jc w:val="center"/>
              <w:rPr>
                <w:b/>
              </w:rPr>
            </w:pPr>
            <w:r w:rsidRPr="00124AB6">
              <w:rPr>
                <w:b/>
              </w:rPr>
              <w:t>Emission Point ID</w:t>
            </w:r>
          </w:p>
        </w:tc>
      </w:tr>
      <w:tr w:rsidR="00124AB6" w:rsidRPr="00124AB6" w14:paraId="39881896" w14:textId="77777777" w:rsidTr="004E3BFD">
        <w:trPr>
          <w:trHeight w:val="432"/>
        </w:trPr>
        <w:tc>
          <w:tcPr>
            <w:tcW w:w="1350" w:type="dxa"/>
            <w:tcBorders>
              <w:top w:val="single" w:sz="2" w:space="0" w:color="auto"/>
              <w:left w:val="single" w:sz="2" w:space="0" w:color="auto"/>
              <w:bottom w:val="single" w:sz="2" w:space="0" w:color="auto"/>
              <w:right w:val="single" w:sz="2" w:space="0" w:color="auto"/>
            </w:tcBorders>
          </w:tcPr>
          <w:p w14:paraId="4895A5DF" w14:textId="77777777" w:rsidR="00124AB6" w:rsidRPr="00124AB6" w:rsidRDefault="00124AB6" w:rsidP="00124AB6">
            <w:pPr>
              <w:jc w:val="center"/>
            </w:pPr>
            <w:r w:rsidRPr="00124AB6">
              <w:rPr>
                <w:szCs w:val="20"/>
              </w:rPr>
              <w:t>TO-1</w:t>
            </w:r>
          </w:p>
        </w:tc>
        <w:tc>
          <w:tcPr>
            <w:tcW w:w="4860" w:type="dxa"/>
            <w:tcBorders>
              <w:top w:val="single" w:sz="2" w:space="0" w:color="auto"/>
              <w:left w:val="single" w:sz="2" w:space="0" w:color="auto"/>
              <w:bottom w:val="single" w:sz="2" w:space="0" w:color="auto"/>
              <w:right w:val="single" w:sz="2" w:space="0" w:color="auto"/>
            </w:tcBorders>
          </w:tcPr>
          <w:p w14:paraId="30093EC5" w14:textId="77777777" w:rsidR="00124AB6" w:rsidRPr="00124AB6" w:rsidRDefault="00124AB6" w:rsidP="00124AB6">
            <w:pPr>
              <w:jc w:val="center"/>
            </w:pPr>
            <w:r w:rsidRPr="00124AB6">
              <w:t>Thermal Oxidizer (Natural Gas as Fuel)</w:t>
            </w:r>
          </w:p>
        </w:tc>
        <w:tc>
          <w:tcPr>
            <w:tcW w:w="1890" w:type="dxa"/>
            <w:tcBorders>
              <w:top w:val="single" w:sz="2" w:space="0" w:color="auto"/>
              <w:left w:val="single" w:sz="2" w:space="0" w:color="auto"/>
              <w:bottom w:val="single" w:sz="2" w:space="0" w:color="auto"/>
              <w:right w:val="single" w:sz="2" w:space="0" w:color="auto"/>
            </w:tcBorders>
          </w:tcPr>
          <w:p w14:paraId="6DB9CE7A" w14:textId="77777777" w:rsidR="00124AB6" w:rsidRPr="00124AB6" w:rsidRDefault="00124AB6" w:rsidP="00124AB6">
            <w:pPr>
              <w:jc w:val="center"/>
            </w:pPr>
            <w:r w:rsidRPr="00124AB6">
              <w:rPr>
                <w:szCs w:val="20"/>
              </w:rPr>
              <w:t>VOC, HAP, TAP</w:t>
            </w:r>
          </w:p>
        </w:tc>
        <w:tc>
          <w:tcPr>
            <w:tcW w:w="1440" w:type="dxa"/>
            <w:tcBorders>
              <w:top w:val="single" w:sz="2" w:space="0" w:color="auto"/>
              <w:left w:val="single" w:sz="2" w:space="0" w:color="auto"/>
              <w:bottom w:val="single" w:sz="2" w:space="0" w:color="auto"/>
              <w:right w:val="single" w:sz="2" w:space="0" w:color="auto"/>
            </w:tcBorders>
          </w:tcPr>
          <w:p w14:paraId="0C330008" w14:textId="77777777" w:rsidR="00124AB6" w:rsidRPr="00124AB6" w:rsidRDefault="00124AB6" w:rsidP="00124AB6">
            <w:pPr>
              <w:jc w:val="center"/>
            </w:pPr>
            <w:r w:rsidRPr="00124AB6">
              <w:rPr>
                <w:szCs w:val="20"/>
              </w:rPr>
              <w:t>2007</w:t>
            </w:r>
          </w:p>
        </w:tc>
        <w:tc>
          <w:tcPr>
            <w:tcW w:w="1260" w:type="dxa"/>
            <w:tcBorders>
              <w:top w:val="single" w:sz="2" w:space="0" w:color="auto"/>
              <w:left w:val="single" w:sz="2" w:space="0" w:color="auto"/>
              <w:bottom w:val="single" w:sz="2" w:space="0" w:color="auto"/>
              <w:right w:val="single" w:sz="2" w:space="0" w:color="auto"/>
            </w:tcBorders>
          </w:tcPr>
          <w:p w14:paraId="1B94E0FD" w14:textId="77777777" w:rsidR="00124AB6" w:rsidRPr="00124AB6" w:rsidRDefault="00124AB6" w:rsidP="00124AB6">
            <w:pPr>
              <w:jc w:val="center"/>
            </w:pPr>
            <w:r w:rsidRPr="00124AB6">
              <w:t>13</w:t>
            </w:r>
          </w:p>
        </w:tc>
      </w:tr>
    </w:tbl>
    <w:p w14:paraId="352401B1" w14:textId="77777777" w:rsidR="00124AB6" w:rsidRPr="00124AB6" w:rsidRDefault="00124AB6" w:rsidP="00124AB6"/>
    <w:p w14:paraId="4161BCEA" w14:textId="77777777" w:rsidR="00124AB6" w:rsidRPr="00124AB6" w:rsidRDefault="00124AB6" w:rsidP="00124AB6">
      <w:pPr>
        <w:rPr>
          <w:rFonts w:cs="Open Sans"/>
          <w:szCs w:val="20"/>
        </w:rPr>
      </w:pPr>
    </w:p>
    <w:tbl>
      <w:tblPr>
        <w:tblW w:w="1080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2" w:type="dxa"/>
          <w:right w:w="72" w:type="dxa"/>
        </w:tblCellMar>
        <w:tblLook w:val="01E0" w:firstRow="1" w:lastRow="1" w:firstColumn="1" w:lastColumn="1" w:noHBand="0" w:noVBand="0"/>
      </w:tblPr>
      <w:tblGrid>
        <w:gridCol w:w="1350"/>
        <w:gridCol w:w="5132"/>
        <w:gridCol w:w="1981"/>
        <w:gridCol w:w="1174"/>
        <w:gridCol w:w="1168"/>
      </w:tblGrid>
      <w:tr w:rsidR="00124AB6" w:rsidRPr="00124AB6" w14:paraId="03A11CB3" w14:textId="77777777" w:rsidTr="004E3BFD">
        <w:trPr>
          <w:cantSplit/>
          <w:tblHeader/>
          <w:jc w:val="center"/>
        </w:trPr>
        <w:tc>
          <w:tcPr>
            <w:tcW w:w="10805" w:type="dxa"/>
            <w:gridSpan w:val="5"/>
            <w:vAlign w:val="center"/>
          </w:tcPr>
          <w:p w14:paraId="5D994023" w14:textId="77777777" w:rsidR="00124AB6" w:rsidRPr="00124AB6" w:rsidRDefault="00124AB6" w:rsidP="00124AB6">
            <w:pPr>
              <w:keepNext/>
              <w:keepLines/>
              <w:widowControl w:val="0"/>
              <w:numPr>
                <w:ilvl w:val="0"/>
                <w:numId w:val="5"/>
              </w:numPr>
              <w:rPr>
                <w:rFonts w:eastAsiaTheme="majorEastAsia" w:cstheme="majorBidi"/>
                <w:b/>
                <w:szCs w:val="20"/>
              </w:rPr>
            </w:pPr>
            <w:r w:rsidRPr="00124AB6">
              <w:rPr>
                <w:rFonts w:eastAsiaTheme="majorEastAsia" w:cstheme="majorBidi"/>
                <w:b/>
                <w:szCs w:val="20"/>
              </w:rPr>
              <w:t xml:space="preserve">EQUIPMENT FOR EMISSION </w:t>
            </w:r>
            <w:smartTag w:uri="urn:schemas-microsoft-com:office:smarttags" w:element="stockticker">
              <w:r w:rsidRPr="00124AB6">
                <w:rPr>
                  <w:rFonts w:eastAsiaTheme="majorEastAsia" w:cstheme="majorBidi"/>
                  <w:b/>
                  <w:szCs w:val="20"/>
                </w:rPr>
                <w:t>UNIT</w:t>
              </w:r>
            </w:smartTag>
            <w:r w:rsidRPr="00124AB6">
              <w:rPr>
                <w:rFonts w:eastAsiaTheme="majorEastAsia" w:cstheme="majorBidi"/>
                <w:b/>
                <w:szCs w:val="20"/>
              </w:rPr>
              <w:t xml:space="preserve"> 15 – NON-NSPS SUBPART KB STORAGE TANKS</w:t>
            </w:r>
          </w:p>
          <w:p w14:paraId="5B3E6477" w14:textId="77777777" w:rsidR="00124AB6" w:rsidRPr="00124AB6" w:rsidRDefault="00124AB6" w:rsidP="00124AB6">
            <w:pPr>
              <w:rPr>
                <w:b/>
                <w:szCs w:val="20"/>
              </w:rPr>
            </w:pPr>
          </w:p>
        </w:tc>
      </w:tr>
      <w:tr w:rsidR="00124AB6" w:rsidRPr="00124AB6" w14:paraId="372089B3" w14:textId="77777777" w:rsidTr="004E3BFD">
        <w:trPr>
          <w:cantSplit/>
          <w:trHeight w:val="432"/>
          <w:tblHeader/>
          <w:jc w:val="center"/>
        </w:trPr>
        <w:tc>
          <w:tcPr>
            <w:tcW w:w="1350" w:type="dxa"/>
            <w:shd w:val="pct10" w:color="auto" w:fill="auto"/>
            <w:vAlign w:val="center"/>
          </w:tcPr>
          <w:p w14:paraId="56D6AEFB" w14:textId="77777777" w:rsidR="00124AB6" w:rsidRPr="00124AB6" w:rsidRDefault="00124AB6" w:rsidP="00124AB6">
            <w:pPr>
              <w:jc w:val="center"/>
              <w:rPr>
                <w:b/>
              </w:rPr>
            </w:pPr>
            <w:r w:rsidRPr="00124AB6">
              <w:rPr>
                <w:b/>
              </w:rPr>
              <w:t>Equipment ID</w:t>
            </w:r>
          </w:p>
        </w:tc>
        <w:tc>
          <w:tcPr>
            <w:tcW w:w="5132" w:type="dxa"/>
            <w:shd w:val="pct10" w:color="auto" w:fill="auto"/>
            <w:vAlign w:val="center"/>
          </w:tcPr>
          <w:p w14:paraId="0503B69E" w14:textId="77777777" w:rsidR="00124AB6" w:rsidRPr="00124AB6" w:rsidRDefault="00124AB6" w:rsidP="00124AB6">
            <w:pPr>
              <w:jc w:val="center"/>
              <w:rPr>
                <w:b/>
              </w:rPr>
            </w:pPr>
            <w:r w:rsidRPr="00124AB6">
              <w:rPr>
                <w:b/>
              </w:rPr>
              <w:t>Equipment Description</w:t>
            </w:r>
          </w:p>
        </w:tc>
        <w:tc>
          <w:tcPr>
            <w:tcW w:w="1981" w:type="dxa"/>
            <w:shd w:val="pct10" w:color="auto" w:fill="auto"/>
            <w:vAlign w:val="center"/>
          </w:tcPr>
          <w:p w14:paraId="7A81804B" w14:textId="77777777" w:rsidR="00124AB6" w:rsidRPr="00124AB6" w:rsidRDefault="00124AB6" w:rsidP="00124AB6">
            <w:pPr>
              <w:jc w:val="center"/>
              <w:rPr>
                <w:b/>
              </w:rPr>
            </w:pPr>
            <w:r w:rsidRPr="00124AB6">
              <w:rPr>
                <w:b/>
              </w:rPr>
              <w:t>Installation Date</w:t>
            </w:r>
          </w:p>
        </w:tc>
        <w:tc>
          <w:tcPr>
            <w:tcW w:w="1174" w:type="dxa"/>
            <w:shd w:val="pct10" w:color="auto" w:fill="auto"/>
            <w:vAlign w:val="center"/>
          </w:tcPr>
          <w:p w14:paraId="5523C697" w14:textId="77777777" w:rsidR="00124AB6" w:rsidRPr="00124AB6" w:rsidRDefault="00124AB6" w:rsidP="00124AB6">
            <w:pPr>
              <w:jc w:val="center"/>
              <w:rPr>
                <w:b/>
              </w:rPr>
            </w:pPr>
            <w:r w:rsidRPr="00124AB6">
              <w:rPr>
                <w:b/>
              </w:rPr>
              <w:t>Control Device ID</w:t>
            </w:r>
          </w:p>
        </w:tc>
        <w:tc>
          <w:tcPr>
            <w:tcW w:w="1168" w:type="dxa"/>
            <w:shd w:val="pct10" w:color="auto" w:fill="auto"/>
            <w:vAlign w:val="center"/>
          </w:tcPr>
          <w:p w14:paraId="588666BF" w14:textId="77777777" w:rsidR="00124AB6" w:rsidRPr="00124AB6" w:rsidRDefault="00124AB6" w:rsidP="00124AB6">
            <w:pPr>
              <w:jc w:val="center"/>
              <w:rPr>
                <w:b/>
              </w:rPr>
            </w:pPr>
            <w:smartTag w:uri="urn:schemas-microsoft-com:office:smarttags" w:element="place">
              <w:smartTag w:uri="urn:schemas-microsoft-com:office:smarttags" w:element="PlaceName">
                <w:r w:rsidRPr="00124AB6">
                  <w:rPr>
                    <w:b/>
                  </w:rPr>
                  <w:t>Emission</w:t>
                </w:r>
              </w:smartTag>
              <w:r w:rsidRPr="00124AB6">
                <w:rPr>
                  <w:b/>
                </w:rPr>
                <w:t xml:space="preserve"> </w:t>
              </w:r>
              <w:smartTag w:uri="urn:schemas-microsoft-com:office:smarttags" w:element="PlaceType">
                <w:r w:rsidRPr="00124AB6">
                  <w:rPr>
                    <w:b/>
                  </w:rPr>
                  <w:t>Point</w:t>
                </w:r>
              </w:smartTag>
              <w:r w:rsidRPr="00124AB6">
                <w:rPr>
                  <w:b/>
                </w:rPr>
                <w:t xml:space="preserve"> </w:t>
              </w:r>
              <w:smartTag w:uri="urn:schemas-microsoft-com:office:smarttags" w:element="PlaceName">
                <w:r w:rsidRPr="00124AB6">
                  <w:rPr>
                    <w:b/>
                  </w:rPr>
                  <w:t>ID</w:t>
                </w:r>
              </w:smartTag>
            </w:smartTag>
          </w:p>
        </w:tc>
      </w:tr>
      <w:tr w:rsidR="00124AB6" w:rsidRPr="00124AB6" w14:paraId="594C8227" w14:textId="77777777" w:rsidTr="004E3BFD">
        <w:trPr>
          <w:cantSplit/>
          <w:trHeight w:val="432"/>
          <w:jc w:val="center"/>
        </w:trPr>
        <w:tc>
          <w:tcPr>
            <w:tcW w:w="1350" w:type="dxa"/>
            <w:vAlign w:val="center"/>
          </w:tcPr>
          <w:p w14:paraId="764F6979" w14:textId="77777777" w:rsidR="00124AB6" w:rsidRPr="00124AB6" w:rsidRDefault="00124AB6" w:rsidP="00124AB6">
            <w:pPr>
              <w:jc w:val="center"/>
              <w:rPr>
                <w:bCs/>
                <w:szCs w:val="18"/>
              </w:rPr>
            </w:pPr>
            <w:r w:rsidRPr="00124AB6">
              <w:rPr>
                <w:bCs/>
                <w:szCs w:val="18"/>
              </w:rPr>
              <w:t>T-101</w:t>
            </w:r>
          </w:p>
        </w:tc>
        <w:tc>
          <w:tcPr>
            <w:tcW w:w="5132" w:type="dxa"/>
            <w:vAlign w:val="center"/>
          </w:tcPr>
          <w:p w14:paraId="5F8E31CE" w14:textId="77777777" w:rsidR="00124AB6" w:rsidRPr="00124AB6" w:rsidRDefault="00124AB6" w:rsidP="00124AB6">
            <w:pPr>
              <w:jc w:val="center"/>
              <w:rPr>
                <w:bCs/>
                <w:szCs w:val="18"/>
              </w:rPr>
            </w:pPr>
            <w:r w:rsidRPr="00124AB6">
              <w:rPr>
                <w:bCs/>
                <w:szCs w:val="18"/>
              </w:rPr>
              <w:t xml:space="preserve">Storage Tank T-101    </w:t>
            </w:r>
          </w:p>
        </w:tc>
        <w:tc>
          <w:tcPr>
            <w:tcW w:w="1981" w:type="dxa"/>
            <w:vAlign w:val="center"/>
          </w:tcPr>
          <w:p w14:paraId="6D198692" w14:textId="77777777" w:rsidR="00124AB6" w:rsidRPr="00124AB6" w:rsidRDefault="00124AB6" w:rsidP="00124AB6">
            <w:pPr>
              <w:jc w:val="center"/>
              <w:rPr>
                <w:bCs/>
                <w:szCs w:val="18"/>
              </w:rPr>
            </w:pPr>
            <w:r w:rsidRPr="00124AB6">
              <w:t>Pre 1980</w:t>
            </w:r>
          </w:p>
        </w:tc>
        <w:tc>
          <w:tcPr>
            <w:tcW w:w="1174" w:type="dxa"/>
            <w:vAlign w:val="center"/>
          </w:tcPr>
          <w:p w14:paraId="074C8DF9" w14:textId="77777777" w:rsidR="00124AB6" w:rsidRPr="00124AB6" w:rsidRDefault="00124AB6" w:rsidP="00124AB6">
            <w:pPr>
              <w:jc w:val="center"/>
              <w:rPr>
                <w:bCs/>
                <w:szCs w:val="18"/>
              </w:rPr>
            </w:pPr>
            <w:r w:rsidRPr="00124AB6">
              <w:rPr>
                <w:bCs/>
                <w:szCs w:val="18"/>
              </w:rPr>
              <w:t>None</w:t>
            </w:r>
          </w:p>
        </w:tc>
        <w:tc>
          <w:tcPr>
            <w:tcW w:w="1168" w:type="dxa"/>
            <w:vAlign w:val="center"/>
          </w:tcPr>
          <w:p w14:paraId="1EEF318C" w14:textId="77777777" w:rsidR="00124AB6" w:rsidRPr="00124AB6" w:rsidRDefault="00124AB6" w:rsidP="00124AB6">
            <w:pPr>
              <w:jc w:val="center"/>
              <w:rPr>
                <w:bCs/>
                <w:szCs w:val="18"/>
              </w:rPr>
            </w:pPr>
            <w:r w:rsidRPr="00124AB6">
              <w:rPr>
                <w:bCs/>
                <w:szCs w:val="18"/>
              </w:rPr>
              <w:t>T-101</w:t>
            </w:r>
          </w:p>
        </w:tc>
      </w:tr>
      <w:tr w:rsidR="00124AB6" w:rsidRPr="00124AB6" w14:paraId="648F41B3" w14:textId="77777777" w:rsidTr="004E3BFD">
        <w:trPr>
          <w:cantSplit/>
          <w:trHeight w:val="432"/>
          <w:jc w:val="center"/>
        </w:trPr>
        <w:tc>
          <w:tcPr>
            <w:tcW w:w="1350" w:type="dxa"/>
            <w:vAlign w:val="center"/>
          </w:tcPr>
          <w:p w14:paraId="6729F825" w14:textId="77777777" w:rsidR="00124AB6" w:rsidRPr="00124AB6" w:rsidRDefault="00124AB6" w:rsidP="00124AB6">
            <w:pPr>
              <w:jc w:val="center"/>
              <w:rPr>
                <w:bCs/>
                <w:szCs w:val="18"/>
              </w:rPr>
            </w:pPr>
            <w:r w:rsidRPr="00124AB6">
              <w:rPr>
                <w:bCs/>
                <w:szCs w:val="18"/>
              </w:rPr>
              <w:t>T-102</w:t>
            </w:r>
          </w:p>
        </w:tc>
        <w:tc>
          <w:tcPr>
            <w:tcW w:w="5132" w:type="dxa"/>
            <w:vAlign w:val="center"/>
          </w:tcPr>
          <w:p w14:paraId="50218572" w14:textId="77777777" w:rsidR="00124AB6" w:rsidRPr="00124AB6" w:rsidRDefault="00124AB6" w:rsidP="00124AB6">
            <w:pPr>
              <w:jc w:val="center"/>
              <w:rPr>
                <w:bCs/>
                <w:szCs w:val="18"/>
              </w:rPr>
            </w:pPr>
            <w:r w:rsidRPr="00124AB6">
              <w:rPr>
                <w:bCs/>
                <w:szCs w:val="18"/>
              </w:rPr>
              <w:t xml:space="preserve">Storage Tank T-102   </w:t>
            </w:r>
          </w:p>
        </w:tc>
        <w:tc>
          <w:tcPr>
            <w:tcW w:w="1981" w:type="dxa"/>
            <w:vAlign w:val="center"/>
          </w:tcPr>
          <w:p w14:paraId="310956BC" w14:textId="77777777" w:rsidR="00124AB6" w:rsidRPr="00124AB6" w:rsidRDefault="00124AB6" w:rsidP="00124AB6">
            <w:pPr>
              <w:jc w:val="center"/>
              <w:rPr>
                <w:bCs/>
                <w:szCs w:val="18"/>
              </w:rPr>
            </w:pPr>
            <w:r w:rsidRPr="00124AB6">
              <w:t>Pre 1980</w:t>
            </w:r>
          </w:p>
        </w:tc>
        <w:tc>
          <w:tcPr>
            <w:tcW w:w="1174" w:type="dxa"/>
            <w:vAlign w:val="center"/>
          </w:tcPr>
          <w:p w14:paraId="4E51287D" w14:textId="77777777" w:rsidR="00124AB6" w:rsidRPr="00124AB6" w:rsidRDefault="00124AB6" w:rsidP="00124AB6">
            <w:pPr>
              <w:jc w:val="center"/>
              <w:rPr>
                <w:bCs/>
                <w:szCs w:val="18"/>
              </w:rPr>
            </w:pPr>
            <w:r w:rsidRPr="00124AB6">
              <w:rPr>
                <w:bCs/>
                <w:szCs w:val="18"/>
              </w:rPr>
              <w:t>None</w:t>
            </w:r>
          </w:p>
        </w:tc>
        <w:tc>
          <w:tcPr>
            <w:tcW w:w="1168" w:type="dxa"/>
            <w:vAlign w:val="center"/>
          </w:tcPr>
          <w:p w14:paraId="1A8B141C" w14:textId="77777777" w:rsidR="00124AB6" w:rsidRPr="00124AB6" w:rsidRDefault="00124AB6" w:rsidP="00124AB6">
            <w:pPr>
              <w:jc w:val="center"/>
              <w:rPr>
                <w:bCs/>
                <w:szCs w:val="18"/>
              </w:rPr>
            </w:pPr>
            <w:r w:rsidRPr="00124AB6">
              <w:rPr>
                <w:bCs/>
                <w:szCs w:val="18"/>
              </w:rPr>
              <w:t>T-102</w:t>
            </w:r>
          </w:p>
        </w:tc>
      </w:tr>
      <w:tr w:rsidR="00124AB6" w:rsidRPr="00124AB6" w14:paraId="0FE7EB0A" w14:textId="77777777" w:rsidTr="004E3BFD">
        <w:trPr>
          <w:cantSplit/>
          <w:trHeight w:val="432"/>
          <w:jc w:val="center"/>
        </w:trPr>
        <w:tc>
          <w:tcPr>
            <w:tcW w:w="1350" w:type="dxa"/>
            <w:vAlign w:val="center"/>
          </w:tcPr>
          <w:p w14:paraId="66D84D76" w14:textId="77777777" w:rsidR="00124AB6" w:rsidRPr="00124AB6" w:rsidRDefault="00124AB6" w:rsidP="00124AB6">
            <w:pPr>
              <w:jc w:val="center"/>
              <w:rPr>
                <w:bCs/>
                <w:szCs w:val="18"/>
              </w:rPr>
            </w:pPr>
            <w:r w:rsidRPr="00124AB6">
              <w:rPr>
                <w:bCs/>
                <w:szCs w:val="18"/>
              </w:rPr>
              <w:t>T-103</w:t>
            </w:r>
          </w:p>
        </w:tc>
        <w:tc>
          <w:tcPr>
            <w:tcW w:w="5132" w:type="dxa"/>
            <w:vAlign w:val="center"/>
          </w:tcPr>
          <w:p w14:paraId="1320951E" w14:textId="77777777" w:rsidR="00124AB6" w:rsidRPr="00124AB6" w:rsidRDefault="00124AB6" w:rsidP="00124AB6">
            <w:pPr>
              <w:jc w:val="center"/>
              <w:rPr>
                <w:bCs/>
                <w:szCs w:val="18"/>
              </w:rPr>
            </w:pPr>
            <w:r w:rsidRPr="00124AB6">
              <w:rPr>
                <w:bCs/>
                <w:szCs w:val="18"/>
              </w:rPr>
              <w:t xml:space="preserve">Storage Tank T-103    </w:t>
            </w:r>
          </w:p>
        </w:tc>
        <w:tc>
          <w:tcPr>
            <w:tcW w:w="1981" w:type="dxa"/>
            <w:vAlign w:val="center"/>
          </w:tcPr>
          <w:p w14:paraId="64054CEE" w14:textId="77777777" w:rsidR="00124AB6" w:rsidRPr="00124AB6" w:rsidRDefault="00124AB6" w:rsidP="00124AB6">
            <w:pPr>
              <w:jc w:val="center"/>
              <w:rPr>
                <w:bCs/>
                <w:szCs w:val="18"/>
              </w:rPr>
            </w:pPr>
            <w:r w:rsidRPr="00124AB6">
              <w:t>Pre 1980</w:t>
            </w:r>
          </w:p>
        </w:tc>
        <w:tc>
          <w:tcPr>
            <w:tcW w:w="1174" w:type="dxa"/>
            <w:vAlign w:val="center"/>
          </w:tcPr>
          <w:p w14:paraId="3A6526AB" w14:textId="77777777" w:rsidR="00124AB6" w:rsidRPr="00124AB6" w:rsidRDefault="00124AB6" w:rsidP="00124AB6">
            <w:pPr>
              <w:jc w:val="center"/>
              <w:rPr>
                <w:bCs/>
                <w:szCs w:val="18"/>
              </w:rPr>
            </w:pPr>
            <w:r w:rsidRPr="00124AB6">
              <w:rPr>
                <w:bCs/>
                <w:szCs w:val="18"/>
              </w:rPr>
              <w:t>None</w:t>
            </w:r>
          </w:p>
        </w:tc>
        <w:tc>
          <w:tcPr>
            <w:tcW w:w="1168" w:type="dxa"/>
            <w:vAlign w:val="center"/>
          </w:tcPr>
          <w:p w14:paraId="558950A7" w14:textId="77777777" w:rsidR="00124AB6" w:rsidRPr="00124AB6" w:rsidRDefault="00124AB6" w:rsidP="00124AB6">
            <w:pPr>
              <w:jc w:val="center"/>
              <w:rPr>
                <w:bCs/>
                <w:szCs w:val="18"/>
              </w:rPr>
            </w:pPr>
            <w:r w:rsidRPr="00124AB6">
              <w:rPr>
                <w:bCs/>
                <w:szCs w:val="18"/>
              </w:rPr>
              <w:t>T-103</w:t>
            </w:r>
          </w:p>
        </w:tc>
      </w:tr>
      <w:tr w:rsidR="00124AB6" w:rsidRPr="00124AB6" w14:paraId="1F8259AB" w14:textId="77777777" w:rsidTr="004E3BFD">
        <w:trPr>
          <w:cantSplit/>
          <w:trHeight w:val="432"/>
          <w:jc w:val="center"/>
        </w:trPr>
        <w:tc>
          <w:tcPr>
            <w:tcW w:w="1350" w:type="dxa"/>
            <w:vAlign w:val="center"/>
          </w:tcPr>
          <w:p w14:paraId="4F30A657" w14:textId="77777777" w:rsidR="00124AB6" w:rsidRPr="00124AB6" w:rsidRDefault="00124AB6" w:rsidP="00124AB6">
            <w:pPr>
              <w:jc w:val="center"/>
              <w:rPr>
                <w:bCs/>
                <w:szCs w:val="18"/>
              </w:rPr>
            </w:pPr>
            <w:r w:rsidRPr="00124AB6">
              <w:rPr>
                <w:bCs/>
                <w:szCs w:val="18"/>
              </w:rPr>
              <w:t>T-104</w:t>
            </w:r>
          </w:p>
        </w:tc>
        <w:tc>
          <w:tcPr>
            <w:tcW w:w="5132" w:type="dxa"/>
            <w:vAlign w:val="center"/>
          </w:tcPr>
          <w:p w14:paraId="186A2AEE" w14:textId="77777777" w:rsidR="00124AB6" w:rsidRPr="00124AB6" w:rsidRDefault="00124AB6" w:rsidP="00124AB6">
            <w:pPr>
              <w:jc w:val="center"/>
              <w:rPr>
                <w:bCs/>
                <w:szCs w:val="18"/>
              </w:rPr>
            </w:pPr>
            <w:r w:rsidRPr="00124AB6">
              <w:rPr>
                <w:bCs/>
                <w:szCs w:val="18"/>
              </w:rPr>
              <w:t xml:space="preserve">Storage Tank T-104    </w:t>
            </w:r>
          </w:p>
        </w:tc>
        <w:tc>
          <w:tcPr>
            <w:tcW w:w="1981" w:type="dxa"/>
            <w:vAlign w:val="center"/>
          </w:tcPr>
          <w:p w14:paraId="3BFD9F56" w14:textId="77777777" w:rsidR="00124AB6" w:rsidRPr="00124AB6" w:rsidRDefault="00124AB6" w:rsidP="00124AB6">
            <w:pPr>
              <w:jc w:val="center"/>
              <w:rPr>
                <w:bCs/>
                <w:szCs w:val="18"/>
              </w:rPr>
            </w:pPr>
            <w:r w:rsidRPr="00124AB6">
              <w:t>Pre 1980</w:t>
            </w:r>
          </w:p>
        </w:tc>
        <w:tc>
          <w:tcPr>
            <w:tcW w:w="1174" w:type="dxa"/>
            <w:vAlign w:val="center"/>
          </w:tcPr>
          <w:p w14:paraId="0BD68CE6" w14:textId="77777777" w:rsidR="00124AB6" w:rsidRPr="00124AB6" w:rsidRDefault="00124AB6" w:rsidP="00124AB6">
            <w:pPr>
              <w:jc w:val="center"/>
              <w:rPr>
                <w:bCs/>
                <w:szCs w:val="18"/>
              </w:rPr>
            </w:pPr>
            <w:r w:rsidRPr="00124AB6">
              <w:rPr>
                <w:bCs/>
                <w:szCs w:val="18"/>
              </w:rPr>
              <w:t>None</w:t>
            </w:r>
          </w:p>
        </w:tc>
        <w:tc>
          <w:tcPr>
            <w:tcW w:w="1168" w:type="dxa"/>
            <w:vAlign w:val="center"/>
          </w:tcPr>
          <w:p w14:paraId="40E80130" w14:textId="77777777" w:rsidR="00124AB6" w:rsidRPr="00124AB6" w:rsidRDefault="00124AB6" w:rsidP="00124AB6">
            <w:pPr>
              <w:jc w:val="center"/>
              <w:rPr>
                <w:bCs/>
                <w:szCs w:val="18"/>
              </w:rPr>
            </w:pPr>
            <w:r w:rsidRPr="00124AB6">
              <w:rPr>
                <w:bCs/>
                <w:szCs w:val="18"/>
              </w:rPr>
              <w:t>T-104</w:t>
            </w:r>
          </w:p>
        </w:tc>
      </w:tr>
      <w:tr w:rsidR="00124AB6" w:rsidRPr="00124AB6" w14:paraId="345D8910" w14:textId="77777777" w:rsidTr="004E3BFD">
        <w:trPr>
          <w:cantSplit/>
          <w:trHeight w:val="432"/>
          <w:jc w:val="center"/>
        </w:trPr>
        <w:tc>
          <w:tcPr>
            <w:tcW w:w="1350" w:type="dxa"/>
            <w:vAlign w:val="center"/>
          </w:tcPr>
          <w:p w14:paraId="66B6B6AE" w14:textId="77777777" w:rsidR="00124AB6" w:rsidRPr="00124AB6" w:rsidRDefault="00124AB6" w:rsidP="00124AB6">
            <w:pPr>
              <w:jc w:val="center"/>
              <w:rPr>
                <w:bCs/>
                <w:szCs w:val="18"/>
              </w:rPr>
            </w:pPr>
            <w:r w:rsidRPr="00124AB6">
              <w:rPr>
                <w:bCs/>
                <w:szCs w:val="18"/>
              </w:rPr>
              <w:t>T-106</w:t>
            </w:r>
          </w:p>
        </w:tc>
        <w:tc>
          <w:tcPr>
            <w:tcW w:w="5132" w:type="dxa"/>
            <w:vAlign w:val="center"/>
          </w:tcPr>
          <w:p w14:paraId="0A8B2EF2" w14:textId="77777777" w:rsidR="00124AB6" w:rsidRPr="00124AB6" w:rsidRDefault="00124AB6" w:rsidP="00124AB6">
            <w:pPr>
              <w:jc w:val="center"/>
              <w:rPr>
                <w:bCs/>
                <w:szCs w:val="18"/>
              </w:rPr>
            </w:pPr>
            <w:r w:rsidRPr="00124AB6">
              <w:rPr>
                <w:bCs/>
                <w:szCs w:val="18"/>
              </w:rPr>
              <w:t xml:space="preserve">Storage Tank T-106    </w:t>
            </w:r>
          </w:p>
        </w:tc>
        <w:tc>
          <w:tcPr>
            <w:tcW w:w="1981" w:type="dxa"/>
            <w:vAlign w:val="center"/>
          </w:tcPr>
          <w:p w14:paraId="1894A573" w14:textId="77777777" w:rsidR="00124AB6" w:rsidRPr="00124AB6" w:rsidRDefault="00124AB6" w:rsidP="00124AB6">
            <w:pPr>
              <w:jc w:val="center"/>
              <w:rPr>
                <w:bCs/>
                <w:szCs w:val="18"/>
              </w:rPr>
            </w:pPr>
            <w:r w:rsidRPr="00124AB6">
              <w:rPr>
                <w:bCs/>
                <w:szCs w:val="18"/>
              </w:rPr>
              <w:t>1993</w:t>
            </w:r>
          </w:p>
        </w:tc>
        <w:tc>
          <w:tcPr>
            <w:tcW w:w="1174" w:type="dxa"/>
            <w:vAlign w:val="center"/>
          </w:tcPr>
          <w:p w14:paraId="199BF4B6" w14:textId="77777777" w:rsidR="00124AB6" w:rsidRPr="00124AB6" w:rsidRDefault="00124AB6" w:rsidP="00124AB6">
            <w:pPr>
              <w:jc w:val="center"/>
              <w:rPr>
                <w:bCs/>
                <w:szCs w:val="18"/>
              </w:rPr>
            </w:pPr>
            <w:r w:rsidRPr="00124AB6">
              <w:rPr>
                <w:bCs/>
                <w:szCs w:val="18"/>
              </w:rPr>
              <w:t>None</w:t>
            </w:r>
          </w:p>
        </w:tc>
        <w:tc>
          <w:tcPr>
            <w:tcW w:w="1168" w:type="dxa"/>
            <w:vAlign w:val="center"/>
          </w:tcPr>
          <w:p w14:paraId="0F07ABFC" w14:textId="77777777" w:rsidR="00124AB6" w:rsidRPr="00124AB6" w:rsidRDefault="00124AB6" w:rsidP="00124AB6">
            <w:pPr>
              <w:jc w:val="center"/>
              <w:rPr>
                <w:bCs/>
                <w:szCs w:val="18"/>
              </w:rPr>
            </w:pPr>
            <w:r w:rsidRPr="00124AB6">
              <w:rPr>
                <w:bCs/>
                <w:szCs w:val="18"/>
              </w:rPr>
              <w:t>T-106</w:t>
            </w:r>
          </w:p>
        </w:tc>
      </w:tr>
      <w:tr w:rsidR="00124AB6" w:rsidRPr="00124AB6" w14:paraId="5EF3B41C" w14:textId="77777777" w:rsidTr="004E3BFD">
        <w:trPr>
          <w:cantSplit/>
          <w:trHeight w:val="432"/>
          <w:jc w:val="center"/>
        </w:trPr>
        <w:tc>
          <w:tcPr>
            <w:tcW w:w="1350" w:type="dxa"/>
            <w:vAlign w:val="center"/>
          </w:tcPr>
          <w:p w14:paraId="035FEC3B" w14:textId="77777777" w:rsidR="00124AB6" w:rsidRPr="00124AB6" w:rsidRDefault="00124AB6" w:rsidP="00124AB6">
            <w:pPr>
              <w:jc w:val="center"/>
              <w:rPr>
                <w:bCs/>
                <w:szCs w:val="18"/>
              </w:rPr>
            </w:pPr>
            <w:r w:rsidRPr="00124AB6">
              <w:rPr>
                <w:bCs/>
                <w:szCs w:val="18"/>
              </w:rPr>
              <w:t>T-107</w:t>
            </w:r>
          </w:p>
        </w:tc>
        <w:tc>
          <w:tcPr>
            <w:tcW w:w="5132" w:type="dxa"/>
            <w:vAlign w:val="center"/>
          </w:tcPr>
          <w:p w14:paraId="11F63681" w14:textId="77777777" w:rsidR="00124AB6" w:rsidRPr="00124AB6" w:rsidRDefault="00124AB6" w:rsidP="00124AB6">
            <w:pPr>
              <w:jc w:val="center"/>
              <w:rPr>
                <w:bCs/>
                <w:szCs w:val="18"/>
              </w:rPr>
            </w:pPr>
            <w:r w:rsidRPr="00124AB6">
              <w:rPr>
                <w:bCs/>
                <w:szCs w:val="18"/>
              </w:rPr>
              <w:t xml:space="preserve">Storage Tank T-107    </w:t>
            </w:r>
          </w:p>
        </w:tc>
        <w:tc>
          <w:tcPr>
            <w:tcW w:w="1981" w:type="dxa"/>
            <w:vAlign w:val="center"/>
          </w:tcPr>
          <w:p w14:paraId="2D95A6A4" w14:textId="77777777" w:rsidR="00124AB6" w:rsidRPr="00124AB6" w:rsidRDefault="00124AB6" w:rsidP="00124AB6">
            <w:pPr>
              <w:jc w:val="center"/>
              <w:rPr>
                <w:bCs/>
                <w:szCs w:val="18"/>
              </w:rPr>
            </w:pPr>
            <w:r w:rsidRPr="00124AB6">
              <w:t>Pre 1980</w:t>
            </w:r>
          </w:p>
        </w:tc>
        <w:tc>
          <w:tcPr>
            <w:tcW w:w="1174" w:type="dxa"/>
            <w:vAlign w:val="center"/>
          </w:tcPr>
          <w:p w14:paraId="6126A8C2" w14:textId="77777777" w:rsidR="00124AB6" w:rsidRPr="00124AB6" w:rsidRDefault="00124AB6" w:rsidP="00124AB6">
            <w:pPr>
              <w:jc w:val="center"/>
              <w:rPr>
                <w:bCs/>
                <w:szCs w:val="18"/>
              </w:rPr>
            </w:pPr>
            <w:r w:rsidRPr="00124AB6">
              <w:rPr>
                <w:bCs/>
                <w:szCs w:val="18"/>
              </w:rPr>
              <w:t>None</w:t>
            </w:r>
          </w:p>
        </w:tc>
        <w:tc>
          <w:tcPr>
            <w:tcW w:w="1168" w:type="dxa"/>
            <w:vAlign w:val="center"/>
          </w:tcPr>
          <w:p w14:paraId="232509BF" w14:textId="77777777" w:rsidR="00124AB6" w:rsidRPr="00124AB6" w:rsidRDefault="00124AB6" w:rsidP="00124AB6">
            <w:pPr>
              <w:jc w:val="center"/>
              <w:rPr>
                <w:bCs/>
                <w:szCs w:val="18"/>
              </w:rPr>
            </w:pPr>
            <w:r w:rsidRPr="00124AB6">
              <w:rPr>
                <w:bCs/>
                <w:szCs w:val="18"/>
              </w:rPr>
              <w:t>T-107</w:t>
            </w:r>
          </w:p>
        </w:tc>
      </w:tr>
      <w:tr w:rsidR="00124AB6" w:rsidRPr="00124AB6" w14:paraId="2060670F" w14:textId="77777777" w:rsidTr="004E3BFD">
        <w:trPr>
          <w:cantSplit/>
          <w:trHeight w:val="432"/>
          <w:jc w:val="center"/>
        </w:trPr>
        <w:tc>
          <w:tcPr>
            <w:tcW w:w="1350" w:type="dxa"/>
            <w:vAlign w:val="center"/>
          </w:tcPr>
          <w:p w14:paraId="46517A33" w14:textId="77777777" w:rsidR="00124AB6" w:rsidRPr="00124AB6" w:rsidRDefault="00124AB6" w:rsidP="00124AB6">
            <w:pPr>
              <w:jc w:val="center"/>
              <w:rPr>
                <w:bCs/>
                <w:szCs w:val="18"/>
              </w:rPr>
            </w:pPr>
            <w:r w:rsidRPr="00124AB6">
              <w:rPr>
                <w:bCs/>
                <w:szCs w:val="18"/>
              </w:rPr>
              <w:t>T-108</w:t>
            </w:r>
          </w:p>
        </w:tc>
        <w:tc>
          <w:tcPr>
            <w:tcW w:w="5132" w:type="dxa"/>
            <w:vAlign w:val="center"/>
          </w:tcPr>
          <w:p w14:paraId="3EC9E32C" w14:textId="77777777" w:rsidR="00124AB6" w:rsidRPr="00124AB6" w:rsidRDefault="00124AB6" w:rsidP="00124AB6">
            <w:pPr>
              <w:jc w:val="center"/>
              <w:rPr>
                <w:bCs/>
                <w:szCs w:val="18"/>
              </w:rPr>
            </w:pPr>
            <w:r w:rsidRPr="00124AB6">
              <w:rPr>
                <w:bCs/>
                <w:szCs w:val="18"/>
              </w:rPr>
              <w:t xml:space="preserve">Storage Tank T-108    </w:t>
            </w:r>
          </w:p>
        </w:tc>
        <w:tc>
          <w:tcPr>
            <w:tcW w:w="1981" w:type="dxa"/>
            <w:vAlign w:val="center"/>
          </w:tcPr>
          <w:p w14:paraId="621CF75C" w14:textId="77777777" w:rsidR="00124AB6" w:rsidRPr="00124AB6" w:rsidRDefault="00124AB6" w:rsidP="00124AB6">
            <w:pPr>
              <w:jc w:val="center"/>
              <w:rPr>
                <w:bCs/>
                <w:szCs w:val="18"/>
              </w:rPr>
            </w:pPr>
            <w:r w:rsidRPr="00124AB6">
              <w:t>Pre 1980</w:t>
            </w:r>
          </w:p>
        </w:tc>
        <w:tc>
          <w:tcPr>
            <w:tcW w:w="1174" w:type="dxa"/>
            <w:vAlign w:val="center"/>
          </w:tcPr>
          <w:p w14:paraId="0C4A5F3D" w14:textId="77777777" w:rsidR="00124AB6" w:rsidRPr="00124AB6" w:rsidRDefault="00124AB6" w:rsidP="00124AB6">
            <w:pPr>
              <w:jc w:val="center"/>
              <w:rPr>
                <w:bCs/>
                <w:szCs w:val="18"/>
              </w:rPr>
            </w:pPr>
            <w:r w:rsidRPr="00124AB6">
              <w:rPr>
                <w:bCs/>
                <w:szCs w:val="18"/>
              </w:rPr>
              <w:t>None</w:t>
            </w:r>
          </w:p>
        </w:tc>
        <w:tc>
          <w:tcPr>
            <w:tcW w:w="1168" w:type="dxa"/>
            <w:vAlign w:val="center"/>
          </w:tcPr>
          <w:p w14:paraId="1C346055" w14:textId="77777777" w:rsidR="00124AB6" w:rsidRPr="00124AB6" w:rsidRDefault="00124AB6" w:rsidP="00124AB6">
            <w:pPr>
              <w:jc w:val="center"/>
              <w:rPr>
                <w:bCs/>
                <w:szCs w:val="18"/>
              </w:rPr>
            </w:pPr>
            <w:r w:rsidRPr="00124AB6">
              <w:rPr>
                <w:bCs/>
                <w:szCs w:val="18"/>
              </w:rPr>
              <w:t>T-108</w:t>
            </w:r>
          </w:p>
        </w:tc>
      </w:tr>
      <w:tr w:rsidR="00124AB6" w:rsidRPr="00124AB6" w14:paraId="075B3FF0" w14:textId="77777777" w:rsidTr="004E3BFD">
        <w:trPr>
          <w:cantSplit/>
          <w:trHeight w:val="432"/>
          <w:jc w:val="center"/>
        </w:trPr>
        <w:tc>
          <w:tcPr>
            <w:tcW w:w="1350" w:type="dxa"/>
            <w:vAlign w:val="center"/>
          </w:tcPr>
          <w:p w14:paraId="2D5E7D8C" w14:textId="77777777" w:rsidR="00124AB6" w:rsidRPr="00124AB6" w:rsidRDefault="00124AB6" w:rsidP="00124AB6">
            <w:pPr>
              <w:jc w:val="center"/>
              <w:rPr>
                <w:bCs/>
                <w:szCs w:val="18"/>
              </w:rPr>
            </w:pPr>
            <w:r w:rsidRPr="00124AB6">
              <w:rPr>
                <w:bCs/>
                <w:szCs w:val="18"/>
              </w:rPr>
              <w:t>T-109</w:t>
            </w:r>
          </w:p>
        </w:tc>
        <w:tc>
          <w:tcPr>
            <w:tcW w:w="5132" w:type="dxa"/>
            <w:vAlign w:val="center"/>
          </w:tcPr>
          <w:p w14:paraId="1D032832" w14:textId="77777777" w:rsidR="00124AB6" w:rsidRPr="00124AB6" w:rsidRDefault="00124AB6" w:rsidP="00124AB6">
            <w:pPr>
              <w:jc w:val="center"/>
              <w:rPr>
                <w:bCs/>
                <w:szCs w:val="18"/>
              </w:rPr>
            </w:pPr>
            <w:r w:rsidRPr="00124AB6">
              <w:rPr>
                <w:bCs/>
                <w:szCs w:val="18"/>
              </w:rPr>
              <w:t xml:space="preserve">Storage Tank T-109    </w:t>
            </w:r>
          </w:p>
        </w:tc>
        <w:tc>
          <w:tcPr>
            <w:tcW w:w="1981" w:type="dxa"/>
            <w:vAlign w:val="center"/>
          </w:tcPr>
          <w:p w14:paraId="1D29D2D1" w14:textId="77777777" w:rsidR="00124AB6" w:rsidRPr="00124AB6" w:rsidRDefault="00124AB6" w:rsidP="00124AB6">
            <w:pPr>
              <w:jc w:val="center"/>
              <w:rPr>
                <w:bCs/>
                <w:szCs w:val="18"/>
              </w:rPr>
            </w:pPr>
            <w:r w:rsidRPr="00124AB6">
              <w:t>Pre 1980</w:t>
            </w:r>
          </w:p>
        </w:tc>
        <w:tc>
          <w:tcPr>
            <w:tcW w:w="1174" w:type="dxa"/>
            <w:vAlign w:val="center"/>
          </w:tcPr>
          <w:p w14:paraId="68896ECB" w14:textId="77777777" w:rsidR="00124AB6" w:rsidRPr="00124AB6" w:rsidRDefault="00124AB6" w:rsidP="00124AB6">
            <w:pPr>
              <w:jc w:val="center"/>
              <w:rPr>
                <w:bCs/>
                <w:szCs w:val="18"/>
              </w:rPr>
            </w:pPr>
            <w:r w:rsidRPr="00124AB6">
              <w:rPr>
                <w:bCs/>
                <w:szCs w:val="18"/>
              </w:rPr>
              <w:t>None</w:t>
            </w:r>
          </w:p>
        </w:tc>
        <w:tc>
          <w:tcPr>
            <w:tcW w:w="1168" w:type="dxa"/>
            <w:vAlign w:val="center"/>
          </w:tcPr>
          <w:p w14:paraId="7B6C5DE6" w14:textId="77777777" w:rsidR="00124AB6" w:rsidRPr="00124AB6" w:rsidRDefault="00124AB6" w:rsidP="00124AB6">
            <w:pPr>
              <w:jc w:val="center"/>
              <w:rPr>
                <w:bCs/>
                <w:szCs w:val="18"/>
              </w:rPr>
            </w:pPr>
            <w:r w:rsidRPr="00124AB6">
              <w:rPr>
                <w:bCs/>
                <w:szCs w:val="18"/>
              </w:rPr>
              <w:t>T-109</w:t>
            </w:r>
          </w:p>
        </w:tc>
      </w:tr>
      <w:tr w:rsidR="00124AB6" w:rsidRPr="00124AB6" w14:paraId="7B3FB97D" w14:textId="77777777" w:rsidTr="004E3BFD">
        <w:trPr>
          <w:cantSplit/>
          <w:trHeight w:val="432"/>
          <w:jc w:val="center"/>
        </w:trPr>
        <w:tc>
          <w:tcPr>
            <w:tcW w:w="1350" w:type="dxa"/>
            <w:vAlign w:val="center"/>
          </w:tcPr>
          <w:p w14:paraId="52B08592" w14:textId="77777777" w:rsidR="00124AB6" w:rsidRPr="00124AB6" w:rsidRDefault="00124AB6" w:rsidP="00124AB6">
            <w:pPr>
              <w:jc w:val="center"/>
              <w:rPr>
                <w:bCs/>
                <w:szCs w:val="18"/>
              </w:rPr>
            </w:pPr>
            <w:r w:rsidRPr="00124AB6">
              <w:rPr>
                <w:bCs/>
                <w:szCs w:val="18"/>
              </w:rPr>
              <w:t>T-110</w:t>
            </w:r>
          </w:p>
        </w:tc>
        <w:tc>
          <w:tcPr>
            <w:tcW w:w="5132" w:type="dxa"/>
            <w:vAlign w:val="center"/>
          </w:tcPr>
          <w:p w14:paraId="59011265" w14:textId="77777777" w:rsidR="00124AB6" w:rsidRPr="00124AB6" w:rsidRDefault="00124AB6" w:rsidP="00124AB6">
            <w:pPr>
              <w:jc w:val="center"/>
              <w:rPr>
                <w:bCs/>
                <w:szCs w:val="18"/>
              </w:rPr>
            </w:pPr>
            <w:r w:rsidRPr="00124AB6">
              <w:rPr>
                <w:bCs/>
                <w:szCs w:val="18"/>
              </w:rPr>
              <w:t xml:space="preserve">Storage Tank T-110    </w:t>
            </w:r>
          </w:p>
        </w:tc>
        <w:tc>
          <w:tcPr>
            <w:tcW w:w="1981" w:type="dxa"/>
            <w:vAlign w:val="center"/>
          </w:tcPr>
          <w:p w14:paraId="192B9D29" w14:textId="77777777" w:rsidR="00124AB6" w:rsidRPr="00124AB6" w:rsidRDefault="00124AB6" w:rsidP="00124AB6">
            <w:pPr>
              <w:jc w:val="center"/>
            </w:pPr>
            <w:r w:rsidRPr="00124AB6">
              <w:t>Pre 1980</w:t>
            </w:r>
          </w:p>
        </w:tc>
        <w:tc>
          <w:tcPr>
            <w:tcW w:w="1174" w:type="dxa"/>
            <w:vAlign w:val="center"/>
          </w:tcPr>
          <w:p w14:paraId="3938FA06" w14:textId="77777777" w:rsidR="00124AB6" w:rsidRPr="00124AB6" w:rsidRDefault="00124AB6" w:rsidP="00124AB6">
            <w:pPr>
              <w:jc w:val="center"/>
              <w:rPr>
                <w:bCs/>
                <w:szCs w:val="18"/>
              </w:rPr>
            </w:pPr>
            <w:r w:rsidRPr="00124AB6">
              <w:rPr>
                <w:bCs/>
                <w:szCs w:val="18"/>
              </w:rPr>
              <w:t>None</w:t>
            </w:r>
          </w:p>
        </w:tc>
        <w:tc>
          <w:tcPr>
            <w:tcW w:w="1168" w:type="dxa"/>
            <w:vAlign w:val="center"/>
          </w:tcPr>
          <w:p w14:paraId="59DC80A2" w14:textId="77777777" w:rsidR="00124AB6" w:rsidRPr="00124AB6" w:rsidRDefault="00124AB6" w:rsidP="00124AB6">
            <w:pPr>
              <w:jc w:val="center"/>
              <w:rPr>
                <w:bCs/>
                <w:szCs w:val="18"/>
              </w:rPr>
            </w:pPr>
            <w:r w:rsidRPr="00124AB6">
              <w:rPr>
                <w:bCs/>
                <w:szCs w:val="18"/>
              </w:rPr>
              <w:t>T-110</w:t>
            </w:r>
          </w:p>
        </w:tc>
      </w:tr>
      <w:tr w:rsidR="00124AB6" w:rsidRPr="00124AB6" w14:paraId="1D764C53" w14:textId="77777777" w:rsidTr="004E3BFD">
        <w:trPr>
          <w:cantSplit/>
          <w:trHeight w:val="432"/>
          <w:jc w:val="center"/>
        </w:trPr>
        <w:tc>
          <w:tcPr>
            <w:tcW w:w="1350" w:type="dxa"/>
            <w:vAlign w:val="center"/>
          </w:tcPr>
          <w:p w14:paraId="56BBED2A" w14:textId="77777777" w:rsidR="00124AB6" w:rsidRPr="00124AB6" w:rsidRDefault="00124AB6" w:rsidP="00124AB6">
            <w:pPr>
              <w:jc w:val="center"/>
              <w:rPr>
                <w:bCs/>
                <w:szCs w:val="18"/>
              </w:rPr>
            </w:pPr>
            <w:r w:rsidRPr="00124AB6">
              <w:rPr>
                <w:bCs/>
                <w:szCs w:val="18"/>
              </w:rPr>
              <w:t>T-111</w:t>
            </w:r>
          </w:p>
        </w:tc>
        <w:tc>
          <w:tcPr>
            <w:tcW w:w="5132" w:type="dxa"/>
            <w:vAlign w:val="center"/>
          </w:tcPr>
          <w:p w14:paraId="02864EBC" w14:textId="77777777" w:rsidR="00124AB6" w:rsidRPr="00124AB6" w:rsidRDefault="00124AB6" w:rsidP="00124AB6">
            <w:pPr>
              <w:jc w:val="center"/>
              <w:rPr>
                <w:bCs/>
                <w:szCs w:val="18"/>
              </w:rPr>
            </w:pPr>
            <w:r w:rsidRPr="00124AB6">
              <w:rPr>
                <w:bCs/>
                <w:szCs w:val="18"/>
              </w:rPr>
              <w:t xml:space="preserve">Storage Tank T-111    </w:t>
            </w:r>
          </w:p>
        </w:tc>
        <w:tc>
          <w:tcPr>
            <w:tcW w:w="1981" w:type="dxa"/>
            <w:vAlign w:val="center"/>
          </w:tcPr>
          <w:p w14:paraId="75873A0A" w14:textId="77777777" w:rsidR="00124AB6" w:rsidRPr="00124AB6" w:rsidRDefault="00124AB6" w:rsidP="00124AB6">
            <w:pPr>
              <w:jc w:val="center"/>
            </w:pPr>
            <w:r w:rsidRPr="00124AB6">
              <w:t>Pre 1980</w:t>
            </w:r>
          </w:p>
        </w:tc>
        <w:tc>
          <w:tcPr>
            <w:tcW w:w="1174" w:type="dxa"/>
            <w:vAlign w:val="center"/>
          </w:tcPr>
          <w:p w14:paraId="5FCA973B" w14:textId="77777777" w:rsidR="00124AB6" w:rsidRPr="00124AB6" w:rsidRDefault="00124AB6" w:rsidP="00124AB6">
            <w:pPr>
              <w:jc w:val="center"/>
              <w:rPr>
                <w:bCs/>
                <w:szCs w:val="18"/>
              </w:rPr>
            </w:pPr>
            <w:r w:rsidRPr="00124AB6">
              <w:rPr>
                <w:bCs/>
                <w:szCs w:val="18"/>
              </w:rPr>
              <w:t>None</w:t>
            </w:r>
          </w:p>
        </w:tc>
        <w:tc>
          <w:tcPr>
            <w:tcW w:w="1168" w:type="dxa"/>
            <w:vAlign w:val="center"/>
          </w:tcPr>
          <w:p w14:paraId="7A189E1A" w14:textId="77777777" w:rsidR="00124AB6" w:rsidRPr="00124AB6" w:rsidRDefault="00124AB6" w:rsidP="00124AB6">
            <w:pPr>
              <w:jc w:val="center"/>
              <w:rPr>
                <w:bCs/>
                <w:szCs w:val="18"/>
              </w:rPr>
            </w:pPr>
            <w:r w:rsidRPr="00124AB6">
              <w:rPr>
                <w:bCs/>
                <w:szCs w:val="18"/>
              </w:rPr>
              <w:t>T-111</w:t>
            </w:r>
          </w:p>
        </w:tc>
      </w:tr>
      <w:tr w:rsidR="00124AB6" w:rsidRPr="00124AB6" w14:paraId="12D00CDA" w14:textId="77777777" w:rsidTr="004E3BFD">
        <w:trPr>
          <w:cantSplit/>
          <w:trHeight w:val="432"/>
          <w:jc w:val="center"/>
        </w:trPr>
        <w:tc>
          <w:tcPr>
            <w:tcW w:w="1350" w:type="dxa"/>
            <w:vAlign w:val="center"/>
          </w:tcPr>
          <w:p w14:paraId="5E5ACFD0" w14:textId="77777777" w:rsidR="00124AB6" w:rsidRPr="00124AB6" w:rsidRDefault="00124AB6" w:rsidP="00124AB6">
            <w:pPr>
              <w:jc w:val="center"/>
              <w:rPr>
                <w:bCs/>
                <w:szCs w:val="18"/>
              </w:rPr>
            </w:pPr>
            <w:r w:rsidRPr="00124AB6">
              <w:rPr>
                <w:bCs/>
                <w:szCs w:val="18"/>
              </w:rPr>
              <w:t>T-112</w:t>
            </w:r>
          </w:p>
        </w:tc>
        <w:tc>
          <w:tcPr>
            <w:tcW w:w="5132" w:type="dxa"/>
            <w:vAlign w:val="center"/>
          </w:tcPr>
          <w:p w14:paraId="5CE33939" w14:textId="77777777" w:rsidR="00124AB6" w:rsidRPr="00124AB6" w:rsidRDefault="00124AB6" w:rsidP="00124AB6">
            <w:pPr>
              <w:jc w:val="center"/>
              <w:rPr>
                <w:bCs/>
                <w:szCs w:val="18"/>
              </w:rPr>
            </w:pPr>
            <w:r w:rsidRPr="00124AB6">
              <w:rPr>
                <w:bCs/>
                <w:szCs w:val="18"/>
              </w:rPr>
              <w:t xml:space="preserve">Storage Tank T-112    </w:t>
            </w:r>
          </w:p>
        </w:tc>
        <w:tc>
          <w:tcPr>
            <w:tcW w:w="1981" w:type="dxa"/>
            <w:vAlign w:val="center"/>
          </w:tcPr>
          <w:p w14:paraId="141737AC" w14:textId="77777777" w:rsidR="00124AB6" w:rsidRPr="00124AB6" w:rsidRDefault="00124AB6" w:rsidP="00124AB6">
            <w:pPr>
              <w:jc w:val="center"/>
            </w:pPr>
            <w:r w:rsidRPr="00124AB6">
              <w:t>Pre 1980</w:t>
            </w:r>
          </w:p>
        </w:tc>
        <w:tc>
          <w:tcPr>
            <w:tcW w:w="1174" w:type="dxa"/>
            <w:vAlign w:val="center"/>
          </w:tcPr>
          <w:p w14:paraId="59BF6D8A" w14:textId="77777777" w:rsidR="00124AB6" w:rsidRPr="00124AB6" w:rsidRDefault="00124AB6" w:rsidP="00124AB6">
            <w:pPr>
              <w:jc w:val="center"/>
              <w:rPr>
                <w:bCs/>
                <w:szCs w:val="18"/>
              </w:rPr>
            </w:pPr>
            <w:r w:rsidRPr="00124AB6">
              <w:rPr>
                <w:bCs/>
                <w:szCs w:val="18"/>
              </w:rPr>
              <w:t>None</w:t>
            </w:r>
          </w:p>
        </w:tc>
        <w:tc>
          <w:tcPr>
            <w:tcW w:w="1168" w:type="dxa"/>
            <w:vAlign w:val="center"/>
          </w:tcPr>
          <w:p w14:paraId="1FDA3FD8" w14:textId="77777777" w:rsidR="00124AB6" w:rsidRPr="00124AB6" w:rsidRDefault="00124AB6" w:rsidP="00124AB6">
            <w:pPr>
              <w:jc w:val="center"/>
              <w:rPr>
                <w:bCs/>
                <w:szCs w:val="18"/>
              </w:rPr>
            </w:pPr>
            <w:r w:rsidRPr="00124AB6">
              <w:rPr>
                <w:bCs/>
                <w:szCs w:val="18"/>
              </w:rPr>
              <w:t>T-112</w:t>
            </w:r>
          </w:p>
        </w:tc>
      </w:tr>
      <w:tr w:rsidR="00124AB6" w:rsidRPr="00124AB6" w14:paraId="71BC1C27" w14:textId="77777777" w:rsidTr="004E3BFD">
        <w:trPr>
          <w:cantSplit/>
          <w:trHeight w:val="432"/>
          <w:jc w:val="center"/>
        </w:trPr>
        <w:tc>
          <w:tcPr>
            <w:tcW w:w="1350" w:type="dxa"/>
            <w:vAlign w:val="center"/>
          </w:tcPr>
          <w:p w14:paraId="5289B055" w14:textId="77777777" w:rsidR="00124AB6" w:rsidRPr="00124AB6" w:rsidRDefault="00124AB6" w:rsidP="00124AB6">
            <w:pPr>
              <w:jc w:val="center"/>
              <w:rPr>
                <w:bCs/>
                <w:szCs w:val="18"/>
              </w:rPr>
            </w:pPr>
            <w:r w:rsidRPr="00124AB6">
              <w:rPr>
                <w:bCs/>
                <w:szCs w:val="18"/>
              </w:rPr>
              <w:t>T-113</w:t>
            </w:r>
          </w:p>
        </w:tc>
        <w:tc>
          <w:tcPr>
            <w:tcW w:w="5132" w:type="dxa"/>
            <w:vAlign w:val="center"/>
          </w:tcPr>
          <w:p w14:paraId="073E7C02" w14:textId="77777777" w:rsidR="00124AB6" w:rsidRPr="00124AB6" w:rsidRDefault="00124AB6" w:rsidP="00124AB6">
            <w:pPr>
              <w:jc w:val="center"/>
              <w:rPr>
                <w:bCs/>
                <w:szCs w:val="18"/>
              </w:rPr>
            </w:pPr>
            <w:r w:rsidRPr="00124AB6">
              <w:rPr>
                <w:bCs/>
                <w:szCs w:val="18"/>
              </w:rPr>
              <w:t xml:space="preserve">Storage Tank T-113    </w:t>
            </w:r>
          </w:p>
        </w:tc>
        <w:tc>
          <w:tcPr>
            <w:tcW w:w="1981" w:type="dxa"/>
            <w:vAlign w:val="center"/>
          </w:tcPr>
          <w:p w14:paraId="03280503" w14:textId="77777777" w:rsidR="00124AB6" w:rsidRPr="00124AB6" w:rsidRDefault="00124AB6" w:rsidP="00124AB6">
            <w:pPr>
              <w:jc w:val="center"/>
            </w:pPr>
            <w:r w:rsidRPr="00124AB6">
              <w:t>Pre 1980</w:t>
            </w:r>
          </w:p>
        </w:tc>
        <w:tc>
          <w:tcPr>
            <w:tcW w:w="1174" w:type="dxa"/>
            <w:vAlign w:val="center"/>
          </w:tcPr>
          <w:p w14:paraId="315504FB" w14:textId="77777777" w:rsidR="00124AB6" w:rsidRPr="00124AB6" w:rsidRDefault="00124AB6" w:rsidP="00124AB6">
            <w:pPr>
              <w:jc w:val="center"/>
              <w:rPr>
                <w:bCs/>
                <w:szCs w:val="18"/>
              </w:rPr>
            </w:pPr>
            <w:r w:rsidRPr="00124AB6">
              <w:rPr>
                <w:bCs/>
                <w:szCs w:val="18"/>
              </w:rPr>
              <w:t>None</w:t>
            </w:r>
          </w:p>
        </w:tc>
        <w:tc>
          <w:tcPr>
            <w:tcW w:w="1168" w:type="dxa"/>
            <w:vAlign w:val="center"/>
          </w:tcPr>
          <w:p w14:paraId="25ACD034" w14:textId="77777777" w:rsidR="00124AB6" w:rsidRPr="00124AB6" w:rsidRDefault="00124AB6" w:rsidP="00124AB6">
            <w:pPr>
              <w:jc w:val="center"/>
              <w:rPr>
                <w:bCs/>
                <w:szCs w:val="18"/>
              </w:rPr>
            </w:pPr>
            <w:r w:rsidRPr="00124AB6">
              <w:rPr>
                <w:bCs/>
                <w:szCs w:val="18"/>
              </w:rPr>
              <w:t>T-113</w:t>
            </w:r>
          </w:p>
        </w:tc>
      </w:tr>
      <w:tr w:rsidR="00124AB6" w:rsidRPr="00124AB6" w14:paraId="75DE9A95" w14:textId="77777777" w:rsidTr="004E3BFD">
        <w:trPr>
          <w:cantSplit/>
          <w:trHeight w:val="432"/>
          <w:jc w:val="center"/>
        </w:trPr>
        <w:tc>
          <w:tcPr>
            <w:tcW w:w="1350" w:type="dxa"/>
            <w:vAlign w:val="center"/>
          </w:tcPr>
          <w:p w14:paraId="5890E606" w14:textId="77777777" w:rsidR="00124AB6" w:rsidRPr="00124AB6" w:rsidRDefault="00124AB6" w:rsidP="00124AB6">
            <w:pPr>
              <w:jc w:val="center"/>
              <w:rPr>
                <w:bCs/>
                <w:szCs w:val="18"/>
              </w:rPr>
            </w:pPr>
            <w:r w:rsidRPr="00124AB6">
              <w:rPr>
                <w:bCs/>
                <w:szCs w:val="18"/>
              </w:rPr>
              <w:t>T-114</w:t>
            </w:r>
          </w:p>
        </w:tc>
        <w:tc>
          <w:tcPr>
            <w:tcW w:w="5132" w:type="dxa"/>
            <w:vAlign w:val="center"/>
          </w:tcPr>
          <w:p w14:paraId="49D556B6" w14:textId="77777777" w:rsidR="00124AB6" w:rsidRPr="00124AB6" w:rsidRDefault="00124AB6" w:rsidP="00124AB6">
            <w:pPr>
              <w:jc w:val="center"/>
              <w:rPr>
                <w:bCs/>
                <w:szCs w:val="18"/>
              </w:rPr>
            </w:pPr>
            <w:r w:rsidRPr="00124AB6">
              <w:rPr>
                <w:bCs/>
                <w:szCs w:val="18"/>
              </w:rPr>
              <w:t xml:space="preserve">Storage Tank T-114    </w:t>
            </w:r>
          </w:p>
        </w:tc>
        <w:tc>
          <w:tcPr>
            <w:tcW w:w="1981" w:type="dxa"/>
            <w:vAlign w:val="center"/>
          </w:tcPr>
          <w:p w14:paraId="186C587D" w14:textId="77777777" w:rsidR="00124AB6" w:rsidRPr="00124AB6" w:rsidRDefault="00124AB6" w:rsidP="00124AB6">
            <w:pPr>
              <w:jc w:val="center"/>
            </w:pPr>
            <w:r w:rsidRPr="00124AB6">
              <w:t>Pre 1980</w:t>
            </w:r>
          </w:p>
        </w:tc>
        <w:tc>
          <w:tcPr>
            <w:tcW w:w="1174" w:type="dxa"/>
            <w:vAlign w:val="center"/>
          </w:tcPr>
          <w:p w14:paraId="0F8B7B1F" w14:textId="77777777" w:rsidR="00124AB6" w:rsidRPr="00124AB6" w:rsidRDefault="00124AB6" w:rsidP="00124AB6">
            <w:pPr>
              <w:jc w:val="center"/>
              <w:rPr>
                <w:bCs/>
                <w:szCs w:val="18"/>
              </w:rPr>
            </w:pPr>
            <w:r w:rsidRPr="00124AB6">
              <w:rPr>
                <w:bCs/>
                <w:szCs w:val="18"/>
              </w:rPr>
              <w:t>None</w:t>
            </w:r>
          </w:p>
        </w:tc>
        <w:tc>
          <w:tcPr>
            <w:tcW w:w="1168" w:type="dxa"/>
            <w:vAlign w:val="center"/>
          </w:tcPr>
          <w:p w14:paraId="74FF0137" w14:textId="77777777" w:rsidR="00124AB6" w:rsidRPr="00124AB6" w:rsidRDefault="00124AB6" w:rsidP="00124AB6">
            <w:pPr>
              <w:jc w:val="center"/>
              <w:rPr>
                <w:bCs/>
                <w:szCs w:val="18"/>
              </w:rPr>
            </w:pPr>
            <w:r w:rsidRPr="00124AB6">
              <w:rPr>
                <w:bCs/>
                <w:szCs w:val="18"/>
              </w:rPr>
              <w:t>T-114</w:t>
            </w:r>
          </w:p>
        </w:tc>
      </w:tr>
      <w:tr w:rsidR="00124AB6" w:rsidRPr="00124AB6" w14:paraId="080812D8" w14:textId="77777777" w:rsidTr="004E3BFD">
        <w:trPr>
          <w:cantSplit/>
          <w:trHeight w:val="432"/>
          <w:jc w:val="center"/>
        </w:trPr>
        <w:tc>
          <w:tcPr>
            <w:tcW w:w="1350" w:type="dxa"/>
            <w:vAlign w:val="center"/>
          </w:tcPr>
          <w:p w14:paraId="77DD2CDA" w14:textId="77777777" w:rsidR="00124AB6" w:rsidRPr="00124AB6" w:rsidRDefault="00124AB6" w:rsidP="00124AB6">
            <w:pPr>
              <w:jc w:val="center"/>
              <w:rPr>
                <w:bCs/>
                <w:szCs w:val="18"/>
              </w:rPr>
            </w:pPr>
            <w:r w:rsidRPr="00124AB6">
              <w:rPr>
                <w:bCs/>
                <w:szCs w:val="18"/>
              </w:rPr>
              <w:t>T-115</w:t>
            </w:r>
          </w:p>
        </w:tc>
        <w:tc>
          <w:tcPr>
            <w:tcW w:w="5132" w:type="dxa"/>
            <w:vAlign w:val="center"/>
          </w:tcPr>
          <w:p w14:paraId="7B0EA898" w14:textId="77777777" w:rsidR="00124AB6" w:rsidRPr="00124AB6" w:rsidRDefault="00124AB6" w:rsidP="00124AB6">
            <w:pPr>
              <w:jc w:val="center"/>
              <w:rPr>
                <w:bCs/>
                <w:szCs w:val="18"/>
              </w:rPr>
            </w:pPr>
            <w:r w:rsidRPr="00124AB6">
              <w:rPr>
                <w:bCs/>
                <w:szCs w:val="18"/>
              </w:rPr>
              <w:t xml:space="preserve">Storage Tank T-115  </w:t>
            </w:r>
          </w:p>
        </w:tc>
        <w:tc>
          <w:tcPr>
            <w:tcW w:w="1981" w:type="dxa"/>
            <w:vAlign w:val="center"/>
          </w:tcPr>
          <w:p w14:paraId="7C66C3BB" w14:textId="77777777" w:rsidR="00124AB6" w:rsidRPr="00124AB6" w:rsidRDefault="00124AB6" w:rsidP="00124AB6">
            <w:pPr>
              <w:jc w:val="center"/>
            </w:pPr>
            <w:r w:rsidRPr="00124AB6">
              <w:t>Pre 1980</w:t>
            </w:r>
          </w:p>
        </w:tc>
        <w:tc>
          <w:tcPr>
            <w:tcW w:w="1174" w:type="dxa"/>
            <w:vAlign w:val="center"/>
          </w:tcPr>
          <w:p w14:paraId="0D6FC829" w14:textId="77777777" w:rsidR="00124AB6" w:rsidRPr="00124AB6" w:rsidRDefault="00124AB6" w:rsidP="00124AB6">
            <w:pPr>
              <w:jc w:val="center"/>
              <w:rPr>
                <w:bCs/>
                <w:szCs w:val="18"/>
              </w:rPr>
            </w:pPr>
            <w:r w:rsidRPr="00124AB6">
              <w:rPr>
                <w:bCs/>
                <w:szCs w:val="18"/>
              </w:rPr>
              <w:t>None</w:t>
            </w:r>
          </w:p>
        </w:tc>
        <w:tc>
          <w:tcPr>
            <w:tcW w:w="1168" w:type="dxa"/>
            <w:vAlign w:val="center"/>
          </w:tcPr>
          <w:p w14:paraId="145E7DAD" w14:textId="77777777" w:rsidR="00124AB6" w:rsidRPr="00124AB6" w:rsidRDefault="00124AB6" w:rsidP="00124AB6">
            <w:pPr>
              <w:jc w:val="center"/>
              <w:rPr>
                <w:bCs/>
                <w:szCs w:val="18"/>
              </w:rPr>
            </w:pPr>
            <w:r w:rsidRPr="00124AB6">
              <w:rPr>
                <w:bCs/>
                <w:szCs w:val="18"/>
              </w:rPr>
              <w:t>T-115</w:t>
            </w:r>
          </w:p>
        </w:tc>
      </w:tr>
      <w:tr w:rsidR="00124AB6" w:rsidRPr="00124AB6" w14:paraId="079F74B6" w14:textId="77777777" w:rsidTr="004E3BFD">
        <w:trPr>
          <w:cantSplit/>
          <w:trHeight w:val="432"/>
          <w:jc w:val="center"/>
        </w:trPr>
        <w:tc>
          <w:tcPr>
            <w:tcW w:w="1350" w:type="dxa"/>
            <w:vAlign w:val="center"/>
          </w:tcPr>
          <w:p w14:paraId="38C79667" w14:textId="77777777" w:rsidR="00124AB6" w:rsidRPr="00124AB6" w:rsidRDefault="00124AB6" w:rsidP="00124AB6">
            <w:pPr>
              <w:jc w:val="center"/>
              <w:rPr>
                <w:bCs/>
                <w:szCs w:val="18"/>
              </w:rPr>
            </w:pPr>
            <w:r w:rsidRPr="00124AB6">
              <w:rPr>
                <w:bCs/>
                <w:szCs w:val="18"/>
              </w:rPr>
              <w:t>T-116</w:t>
            </w:r>
          </w:p>
        </w:tc>
        <w:tc>
          <w:tcPr>
            <w:tcW w:w="5132" w:type="dxa"/>
            <w:vAlign w:val="center"/>
          </w:tcPr>
          <w:p w14:paraId="5BE1AE28" w14:textId="77777777" w:rsidR="00124AB6" w:rsidRPr="00124AB6" w:rsidRDefault="00124AB6" w:rsidP="00124AB6">
            <w:pPr>
              <w:jc w:val="center"/>
              <w:rPr>
                <w:bCs/>
                <w:szCs w:val="18"/>
              </w:rPr>
            </w:pPr>
            <w:r w:rsidRPr="00124AB6">
              <w:rPr>
                <w:bCs/>
                <w:szCs w:val="18"/>
              </w:rPr>
              <w:t xml:space="preserve">Storage Tank T-116  </w:t>
            </w:r>
          </w:p>
        </w:tc>
        <w:tc>
          <w:tcPr>
            <w:tcW w:w="1981" w:type="dxa"/>
            <w:vAlign w:val="center"/>
          </w:tcPr>
          <w:p w14:paraId="7BE30BF8" w14:textId="77777777" w:rsidR="00124AB6" w:rsidRPr="00124AB6" w:rsidRDefault="00124AB6" w:rsidP="00124AB6">
            <w:pPr>
              <w:jc w:val="center"/>
            </w:pPr>
            <w:r w:rsidRPr="00124AB6">
              <w:t>Pre 1980</w:t>
            </w:r>
          </w:p>
        </w:tc>
        <w:tc>
          <w:tcPr>
            <w:tcW w:w="1174" w:type="dxa"/>
            <w:vAlign w:val="center"/>
          </w:tcPr>
          <w:p w14:paraId="504F2852" w14:textId="77777777" w:rsidR="00124AB6" w:rsidRPr="00124AB6" w:rsidRDefault="00124AB6" w:rsidP="00124AB6">
            <w:pPr>
              <w:jc w:val="center"/>
              <w:rPr>
                <w:bCs/>
                <w:szCs w:val="18"/>
              </w:rPr>
            </w:pPr>
            <w:r w:rsidRPr="00124AB6">
              <w:rPr>
                <w:bCs/>
                <w:szCs w:val="18"/>
              </w:rPr>
              <w:t>None</w:t>
            </w:r>
          </w:p>
        </w:tc>
        <w:tc>
          <w:tcPr>
            <w:tcW w:w="1168" w:type="dxa"/>
            <w:vAlign w:val="center"/>
          </w:tcPr>
          <w:p w14:paraId="07CABC1E" w14:textId="77777777" w:rsidR="00124AB6" w:rsidRPr="00124AB6" w:rsidRDefault="00124AB6" w:rsidP="00124AB6">
            <w:pPr>
              <w:jc w:val="center"/>
              <w:rPr>
                <w:bCs/>
                <w:szCs w:val="18"/>
              </w:rPr>
            </w:pPr>
            <w:r w:rsidRPr="00124AB6">
              <w:rPr>
                <w:bCs/>
                <w:szCs w:val="18"/>
              </w:rPr>
              <w:t>T-116</w:t>
            </w:r>
          </w:p>
        </w:tc>
      </w:tr>
      <w:tr w:rsidR="00124AB6" w:rsidRPr="00124AB6" w14:paraId="237F8BB3" w14:textId="77777777" w:rsidTr="004E3BFD">
        <w:trPr>
          <w:cantSplit/>
          <w:trHeight w:val="432"/>
          <w:jc w:val="center"/>
        </w:trPr>
        <w:tc>
          <w:tcPr>
            <w:tcW w:w="1350" w:type="dxa"/>
            <w:vAlign w:val="center"/>
          </w:tcPr>
          <w:p w14:paraId="0B4D2B3C" w14:textId="77777777" w:rsidR="00124AB6" w:rsidRPr="00124AB6" w:rsidRDefault="00124AB6" w:rsidP="00124AB6">
            <w:pPr>
              <w:jc w:val="center"/>
              <w:rPr>
                <w:bCs/>
                <w:szCs w:val="18"/>
              </w:rPr>
            </w:pPr>
            <w:r w:rsidRPr="00124AB6">
              <w:rPr>
                <w:bCs/>
                <w:szCs w:val="18"/>
              </w:rPr>
              <w:t>T-117</w:t>
            </w:r>
          </w:p>
        </w:tc>
        <w:tc>
          <w:tcPr>
            <w:tcW w:w="5132" w:type="dxa"/>
            <w:vAlign w:val="center"/>
          </w:tcPr>
          <w:p w14:paraId="2A804A5B" w14:textId="77777777" w:rsidR="00124AB6" w:rsidRPr="00124AB6" w:rsidRDefault="00124AB6" w:rsidP="00124AB6">
            <w:pPr>
              <w:jc w:val="center"/>
              <w:rPr>
                <w:bCs/>
                <w:szCs w:val="18"/>
              </w:rPr>
            </w:pPr>
            <w:r w:rsidRPr="00124AB6">
              <w:rPr>
                <w:bCs/>
                <w:szCs w:val="18"/>
              </w:rPr>
              <w:t xml:space="preserve">Storage Tank T-117  </w:t>
            </w:r>
          </w:p>
        </w:tc>
        <w:tc>
          <w:tcPr>
            <w:tcW w:w="1981" w:type="dxa"/>
            <w:vAlign w:val="center"/>
          </w:tcPr>
          <w:p w14:paraId="16B14952" w14:textId="77777777" w:rsidR="00124AB6" w:rsidRPr="00124AB6" w:rsidRDefault="00124AB6" w:rsidP="00124AB6">
            <w:pPr>
              <w:jc w:val="center"/>
            </w:pPr>
            <w:r w:rsidRPr="00124AB6">
              <w:t>Pre 1980</w:t>
            </w:r>
          </w:p>
        </w:tc>
        <w:tc>
          <w:tcPr>
            <w:tcW w:w="1174" w:type="dxa"/>
            <w:vAlign w:val="center"/>
          </w:tcPr>
          <w:p w14:paraId="2A569479" w14:textId="77777777" w:rsidR="00124AB6" w:rsidRPr="00124AB6" w:rsidRDefault="00124AB6" w:rsidP="00124AB6">
            <w:pPr>
              <w:jc w:val="center"/>
              <w:rPr>
                <w:bCs/>
                <w:szCs w:val="18"/>
              </w:rPr>
            </w:pPr>
            <w:r w:rsidRPr="00124AB6">
              <w:rPr>
                <w:bCs/>
                <w:szCs w:val="18"/>
              </w:rPr>
              <w:t>None</w:t>
            </w:r>
          </w:p>
        </w:tc>
        <w:tc>
          <w:tcPr>
            <w:tcW w:w="1168" w:type="dxa"/>
            <w:vAlign w:val="center"/>
          </w:tcPr>
          <w:p w14:paraId="568ABCF3" w14:textId="77777777" w:rsidR="00124AB6" w:rsidRPr="00124AB6" w:rsidRDefault="00124AB6" w:rsidP="00124AB6">
            <w:pPr>
              <w:jc w:val="center"/>
              <w:rPr>
                <w:bCs/>
                <w:szCs w:val="18"/>
              </w:rPr>
            </w:pPr>
            <w:r w:rsidRPr="00124AB6">
              <w:rPr>
                <w:bCs/>
                <w:szCs w:val="18"/>
              </w:rPr>
              <w:t>T-117</w:t>
            </w:r>
          </w:p>
        </w:tc>
      </w:tr>
      <w:tr w:rsidR="00124AB6" w:rsidRPr="00124AB6" w14:paraId="38C6D278" w14:textId="77777777" w:rsidTr="004E3BFD">
        <w:trPr>
          <w:cantSplit/>
          <w:trHeight w:val="432"/>
          <w:jc w:val="center"/>
        </w:trPr>
        <w:tc>
          <w:tcPr>
            <w:tcW w:w="1350" w:type="dxa"/>
            <w:vAlign w:val="center"/>
          </w:tcPr>
          <w:p w14:paraId="6F1F0833" w14:textId="77777777" w:rsidR="00124AB6" w:rsidRPr="00124AB6" w:rsidRDefault="00124AB6" w:rsidP="00124AB6">
            <w:pPr>
              <w:jc w:val="center"/>
              <w:rPr>
                <w:bCs/>
                <w:szCs w:val="18"/>
              </w:rPr>
            </w:pPr>
            <w:r w:rsidRPr="00124AB6">
              <w:rPr>
                <w:bCs/>
                <w:szCs w:val="18"/>
              </w:rPr>
              <w:t>T-118</w:t>
            </w:r>
          </w:p>
        </w:tc>
        <w:tc>
          <w:tcPr>
            <w:tcW w:w="5132" w:type="dxa"/>
            <w:vAlign w:val="center"/>
          </w:tcPr>
          <w:p w14:paraId="148A72E2" w14:textId="77777777" w:rsidR="00124AB6" w:rsidRPr="00124AB6" w:rsidRDefault="00124AB6" w:rsidP="00124AB6">
            <w:pPr>
              <w:jc w:val="center"/>
              <w:rPr>
                <w:bCs/>
                <w:szCs w:val="18"/>
              </w:rPr>
            </w:pPr>
            <w:r w:rsidRPr="00124AB6">
              <w:rPr>
                <w:bCs/>
                <w:szCs w:val="18"/>
              </w:rPr>
              <w:t xml:space="preserve">Storage Tank T-118  </w:t>
            </w:r>
          </w:p>
        </w:tc>
        <w:tc>
          <w:tcPr>
            <w:tcW w:w="1981" w:type="dxa"/>
            <w:vAlign w:val="center"/>
          </w:tcPr>
          <w:p w14:paraId="1E660060" w14:textId="77777777" w:rsidR="00124AB6" w:rsidRPr="00124AB6" w:rsidRDefault="00124AB6" w:rsidP="00124AB6">
            <w:pPr>
              <w:jc w:val="center"/>
            </w:pPr>
            <w:r w:rsidRPr="00124AB6">
              <w:t>Pre 1980</w:t>
            </w:r>
          </w:p>
        </w:tc>
        <w:tc>
          <w:tcPr>
            <w:tcW w:w="1174" w:type="dxa"/>
            <w:vAlign w:val="center"/>
          </w:tcPr>
          <w:p w14:paraId="4A292629" w14:textId="77777777" w:rsidR="00124AB6" w:rsidRPr="00124AB6" w:rsidRDefault="00124AB6" w:rsidP="00124AB6">
            <w:pPr>
              <w:jc w:val="center"/>
              <w:rPr>
                <w:bCs/>
                <w:szCs w:val="18"/>
              </w:rPr>
            </w:pPr>
            <w:r w:rsidRPr="00124AB6">
              <w:rPr>
                <w:bCs/>
                <w:szCs w:val="18"/>
              </w:rPr>
              <w:t>None</w:t>
            </w:r>
          </w:p>
        </w:tc>
        <w:tc>
          <w:tcPr>
            <w:tcW w:w="1168" w:type="dxa"/>
            <w:vAlign w:val="center"/>
          </w:tcPr>
          <w:p w14:paraId="27A9D115" w14:textId="77777777" w:rsidR="00124AB6" w:rsidRPr="00124AB6" w:rsidRDefault="00124AB6" w:rsidP="00124AB6">
            <w:pPr>
              <w:jc w:val="center"/>
              <w:rPr>
                <w:bCs/>
                <w:szCs w:val="18"/>
              </w:rPr>
            </w:pPr>
            <w:r w:rsidRPr="00124AB6">
              <w:rPr>
                <w:bCs/>
                <w:szCs w:val="18"/>
              </w:rPr>
              <w:t>T-118</w:t>
            </w:r>
          </w:p>
        </w:tc>
      </w:tr>
      <w:tr w:rsidR="00124AB6" w:rsidRPr="00124AB6" w14:paraId="7C992A5D" w14:textId="77777777" w:rsidTr="004E3BFD">
        <w:trPr>
          <w:cantSplit/>
          <w:trHeight w:val="432"/>
          <w:jc w:val="center"/>
        </w:trPr>
        <w:tc>
          <w:tcPr>
            <w:tcW w:w="1350" w:type="dxa"/>
            <w:vAlign w:val="center"/>
          </w:tcPr>
          <w:p w14:paraId="3E851624" w14:textId="77777777" w:rsidR="00124AB6" w:rsidRPr="00124AB6" w:rsidRDefault="00124AB6" w:rsidP="00124AB6">
            <w:pPr>
              <w:jc w:val="center"/>
              <w:rPr>
                <w:bCs/>
                <w:szCs w:val="18"/>
              </w:rPr>
            </w:pPr>
            <w:r w:rsidRPr="00124AB6">
              <w:rPr>
                <w:bCs/>
                <w:szCs w:val="18"/>
              </w:rPr>
              <w:t>T-201</w:t>
            </w:r>
          </w:p>
        </w:tc>
        <w:tc>
          <w:tcPr>
            <w:tcW w:w="5132" w:type="dxa"/>
            <w:vAlign w:val="center"/>
          </w:tcPr>
          <w:p w14:paraId="12AF4709" w14:textId="77777777" w:rsidR="00124AB6" w:rsidRPr="00124AB6" w:rsidRDefault="00124AB6" w:rsidP="00124AB6">
            <w:pPr>
              <w:jc w:val="center"/>
              <w:rPr>
                <w:bCs/>
                <w:szCs w:val="18"/>
              </w:rPr>
            </w:pPr>
            <w:r w:rsidRPr="00124AB6">
              <w:rPr>
                <w:bCs/>
                <w:szCs w:val="18"/>
              </w:rPr>
              <w:t xml:space="preserve">Storage Tank T-201  </w:t>
            </w:r>
          </w:p>
        </w:tc>
        <w:tc>
          <w:tcPr>
            <w:tcW w:w="1981" w:type="dxa"/>
            <w:vAlign w:val="center"/>
          </w:tcPr>
          <w:p w14:paraId="6944E395" w14:textId="77777777" w:rsidR="00124AB6" w:rsidRPr="00124AB6" w:rsidRDefault="00124AB6" w:rsidP="00124AB6">
            <w:pPr>
              <w:jc w:val="center"/>
            </w:pPr>
            <w:r w:rsidRPr="00124AB6">
              <w:t>1981</w:t>
            </w:r>
          </w:p>
        </w:tc>
        <w:tc>
          <w:tcPr>
            <w:tcW w:w="1174" w:type="dxa"/>
            <w:vAlign w:val="center"/>
          </w:tcPr>
          <w:p w14:paraId="12DBB7A1" w14:textId="77777777" w:rsidR="00124AB6" w:rsidRPr="00124AB6" w:rsidRDefault="00124AB6" w:rsidP="00124AB6">
            <w:pPr>
              <w:jc w:val="center"/>
              <w:rPr>
                <w:bCs/>
                <w:szCs w:val="18"/>
              </w:rPr>
            </w:pPr>
            <w:r w:rsidRPr="00124AB6">
              <w:rPr>
                <w:bCs/>
                <w:szCs w:val="18"/>
              </w:rPr>
              <w:t>None</w:t>
            </w:r>
          </w:p>
        </w:tc>
        <w:tc>
          <w:tcPr>
            <w:tcW w:w="1168" w:type="dxa"/>
            <w:vAlign w:val="center"/>
          </w:tcPr>
          <w:p w14:paraId="12204F91" w14:textId="77777777" w:rsidR="00124AB6" w:rsidRPr="00124AB6" w:rsidRDefault="00124AB6" w:rsidP="00124AB6">
            <w:pPr>
              <w:jc w:val="center"/>
              <w:rPr>
                <w:bCs/>
                <w:szCs w:val="18"/>
              </w:rPr>
            </w:pPr>
            <w:r w:rsidRPr="00124AB6">
              <w:rPr>
                <w:bCs/>
                <w:szCs w:val="18"/>
              </w:rPr>
              <w:t>T-201</w:t>
            </w:r>
          </w:p>
        </w:tc>
      </w:tr>
      <w:tr w:rsidR="00124AB6" w:rsidRPr="00124AB6" w14:paraId="38931F92" w14:textId="77777777" w:rsidTr="004E3BFD">
        <w:trPr>
          <w:cantSplit/>
          <w:trHeight w:val="432"/>
          <w:jc w:val="center"/>
        </w:trPr>
        <w:tc>
          <w:tcPr>
            <w:tcW w:w="1350" w:type="dxa"/>
            <w:vAlign w:val="center"/>
          </w:tcPr>
          <w:p w14:paraId="1AFB36EF" w14:textId="77777777" w:rsidR="00124AB6" w:rsidRPr="00124AB6" w:rsidRDefault="00124AB6" w:rsidP="00124AB6">
            <w:pPr>
              <w:jc w:val="center"/>
              <w:rPr>
                <w:bCs/>
                <w:szCs w:val="18"/>
              </w:rPr>
            </w:pPr>
            <w:r w:rsidRPr="00124AB6">
              <w:rPr>
                <w:bCs/>
                <w:szCs w:val="18"/>
              </w:rPr>
              <w:t>T-202</w:t>
            </w:r>
          </w:p>
        </w:tc>
        <w:tc>
          <w:tcPr>
            <w:tcW w:w="5132" w:type="dxa"/>
            <w:vAlign w:val="center"/>
          </w:tcPr>
          <w:p w14:paraId="3277401F" w14:textId="77777777" w:rsidR="00124AB6" w:rsidRPr="00124AB6" w:rsidRDefault="00124AB6" w:rsidP="00124AB6">
            <w:pPr>
              <w:jc w:val="center"/>
              <w:rPr>
                <w:bCs/>
                <w:szCs w:val="18"/>
              </w:rPr>
            </w:pPr>
            <w:r w:rsidRPr="00124AB6">
              <w:rPr>
                <w:bCs/>
                <w:szCs w:val="18"/>
              </w:rPr>
              <w:t xml:space="preserve">Storage Tank T-202  </w:t>
            </w:r>
          </w:p>
        </w:tc>
        <w:tc>
          <w:tcPr>
            <w:tcW w:w="1981" w:type="dxa"/>
            <w:vAlign w:val="center"/>
          </w:tcPr>
          <w:p w14:paraId="23E3C22D" w14:textId="77777777" w:rsidR="00124AB6" w:rsidRPr="00124AB6" w:rsidRDefault="00124AB6" w:rsidP="00124AB6">
            <w:pPr>
              <w:jc w:val="center"/>
            </w:pPr>
            <w:r w:rsidRPr="00124AB6">
              <w:t>1981</w:t>
            </w:r>
          </w:p>
        </w:tc>
        <w:tc>
          <w:tcPr>
            <w:tcW w:w="1174" w:type="dxa"/>
            <w:vAlign w:val="center"/>
          </w:tcPr>
          <w:p w14:paraId="739CF4D0" w14:textId="77777777" w:rsidR="00124AB6" w:rsidRPr="00124AB6" w:rsidRDefault="00124AB6" w:rsidP="00124AB6">
            <w:pPr>
              <w:jc w:val="center"/>
              <w:rPr>
                <w:bCs/>
                <w:szCs w:val="18"/>
              </w:rPr>
            </w:pPr>
            <w:r w:rsidRPr="00124AB6">
              <w:rPr>
                <w:bCs/>
                <w:szCs w:val="18"/>
              </w:rPr>
              <w:t>None</w:t>
            </w:r>
          </w:p>
        </w:tc>
        <w:tc>
          <w:tcPr>
            <w:tcW w:w="1168" w:type="dxa"/>
            <w:vAlign w:val="center"/>
          </w:tcPr>
          <w:p w14:paraId="6768BFCE" w14:textId="77777777" w:rsidR="00124AB6" w:rsidRPr="00124AB6" w:rsidRDefault="00124AB6" w:rsidP="00124AB6">
            <w:pPr>
              <w:jc w:val="center"/>
              <w:rPr>
                <w:bCs/>
                <w:szCs w:val="18"/>
              </w:rPr>
            </w:pPr>
            <w:r w:rsidRPr="00124AB6">
              <w:rPr>
                <w:bCs/>
                <w:szCs w:val="18"/>
              </w:rPr>
              <w:t>T-202</w:t>
            </w:r>
          </w:p>
        </w:tc>
      </w:tr>
      <w:tr w:rsidR="00124AB6" w:rsidRPr="00124AB6" w14:paraId="7911A45F" w14:textId="77777777" w:rsidTr="004E3BFD">
        <w:trPr>
          <w:cantSplit/>
          <w:trHeight w:val="432"/>
          <w:jc w:val="center"/>
        </w:trPr>
        <w:tc>
          <w:tcPr>
            <w:tcW w:w="1350" w:type="dxa"/>
            <w:vAlign w:val="center"/>
          </w:tcPr>
          <w:p w14:paraId="7F2F06CB" w14:textId="77777777" w:rsidR="00124AB6" w:rsidRPr="00124AB6" w:rsidRDefault="00124AB6" w:rsidP="00124AB6">
            <w:pPr>
              <w:jc w:val="center"/>
              <w:rPr>
                <w:bCs/>
                <w:szCs w:val="18"/>
              </w:rPr>
            </w:pPr>
            <w:r w:rsidRPr="00124AB6">
              <w:rPr>
                <w:bCs/>
                <w:szCs w:val="18"/>
              </w:rPr>
              <w:t>T-203</w:t>
            </w:r>
          </w:p>
        </w:tc>
        <w:tc>
          <w:tcPr>
            <w:tcW w:w="5132" w:type="dxa"/>
            <w:vAlign w:val="center"/>
          </w:tcPr>
          <w:p w14:paraId="4A248305" w14:textId="77777777" w:rsidR="00124AB6" w:rsidRPr="00124AB6" w:rsidRDefault="00124AB6" w:rsidP="00124AB6">
            <w:pPr>
              <w:jc w:val="center"/>
              <w:rPr>
                <w:bCs/>
                <w:szCs w:val="18"/>
              </w:rPr>
            </w:pPr>
            <w:r w:rsidRPr="00124AB6">
              <w:rPr>
                <w:bCs/>
                <w:szCs w:val="18"/>
              </w:rPr>
              <w:t xml:space="preserve">Storage Tank T-203  </w:t>
            </w:r>
          </w:p>
        </w:tc>
        <w:tc>
          <w:tcPr>
            <w:tcW w:w="1981" w:type="dxa"/>
            <w:vAlign w:val="center"/>
          </w:tcPr>
          <w:p w14:paraId="75C33898" w14:textId="77777777" w:rsidR="00124AB6" w:rsidRPr="00124AB6" w:rsidRDefault="00124AB6" w:rsidP="00124AB6">
            <w:pPr>
              <w:jc w:val="center"/>
            </w:pPr>
            <w:r w:rsidRPr="00124AB6">
              <w:t>1981</w:t>
            </w:r>
          </w:p>
        </w:tc>
        <w:tc>
          <w:tcPr>
            <w:tcW w:w="1174" w:type="dxa"/>
            <w:vAlign w:val="center"/>
          </w:tcPr>
          <w:p w14:paraId="5D5F20FE" w14:textId="77777777" w:rsidR="00124AB6" w:rsidRPr="00124AB6" w:rsidRDefault="00124AB6" w:rsidP="00124AB6">
            <w:pPr>
              <w:jc w:val="center"/>
              <w:rPr>
                <w:bCs/>
                <w:szCs w:val="18"/>
              </w:rPr>
            </w:pPr>
            <w:r w:rsidRPr="00124AB6">
              <w:rPr>
                <w:bCs/>
                <w:szCs w:val="18"/>
              </w:rPr>
              <w:t>None</w:t>
            </w:r>
          </w:p>
        </w:tc>
        <w:tc>
          <w:tcPr>
            <w:tcW w:w="1168" w:type="dxa"/>
            <w:vAlign w:val="center"/>
          </w:tcPr>
          <w:p w14:paraId="2581A131" w14:textId="77777777" w:rsidR="00124AB6" w:rsidRPr="00124AB6" w:rsidRDefault="00124AB6" w:rsidP="00124AB6">
            <w:pPr>
              <w:jc w:val="center"/>
              <w:rPr>
                <w:bCs/>
                <w:szCs w:val="18"/>
              </w:rPr>
            </w:pPr>
            <w:r w:rsidRPr="00124AB6">
              <w:rPr>
                <w:bCs/>
                <w:szCs w:val="18"/>
              </w:rPr>
              <w:t>T-203</w:t>
            </w:r>
          </w:p>
        </w:tc>
      </w:tr>
      <w:tr w:rsidR="00124AB6" w:rsidRPr="00124AB6" w14:paraId="702C589E" w14:textId="77777777" w:rsidTr="004E3BFD">
        <w:trPr>
          <w:cantSplit/>
          <w:trHeight w:val="432"/>
          <w:jc w:val="center"/>
        </w:trPr>
        <w:tc>
          <w:tcPr>
            <w:tcW w:w="1350" w:type="dxa"/>
            <w:vAlign w:val="center"/>
          </w:tcPr>
          <w:p w14:paraId="34DBCCF8" w14:textId="77777777" w:rsidR="00124AB6" w:rsidRPr="00124AB6" w:rsidRDefault="00124AB6" w:rsidP="00124AB6">
            <w:pPr>
              <w:jc w:val="center"/>
              <w:rPr>
                <w:bCs/>
                <w:szCs w:val="18"/>
              </w:rPr>
            </w:pPr>
            <w:r w:rsidRPr="00124AB6">
              <w:rPr>
                <w:bCs/>
                <w:szCs w:val="18"/>
              </w:rPr>
              <w:t>T-204</w:t>
            </w:r>
          </w:p>
        </w:tc>
        <w:tc>
          <w:tcPr>
            <w:tcW w:w="5132" w:type="dxa"/>
            <w:vAlign w:val="center"/>
          </w:tcPr>
          <w:p w14:paraId="6F5314B1" w14:textId="77777777" w:rsidR="00124AB6" w:rsidRPr="00124AB6" w:rsidRDefault="00124AB6" w:rsidP="00124AB6">
            <w:pPr>
              <w:jc w:val="center"/>
              <w:rPr>
                <w:bCs/>
                <w:szCs w:val="18"/>
              </w:rPr>
            </w:pPr>
            <w:r w:rsidRPr="00124AB6">
              <w:rPr>
                <w:bCs/>
                <w:szCs w:val="18"/>
              </w:rPr>
              <w:t xml:space="preserve">Storage Tank T-204  </w:t>
            </w:r>
          </w:p>
        </w:tc>
        <w:tc>
          <w:tcPr>
            <w:tcW w:w="1981" w:type="dxa"/>
            <w:vAlign w:val="center"/>
          </w:tcPr>
          <w:p w14:paraId="614DB8E5" w14:textId="77777777" w:rsidR="00124AB6" w:rsidRPr="00124AB6" w:rsidRDefault="00124AB6" w:rsidP="00124AB6">
            <w:pPr>
              <w:jc w:val="center"/>
            </w:pPr>
            <w:r w:rsidRPr="00124AB6">
              <w:t>1981</w:t>
            </w:r>
          </w:p>
        </w:tc>
        <w:tc>
          <w:tcPr>
            <w:tcW w:w="1174" w:type="dxa"/>
            <w:vAlign w:val="center"/>
          </w:tcPr>
          <w:p w14:paraId="7DBB06EC" w14:textId="77777777" w:rsidR="00124AB6" w:rsidRPr="00124AB6" w:rsidRDefault="00124AB6" w:rsidP="00124AB6">
            <w:pPr>
              <w:jc w:val="center"/>
              <w:rPr>
                <w:bCs/>
                <w:szCs w:val="18"/>
              </w:rPr>
            </w:pPr>
            <w:r w:rsidRPr="00124AB6">
              <w:rPr>
                <w:bCs/>
                <w:szCs w:val="18"/>
              </w:rPr>
              <w:t>None</w:t>
            </w:r>
          </w:p>
        </w:tc>
        <w:tc>
          <w:tcPr>
            <w:tcW w:w="1168" w:type="dxa"/>
            <w:vAlign w:val="center"/>
          </w:tcPr>
          <w:p w14:paraId="0B0594DB" w14:textId="77777777" w:rsidR="00124AB6" w:rsidRPr="00124AB6" w:rsidRDefault="00124AB6" w:rsidP="00124AB6">
            <w:pPr>
              <w:jc w:val="center"/>
              <w:rPr>
                <w:bCs/>
                <w:szCs w:val="18"/>
              </w:rPr>
            </w:pPr>
            <w:r w:rsidRPr="00124AB6">
              <w:rPr>
                <w:bCs/>
                <w:szCs w:val="18"/>
              </w:rPr>
              <w:t>T-204</w:t>
            </w:r>
          </w:p>
        </w:tc>
      </w:tr>
      <w:tr w:rsidR="00124AB6" w:rsidRPr="00124AB6" w14:paraId="4A9A58EF" w14:textId="77777777" w:rsidTr="004E3BFD">
        <w:trPr>
          <w:cantSplit/>
          <w:trHeight w:val="432"/>
          <w:jc w:val="center"/>
        </w:trPr>
        <w:tc>
          <w:tcPr>
            <w:tcW w:w="1350" w:type="dxa"/>
            <w:vAlign w:val="center"/>
          </w:tcPr>
          <w:p w14:paraId="7050950A" w14:textId="77777777" w:rsidR="00124AB6" w:rsidRPr="00124AB6" w:rsidRDefault="00124AB6" w:rsidP="00124AB6">
            <w:pPr>
              <w:jc w:val="center"/>
              <w:rPr>
                <w:bCs/>
                <w:szCs w:val="18"/>
              </w:rPr>
            </w:pPr>
            <w:r w:rsidRPr="00124AB6">
              <w:rPr>
                <w:bCs/>
                <w:szCs w:val="18"/>
              </w:rPr>
              <w:t>T-205</w:t>
            </w:r>
          </w:p>
        </w:tc>
        <w:tc>
          <w:tcPr>
            <w:tcW w:w="5132" w:type="dxa"/>
            <w:vAlign w:val="center"/>
          </w:tcPr>
          <w:p w14:paraId="5E729359" w14:textId="77777777" w:rsidR="00124AB6" w:rsidRPr="00124AB6" w:rsidRDefault="00124AB6" w:rsidP="00124AB6">
            <w:pPr>
              <w:jc w:val="center"/>
              <w:rPr>
                <w:bCs/>
                <w:szCs w:val="18"/>
              </w:rPr>
            </w:pPr>
            <w:r w:rsidRPr="00124AB6">
              <w:rPr>
                <w:bCs/>
                <w:szCs w:val="18"/>
              </w:rPr>
              <w:t xml:space="preserve">Storage Tank T-205  </w:t>
            </w:r>
          </w:p>
        </w:tc>
        <w:tc>
          <w:tcPr>
            <w:tcW w:w="1981" w:type="dxa"/>
            <w:vAlign w:val="center"/>
          </w:tcPr>
          <w:p w14:paraId="6C8B9AC4" w14:textId="77777777" w:rsidR="00124AB6" w:rsidRPr="00124AB6" w:rsidRDefault="00124AB6" w:rsidP="00124AB6">
            <w:pPr>
              <w:jc w:val="center"/>
            </w:pPr>
            <w:r w:rsidRPr="00124AB6">
              <w:t>1981</w:t>
            </w:r>
          </w:p>
        </w:tc>
        <w:tc>
          <w:tcPr>
            <w:tcW w:w="1174" w:type="dxa"/>
            <w:vAlign w:val="center"/>
          </w:tcPr>
          <w:p w14:paraId="42BD3E73" w14:textId="77777777" w:rsidR="00124AB6" w:rsidRPr="00124AB6" w:rsidRDefault="00124AB6" w:rsidP="00124AB6">
            <w:pPr>
              <w:jc w:val="center"/>
              <w:rPr>
                <w:bCs/>
                <w:szCs w:val="18"/>
              </w:rPr>
            </w:pPr>
            <w:r w:rsidRPr="00124AB6">
              <w:rPr>
                <w:bCs/>
                <w:szCs w:val="18"/>
              </w:rPr>
              <w:t>None</w:t>
            </w:r>
          </w:p>
        </w:tc>
        <w:tc>
          <w:tcPr>
            <w:tcW w:w="1168" w:type="dxa"/>
            <w:vAlign w:val="center"/>
          </w:tcPr>
          <w:p w14:paraId="71119552" w14:textId="77777777" w:rsidR="00124AB6" w:rsidRPr="00124AB6" w:rsidRDefault="00124AB6" w:rsidP="00124AB6">
            <w:pPr>
              <w:jc w:val="center"/>
              <w:rPr>
                <w:bCs/>
                <w:szCs w:val="18"/>
              </w:rPr>
            </w:pPr>
            <w:r w:rsidRPr="00124AB6">
              <w:rPr>
                <w:bCs/>
                <w:szCs w:val="18"/>
              </w:rPr>
              <w:t>T-205</w:t>
            </w:r>
          </w:p>
        </w:tc>
      </w:tr>
      <w:tr w:rsidR="00124AB6" w:rsidRPr="00124AB6" w14:paraId="1C0F7BA4" w14:textId="77777777" w:rsidTr="004E3BFD">
        <w:trPr>
          <w:cantSplit/>
          <w:trHeight w:val="432"/>
          <w:jc w:val="center"/>
        </w:trPr>
        <w:tc>
          <w:tcPr>
            <w:tcW w:w="1350" w:type="dxa"/>
            <w:vAlign w:val="center"/>
          </w:tcPr>
          <w:p w14:paraId="1E52A344" w14:textId="77777777" w:rsidR="00124AB6" w:rsidRPr="00124AB6" w:rsidRDefault="00124AB6" w:rsidP="00124AB6">
            <w:pPr>
              <w:jc w:val="center"/>
              <w:rPr>
                <w:bCs/>
                <w:szCs w:val="18"/>
              </w:rPr>
            </w:pPr>
            <w:r w:rsidRPr="00124AB6">
              <w:rPr>
                <w:bCs/>
                <w:szCs w:val="18"/>
              </w:rPr>
              <w:t>T-206</w:t>
            </w:r>
          </w:p>
        </w:tc>
        <w:tc>
          <w:tcPr>
            <w:tcW w:w="5132" w:type="dxa"/>
            <w:vAlign w:val="center"/>
          </w:tcPr>
          <w:p w14:paraId="634E2465" w14:textId="77777777" w:rsidR="00124AB6" w:rsidRPr="00124AB6" w:rsidRDefault="00124AB6" w:rsidP="00124AB6">
            <w:pPr>
              <w:jc w:val="center"/>
              <w:rPr>
                <w:bCs/>
                <w:szCs w:val="18"/>
              </w:rPr>
            </w:pPr>
            <w:r w:rsidRPr="00124AB6">
              <w:rPr>
                <w:bCs/>
                <w:szCs w:val="18"/>
              </w:rPr>
              <w:t xml:space="preserve">Storage Tank T-206  </w:t>
            </w:r>
          </w:p>
        </w:tc>
        <w:tc>
          <w:tcPr>
            <w:tcW w:w="1981" w:type="dxa"/>
            <w:vAlign w:val="center"/>
          </w:tcPr>
          <w:p w14:paraId="47D7157A" w14:textId="77777777" w:rsidR="00124AB6" w:rsidRPr="00124AB6" w:rsidRDefault="00124AB6" w:rsidP="00124AB6">
            <w:pPr>
              <w:jc w:val="center"/>
            </w:pPr>
            <w:r w:rsidRPr="00124AB6">
              <w:t>1981</w:t>
            </w:r>
          </w:p>
        </w:tc>
        <w:tc>
          <w:tcPr>
            <w:tcW w:w="1174" w:type="dxa"/>
            <w:vAlign w:val="center"/>
          </w:tcPr>
          <w:p w14:paraId="215FBA8B" w14:textId="77777777" w:rsidR="00124AB6" w:rsidRPr="00124AB6" w:rsidRDefault="00124AB6" w:rsidP="00124AB6">
            <w:pPr>
              <w:jc w:val="center"/>
              <w:rPr>
                <w:bCs/>
                <w:szCs w:val="18"/>
              </w:rPr>
            </w:pPr>
            <w:r w:rsidRPr="00124AB6">
              <w:rPr>
                <w:bCs/>
                <w:szCs w:val="18"/>
              </w:rPr>
              <w:t>None</w:t>
            </w:r>
          </w:p>
        </w:tc>
        <w:tc>
          <w:tcPr>
            <w:tcW w:w="1168" w:type="dxa"/>
            <w:vAlign w:val="center"/>
          </w:tcPr>
          <w:p w14:paraId="70843C70" w14:textId="77777777" w:rsidR="00124AB6" w:rsidRPr="00124AB6" w:rsidRDefault="00124AB6" w:rsidP="00124AB6">
            <w:pPr>
              <w:jc w:val="center"/>
              <w:rPr>
                <w:bCs/>
                <w:szCs w:val="18"/>
              </w:rPr>
            </w:pPr>
            <w:r w:rsidRPr="00124AB6">
              <w:rPr>
                <w:bCs/>
                <w:szCs w:val="18"/>
              </w:rPr>
              <w:t>T-206</w:t>
            </w:r>
          </w:p>
        </w:tc>
      </w:tr>
      <w:tr w:rsidR="00124AB6" w:rsidRPr="00124AB6" w14:paraId="27416446" w14:textId="77777777" w:rsidTr="004E3BFD">
        <w:trPr>
          <w:cantSplit/>
          <w:trHeight w:val="432"/>
          <w:jc w:val="center"/>
        </w:trPr>
        <w:tc>
          <w:tcPr>
            <w:tcW w:w="1350" w:type="dxa"/>
            <w:vAlign w:val="center"/>
          </w:tcPr>
          <w:p w14:paraId="19070C3C" w14:textId="77777777" w:rsidR="00124AB6" w:rsidRPr="00124AB6" w:rsidRDefault="00124AB6" w:rsidP="00124AB6">
            <w:pPr>
              <w:jc w:val="center"/>
              <w:rPr>
                <w:bCs/>
                <w:szCs w:val="18"/>
              </w:rPr>
            </w:pPr>
            <w:r w:rsidRPr="00124AB6">
              <w:rPr>
                <w:bCs/>
                <w:szCs w:val="18"/>
              </w:rPr>
              <w:t>T-207</w:t>
            </w:r>
          </w:p>
        </w:tc>
        <w:tc>
          <w:tcPr>
            <w:tcW w:w="5132" w:type="dxa"/>
            <w:vAlign w:val="center"/>
          </w:tcPr>
          <w:p w14:paraId="3E6D227A" w14:textId="77777777" w:rsidR="00124AB6" w:rsidRPr="00124AB6" w:rsidRDefault="00124AB6" w:rsidP="00124AB6">
            <w:pPr>
              <w:jc w:val="center"/>
              <w:rPr>
                <w:bCs/>
                <w:szCs w:val="18"/>
              </w:rPr>
            </w:pPr>
            <w:r w:rsidRPr="00124AB6">
              <w:rPr>
                <w:bCs/>
                <w:szCs w:val="18"/>
              </w:rPr>
              <w:t xml:space="preserve">Storage Tank T-207  </w:t>
            </w:r>
          </w:p>
        </w:tc>
        <w:tc>
          <w:tcPr>
            <w:tcW w:w="1981" w:type="dxa"/>
            <w:vAlign w:val="center"/>
          </w:tcPr>
          <w:p w14:paraId="7BD08380" w14:textId="77777777" w:rsidR="00124AB6" w:rsidRPr="00124AB6" w:rsidRDefault="00124AB6" w:rsidP="00124AB6">
            <w:pPr>
              <w:jc w:val="center"/>
            </w:pPr>
            <w:r w:rsidRPr="00124AB6">
              <w:t>1981</w:t>
            </w:r>
          </w:p>
        </w:tc>
        <w:tc>
          <w:tcPr>
            <w:tcW w:w="1174" w:type="dxa"/>
            <w:vAlign w:val="center"/>
          </w:tcPr>
          <w:p w14:paraId="0951B5E5" w14:textId="77777777" w:rsidR="00124AB6" w:rsidRPr="00124AB6" w:rsidRDefault="00124AB6" w:rsidP="00124AB6">
            <w:pPr>
              <w:jc w:val="center"/>
              <w:rPr>
                <w:bCs/>
                <w:szCs w:val="18"/>
              </w:rPr>
            </w:pPr>
            <w:r w:rsidRPr="00124AB6">
              <w:rPr>
                <w:bCs/>
                <w:szCs w:val="18"/>
              </w:rPr>
              <w:t>None</w:t>
            </w:r>
          </w:p>
        </w:tc>
        <w:tc>
          <w:tcPr>
            <w:tcW w:w="1168" w:type="dxa"/>
            <w:vAlign w:val="center"/>
          </w:tcPr>
          <w:p w14:paraId="1EBBD75A" w14:textId="77777777" w:rsidR="00124AB6" w:rsidRPr="00124AB6" w:rsidRDefault="00124AB6" w:rsidP="00124AB6">
            <w:pPr>
              <w:jc w:val="center"/>
              <w:rPr>
                <w:bCs/>
                <w:szCs w:val="18"/>
              </w:rPr>
            </w:pPr>
            <w:r w:rsidRPr="00124AB6">
              <w:rPr>
                <w:bCs/>
                <w:szCs w:val="18"/>
              </w:rPr>
              <w:t>T-207</w:t>
            </w:r>
          </w:p>
        </w:tc>
      </w:tr>
      <w:tr w:rsidR="00124AB6" w:rsidRPr="00124AB6" w14:paraId="3C505307" w14:textId="77777777" w:rsidTr="004E3BFD">
        <w:trPr>
          <w:cantSplit/>
          <w:trHeight w:val="432"/>
          <w:jc w:val="center"/>
        </w:trPr>
        <w:tc>
          <w:tcPr>
            <w:tcW w:w="1350" w:type="dxa"/>
            <w:vAlign w:val="center"/>
          </w:tcPr>
          <w:p w14:paraId="12B09D56" w14:textId="77777777" w:rsidR="00124AB6" w:rsidRPr="00124AB6" w:rsidRDefault="00124AB6" w:rsidP="00124AB6">
            <w:pPr>
              <w:jc w:val="center"/>
              <w:rPr>
                <w:bCs/>
                <w:szCs w:val="18"/>
              </w:rPr>
            </w:pPr>
            <w:r w:rsidRPr="00124AB6">
              <w:rPr>
                <w:bCs/>
                <w:szCs w:val="18"/>
              </w:rPr>
              <w:t>T-220</w:t>
            </w:r>
          </w:p>
        </w:tc>
        <w:tc>
          <w:tcPr>
            <w:tcW w:w="5132" w:type="dxa"/>
            <w:vAlign w:val="center"/>
          </w:tcPr>
          <w:p w14:paraId="1C909FCC" w14:textId="77777777" w:rsidR="00124AB6" w:rsidRPr="00124AB6" w:rsidRDefault="00124AB6" w:rsidP="00124AB6">
            <w:pPr>
              <w:jc w:val="center"/>
              <w:rPr>
                <w:bCs/>
                <w:szCs w:val="18"/>
              </w:rPr>
            </w:pPr>
            <w:r w:rsidRPr="00124AB6">
              <w:rPr>
                <w:bCs/>
                <w:szCs w:val="18"/>
              </w:rPr>
              <w:t xml:space="preserve">Storage Tank T-220  </w:t>
            </w:r>
          </w:p>
        </w:tc>
        <w:tc>
          <w:tcPr>
            <w:tcW w:w="1981" w:type="dxa"/>
            <w:vAlign w:val="center"/>
          </w:tcPr>
          <w:p w14:paraId="734F0762" w14:textId="77777777" w:rsidR="00124AB6" w:rsidRPr="00124AB6" w:rsidRDefault="00124AB6" w:rsidP="00124AB6">
            <w:pPr>
              <w:jc w:val="center"/>
            </w:pPr>
            <w:r w:rsidRPr="00124AB6">
              <w:t>1988</w:t>
            </w:r>
          </w:p>
        </w:tc>
        <w:tc>
          <w:tcPr>
            <w:tcW w:w="1174" w:type="dxa"/>
            <w:vAlign w:val="center"/>
          </w:tcPr>
          <w:p w14:paraId="39DB363C" w14:textId="77777777" w:rsidR="00124AB6" w:rsidRPr="00124AB6" w:rsidRDefault="00124AB6" w:rsidP="00124AB6">
            <w:pPr>
              <w:jc w:val="center"/>
              <w:rPr>
                <w:bCs/>
                <w:szCs w:val="18"/>
              </w:rPr>
            </w:pPr>
            <w:r w:rsidRPr="00124AB6">
              <w:rPr>
                <w:bCs/>
                <w:szCs w:val="18"/>
              </w:rPr>
              <w:t>None</w:t>
            </w:r>
          </w:p>
        </w:tc>
        <w:tc>
          <w:tcPr>
            <w:tcW w:w="1168" w:type="dxa"/>
            <w:vAlign w:val="center"/>
          </w:tcPr>
          <w:p w14:paraId="29BC6A8C" w14:textId="77777777" w:rsidR="00124AB6" w:rsidRPr="00124AB6" w:rsidRDefault="00124AB6" w:rsidP="00124AB6">
            <w:pPr>
              <w:jc w:val="center"/>
              <w:rPr>
                <w:bCs/>
                <w:szCs w:val="18"/>
              </w:rPr>
            </w:pPr>
            <w:r w:rsidRPr="00124AB6">
              <w:rPr>
                <w:bCs/>
                <w:szCs w:val="18"/>
              </w:rPr>
              <w:t>T-220</w:t>
            </w:r>
          </w:p>
        </w:tc>
      </w:tr>
      <w:tr w:rsidR="00124AB6" w:rsidRPr="00124AB6" w14:paraId="7628E7E5" w14:textId="77777777" w:rsidTr="004E3BFD">
        <w:trPr>
          <w:cantSplit/>
          <w:trHeight w:val="432"/>
          <w:jc w:val="center"/>
        </w:trPr>
        <w:tc>
          <w:tcPr>
            <w:tcW w:w="1350" w:type="dxa"/>
            <w:vAlign w:val="center"/>
          </w:tcPr>
          <w:p w14:paraId="708E0909" w14:textId="77777777" w:rsidR="00124AB6" w:rsidRPr="00124AB6" w:rsidRDefault="00124AB6" w:rsidP="00124AB6">
            <w:pPr>
              <w:jc w:val="center"/>
              <w:rPr>
                <w:bCs/>
                <w:szCs w:val="18"/>
              </w:rPr>
            </w:pPr>
            <w:r w:rsidRPr="00124AB6">
              <w:rPr>
                <w:bCs/>
                <w:szCs w:val="18"/>
              </w:rPr>
              <w:t>T-221</w:t>
            </w:r>
          </w:p>
        </w:tc>
        <w:tc>
          <w:tcPr>
            <w:tcW w:w="5132" w:type="dxa"/>
            <w:vAlign w:val="center"/>
          </w:tcPr>
          <w:p w14:paraId="13FD81C7" w14:textId="77777777" w:rsidR="00124AB6" w:rsidRPr="00124AB6" w:rsidRDefault="00124AB6" w:rsidP="00124AB6">
            <w:pPr>
              <w:jc w:val="center"/>
              <w:rPr>
                <w:bCs/>
                <w:szCs w:val="18"/>
              </w:rPr>
            </w:pPr>
            <w:r w:rsidRPr="00124AB6">
              <w:rPr>
                <w:bCs/>
                <w:szCs w:val="18"/>
              </w:rPr>
              <w:t xml:space="preserve">Storage Tank T-221  </w:t>
            </w:r>
          </w:p>
        </w:tc>
        <w:tc>
          <w:tcPr>
            <w:tcW w:w="1981" w:type="dxa"/>
            <w:vAlign w:val="center"/>
          </w:tcPr>
          <w:p w14:paraId="7F686B28" w14:textId="77777777" w:rsidR="00124AB6" w:rsidRPr="00124AB6" w:rsidRDefault="00124AB6" w:rsidP="00124AB6">
            <w:pPr>
              <w:jc w:val="center"/>
            </w:pPr>
            <w:r w:rsidRPr="00124AB6">
              <w:t>1988</w:t>
            </w:r>
          </w:p>
        </w:tc>
        <w:tc>
          <w:tcPr>
            <w:tcW w:w="1174" w:type="dxa"/>
            <w:vAlign w:val="center"/>
          </w:tcPr>
          <w:p w14:paraId="63E3E2C0" w14:textId="77777777" w:rsidR="00124AB6" w:rsidRPr="00124AB6" w:rsidRDefault="00124AB6" w:rsidP="00124AB6">
            <w:pPr>
              <w:jc w:val="center"/>
              <w:rPr>
                <w:bCs/>
                <w:szCs w:val="18"/>
              </w:rPr>
            </w:pPr>
            <w:r w:rsidRPr="00124AB6">
              <w:rPr>
                <w:bCs/>
                <w:szCs w:val="18"/>
              </w:rPr>
              <w:t>None</w:t>
            </w:r>
          </w:p>
        </w:tc>
        <w:tc>
          <w:tcPr>
            <w:tcW w:w="1168" w:type="dxa"/>
            <w:vAlign w:val="center"/>
          </w:tcPr>
          <w:p w14:paraId="387EDE74" w14:textId="77777777" w:rsidR="00124AB6" w:rsidRPr="00124AB6" w:rsidRDefault="00124AB6" w:rsidP="00124AB6">
            <w:pPr>
              <w:jc w:val="center"/>
              <w:rPr>
                <w:bCs/>
                <w:szCs w:val="18"/>
              </w:rPr>
            </w:pPr>
            <w:r w:rsidRPr="00124AB6">
              <w:rPr>
                <w:bCs/>
                <w:szCs w:val="18"/>
              </w:rPr>
              <w:t>T-221</w:t>
            </w:r>
          </w:p>
        </w:tc>
      </w:tr>
      <w:tr w:rsidR="00124AB6" w:rsidRPr="00124AB6" w14:paraId="5ADC2D54" w14:textId="77777777" w:rsidTr="004E3BFD">
        <w:trPr>
          <w:cantSplit/>
          <w:trHeight w:val="432"/>
          <w:jc w:val="center"/>
        </w:trPr>
        <w:tc>
          <w:tcPr>
            <w:tcW w:w="1350" w:type="dxa"/>
            <w:vAlign w:val="center"/>
          </w:tcPr>
          <w:p w14:paraId="1A5541A4" w14:textId="77777777" w:rsidR="00124AB6" w:rsidRPr="00124AB6" w:rsidRDefault="00124AB6" w:rsidP="00124AB6">
            <w:pPr>
              <w:jc w:val="center"/>
              <w:rPr>
                <w:bCs/>
                <w:szCs w:val="18"/>
              </w:rPr>
            </w:pPr>
            <w:r w:rsidRPr="00124AB6">
              <w:rPr>
                <w:bCs/>
                <w:szCs w:val="18"/>
              </w:rPr>
              <w:t>T-222</w:t>
            </w:r>
          </w:p>
        </w:tc>
        <w:tc>
          <w:tcPr>
            <w:tcW w:w="5132" w:type="dxa"/>
            <w:vAlign w:val="center"/>
          </w:tcPr>
          <w:p w14:paraId="53C3F762" w14:textId="77777777" w:rsidR="00124AB6" w:rsidRPr="00124AB6" w:rsidRDefault="00124AB6" w:rsidP="00124AB6">
            <w:pPr>
              <w:jc w:val="center"/>
              <w:rPr>
                <w:bCs/>
                <w:szCs w:val="18"/>
              </w:rPr>
            </w:pPr>
            <w:r w:rsidRPr="00124AB6">
              <w:rPr>
                <w:bCs/>
                <w:szCs w:val="18"/>
              </w:rPr>
              <w:t xml:space="preserve">Storage Tank T-222  </w:t>
            </w:r>
          </w:p>
        </w:tc>
        <w:tc>
          <w:tcPr>
            <w:tcW w:w="1981" w:type="dxa"/>
            <w:vAlign w:val="center"/>
          </w:tcPr>
          <w:p w14:paraId="1FF65D65" w14:textId="77777777" w:rsidR="00124AB6" w:rsidRPr="00124AB6" w:rsidRDefault="00124AB6" w:rsidP="00124AB6">
            <w:pPr>
              <w:jc w:val="center"/>
            </w:pPr>
            <w:r w:rsidRPr="00124AB6">
              <w:t>1988</w:t>
            </w:r>
          </w:p>
        </w:tc>
        <w:tc>
          <w:tcPr>
            <w:tcW w:w="1174" w:type="dxa"/>
            <w:vAlign w:val="center"/>
          </w:tcPr>
          <w:p w14:paraId="4969A9A8" w14:textId="77777777" w:rsidR="00124AB6" w:rsidRPr="00124AB6" w:rsidRDefault="00124AB6" w:rsidP="00124AB6">
            <w:pPr>
              <w:jc w:val="center"/>
              <w:rPr>
                <w:bCs/>
                <w:szCs w:val="18"/>
              </w:rPr>
            </w:pPr>
            <w:r w:rsidRPr="00124AB6">
              <w:rPr>
                <w:bCs/>
                <w:szCs w:val="18"/>
              </w:rPr>
              <w:t>None</w:t>
            </w:r>
          </w:p>
        </w:tc>
        <w:tc>
          <w:tcPr>
            <w:tcW w:w="1168" w:type="dxa"/>
            <w:vAlign w:val="center"/>
          </w:tcPr>
          <w:p w14:paraId="759E742F" w14:textId="77777777" w:rsidR="00124AB6" w:rsidRPr="00124AB6" w:rsidRDefault="00124AB6" w:rsidP="00124AB6">
            <w:pPr>
              <w:jc w:val="center"/>
              <w:rPr>
                <w:bCs/>
                <w:szCs w:val="18"/>
              </w:rPr>
            </w:pPr>
            <w:r w:rsidRPr="00124AB6">
              <w:rPr>
                <w:bCs/>
                <w:szCs w:val="18"/>
              </w:rPr>
              <w:t>T-222</w:t>
            </w:r>
          </w:p>
        </w:tc>
      </w:tr>
      <w:tr w:rsidR="00124AB6" w:rsidRPr="00124AB6" w14:paraId="5DEB1525" w14:textId="77777777" w:rsidTr="004E3BFD">
        <w:trPr>
          <w:cantSplit/>
          <w:trHeight w:val="432"/>
          <w:jc w:val="center"/>
        </w:trPr>
        <w:tc>
          <w:tcPr>
            <w:tcW w:w="1350" w:type="dxa"/>
            <w:vAlign w:val="center"/>
          </w:tcPr>
          <w:p w14:paraId="4BC3CBE7" w14:textId="77777777" w:rsidR="00124AB6" w:rsidRPr="00124AB6" w:rsidRDefault="00124AB6" w:rsidP="00124AB6">
            <w:pPr>
              <w:jc w:val="center"/>
              <w:rPr>
                <w:bCs/>
                <w:szCs w:val="18"/>
              </w:rPr>
            </w:pPr>
            <w:r w:rsidRPr="00124AB6">
              <w:rPr>
                <w:bCs/>
                <w:szCs w:val="18"/>
              </w:rPr>
              <w:t>T-223</w:t>
            </w:r>
          </w:p>
        </w:tc>
        <w:tc>
          <w:tcPr>
            <w:tcW w:w="5132" w:type="dxa"/>
            <w:vAlign w:val="center"/>
          </w:tcPr>
          <w:p w14:paraId="31723556" w14:textId="77777777" w:rsidR="00124AB6" w:rsidRPr="00124AB6" w:rsidRDefault="00124AB6" w:rsidP="00124AB6">
            <w:pPr>
              <w:jc w:val="center"/>
              <w:rPr>
                <w:bCs/>
                <w:szCs w:val="18"/>
              </w:rPr>
            </w:pPr>
            <w:r w:rsidRPr="00124AB6">
              <w:rPr>
                <w:bCs/>
                <w:szCs w:val="18"/>
              </w:rPr>
              <w:t xml:space="preserve">Storage Tank T-223  </w:t>
            </w:r>
          </w:p>
        </w:tc>
        <w:tc>
          <w:tcPr>
            <w:tcW w:w="1981" w:type="dxa"/>
            <w:vAlign w:val="center"/>
          </w:tcPr>
          <w:p w14:paraId="0574E49C" w14:textId="77777777" w:rsidR="00124AB6" w:rsidRPr="00124AB6" w:rsidRDefault="00124AB6" w:rsidP="00124AB6">
            <w:pPr>
              <w:jc w:val="center"/>
            </w:pPr>
            <w:r w:rsidRPr="00124AB6">
              <w:t>1988</w:t>
            </w:r>
          </w:p>
        </w:tc>
        <w:tc>
          <w:tcPr>
            <w:tcW w:w="1174" w:type="dxa"/>
            <w:vAlign w:val="center"/>
          </w:tcPr>
          <w:p w14:paraId="7072E945" w14:textId="77777777" w:rsidR="00124AB6" w:rsidRPr="00124AB6" w:rsidRDefault="00124AB6" w:rsidP="00124AB6">
            <w:pPr>
              <w:jc w:val="center"/>
              <w:rPr>
                <w:bCs/>
                <w:szCs w:val="18"/>
              </w:rPr>
            </w:pPr>
            <w:r w:rsidRPr="00124AB6">
              <w:rPr>
                <w:bCs/>
                <w:szCs w:val="18"/>
              </w:rPr>
              <w:t>None</w:t>
            </w:r>
          </w:p>
        </w:tc>
        <w:tc>
          <w:tcPr>
            <w:tcW w:w="1168" w:type="dxa"/>
            <w:vAlign w:val="center"/>
          </w:tcPr>
          <w:p w14:paraId="036BE98A" w14:textId="77777777" w:rsidR="00124AB6" w:rsidRPr="00124AB6" w:rsidRDefault="00124AB6" w:rsidP="00124AB6">
            <w:pPr>
              <w:jc w:val="center"/>
              <w:rPr>
                <w:bCs/>
                <w:szCs w:val="18"/>
              </w:rPr>
            </w:pPr>
            <w:r w:rsidRPr="00124AB6">
              <w:rPr>
                <w:bCs/>
                <w:szCs w:val="18"/>
              </w:rPr>
              <w:t>T-223</w:t>
            </w:r>
          </w:p>
        </w:tc>
      </w:tr>
      <w:tr w:rsidR="00124AB6" w:rsidRPr="00124AB6" w14:paraId="51EB0B72" w14:textId="77777777" w:rsidTr="004E3BFD">
        <w:trPr>
          <w:cantSplit/>
          <w:trHeight w:val="432"/>
          <w:jc w:val="center"/>
        </w:trPr>
        <w:tc>
          <w:tcPr>
            <w:tcW w:w="1350" w:type="dxa"/>
            <w:vAlign w:val="center"/>
          </w:tcPr>
          <w:p w14:paraId="1E970742" w14:textId="77777777" w:rsidR="00124AB6" w:rsidRPr="00124AB6" w:rsidRDefault="00124AB6" w:rsidP="00124AB6">
            <w:pPr>
              <w:jc w:val="center"/>
              <w:rPr>
                <w:bCs/>
                <w:szCs w:val="18"/>
              </w:rPr>
            </w:pPr>
            <w:r w:rsidRPr="00124AB6">
              <w:rPr>
                <w:bCs/>
                <w:szCs w:val="18"/>
              </w:rPr>
              <w:t>T-224</w:t>
            </w:r>
          </w:p>
        </w:tc>
        <w:tc>
          <w:tcPr>
            <w:tcW w:w="5132" w:type="dxa"/>
            <w:vAlign w:val="center"/>
          </w:tcPr>
          <w:p w14:paraId="22FE2826" w14:textId="77777777" w:rsidR="00124AB6" w:rsidRPr="00124AB6" w:rsidRDefault="00124AB6" w:rsidP="00124AB6">
            <w:pPr>
              <w:jc w:val="center"/>
              <w:rPr>
                <w:bCs/>
                <w:szCs w:val="18"/>
              </w:rPr>
            </w:pPr>
            <w:r w:rsidRPr="00124AB6">
              <w:rPr>
                <w:bCs/>
                <w:szCs w:val="18"/>
              </w:rPr>
              <w:t xml:space="preserve">Storage Tank T-224  </w:t>
            </w:r>
          </w:p>
        </w:tc>
        <w:tc>
          <w:tcPr>
            <w:tcW w:w="1981" w:type="dxa"/>
            <w:vAlign w:val="center"/>
          </w:tcPr>
          <w:p w14:paraId="0B5703FD" w14:textId="77777777" w:rsidR="00124AB6" w:rsidRPr="00124AB6" w:rsidRDefault="00124AB6" w:rsidP="00124AB6">
            <w:pPr>
              <w:jc w:val="center"/>
            </w:pPr>
            <w:r w:rsidRPr="00124AB6">
              <w:t>1991</w:t>
            </w:r>
          </w:p>
        </w:tc>
        <w:tc>
          <w:tcPr>
            <w:tcW w:w="1174" w:type="dxa"/>
            <w:vAlign w:val="center"/>
          </w:tcPr>
          <w:p w14:paraId="2440ADA5" w14:textId="77777777" w:rsidR="00124AB6" w:rsidRPr="00124AB6" w:rsidRDefault="00124AB6" w:rsidP="00124AB6">
            <w:pPr>
              <w:jc w:val="center"/>
              <w:rPr>
                <w:bCs/>
                <w:szCs w:val="18"/>
              </w:rPr>
            </w:pPr>
            <w:r w:rsidRPr="00124AB6">
              <w:rPr>
                <w:bCs/>
                <w:szCs w:val="18"/>
              </w:rPr>
              <w:t>None</w:t>
            </w:r>
          </w:p>
        </w:tc>
        <w:tc>
          <w:tcPr>
            <w:tcW w:w="1168" w:type="dxa"/>
            <w:vAlign w:val="center"/>
          </w:tcPr>
          <w:p w14:paraId="60525746" w14:textId="77777777" w:rsidR="00124AB6" w:rsidRPr="00124AB6" w:rsidRDefault="00124AB6" w:rsidP="00124AB6">
            <w:pPr>
              <w:jc w:val="center"/>
              <w:rPr>
                <w:bCs/>
                <w:szCs w:val="18"/>
              </w:rPr>
            </w:pPr>
            <w:r w:rsidRPr="00124AB6">
              <w:rPr>
                <w:bCs/>
                <w:szCs w:val="18"/>
              </w:rPr>
              <w:t>T-224</w:t>
            </w:r>
          </w:p>
        </w:tc>
      </w:tr>
      <w:tr w:rsidR="00124AB6" w:rsidRPr="00124AB6" w14:paraId="75B1F4E1" w14:textId="77777777" w:rsidTr="004E3BFD">
        <w:trPr>
          <w:cantSplit/>
          <w:trHeight w:val="432"/>
          <w:jc w:val="center"/>
        </w:trPr>
        <w:tc>
          <w:tcPr>
            <w:tcW w:w="1350" w:type="dxa"/>
            <w:vAlign w:val="center"/>
          </w:tcPr>
          <w:p w14:paraId="4122E749" w14:textId="77777777" w:rsidR="00124AB6" w:rsidRPr="00124AB6" w:rsidRDefault="00124AB6" w:rsidP="00124AB6">
            <w:pPr>
              <w:jc w:val="center"/>
              <w:rPr>
                <w:bCs/>
                <w:szCs w:val="18"/>
              </w:rPr>
            </w:pPr>
            <w:r w:rsidRPr="00124AB6">
              <w:rPr>
                <w:bCs/>
                <w:szCs w:val="18"/>
              </w:rPr>
              <w:t>T-225</w:t>
            </w:r>
          </w:p>
        </w:tc>
        <w:tc>
          <w:tcPr>
            <w:tcW w:w="5132" w:type="dxa"/>
            <w:vAlign w:val="center"/>
          </w:tcPr>
          <w:p w14:paraId="730FB14F" w14:textId="77777777" w:rsidR="00124AB6" w:rsidRPr="00124AB6" w:rsidRDefault="00124AB6" w:rsidP="00124AB6">
            <w:pPr>
              <w:jc w:val="center"/>
              <w:rPr>
                <w:bCs/>
                <w:szCs w:val="18"/>
              </w:rPr>
            </w:pPr>
            <w:r w:rsidRPr="00124AB6">
              <w:rPr>
                <w:bCs/>
                <w:szCs w:val="18"/>
              </w:rPr>
              <w:t xml:space="preserve">Storage Tank T-225  </w:t>
            </w:r>
          </w:p>
        </w:tc>
        <w:tc>
          <w:tcPr>
            <w:tcW w:w="1981" w:type="dxa"/>
            <w:vAlign w:val="center"/>
          </w:tcPr>
          <w:p w14:paraId="3C122314" w14:textId="77777777" w:rsidR="00124AB6" w:rsidRPr="00124AB6" w:rsidRDefault="00124AB6" w:rsidP="00124AB6">
            <w:pPr>
              <w:jc w:val="center"/>
            </w:pPr>
            <w:r w:rsidRPr="00124AB6">
              <w:t>1988</w:t>
            </w:r>
          </w:p>
        </w:tc>
        <w:tc>
          <w:tcPr>
            <w:tcW w:w="1174" w:type="dxa"/>
            <w:vAlign w:val="center"/>
          </w:tcPr>
          <w:p w14:paraId="1ED88804" w14:textId="77777777" w:rsidR="00124AB6" w:rsidRPr="00124AB6" w:rsidRDefault="00124AB6" w:rsidP="00124AB6">
            <w:pPr>
              <w:jc w:val="center"/>
              <w:rPr>
                <w:bCs/>
                <w:szCs w:val="18"/>
              </w:rPr>
            </w:pPr>
            <w:r w:rsidRPr="00124AB6">
              <w:rPr>
                <w:bCs/>
                <w:szCs w:val="18"/>
              </w:rPr>
              <w:t>None</w:t>
            </w:r>
          </w:p>
        </w:tc>
        <w:tc>
          <w:tcPr>
            <w:tcW w:w="1168" w:type="dxa"/>
            <w:vAlign w:val="center"/>
          </w:tcPr>
          <w:p w14:paraId="73E6BB72" w14:textId="77777777" w:rsidR="00124AB6" w:rsidRPr="00124AB6" w:rsidRDefault="00124AB6" w:rsidP="00124AB6">
            <w:pPr>
              <w:jc w:val="center"/>
              <w:rPr>
                <w:bCs/>
                <w:szCs w:val="18"/>
              </w:rPr>
            </w:pPr>
            <w:r w:rsidRPr="00124AB6">
              <w:rPr>
                <w:bCs/>
                <w:szCs w:val="18"/>
              </w:rPr>
              <w:t>T-225</w:t>
            </w:r>
          </w:p>
        </w:tc>
      </w:tr>
      <w:tr w:rsidR="00124AB6" w:rsidRPr="00124AB6" w14:paraId="740D5583" w14:textId="77777777" w:rsidTr="004E3BFD">
        <w:trPr>
          <w:cantSplit/>
          <w:trHeight w:val="432"/>
          <w:jc w:val="center"/>
        </w:trPr>
        <w:tc>
          <w:tcPr>
            <w:tcW w:w="1350" w:type="dxa"/>
            <w:vAlign w:val="center"/>
          </w:tcPr>
          <w:p w14:paraId="470C4E4E" w14:textId="77777777" w:rsidR="00124AB6" w:rsidRPr="00124AB6" w:rsidRDefault="00124AB6" w:rsidP="00124AB6">
            <w:pPr>
              <w:jc w:val="center"/>
              <w:rPr>
                <w:bCs/>
                <w:szCs w:val="18"/>
              </w:rPr>
            </w:pPr>
            <w:r w:rsidRPr="00124AB6">
              <w:rPr>
                <w:bCs/>
                <w:szCs w:val="18"/>
              </w:rPr>
              <w:t>T-227</w:t>
            </w:r>
          </w:p>
        </w:tc>
        <w:tc>
          <w:tcPr>
            <w:tcW w:w="5132" w:type="dxa"/>
            <w:vAlign w:val="center"/>
          </w:tcPr>
          <w:p w14:paraId="3E24D5D6" w14:textId="77777777" w:rsidR="00124AB6" w:rsidRPr="00124AB6" w:rsidRDefault="00124AB6" w:rsidP="00124AB6">
            <w:pPr>
              <w:jc w:val="center"/>
              <w:rPr>
                <w:bCs/>
                <w:szCs w:val="18"/>
              </w:rPr>
            </w:pPr>
            <w:r w:rsidRPr="00124AB6">
              <w:rPr>
                <w:bCs/>
                <w:szCs w:val="18"/>
              </w:rPr>
              <w:t xml:space="preserve">Storage Tank T-227  </w:t>
            </w:r>
          </w:p>
        </w:tc>
        <w:tc>
          <w:tcPr>
            <w:tcW w:w="1981" w:type="dxa"/>
            <w:vAlign w:val="center"/>
          </w:tcPr>
          <w:p w14:paraId="262C41DE" w14:textId="77777777" w:rsidR="00124AB6" w:rsidRPr="00124AB6" w:rsidRDefault="00124AB6" w:rsidP="00124AB6">
            <w:pPr>
              <w:jc w:val="center"/>
            </w:pPr>
            <w:r w:rsidRPr="00124AB6">
              <w:t>1991</w:t>
            </w:r>
          </w:p>
        </w:tc>
        <w:tc>
          <w:tcPr>
            <w:tcW w:w="1174" w:type="dxa"/>
            <w:vAlign w:val="center"/>
          </w:tcPr>
          <w:p w14:paraId="0AE7B44C" w14:textId="77777777" w:rsidR="00124AB6" w:rsidRPr="00124AB6" w:rsidRDefault="00124AB6" w:rsidP="00124AB6">
            <w:pPr>
              <w:jc w:val="center"/>
              <w:rPr>
                <w:bCs/>
                <w:szCs w:val="18"/>
              </w:rPr>
            </w:pPr>
            <w:r w:rsidRPr="00124AB6">
              <w:rPr>
                <w:bCs/>
                <w:szCs w:val="18"/>
              </w:rPr>
              <w:t>None</w:t>
            </w:r>
          </w:p>
        </w:tc>
        <w:tc>
          <w:tcPr>
            <w:tcW w:w="1168" w:type="dxa"/>
            <w:vAlign w:val="center"/>
          </w:tcPr>
          <w:p w14:paraId="75FC887F" w14:textId="77777777" w:rsidR="00124AB6" w:rsidRPr="00124AB6" w:rsidRDefault="00124AB6" w:rsidP="00124AB6">
            <w:pPr>
              <w:jc w:val="center"/>
              <w:rPr>
                <w:bCs/>
                <w:szCs w:val="18"/>
              </w:rPr>
            </w:pPr>
            <w:r w:rsidRPr="00124AB6">
              <w:rPr>
                <w:bCs/>
                <w:szCs w:val="18"/>
              </w:rPr>
              <w:t>T-227</w:t>
            </w:r>
          </w:p>
        </w:tc>
      </w:tr>
      <w:tr w:rsidR="00124AB6" w:rsidRPr="00124AB6" w14:paraId="4D9F13B9" w14:textId="77777777" w:rsidTr="004E3BFD">
        <w:trPr>
          <w:cantSplit/>
          <w:trHeight w:val="432"/>
          <w:jc w:val="center"/>
        </w:trPr>
        <w:tc>
          <w:tcPr>
            <w:tcW w:w="1350" w:type="dxa"/>
            <w:vAlign w:val="center"/>
          </w:tcPr>
          <w:p w14:paraId="3E9679A7" w14:textId="77777777" w:rsidR="00124AB6" w:rsidRPr="00124AB6" w:rsidRDefault="00124AB6" w:rsidP="00124AB6">
            <w:pPr>
              <w:jc w:val="center"/>
              <w:rPr>
                <w:bCs/>
                <w:szCs w:val="18"/>
              </w:rPr>
            </w:pPr>
            <w:r w:rsidRPr="00124AB6">
              <w:rPr>
                <w:bCs/>
                <w:szCs w:val="18"/>
              </w:rPr>
              <w:t>T-228</w:t>
            </w:r>
          </w:p>
        </w:tc>
        <w:tc>
          <w:tcPr>
            <w:tcW w:w="5132" w:type="dxa"/>
            <w:vAlign w:val="center"/>
          </w:tcPr>
          <w:p w14:paraId="2DC5C746" w14:textId="77777777" w:rsidR="00124AB6" w:rsidRPr="00124AB6" w:rsidRDefault="00124AB6" w:rsidP="00124AB6">
            <w:pPr>
              <w:jc w:val="center"/>
              <w:rPr>
                <w:bCs/>
                <w:szCs w:val="18"/>
              </w:rPr>
            </w:pPr>
            <w:r w:rsidRPr="00124AB6">
              <w:rPr>
                <w:bCs/>
                <w:szCs w:val="18"/>
              </w:rPr>
              <w:t xml:space="preserve">Storage Tank T-228  </w:t>
            </w:r>
          </w:p>
        </w:tc>
        <w:tc>
          <w:tcPr>
            <w:tcW w:w="1981" w:type="dxa"/>
            <w:vAlign w:val="center"/>
          </w:tcPr>
          <w:p w14:paraId="177A8679" w14:textId="77777777" w:rsidR="00124AB6" w:rsidRPr="00124AB6" w:rsidRDefault="00124AB6" w:rsidP="00124AB6">
            <w:pPr>
              <w:jc w:val="center"/>
            </w:pPr>
            <w:r w:rsidRPr="00124AB6">
              <w:t>1991</w:t>
            </w:r>
          </w:p>
        </w:tc>
        <w:tc>
          <w:tcPr>
            <w:tcW w:w="1174" w:type="dxa"/>
            <w:vAlign w:val="center"/>
          </w:tcPr>
          <w:p w14:paraId="528592B8" w14:textId="77777777" w:rsidR="00124AB6" w:rsidRPr="00124AB6" w:rsidRDefault="00124AB6" w:rsidP="00124AB6">
            <w:pPr>
              <w:jc w:val="center"/>
              <w:rPr>
                <w:bCs/>
                <w:szCs w:val="18"/>
              </w:rPr>
            </w:pPr>
            <w:r w:rsidRPr="00124AB6">
              <w:rPr>
                <w:bCs/>
                <w:szCs w:val="18"/>
              </w:rPr>
              <w:t>None</w:t>
            </w:r>
          </w:p>
        </w:tc>
        <w:tc>
          <w:tcPr>
            <w:tcW w:w="1168" w:type="dxa"/>
            <w:vAlign w:val="center"/>
          </w:tcPr>
          <w:p w14:paraId="695A709D" w14:textId="77777777" w:rsidR="00124AB6" w:rsidRPr="00124AB6" w:rsidRDefault="00124AB6" w:rsidP="00124AB6">
            <w:pPr>
              <w:jc w:val="center"/>
              <w:rPr>
                <w:bCs/>
                <w:szCs w:val="18"/>
              </w:rPr>
            </w:pPr>
            <w:r w:rsidRPr="00124AB6">
              <w:rPr>
                <w:bCs/>
                <w:szCs w:val="18"/>
              </w:rPr>
              <w:t>T-228</w:t>
            </w:r>
          </w:p>
        </w:tc>
      </w:tr>
      <w:tr w:rsidR="00124AB6" w:rsidRPr="00124AB6" w14:paraId="0AD28432" w14:textId="77777777" w:rsidTr="004E3BFD">
        <w:trPr>
          <w:cantSplit/>
          <w:trHeight w:val="432"/>
          <w:jc w:val="center"/>
        </w:trPr>
        <w:tc>
          <w:tcPr>
            <w:tcW w:w="1350" w:type="dxa"/>
            <w:vAlign w:val="center"/>
          </w:tcPr>
          <w:p w14:paraId="6AC46E21" w14:textId="77777777" w:rsidR="00124AB6" w:rsidRPr="00124AB6" w:rsidRDefault="00124AB6" w:rsidP="00124AB6">
            <w:pPr>
              <w:jc w:val="center"/>
              <w:rPr>
                <w:bCs/>
                <w:szCs w:val="18"/>
              </w:rPr>
            </w:pPr>
            <w:r w:rsidRPr="00124AB6">
              <w:rPr>
                <w:bCs/>
                <w:szCs w:val="18"/>
              </w:rPr>
              <w:t>T-230</w:t>
            </w:r>
          </w:p>
        </w:tc>
        <w:tc>
          <w:tcPr>
            <w:tcW w:w="5132" w:type="dxa"/>
            <w:vAlign w:val="center"/>
          </w:tcPr>
          <w:p w14:paraId="0CC1E499" w14:textId="77777777" w:rsidR="00124AB6" w:rsidRPr="00124AB6" w:rsidRDefault="00124AB6" w:rsidP="00124AB6">
            <w:pPr>
              <w:jc w:val="center"/>
              <w:rPr>
                <w:bCs/>
                <w:szCs w:val="18"/>
              </w:rPr>
            </w:pPr>
            <w:r w:rsidRPr="00124AB6">
              <w:rPr>
                <w:bCs/>
                <w:szCs w:val="18"/>
              </w:rPr>
              <w:t xml:space="preserve">Storage Tank T-230  </w:t>
            </w:r>
          </w:p>
        </w:tc>
        <w:tc>
          <w:tcPr>
            <w:tcW w:w="1981" w:type="dxa"/>
            <w:vAlign w:val="center"/>
          </w:tcPr>
          <w:p w14:paraId="056B77C2" w14:textId="77777777" w:rsidR="00124AB6" w:rsidRPr="00124AB6" w:rsidRDefault="00124AB6" w:rsidP="00124AB6">
            <w:pPr>
              <w:jc w:val="center"/>
            </w:pPr>
            <w:r w:rsidRPr="00124AB6">
              <w:t>1981</w:t>
            </w:r>
          </w:p>
        </w:tc>
        <w:tc>
          <w:tcPr>
            <w:tcW w:w="1174" w:type="dxa"/>
            <w:vAlign w:val="center"/>
          </w:tcPr>
          <w:p w14:paraId="06DE0D78" w14:textId="77777777" w:rsidR="00124AB6" w:rsidRPr="00124AB6" w:rsidRDefault="00124AB6" w:rsidP="00124AB6">
            <w:pPr>
              <w:jc w:val="center"/>
              <w:rPr>
                <w:bCs/>
                <w:szCs w:val="18"/>
              </w:rPr>
            </w:pPr>
            <w:r w:rsidRPr="00124AB6">
              <w:rPr>
                <w:bCs/>
                <w:szCs w:val="18"/>
              </w:rPr>
              <w:t>None</w:t>
            </w:r>
          </w:p>
        </w:tc>
        <w:tc>
          <w:tcPr>
            <w:tcW w:w="1168" w:type="dxa"/>
            <w:vAlign w:val="center"/>
          </w:tcPr>
          <w:p w14:paraId="0FB76CB8" w14:textId="77777777" w:rsidR="00124AB6" w:rsidRPr="00124AB6" w:rsidRDefault="00124AB6" w:rsidP="00124AB6">
            <w:pPr>
              <w:jc w:val="center"/>
              <w:rPr>
                <w:bCs/>
                <w:szCs w:val="18"/>
              </w:rPr>
            </w:pPr>
            <w:r w:rsidRPr="00124AB6">
              <w:rPr>
                <w:bCs/>
                <w:szCs w:val="18"/>
              </w:rPr>
              <w:t>T-230</w:t>
            </w:r>
          </w:p>
        </w:tc>
      </w:tr>
      <w:tr w:rsidR="00124AB6" w:rsidRPr="00124AB6" w14:paraId="55E52630" w14:textId="77777777" w:rsidTr="004E3BFD">
        <w:trPr>
          <w:cantSplit/>
          <w:trHeight w:val="432"/>
          <w:jc w:val="center"/>
        </w:trPr>
        <w:tc>
          <w:tcPr>
            <w:tcW w:w="1350" w:type="dxa"/>
            <w:vAlign w:val="center"/>
          </w:tcPr>
          <w:p w14:paraId="4926323A" w14:textId="77777777" w:rsidR="00124AB6" w:rsidRPr="00124AB6" w:rsidRDefault="00124AB6" w:rsidP="00124AB6">
            <w:pPr>
              <w:jc w:val="center"/>
              <w:rPr>
                <w:bCs/>
                <w:szCs w:val="18"/>
              </w:rPr>
            </w:pPr>
            <w:r w:rsidRPr="00124AB6">
              <w:rPr>
                <w:bCs/>
                <w:szCs w:val="18"/>
              </w:rPr>
              <w:t>T-231</w:t>
            </w:r>
          </w:p>
        </w:tc>
        <w:tc>
          <w:tcPr>
            <w:tcW w:w="5132" w:type="dxa"/>
            <w:vAlign w:val="center"/>
          </w:tcPr>
          <w:p w14:paraId="5961C086" w14:textId="77777777" w:rsidR="00124AB6" w:rsidRPr="00124AB6" w:rsidRDefault="00124AB6" w:rsidP="00124AB6">
            <w:pPr>
              <w:jc w:val="center"/>
              <w:rPr>
                <w:bCs/>
                <w:szCs w:val="18"/>
              </w:rPr>
            </w:pPr>
            <w:r w:rsidRPr="00124AB6">
              <w:rPr>
                <w:bCs/>
                <w:szCs w:val="18"/>
              </w:rPr>
              <w:t xml:space="preserve">Storage Tank T-231  </w:t>
            </w:r>
          </w:p>
        </w:tc>
        <w:tc>
          <w:tcPr>
            <w:tcW w:w="1981" w:type="dxa"/>
            <w:vAlign w:val="center"/>
          </w:tcPr>
          <w:p w14:paraId="1623AC46" w14:textId="77777777" w:rsidR="00124AB6" w:rsidRPr="00124AB6" w:rsidRDefault="00124AB6" w:rsidP="00124AB6">
            <w:pPr>
              <w:jc w:val="center"/>
            </w:pPr>
            <w:r w:rsidRPr="00124AB6">
              <w:t>1981</w:t>
            </w:r>
          </w:p>
        </w:tc>
        <w:tc>
          <w:tcPr>
            <w:tcW w:w="1174" w:type="dxa"/>
            <w:vAlign w:val="center"/>
          </w:tcPr>
          <w:p w14:paraId="7194B9DE" w14:textId="77777777" w:rsidR="00124AB6" w:rsidRPr="00124AB6" w:rsidRDefault="00124AB6" w:rsidP="00124AB6">
            <w:pPr>
              <w:jc w:val="center"/>
              <w:rPr>
                <w:bCs/>
                <w:szCs w:val="18"/>
              </w:rPr>
            </w:pPr>
            <w:r w:rsidRPr="00124AB6">
              <w:rPr>
                <w:bCs/>
                <w:szCs w:val="18"/>
              </w:rPr>
              <w:t>None</w:t>
            </w:r>
          </w:p>
        </w:tc>
        <w:tc>
          <w:tcPr>
            <w:tcW w:w="1168" w:type="dxa"/>
            <w:vAlign w:val="center"/>
          </w:tcPr>
          <w:p w14:paraId="71AB5B94" w14:textId="77777777" w:rsidR="00124AB6" w:rsidRPr="00124AB6" w:rsidRDefault="00124AB6" w:rsidP="00124AB6">
            <w:pPr>
              <w:jc w:val="center"/>
              <w:rPr>
                <w:bCs/>
                <w:szCs w:val="18"/>
              </w:rPr>
            </w:pPr>
            <w:r w:rsidRPr="00124AB6">
              <w:rPr>
                <w:bCs/>
                <w:szCs w:val="18"/>
              </w:rPr>
              <w:t>T-231</w:t>
            </w:r>
          </w:p>
        </w:tc>
      </w:tr>
      <w:tr w:rsidR="00124AB6" w:rsidRPr="00124AB6" w14:paraId="3D59907E" w14:textId="77777777" w:rsidTr="004E3BFD">
        <w:trPr>
          <w:cantSplit/>
          <w:trHeight w:val="432"/>
          <w:jc w:val="center"/>
        </w:trPr>
        <w:tc>
          <w:tcPr>
            <w:tcW w:w="1350" w:type="dxa"/>
            <w:vAlign w:val="center"/>
          </w:tcPr>
          <w:p w14:paraId="52F6EF28" w14:textId="77777777" w:rsidR="00124AB6" w:rsidRPr="00124AB6" w:rsidRDefault="00124AB6" w:rsidP="00124AB6">
            <w:pPr>
              <w:jc w:val="center"/>
              <w:rPr>
                <w:bCs/>
                <w:szCs w:val="18"/>
              </w:rPr>
            </w:pPr>
            <w:r w:rsidRPr="00124AB6">
              <w:rPr>
                <w:bCs/>
                <w:szCs w:val="18"/>
              </w:rPr>
              <w:t>T-301</w:t>
            </w:r>
          </w:p>
        </w:tc>
        <w:tc>
          <w:tcPr>
            <w:tcW w:w="5132" w:type="dxa"/>
            <w:vAlign w:val="center"/>
          </w:tcPr>
          <w:p w14:paraId="6641A4B3" w14:textId="77777777" w:rsidR="00124AB6" w:rsidRPr="00124AB6" w:rsidRDefault="00124AB6" w:rsidP="00124AB6">
            <w:pPr>
              <w:jc w:val="center"/>
              <w:rPr>
                <w:bCs/>
                <w:szCs w:val="18"/>
              </w:rPr>
            </w:pPr>
            <w:r w:rsidRPr="00124AB6">
              <w:rPr>
                <w:bCs/>
                <w:szCs w:val="18"/>
              </w:rPr>
              <w:t xml:space="preserve">Storage Tank T-301  </w:t>
            </w:r>
          </w:p>
        </w:tc>
        <w:tc>
          <w:tcPr>
            <w:tcW w:w="1981" w:type="dxa"/>
            <w:vAlign w:val="center"/>
          </w:tcPr>
          <w:p w14:paraId="7F5858B1" w14:textId="77777777" w:rsidR="00124AB6" w:rsidRPr="00124AB6" w:rsidRDefault="00124AB6" w:rsidP="00124AB6">
            <w:pPr>
              <w:jc w:val="center"/>
            </w:pPr>
            <w:r w:rsidRPr="00124AB6">
              <w:t>1995</w:t>
            </w:r>
          </w:p>
        </w:tc>
        <w:tc>
          <w:tcPr>
            <w:tcW w:w="1174" w:type="dxa"/>
            <w:vAlign w:val="center"/>
          </w:tcPr>
          <w:p w14:paraId="7B4F6D31" w14:textId="77777777" w:rsidR="00124AB6" w:rsidRPr="00124AB6" w:rsidRDefault="00124AB6" w:rsidP="00124AB6">
            <w:pPr>
              <w:jc w:val="center"/>
              <w:rPr>
                <w:bCs/>
                <w:szCs w:val="18"/>
              </w:rPr>
            </w:pPr>
            <w:r w:rsidRPr="00124AB6">
              <w:rPr>
                <w:bCs/>
                <w:szCs w:val="18"/>
              </w:rPr>
              <w:t>None</w:t>
            </w:r>
          </w:p>
        </w:tc>
        <w:tc>
          <w:tcPr>
            <w:tcW w:w="1168" w:type="dxa"/>
            <w:vAlign w:val="center"/>
          </w:tcPr>
          <w:p w14:paraId="311CEA69" w14:textId="77777777" w:rsidR="00124AB6" w:rsidRPr="00124AB6" w:rsidRDefault="00124AB6" w:rsidP="00124AB6">
            <w:pPr>
              <w:jc w:val="center"/>
              <w:rPr>
                <w:bCs/>
                <w:szCs w:val="18"/>
              </w:rPr>
            </w:pPr>
            <w:r w:rsidRPr="00124AB6">
              <w:rPr>
                <w:bCs/>
                <w:szCs w:val="18"/>
              </w:rPr>
              <w:t>T-301</w:t>
            </w:r>
          </w:p>
        </w:tc>
      </w:tr>
      <w:tr w:rsidR="00124AB6" w:rsidRPr="00124AB6" w14:paraId="26E09069" w14:textId="77777777" w:rsidTr="004E3BFD">
        <w:trPr>
          <w:cantSplit/>
          <w:trHeight w:val="432"/>
          <w:jc w:val="center"/>
        </w:trPr>
        <w:tc>
          <w:tcPr>
            <w:tcW w:w="1350" w:type="dxa"/>
            <w:vAlign w:val="center"/>
          </w:tcPr>
          <w:p w14:paraId="3008FD27" w14:textId="77777777" w:rsidR="00124AB6" w:rsidRPr="00124AB6" w:rsidRDefault="00124AB6" w:rsidP="00124AB6">
            <w:pPr>
              <w:jc w:val="center"/>
              <w:rPr>
                <w:bCs/>
                <w:szCs w:val="18"/>
              </w:rPr>
            </w:pPr>
            <w:r w:rsidRPr="00124AB6">
              <w:rPr>
                <w:bCs/>
                <w:szCs w:val="18"/>
              </w:rPr>
              <w:t>T-302</w:t>
            </w:r>
          </w:p>
        </w:tc>
        <w:tc>
          <w:tcPr>
            <w:tcW w:w="5132" w:type="dxa"/>
            <w:vAlign w:val="center"/>
          </w:tcPr>
          <w:p w14:paraId="63E490AA" w14:textId="77777777" w:rsidR="00124AB6" w:rsidRPr="00124AB6" w:rsidRDefault="00124AB6" w:rsidP="00124AB6">
            <w:pPr>
              <w:jc w:val="center"/>
              <w:rPr>
                <w:bCs/>
                <w:szCs w:val="18"/>
              </w:rPr>
            </w:pPr>
            <w:r w:rsidRPr="00124AB6">
              <w:rPr>
                <w:bCs/>
                <w:szCs w:val="18"/>
              </w:rPr>
              <w:t xml:space="preserve">Storage Tank T-302  </w:t>
            </w:r>
          </w:p>
        </w:tc>
        <w:tc>
          <w:tcPr>
            <w:tcW w:w="1981" w:type="dxa"/>
            <w:vAlign w:val="center"/>
          </w:tcPr>
          <w:p w14:paraId="528EBF3F" w14:textId="77777777" w:rsidR="00124AB6" w:rsidRPr="00124AB6" w:rsidRDefault="00124AB6" w:rsidP="00124AB6">
            <w:pPr>
              <w:jc w:val="center"/>
            </w:pPr>
            <w:r w:rsidRPr="00124AB6">
              <w:t>1995</w:t>
            </w:r>
          </w:p>
        </w:tc>
        <w:tc>
          <w:tcPr>
            <w:tcW w:w="1174" w:type="dxa"/>
            <w:vAlign w:val="center"/>
          </w:tcPr>
          <w:p w14:paraId="494BA688" w14:textId="77777777" w:rsidR="00124AB6" w:rsidRPr="00124AB6" w:rsidRDefault="00124AB6" w:rsidP="00124AB6">
            <w:pPr>
              <w:jc w:val="center"/>
              <w:rPr>
                <w:bCs/>
                <w:szCs w:val="18"/>
              </w:rPr>
            </w:pPr>
            <w:r w:rsidRPr="00124AB6">
              <w:rPr>
                <w:bCs/>
                <w:szCs w:val="18"/>
              </w:rPr>
              <w:t>None</w:t>
            </w:r>
          </w:p>
        </w:tc>
        <w:tc>
          <w:tcPr>
            <w:tcW w:w="1168" w:type="dxa"/>
            <w:vAlign w:val="center"/>
          </w:tcPr>
          <w:p w14:paraId="764096A8" w14:textId="77777777" w:rsidR="00124AB6" w:rsidRPr="00124AB6" w:rsidRDefault="00124AB6" w:rsidP="00124AB6">
            <w:pPr>
              <w:jc w:val="center"/>
              <w:rPr>
                <w:bCs/>
                <w:szCs w:val="18"/>
              </w:rPr>
            </w:pPr>
            <w:r w:rsidRPr="00124AB6">
              <w:rPr>
                <w:bCs/>
                <w:szCs w:val="18"/>
              </w:rPr>
              <w:t>T-302</w:t>
            </w:r>
          </w:p>
        </w:tc>
      </w:tr>
      <w:tr w:rsidR="00124AB6" w:rsidRPr="00124AB6" w14:paraId="60B8769B" w14:textId="77777777" w:rsidTr="004E3BFD">
        <w:trPr>
          <w:cantSplit/>
          <w:trHeight w:val="432"/>
          <w:jc w:val="center"/>
        </w:trPr>
        <w:tc>
          <w:tcPr>
            <w:tcW w:w="1350" w:type="dxa"/>
            <w:vAlign w:val="center"/>
          </w:tcPr>
          <w:p w14:paraId="1010DCD8" w14:textId="77777777" w:rsidR="00124AB6" w:rsidRPr="00124AB6" w:rsidRDefault="00124AB6" w:rsidP="00124AB6">
            <w:pPr>
              <w:jc w:val="center"/>
              <w:rPr>
                <w:bCs/>
                <w:szCs w:val="18"/>
              </w:rPr>
            </w:pPr>
            <w:r w:rsidRPr="00124AB6">
              <w:rPr>
                <w:bCs/>
                <w:szCs w:val="18"/>
              </w:rPr>
              <w:t>T-303</w:t>
            </w:r>
          </w:p>
        </w:tc>
        <w:tc>
          <w:tcPr>
            <w:tcW w:w="5132" w:type="dxa"/>
            <w:vAlign w:val="center"/>
          </w:tcPr>
          <w:p w14:paraId="71F515FE" w14:textId="77777777" w:rsidR="00124AB6" w:rsidRPr="00124AB6" w:rsidRDefault="00124AB6" w:rsidP="00124AB6">
            <w:pPr>
              <w:jc w:val="center"/>
              <w:rPr>
                <w:bCs/>
                <w:szCs w:val="18"/>
              </w:rPr>
            </w:pPr>
            <w:r w:rsidRPr="00124AB6">
              <w:rPr>
                <w:bCs/>
                <w:szCs w:val="18"/>
              </w:rPr>
              <w:t>Storage Tank T-303</w:t>
            </w:r>
          </w:p>
        </w:tc>
        <w:tc>
          <w:tcPr>
            <w:tcW w:w="1981" w:type="dxa"/>
            <w:vAlign w:val="center"/>
          </w:tcPr>
          <w:p w14:paraId="6259B512" w14:textId="77777777" w:rsidR="00124AB6" w:rsidRPr="00124AB6" w:rsidRDefault="00124AB6" w:rsidP="00124AB6">
            <w:pPr>
              <w:jc w:val="center"/>
            </w:pPr>
            <w:r w:rsidRPr="00124AB6">
              <w:t>1995</w:t>
            </w:r>
          </w:p>
        </w:tc>
        <w:tc>
          <w:tcPr>
            <w:tcW w:w="1174" w:type="dxa"/>
            <w:vAlign w:val="center"/>
          </w:tcPr>
          <w:p w14:paraId="268460DC" w14:textId="77777777" w:rsidR="00124AB6" w:rsidRPr="00124AB6" w:rsidRDefault="00124AB6" w:rsidP="00124AB6">
            <w:pPr>
              <w:jc w:val="center"/>
              <w:rPr>
                <w:bCs/>
                <w:szCs w:val="18"/>
              </w:rPr>
            </w:pPr>
            <w:r w:rsidRPr="00124AB6">
              <w:rPr>
                <w:bCs/>
                <w:szCs w:val="18"/>
              </w:rPr>
              <w:t>None</w:t>
            </w:r>
          </w:p>
        </w:tc>
        <w:tc>
          <w:tcPr>
            <w:tcW w:w="1168" w:type="dxa"/>
            <w:vAlign w:val="center"/>
          </w:tcPr>
          <w:p w14:paraId="3F84B249" w14:textId="77777777" w:rsidR="00124AB6" w:rsidRPr="00124AB6" w:rsidRDefault="00124AB6" w:rsidP="00124AB6">
            <w:pPr>
              <w:jc w:val="center"/>
              <w:rPr>
                <w:bCs/>
                <w:szCs w:val="18"/>
              </w:rPr>
            </w:pPr>
            <w:r w:rsidRPr="00124AB6">
              <w:rPr>
                <w:bCs/>
                <w:szCs w:val="18"/>
              </w:rPr>
              <w:t>T-303</w:t>
            </w:r>
          </w:p>
        </w:tc>
      </w:tr>
      <w:tr w:rsidR="00124AB6" w:rsidRPr="00124AB6" w14:paraId="092B5D98" w14:textId="77777777" w:rsidTr="004E3BFD">
        <w:trPr>
          <w:cantSplit/>
          <w:trHeight w:val="432"/>
          <w:jc w:val="center"/>
        </w:trPr>
        <w:tc>
          <w:tcPr>
            <w:tcW w:w="1350" w:type="dxa"/>
            <w:vAlign w:val="center"/>
          </w:tcPr>
          <w:p w14:paraId="1FAAFB37" w14:textId="77777777" w:rsidR="00124AB6" w:rsidRPr="00124AB6" w:rsidRDefault="00124AB6" w:rsidP="00124AB6">
            <w:pPr>
              <w:jc w:val="center"/>
              <w:rPr>
                <w:bCs/>
                <w:szCs w:val="18"/>
              </w:rPr>
            </w:pPr>
            <w:r w:rsidRPr="00124AB6">
              <w:rPr>
                <w:bCs/>
                <w:szCs w:val="18"/>
              </w:rPr>
              <w:t>T-304</w:t>
            </w:r>
          </w:p>
        </w:tc>
        <w:tc>
          <w:tcPr>
            <w:tcW w:w="5132" w:type="dxa"/>
            <w:vAlign w:val="center"/>
          </w:tcPr>
          <w:p w14:paraId="7D743DD3" w14:textId="77777777" w:rsidR="00124AB6" w:rsidRPr="00124AB6" w:rsidRDefault="00124AB6" w:rsidP="00124AB6">
            <w:pPr>
              <w:jc w:val="center"/>
              <w:rPr>
                <w:bCs/>
                <w:szCs w:val="18"/>
              </w:rPr>
            </w:pPr>
            <w:r w:rsidRPr="00124AB6">
              <w:rPr>
                <w:bCs/>
                <w:szCs w:val="18"/>
              </w:rPr>
              <w:t>Storage Tank T-304</w:t>
            </w:r>
          </w:p>
        </w:tc>
        <w:tc>
          <w:tcPr>
            <w:tcW w:w="1981" w:type="dxa"/>
            <w:vAlign w:val="center"/>
          </w:tcPr>
          <w:p w14:paraId="6F74C77A" w14:textId="77777777" w:rsidR="00124AB6" w:rsidRPr="00124AB6" w:rsidRDefault="00124AB6" w:rsidP="00124AB6">
            <w:pPr>
              <w:jc w:val="center"/>
            </w:pPr>
            <w:r w:rsidRPr="00124AB6">
              <w:t>1995</w:t>
            </w:r>
          </w:p>
        </w:tc>
        <w:tc>
          <w:tcPr>
            <w:tcW w:w="1174" w:type="dxa"/>
            <w:vAlign w:val="center"/>
          </w:tcPr>
          <w:p w14:paraId="6E158F06" w14:textId="77777777" w:rsidR="00124AB6" w:rsidRPr="00124AB6" w:rsidRDefault="00124AB6" w:rsidP="00124AB6">
            <w:pPr>
              <w:jc w:val="center"/>
              <w:rPr>
                <w:bCs/>
                <w:szCs w:val="18"/>
              </w:rPr>
            </w:pPr>
            <w:r w:rsidRPr="00124AB6">
              <w:rPr>
                <w:bCs/>
                <w:szCs w:val="18"/>
              </w:rPr>
              <w:t>None</w:t>
            </w:r>
          </w:p>
        </w:tc>
        <w:tc>
          <w:tcPr>
            <w:tcW w:w="1168" w:type="dxa"/>
            <w:vAlign w:val="center"/>
          </w:tcPr>
          <w:p w14:paraId="4C1CD530" w14:textId="77777777" w:rsidR="00124AB6" w:rsidRPr="00124AB6" w:rsidRDefault="00124AB6" w:rsidP="00124AB6">
            <w:pPr>
              <w:jc w:val="center"/>
              <w:rPr>
                <w:bCs/>
                <w:szCs w:val="18"/>
              </w:rPr>
            </w:pPr>
            <w:r w:rsidRPr="00124AB6">
              <w:rPr>
                <w:bCs/>
                <w:szCs w:val="18"/>
              </w:rPr>
              <w:t>T-304</w:t>
            </w:r>
          </w:p>
        </w:tc>
      </w:tr>
      <w:tr w:rsidR="00124AB6" w:rsidRPr="00124AB6" w14:paraId="720D0CC6" w14:textId="77777777" w:rsidTr="004E3BFD">
        <w:trPr>
          <w:cantSplit/>
          <w:trHeight w:val="432"/>
          <w:jc w:val="center"/>
        </w:trPr>
        <w:tc>
          <w:tcPr>
            <w:tcW w:w="1350" w:type="dxa"/>
            <w:vAlign w:val="center"/>
          </w:tcPr>
          <w:p w14:paraId="5FB24AD0" w14:textId="77777777" w:rsidR="00124AB6" w:rsidRPr="00124AB6" w:rsidRDefault="00124AB6" w:rsidP="00124AB6">
            <w:pPr>
              <w:jc w:val="center"/>
              <w:rPr>
                <w:bCs/>
                <w:szCs w:val="18"/>
              </w:rPr>
            </w:pPr>
            <w:r w:rsidRPr="00124AB6">
              <w:rPr>
                <w:bCs/>
                <w:szCs w:val="18"/>
              </w:rPr>
              <w:t>T-305</w:t>
            </w:r>
          </w:p>
        </w:tc>
        <w:tc>
          <w:tcPr>
            <w:tcW w:w="5132" w:type="dxa"/>
            <w:vAlign w:val="center"/>
          </w:tcPr>
          <w:p w14:paraId="55ECE90D" w14:textId="77777777" w:rsidR="00124AB6" w:rsidRPr="00124AB6" w:rsidRDefault="00124AB6" w:rsidP="00124AB6">
            <w:pPr>
              <w:jc w:val="center"/>
              <w:rPr>
                <w:bCs/>
                <w:szCs w:val="18"/>
              </w:rPr>
            </w:pPr>
            <w:r w:rsidRPr="00124AB6">
              <w:rPr>
                <w:bCs/>
                <w:szCs w:val="18"/>
              </w:rPr>
              <w:t>Storage Tank T-305</w:t>
            </w:r>
          </w:p>
        </w:tc>
        <w:tc>
          <w:tcPr>
            <w:tcW w:w="1981" w:type="dxa"/>
            <w:vAlign w:val="center"/>
          </w:tcPr>
          <w:p w14:paraId="7CB5693E" w14:textId="77777777" w:rsidR="00124AB6" w:rsidRPr="00124AB6" w:rsidRDefault="00124AB6" w:rsidP="00124AB6">
            <w:pPr>
              <w:jc w:val="center"/>
            </w:pPr>
            <w:r w:rsidRPr="00124AB6">
              <w:t>1995</w:t>
            </w:r>
          </w:p>
        </w:tc>
        <w:tc>
          <w:tcPr>
            <w:tcW w:w="1174" w:type="dxa"/>
            <w:vAlign w:val="center"/>
          </w:tcPr>
          <w:p w14:paraId="56936157" w14:textId="77777777" w:rsidR="00124AB6" w:rsidRPr="00124AB6" w:rsidRDefault="00124AB6" w:rsidP="00124AB6">
            <w:pPr>
              <w:jc w:val="center"/>
              <w:rPr>
                <w:bCs/>
                <w:szCs w:val="18"/>
              </w:rPr>
            </w:pPr>
            <w:r w:rsidRPr="00124AB6">
              <w:rPr>
                <w:bCs/>
                <w:szCs w:val="18"/>
              </w:rPr>
              <w:t>None</w:t>
            </w:r>
          </w:p>
        </w:tc>
        <w:tc>
          <w:tcPr>
            <w:tcW w:w="1168" w:type="dxa"/>
            <w:vAlign w:val="center"/>
          </w:tcPr>
          <w:p w14:paraId="6F0A1D25" w14:textId="77777777" w:rsidR="00124AB6" w:rsidRPr="00124AB6" w:rsidRDefault="00124AB6" w:rsidP="00124AB6">
            <w:pPr>
              <w:jc w:val="center"/>
              <w:rPr>
                <w:bCs/>
                <w:szCs w:val="18"/>
              </w:rPr>
            </w:pPr>
            <w:r w:rsidRPr="00124AB6">
              <w:rPr>
                <w:bCs/>
                <w:szCs w:val="18"/>
              </w:rPr>
              <w:t>T-305</w:t>
            </w:r>
          </w:p>
        </w:tc>
      </w:tr>
      <w:tr w:rsidR="00124AB6" w:rsidRPr="00124AB6" w14:paraId="3316636B" w14:textId="77777777" w:rsidTr="004E3BFD">
        <w:trPr>
          <w:cantSplit/>
          <w:trHeight w:val="432"/>
          <w:jc w:val="center"/>
        </w:trPr>
        <w:tc>
          <w:tcPr>
            <w:tcW w:w="1350" w:type="dxa"/>
            <w:vAlign w:val="center"/>
          </w:tcPr>
          <w:p w14:paraId="79AFFD57" w14:textId="77777777" w:rsidR="00124AB6" w:rsidRPr="00124AB6" w:rsidRDefault="00124AB6" w:rsidP="00124AB6">
            <w:pPr>
              <w:jc w:val="center"/>
              <w:rPr>
                <w:bCs/>
                <w:szCs w:val="18"/>
              </w:rPr>
            </w:pPr>
            <w:r w:rsidRPr="00124AB6">
              <w:rPr>
                <w:bCs/>
                <w:szCs w:val="18"/>
              </w:rPr>
              <w:t>T-306</w:t>
            </w:r>
          </w:p>
        </w:tc>
        <w:tc>
          <w:tcPr>
            <w:tcW w:w="5132" w:type="dxa"/>
            <w:vAlign w:val="center"/>
          </w:tcPr>
          <w:p w14:paraId="6F96E4B8" w14:textId="77777777" w:rsidR="00124AB6" w:rsidRPr="00124AB6" w:rsidRDefault="00124AB6" w:rsidP="00124AB6">
            <w:pPr>
              <w:jc w:val="center"/>
              <w:rPr>
                <w:bCs/>
                <w:szCs w:val="18"/>
              </w:rPr>
            </w:pPr>
            <w:r w:rsidRPr="00124AB6">
              <w:rPr>
                <w:bCs/>
                <w:szCs w:val="18"/>
              </w:rPr>
              <w:t>Storage Tank T-306</w:t>
            </w:r>
          </w:p>
        </w:tc>
        <w:tc>
          <w:tcPr>
            <w:tcW w:w="1981" w:type="dxa"/>
            <w:vAlign w:val="center"/>
          </w:tcPr>
          <w:p w14:paraId="0AD15943" w14:textId="77777777" w:rsidR="00124AB6" w:rsidRPr="00124AB6" w:rsidRDefault="00124AB6" w:rsidP="00124AB6">
            <w:pPr>
              <w:jc w:val="center"/>
            </w:pPr>
            <w:r w:rsidRPr="00124AB6">
              <w:t>1995</w:t>
            </w:r>
          </w:p>
        </w:tc>
        <w:tc>
          <w:tcPr>
            <w:tcW w:w="1174" w:type="dxa"/>
            <w:vAlign w:val="center"/>
          </w:tcPr>
          <w:p w14:paraId="1C5A20E8" w14:textId="77777777" w:rsidR="00124AB6" w:rsidRPr="00124AB6" w:rsidRDefault="00124AB6" w:rsidP="00124AB6">
            <w:pPr>
              <w:jc w:val="center"/>
              <w:rPr>
                <w:bCs/>
                <w:szCs w:val="18"/>
              </w:rPr>
            </w:pPr>
            <w:r w:rsidRPr="00124AB6">
              <w:rPr>
                <w:bCs/>
                <w:szCs w:val="18"/>
              </w:rPr>
              <w:t>None</w:t>
            </w:r>
          </w:p>
        </w:tc>
        <w:tc>
          <w:tcPr>
            <w:tcW w:w="1168" w:type="dxa"/>
            <w:vAlign w:val="center"/>
          </w:tcPr>
          <w:p w14:paraId="48AD1549" w14:textId="77777777" w:rsidR="00124AB6" w:rsidRPr="00124AB6" w:rsidRDefault="00124AB6" w:rsidP="00124AB6">
            <w:pPr>
              <w:jc w:val="center"/>
              <w:rPr>
                <w:bCs/>
                <w:szCs w:val="18"/>
              </w:rPr>
            </w:pPr>
            <w:r w:rsidRPr="00124AB6">
              <w:rPr>
                <w:bCs/>
                <w:szCs w:val="18"/>
              </w:rPr>
              <w:t>T-306</w:t>
            </w:r>
          </w:p>
        </w:tc>
      </w:tr>
      <w:tr w:rsidR="00124AB6" w:rsidRPr="00124AB6" w14:paraId="03BF0410" w14:textId="77777777" w:rsidTr="004E3BFD">
        <w:trPr>
          <w:cantSplit/>
          <w:trHeight w:val="432"/>
          <w:jc w:val="center"/>
        </w:trPr>
        <w:tc>
          <w:tcPr>
            <w:tcW w:w="1350" w:type="dxa"/>
            <w:vAlign w:val="center"/>
          </w:tcPr>
          <w:p w14:paraId="7CF0C7CD" w14:textId="77777777" w:rsidR="00124AB6" w:rsidRPr="00124AB6" w:rsidRDefault="00124AB6" w:rsidP="00124AB6">
            <w:pPr>
              <w:jc w:val="center"/>
              <w:rPr>
                <w:bCs/>
                <w:szCs w:val="18"/>
              </w:rPr>
            </w:pPr>
            <w:r w:rsidRPr="00124AB6">
              <w:rPr>
                <w:bCs/>
                <w:szCs w:val="18"/>
              </w:rPr>
              <w:t>T-307</w:t>
            </w:r>
          </w:p>
        </w:tc>
        <w:tc>
          <w:tcPr>
            <w:tcW w:w="5132" w:type="dxa"/>
            <w:vAlign w:val="center"/>
          </w:tcPr>
          <w:p w14:paraId="3C2DEBB3" w14:textId="77777777" w:rsidR="00124AB6" w:rsidRPr="00124AB6" w:rsidRDefault="00124AB6" w:rsidP="00124AB6">
            <w:pPr>
              <w:jc w:val="center"/>
              <w:rPr>
                <w:bCs/>
                <w:szCs w:val="18"/>
              </w:rPr>
            </w:pPr>
            <w:r w:rsidRPr="00124AB6">
              <w:rPr>
                <w:bCs/>
                <w:szCs w:val="18"/>
              </w:rPr>
              <w:t>Storage Tank T-307</w:t>
            </w:r>
          </w:p>
        </w:tc>
        <w:tc>
          <w:tcPr>
            <w:tcW w:w="1981" w:type="dxa"/>
            <w:vAlign w:val="center"/>
          </w:tcPr>
          <w:p w14:paraId="48B7FEFA" w14:textId="77777777" w:rsidR="00124AB6" w:rsidRPr="00124AB6" w:rsidRDefault="00124AB6" w:rsidP="00124AB6">
            <w:pPr>
              <w:jc w:val="center"/>
            </w:pPr>
            <w:r w:rsidRPr="00124AB6">
              <w:t>1995</w:t>
            </w:r>
          </w:p>
        </w:tc>
        <w:tc>
          <w:tcPr>
            <w:tcW w:w="1174" w:type="dxa"/>
            <w:vAlign w:val="center"/>
          </w:tcPr>
          <w:p w14:paraId="55BDAB90" w14:textId="77777777" w:rsidR="00124AB6" w:rsidRPr="00124AB6" w:rsidRDefault="00124AB6" w:rsidP="00124AB6">
            <w:pPr>
              <w:jc w:val="center"/>
              <w:rPr>
                <w:bCs/>
                <w:szCs w:val="18"/>
              </w:rPr>
            </w:pPr>
            <w:r w:rsidRPr="00124AB6">
              <w:rPr>
                <w:bCs/>
                <w:szCs w:val="18"/>
              </w:rPr>
              <w:t>None</w:t>
            </w:r>
          </w:p>
        </w:tc>
        <w:tc>
          <w:tcPr>
            <w:tcW w:w="1168" w:type="dxa"/>
            <w:vAlign w:val="center"/>
          </w:tcPr>
          <w:p w14:paraId="686B9EFB" w14:textId="77777777" w:rsidR="00124AB6" w:rsidRPr="00124AB6" w:rsidRDefault="00124AB6" w:rsidP="00124AB6">
            <w:pPr>
              <w:jc w:val="center"/>
              <w:rPr>
                <w:bCs/>
                <w:szCs w:val="18"/>
              </w:rPr>
            </w:pPr>
            <w:r w:rsidRPr="00124AB6">
              <w:rPr>
                <w:bCs/>
                <w:szCs w:val="18"/>
              </w:rPr>
              <w:t>T-307</w:t>
            </w:r>
          </w:p>
        </w:tc>
      </w:tr>
      <w:tr w:rsidR="00124AB6" w:rsidRPr="00124AB6" w14:paraId="36648E4E" w14:textId="77777777" w:rsidTr="004E3BFD">
        <w:trPr>
          <w:cantSplit/>
          <w:trHeight w:val="432"/>
          <w:jc w:val="center"/>
        </w:trPr>
        <w:tc>
          <w:tcPr>
            <w:tcW w:w="1350" w:type="dxa"/>
            <w:vAlign w:val="center"/>
          </w:tcPr>
          <w:p w14:paraId="520B9D79" w14:textId="77777777" w:rsidR="00124AB6" w:rsidRPr="00124AB6" w:rsidRDefault="00124AB6" w:rsidP="00124AB6">
            <w:pPr>
              <w:jc w:val="center"/>
              <w:rPr>
                <w:bCs/>
                <w:szCs w:val="18"/>
              </w:rPr>
            </w:pPr>
            <w:r w:rsidRPr="00124AB6">
              <w:rPr>
                <w:bCs/>
                <w:szCs w:val="18"/>
              </w:rPr>
              <w:t>T-308</w:t>
            </w:r>
          </w:p>
        </w:tc>
        <w:tc>
          <w:tcPr>
            <w:tcW w:w="5132" w:type="dxa"/>
            <w:vAlign w:val="center"/>
          </w:tcPr>
          <w:p w14:paraId="22A5059F" w14:textId="77777777" w:rsidR="00124AB6" w:rsidRPr="00124AB6" w:rsidRDefault="00124AB6" w:rsidP="00124AB6">
            <w:pPr>
              <w:jc w:val="center"/>
              <w:rPr>
                <w:bCs/>
                <w:szCs w:val="18"/>
              </w:rPr>
            </w:pPr>
            <w:r w:rsidRPr="00124AB6">
              <w:rPr>
                <w:bCs/>
                <w:szCs w:val="18"/>
              </w:rPr>
              <w:t>Storage Tank T-308</w:t>
            </w:r>
          </w:p>
        </w:tc>
        <w:tc>
          <w:tcPr>
            <w:tcW w:w="1981" w:type="dxa"/>
            <w:vAlign w:val="center"/>
          </w:tcPr>
          <w:p w14:paraId="2FD5765C" w14:textId="77777777" w:rsidR="00124AB6" w:rsidRPr="00124AB6" w:rsidRDefault="00124AB6" w:rsidP="00124AB6">
            <w:pPr>
              <w:jc w:val="center"/>
            </w:pPr>
            <w:r w:rsidRPr="00124AB6">
              <w:t>1995</w:t>
            </w:r>
          </w:p>
        </w:tc>
        <w:tc>
          <w:tcPr>
            <w:tcW w:w="1174" w:type="dxa"/>
            <w:vAlign w:val="center"/>
          </w:tcPr>
          <w:p w14:paraId="2B2A79D8" w14:textId="77777777" w:rsidR="00124AB6" w:rsidRPr="00124AB6" w:rsidRDefault="00124AB6" w:rsidP="00124AB6">
            <w:pPr>
              <w:jc w:val="center"/>
              <w:rPr>
                <w:bCs/>
                <w:szCs w:val="18"/>
              </w:rPr>
            </w:pPr>
            <w:r w:rsidRPr="00124AB6">
              <w:rPr>
                <w:bCs/>
                <w:szCs w:val="18"/>
              </w:rPr>
              <w:t>None</w:t>
            </w:r>
          </w:p>
        </w:tc>
        <w:tc>
          <w:tcPr>
            <w:tcW w:w="1168" w:type="dxa"/>
            <w:vAlign w:val="center"/>
          </w:tcPr>
          <w:p w14:paraId="179125D1" w14:textId="77777777" w:rsidR="00124AB6" w:rsidRPr="00124AB6" w:rsidRDefault="00124AB6" w:rsidP="00124AB6">
            <w:pPr>
              <w:jc w:val="center"/>
              <w:rPr>
                <w:bCs/>
                <w:szCs w:val="18"/>
              </w:rPr>
            </w:pPr>
            <w:r w:rsidRPr="00124AB6">
              <w:rPr>
                <w:bCs/>
                <w:szCs w:val="18"/>
              </w:rPr>
              <w:t>T-308</w:t>
            </w:r>
          </w:p>
        </w:tc>
      </w:tr>
      <w:tr w:rsidR="00124AB6" w:rsidRPr="00124AB6" w14:paraId="007B2379" w14:textId="77777777" w:rsidTr="004E3BFD">
        <w:trPr>
          <w:cantSplit/>
          <w:trHeight w:val="432"/>
          <w:jc w:val="center"/>
        </w:trPr>
        <w:tc>
          <w:tcPr>
            <w:tcW w:w="1350" w:type="dxa"/>
            <w:vAlign w:val="center"/>
          </w:tcPr>
          <w:p w14:paraId="4AB415D6" w14:textId="77777777" w:rsidR="00124AB6" w:rsidRPr="00124AB6" w:rsidRDefault="00124AB6" w:rsidP="00124AB6">
            <w:pPr>
              <w:jc w:val="center"/>
              <w:rPr>
                <w:bCs/>
                <w:szCs w:val="18"/>
              </w:rPr>
            </w:pPr>
            <w:r w:rsidRPr="00124AB6">
              <w:rPr>
                <w:bCs/>
                <w:szCs w:val="18"/>
              </w:rPr>
              <w:t>T-309</w:t>
            </w:r>
          </w:p>
        </w:tc>
        <w:tc>
          <w:tcPr>
            <w:tcW w:w="5132" w:type="dxa"/>
            <w:vAlign w:val="center"/>
          </w:tcPr>
          <w:p w14:paraId="79B681DD" w14:textId="77777777" w:rsidR="00124AB6" w:rsidRPr="00124AB6" w:rsidRDefault="00124AB6" w:rsidP="00124AB6">
            <w:pPr>
              <w:jc w:val="center"/>
              <w:rPr>
                <w:bCs/>
                <w:szCs w:val="18"/>
              </w:rPr>
            </w:pPr>
            <w:r w:rsidRPr="00124AB6">
              <w:rPr>
                <w:bCs/>
                <w:szCs w:val="18"/>
              </w:rPr>
              <w:t>Storage Tank T-309</w:t>
            </w:r>
          </w:p>
        </w:tc>
        <w:tc>
          <w:tcPr>
            <w:tcW w:w="1981" w:type="dxa"/>
            <w:vAlign w:val="center"/>
          </w:tcPr>
          <w:p w14:paraId="69A0F44B" w14:textId="77777777" w:rsidR="00124AB6" w:rsidRPr="00124AB6" w:rsidRDefault="00124AB6" w:rsidP="00124AB6">
            <w:pPr>
              <w:jc w:val="center"/>
            </w:pPr>
            <w:r w:rsidRPr="00124AB6">
              <w:t>1995</w:t>
            </w:r>
          </w:p>
        </w:tc>
        <w:tc>
          <w:tcPr>
            <w:tcW w:w="1174" w:type="dxa"/>
            <w:vAlign w:val="center"/>
          </w:tcPr>
          <w:p w14:paraId="5EC8C892" w14:textId="77777777" w:rsidR="00124AB6" w:rsidRPr="00124AB6" w:rsidRDefault="00124AB6" w:rsidP="00124AB6">
            <w:pPr>
              <w:jc w:val="center"/>
              <w:rPr>
                <w:bCs/>
                <w:szCs w:val="18"/>
              </w:rPr>
            </w:pPr>
            <w:r w:rsidRPr="00124AB6">
              <w:rPr>
                <w:bCs/>
                <w:szCs w:val="18"/>
              </w:rPr>
              <w:t>None</w:t>
            </w:r>
          </w:p>
        </w:tc>
        <w:tc>
          <w:tcPr>
            <w:tcW w:w="1168" w:type="dxa"/>
            <w:vAlign w:val="center"/>
          </w:tcPr>
          <w:p w14:paraId="57C37562" w14:textId="77777777" w:rsidR="00124AB6" w:rsidRPr="00124AB6" w:rsidRDefault="00124AB6" w:rsidP="00124AB6">
            <w:pPr>
              <w:jc w:val="center"/>
              <w:rPr>
                <w:bCs/>
                <w:szCs w:val="18"/>
              </w:rPr>
            </w:pPr>
            <w:r w:rsidRPr="00124AB6">
              <w:rPr>
                <w:bCs/>
                <w:szCs w:val="18"/>
              </w:rPr>
              <w:t>T-309</w:t>
            </w:r>
          </w:p>
        </w:tc>
      </w:tr>
      <w:tr w:rsidR="00124AB6" w:rsidRPr="00124AB6" w14:paraId="2F7FDCF1" w14:textId="77777777" w:rsidTr="004E3BFD">
        <w:trPr>
          <w:cantSplit/>
          <w:trHeight w:val="432"/>
          <w:jc w:val="center"/>
        </w:trPr>
        <w:tc>
          <w:tcPr>
            <w:tcW w:w="1350" w:type="dxa"/>
            <w:vAlign w:val="center"/>
          </w:tcPr>
          <w:p w14:paraId="0F0C7788" w14:textId="77777777" w:rsidR="00124AB6" w:rsidRPr="00124AB6" w:rsidRDefault="00124AB6" w:rsidP="00124AB6">
            <w:pPr>
              <w:jc w:val="center"/>
              <w:rPr>
                <w:bCs/>
                <w:szCs w:val="18"/>
              </w:rPr>
            </w:pPr>
            <w:r w:rsidRPr="00124AB6">
              <w:rPr>
                <w:bCs/>
                <w:szCs w:val="18"/>
              </w:rPr>
              <w:t>T-310</w:t>
            </w:r>
          </w:p>
        </w:tc>
        <w:tc>
          <w:tcPr>
            <w:tcW w:w="5132" w:type="dxa"/>
            <w:vAlign w:val="center"/>
          </w:tcPr>
          <w:p w14:paraId="6C525414" w14:textId="77777777" w:rsidR="00124AB6" w:rsidRPr="00124AB6" w:rsidRDefault="00124AB6" w:rsidP="00124AB6">
            <w:pPr>
              <w:jc w:val="center"/>
              <w:rPr>
                <w:bCs/>
                <w:szCs w:val="18"/>
              </w:rPr>
            </w:pPr>
            <w:r w:rsidRPr="00124AB6">
              <w:rPr>
                <w:bCs/>
                <w:szCs w:val="18"/>
              </w:rPr>
              <w:t>Storage Tank T-310</w:t>
            </w:r>
          </w:p>
        </w:tc>
        <w:tc>
          <w:tcPr>
            <w:tcW w:w="1981" w:type="dxa"/>
            <w:vAlign w:val="center"/>
          </w:tcPr>
          <w:p w14:paraId="2D706709" w14:textId="77777777" w:rsidR="00124AB6" w:rsidRPr="00124AB6" w:rsidRDefault="00124AB6" w:rsidP="00124AB6">
            <w:pPr>
              <w:jc w:val="center"/>
            </w:pPr>
            <w:r w:rsidRPr="00124AB6">
              <w:t>1995</w:t>
            </w:r>
          </w:p>
        </w:tc>
        <w:tc>
          <w:tcPr>
            <w:tcW w:w="1174" w:type="dxa"/>
            <w:vAlign w:val="center"/>
          </w:tcPr>
          <w:p w14:paraId="4C2D8562" w14:textId="77777777" w:rsidR="00124AB6" w:rsidRPr="00124AB6" w:rsidRDefault="00124AB6" w:rsidP="00124AB6">
            <w:pPr>
              <w:jc w:val="center"/>
              <w:rPr>
                <w:bCs/>
                <w:szCs w:val="18"/>
              </w:rPr>
            </w:pPr>
            <w:r w:rsidRPr="00124AB6">
              <w:rPr>
                <w:bCs/>
                <w:szCs w:val="18"/>
              </w:rPr>
              <w:t>None</w:t>
            </w:r>
          </w:p>
        </w:tc>
        <w:tc>
          <w:tcPr>
            <w:tcW w:w="1168" w:type="dxa"/>
            <w:vAlign w:val="center"/>
          </w:tcPr>
          <w:p w14:paraId="0962D486" w14:textId="77777777" w:rsidR="00124AB6" w:rsidRPr="00124AB6" w:rsidRDefault="00124AB6" w:rsidP="00124AB6">
            <w:pPr>
              <w:jc w:val="center"/>
              <w:rPr>
                <w:bCs/>
                <w:szCs w:val="18"/>
              </w:rPr>
            </w:pPr>
            <w:r w:rsidRPr="00124AB6">
              <w:rPr>
                <w:bCs/>
                <w:szCs w:val="18"/>
              </w:rPr>
              <w:t>T-310</w:t>
            </w:r>
          </w:p>
        </w:tc>
      </w:tr>
      <w:tr w:rsidR="00124AB6" w:rsidRPr="00124AB6" w14:paraId="481E9AE6" w14:textId="77777777" w:rsidTr="004E3BFD">
        <w:trPr>
          <w:cantSplit/>
          <w:trHeight w:val="432"/>
          <w:jc w:val="center"/>
        </w:trPr>
        <w:tc>
          <w:tcPr>
            <w:tcW w:w="1350" w:type="dxa"/>
            <w:vAlign w:val="center"/>
          </w:tcPr>
          <w:p w14:paraId="574BCF3C" w14:textId="77777777" w:rsidR="00124AB6" w:rsidRPr="00124AB6" w:rsidRDefault="00124AB6" w:rsidP="00124AB6">
            <w:pPr>
              <w:jc w:val="center"/>
              <w:rPr>
                <w:bCs/>
                <w:szCs w:val="18"/>
              </w:rPr>
            </w:pPr>
            <w:r w:rsidRPr="00124AB6">
              <w:rPr>
                <w:bCs/>
                <w:szCs w:val="18"/>
              </w:rPr>
              <w:t>T-311</w:t>
            </w:r>
          </w:p>
        </w:tc>
        <w:tc>
          <w:tcPr>
            <w:tcW w:w="5132" w:type="dxa"/>
            <w:vAlign w:val="center"/>
          </w:tcPr>
          <w:p w14:paraId="125A07CB" w14:textId="77777777" w:rsidR="00124AB6" w:rsidRPr="00124AB6" w:rsidRDefault="00124AB6" w:rsidP="00124AB6">
            <w:pPr>
              <w:jc w:val="center"/>
              <w:rPr>
                <w:bCs/>
                <w:szCs w:val="18"/>
              </w:rPr>
            </w:pPr>
            <w:r w:rsidRPr="00124AB6">
              <w:rPr>
                <w:bCs/>
                <w:szCs w:val="18"/>
              </w:rPr>
              <w:t>Storage Tank T-311</w:t>
            </w:r>
          </w:p>
        </w:tc>
        <w:tc>
          <w:tcPr>
            <w:tcW w:w="1981" w:type="dxa"/>
            <w:vAlign w:val="center"/>
          </w:tcPr>
          <w:p w14:paraId="22E9A5CE" w14:textId="77777777" w:rsidR="00124AB6" w:rsidRPr="00124AB6" w:rsidRDefault="00124AB6" w:rsidP="00124AB6">
            <w:pPr>
              <w:jc w:val="center"/>
            </w:pPr>
            <w:r w:rsidRPr="00124AB6">
              <w:t>1995</w:t>
            </w:r>
          </w:p>
        </w:tc>
        <w:tc>
          <w:tcPr>
            <w:tcW w:w="1174" w:type="dxa"/>
            <w:vAlign w:val="center"/>
          </w:tcPr>
          <w:p w14:paraId="788A8602" w14:textId="77777777" w:rsidR="00124AB6" w:rsidRPr="00124AB6" w:rsidRDefault="00124AB6" w:rsidP="00124AB6">
            <w:pPr>
              <w:jc w:val="center"/>
              <w:rPr>
                <w:bCs/>
                <w:szCs w:val="18"/>
              </w:rPr>
            </w:pPr>
            <w:r w:rsidRPr="00124AB6">
              <w:rPr>
                <w:bCs/>
                <w:szCs w:val="18"/>
              </w:rPr>
              <w:t>None</w:t>
            </w:r>
          </w:p>
        </w:tc>
        <w:tc>
          <w:tcPr>
            <w:tcW w:w="1168" w:type="dxa"/>
            <w:vAlign w:val="center"/>
          </w:tcPr>
          <w:p w14:paraId="7543E113" w14:textId="77777777" w:rsidR="00124AB6" w:rsidRPr="00124AB6" w:rsidRDefault="00124AB6" w:rsidP="00124AB6">
            <w:pPr>
              <w:jc w:val="center"/>
              <w:rPr>
                <w:bCs/>
                <w:szCs w:val="18"/>
              </w:rPr>
            </w:pPr>
            <w:r w:rsidRPr="00124AB6">
              <w:rPr>
                <w:bCs/>
                <w:szCs w:val="18"/>
              </w:rPr>
              <w:t>T-311</w:t>
            </w:r>
          </w:p>
        </w:tc>
      </w:tr>
      <w:tr w:rsidR="00124AB6" w:rsidRPr="00124AB6" w14:paraId="1E62EDAD" w14:textId="77777777" w:rsidTr="004E3BFD">
        <w:trPr>
          <w:cantSplit/>
          <w:trHeight w:val="432"/>
          <w:jc w:val="center"/>
        </w:trPr>
        <w:tc>
          <w:tcPr>
            <w:tcW w:w="1350" w:type="dxa"/>
            <w:vAlign w:val="center"/>
          </w:tcPr>
          <w:p w14:paraId="59295347" w14:textId="77777777" w:rsidR="00124AB6" w:rsidRPr="00124AB6" w:rsidRDefault="00124AB6" w:rsidP="00124AB6">
            <w:pPr>
              <w:jc w:val="center"/>
              <w:rPr>
                <w:bCs/>
                <w:szCs w:val="18"/>
              </w:rPr>
            </w:pPr>
            <w:r w:rsidRPr="00124AB6">
              <w:rPr>
                <w:bCs/>
                <w:szCs w:val="18"/>
              </w:rPr>
              <w:t>T-312</w:t>
            </w:r>
          </w:p>
        </w:tc>
        <w:tc>
          <w:tcPr>
            <w:tcW w:w="5132" w:type="dxa"/>
            <w:vAlign w:val="center"/>
          </w:tcPr>
          <w:p w14:paraId="216CAFF3" w14:textId="77777777" w:rsidR="00124AB6" w:rsidRPr="00124AB6" w:rsidRDefault="00124AB6" w:rsidP="00124AB6">
            <w:pPr>
              <w:jc w:val="center"/>
              <w:rPr>
                <w:bCs/>
                <w:szCs w:val="18"/>
              </w:rPr>
            </w:pPr>
            <w:r w:rsidRPr="00124AB6">
              <w:rPr>
                <w:bCs/>
                <w:szCs w:val="18"/>
              </w:rPr>
              <w:t>Storage Tank T-312</w:t>
            </w:r>
          </w:p>
        </w:tc>
        <w:tc>
          <w:tcPr>
            <w:tcW w:w="1981" w:type="dxa"/>
            <w:vAlign w:val="center"/>
          </w:tcPr>
          <w:p w14:paraId="61A6B8FE" w14:textId="77777777" w:rsidR="00124AB6" w:rsidRPr="00124AB6" w:rsidRDefault="00124AB6" w:rsidP="00124AB6">
            <w:pPr>
              <w:jc w:val="center"/>
            </w:pPr>
            <w:r w:rsidRPr="00124AB6">
              <w:t>2007</w:t>
            </w:r>
          </w:p>
        </w:tc>
        <w:tc>
          <w:tcPr>
            <w:tcW w:w="1174" w:type="dxa"/>
            <w:vAlign w:val="center"/>
          </w:tcPr>
          <w:p w14:paraId="5413DF8F" w14:textId="77777777" w:rsidR="00124AB6" w:rsidRPr="00124AB6" w:rsidRDefault="00124AB6" w:rsidP="00124AB6">
            <w:pPr>
              <w:jc w:val="center"/>
              <w:rPr>
                <w:bCs/>
                <w:szCs w:val="18"/>
              </w:rPr>
            </w:pPr>
            <w:r w:rsidRPr="00124AB6">
              <w:rPr>
                <w:bCs/>
                <w:szCs w:val="18"/>
              </w:rPr>
              <w:t>None</w:t>
            </w:r>
          </w:p>
        </w:tc>
        <w:tc>
          <w:tcPr>
            <w:tcW w:w="1168" w:type="dxa"/>
            <w:vAlign w:val="center"/>
          </w:tcPr>
          <w:p w14:paraId="19745162" w14:textId="77777777" w:rsidR="00124AB6" w:rsidRPr="00124AB6" w:rsidRDefault="00124AB6" w:rsidP="00124AB6">
            <w:pPr>
              <w:jc w:val="center"/>
              <w:rPr>
                <w:bCs/>
                <w:szCs w:val="18"/>
              </w:rPr>
            </w:pPr>
            <w:r w:rsidRPr="00124AB6">
              <w:rPr>
                <w:bCs/>
                <w:szCs w:val="18"/>
              </w:rPr>
              <w:t>T-312</w:t>
            </w:r>
          </w:p>
        </w:tc>
      </w:tr>
      <w:tr w:rsidR="00124AB6" w:rsidRPr="00124AB6" w14:paraId="4E388119" w14:textId="77777777" w:rsidTr="004E3BFD">
        <w:trPr>
          <w:cantSplit/>
          <w:trHeight w:val="432"/>
          <w:jc w:val="center"/>
        </w:trPr>
        <w:tc>
          <w:tcPr>
            <w:tcW w:w="1350" w:type="dxa"/>
            <w:vAlign w:val="center"/>
          </w:tcPr>
          <w:p w14:paraId="5444CDDA" w14:textId="77777777" w:rsidR="00124AB6" w:rsidRPr="00124AB6" w:rsidRDefault="00124AB6" w:rsidP="00124AB6">
            <w:pPr>
              <w:jc w:val="center"/>
              <w:rPr>
                <w:bCs/>
                <w:szCs w:val="18"/>
              </w:rPr>
            </w:pPr>
            <w:r w:rsidRPr="00124AB6">
              <w:rPr>
                <w:bCs/>
                <w:szCs w:val="18"/>
              </w:rPr>
              <w:t>T-313</w:t>
            </w:r>
          </w:p>
        </w:tc>
        <w:tc>
          <w:tcPr>
            <w:tcW w:w="5132" w:type="dxa"/>
            <w:vAlign w:val="center"/>
          </w:tcPr>
          <w:p w14:paraId="6E9A1363" w14:textId="77777777" w:rsidR="00124AB6" w:rsidRPr="00124AB6" w:rsidRDefault="00124AB6" w:rsidP="00124AB6">
            <w:pPr>
              <w:jc w:val="center"/>
              <w:rPr>
                <w:bCs/>
                <w:szCs w:val="18"/>
              </w:rPr>
            </w:pPr>
            <w:r w:rsidRPr="00124AB6">
              <w:rPr>
                <w:bCs/>
                <w:szCs w:val="18"/>
              </w:rPr>
              <w:t>Storage Tank T-313</w:t>
            </w:r>
          </w:p>
        </w:tc>
        <w:tc>
          <w:tcPr>
            <w:tcW w:w="1981" w:type="dxa"/>
            <w:vAlign w:val="center"/>
          </w:tcPr>
          <w:p w14:paraId="27E6AC16" w14:textId="77777777" w:rsidR="00124AB6" w:rsidRPr="00124AB6" w:rsidRDefault="00124AB6" w:rsidP="00124AB6">
            <w:pPr>
              <w:jc w:val="center"/>
            </w:pPr>
            <w:r w:rsidRPr="00124AB6">
              <w:t>1995</w:t>
            </w:r>
          </w:p>
        </w:tc>
        <w:tc>
          <w:tcPr>
            <w:tcW w:w="1174" w:type="dxa"/>
            <w:vAlign w:val="center"/>
          </w:tcPr>
          <w:p w14:paraId="576489DA" w14:textId="77777777" w:rsidR="00124AB6" w:rsidRPr="00124AB6" w:rsidRDefault="00124AB6" w:rsidP="00124AB6">
            <w:pPr>
              <w:jc w:val="center"/>
              <w:rPr>
                <w:bCs/>
                <w:szCs w:val="18"/>
              </w:rPr>
            </w:pPr>
            <w:r w:rsidRPr="00124AB6">
              <w:rPr>
                <w:bCs/>
                <w:szCs w:val="18"/>
              </w:rPr>
              <w:t>None</w:t>
            </w:r>
          </w:p>
        </w:tc>
        <w:tc>
          <w:tcPr>
            <w:tcW w:w="1168" w:type="dxa"/>
            <w:vAlign w:val="center"/>
          </w:tcPr>
          <w:p w14:paraId="4709636F" w14:textId="77777777" w:rsidR="00124AB6" w:rsidRPr="00124AB6" w:rsidRDefault="00124AB6" w:rsidP="00124AB6">
            <w:pPr>
              <w:jc w:val="center"/>
              <w:rPr>
                <w:bCs/>
                <w:szCs w:val="18"/>
              </w:rPr>
            </w:pPr>
            <w:r w:rsidRPr="00124AB6">
              <w:rPr>
                <w:bCs/>
                <w:szCs w:val="18"/>
              </w:rPr>
              <w:t>T-313</w:t>
            </w:r>
          </w:p>
        </w:tc>
      </w:tr>
      <w:tr w:rsidR="00124AB6" w:rsidRPr="00124AB6" w14:paraId="66CE0413" w14:textId="77777777" w:rsidTr="004E3BFD">
        <w:trPr>
          <w:cantSplit/>
          <w:trHeight w:val="432"/>
          <w:jc w:val="center"/>
        </w:trPr>
        <w:tc>
          <w:tcPr>
            <w:tcW w:w="1350" w:type="dxa"/>
            <w:vAlign w:val="center"/>
          </w:tcPr>
          <w:p w14:paraId="68BD8BDF" w14:textId="77777777" w:rsidR="00124AB6" w:rsidRPr="00124AB6" w:rsidRDefault="00124AB6" w:rsidP="00124AB6">
            <w:pPr>
              <w:jc w:val="center"/>
              <w:rPr>
                <w:bCs/>
                <w:szCs w:val="18"/>
              </w:rPr>
            </w:pPr>
            <w:r w:rsidRPr="00124AB6">
              <w:rPr>
                <w:bCs/>
                <w:szCs w:val="18"/>
              </w:rPr>
              <w:t>T-314</w:t>
            </w:r>
          </w:p>
        </w:tc>
        <w:tc>
          <w:tcPr>
            <w:tcW w:w="5132" w:type="dxa"/>
            <w:vAlign w:val="center"/>
          </w:tcPr>
          <w:p w14:paraId="4AABEA83" w14:textId="77777777" w:rsidR="00124AB6" w:rsidRPr="00124AB6" w:rsidRDefault="00124AB6" w:rsidP="00124AB6">
            <w:pPr>
              <w:jc w:val="center"/>
              <w:rPr>
                <w:bCs/>
                <w:szCs w:val="18"/>
              </w:rPr>
            </w:pPr>
            <w:r w:rsidRPr="00124AB6">
              <w:rPr>
                <w:bCs/>
                <w:szCs w:val="18"/>
              </w:rPr>
              <w:t>Storage Tank T-314</w:t>
            </w:r>
          </w:p>
        </w:tc>
        <w:tc>
          <w:tcPr>
            <w:tcW w:w="1981" w:type="dxa"/>
            <w:vAlign w:val="center"/>
          </w:tcPr>
          <w:p w14:paraId="40509123" w14:textId="77777777" w:rsidR="00124AB6" w:rsidRPr="00124AB6" w:rsidRDefault="00124AB6" w:rsidP="00124AB6">
            <w:pPr>
              <w:jc w:val="center"/>
            </w:pPr>
            <w:r w:rsidRPr="00124AB6">
              <w:t>1995</w:t>
            </w:r>
          </w:p>
        </w:tc>
        <w:tc>
          <w:tcPr>
            <w:tcW w:w="1174" w:type="dxa"/>
            <w:vAlign w:val="center"/>
          </w:tcPr>
          <w:p w14:paraId="6DDCB49E" w14:textId="77777777" w:rsidR="00124AB6" w:rsidRPr="00124AB6" w:rsidRDefault="00124AB6" w:rsidP="00124AB6">
            <w:pPr>
              <w:jc w:val="center"/>
              <w:rPr>
                <w:bCs/>
                <w:szCs w:val="18"/>
              </w:rPr>
            </w:pPr>
            <w:r w:rsidRPr="00124AB6">
              <w:rPr>
                <w:bCs/>
                <w:szCs w:val="18"/>
              </w:rPr>
              <w:t>None</w:t>
            </w:r>
          </w:p>
        </w:tc>
        <w:tc>
          <w:tcPr>
            <w:tcW w:w="1168" w:type="dxa"/>
            <w:vAlign w:val="center"/>
          </w:tcPr>
          <w:p w14:paraId="470A077C" w14:textId="77777777" w:rsidR="00124AB6" w:rsidRPr="00124AB6" w:rsidRDefault="00124AB6" w:rsidP="00124AB6">
            <w:pPr>
              <w:jc w:val="center"/>
              <w:rPr>
                <w:bCs/>
                <w:szCs w:val="18"/>
              </w:rPr>
            </w:pPr>
            <w:r w:rsidRPr="00124AB6">
              <w:rPr>
                <w:bCs/>
                <w:szCs w:val="18"/>
              </w:rPr>
              <w:t>T-314</w:t>
            </w:r>
          </w:p>
        </w:tc>
      </w:tr>
      <w:tr w:rsidR="00124AB6" w:rsidRPr="00124AB6" w14:paraId="2AEDF46C" w14:textId="77777777" w:rsidTr="004E3BFD">
        <w:trPr>
          <w:cantSplit/>
          <w:trHeight w:val="432"/>
          <w:jc w:val="center"/>
        </w:trPr>
        <w:tc>
          <w:tcPr>
            <w:tcW w:w="1350" w:type="dxa"/>
            <w:vAlign w:val="center"/>
          </w:tcPr>
          <w:p w14:paraId="087F398D" w14:textId="77777777" w:rsidR="00124AB6" w:rsidRPr="00124AB6" w:rsidRDefault="00124AB6" w:rsidP="00124AB6">
            <w:pPr>
              <w:jc w:val="center"/>
              <w:rPr>
                <w:bCs/>
                <w:szCs w:val="18"/>
              </w:rPr>
            </w:pPr>
            <w:r w:rsidRPr="00124AB6">
              <w:rPr>
                <w:bCs/>
                <w:szCs w:val="18"/>
              </w:rPr>
              <w:t>T-315</w:t>
            </w:r>
          </w:p>
        </w:tc>
        <w:tc>
          <w:tcPr>
            <w:tcW w:w="5132" w:type="dxa"/>
            <w:vAlign w:val="center"/>
          </w:tcPr>
          <w:p w14:paraId="13CF983D" w14:textId="77777777" w:rsidR="00124AB6" w:rsidRPr="00124AB6" w:rsidRDefault="00124AB6" w:rsidP="00124AB6">
            <w:pPr>
              <w:jc w:val="center"/>
              <w:rPr>
                <w:bCs/>
                <w:szCs w:val="18"/>
              </w:rPr>
            </w:pPr>
            <w:r w:rsidRPr="00124AB6">
              <w:rPr>
                <w:bCs/>
                <w:szCs w:val="18"/>
              </w:rPr>
              <w:t>Storage Tank T-315</w:t>
            </w:r>
          </w:p>
        </w:tc>
        <w:tc>
          <w:tcPr>
            <w:tcW w:w="1981" w:type="dxa"/>
            <w:vAlign w:val="center"/>
          </w:tcPr>
          <w:p w14:paraId="1E10109D" w14:textId="77777777" w:rsidR="00124AB6" w:rsidRPr="00124AB6" w:rsidRDefault="00124AB6" w:rsidP="00124AB6">
            <w:pPr>
              <w:jc w:val="center"/>
            </w:pPr>
            <w:r w:rsidRPr="00124AB6">
              <w:t>1995</w:t>
            </w:r>
          </w:p>
        </w:tc>
        <w:tc>
          <w:tcPr>
            <w:tcW w:w="1174" w:type="dxa"/>
            <w:vAlign w:val="center"/>
          </w:tcPr>
          <w:p w14:paraId="695A1034" w14:textId="77777777" w:rsidR="00124AB6" w:rsidRPr="00124AB6" w:rsidRDefault="00124AB6" w:rsidP="00124AB6">
            <w:pPr>
              <w:jc w:val="center"/>
              <w:rPr>
                <w:bCs/>
                <w:szCs w:val="18"/>
              </w:rPr>
            </w:pPr>
            <w:r w:rsidRPr="00124AB6">
              <w:rPr>
                <w:bCs/>
                <w:szCs w:val="18"/>
              </w:rPr>
              <w:t>None</w:t>
            </w:r>
          </w:p>
        </w:tc>
        <w:tc>
          <w:tcPr>
            <w:tcW w:w="1168" w:type="dxa"/>
            <w:vAlign w:val="center"/>
          </w:tcPr>
          <w:p w14:paraId="3F2C8B6F" w14:textId="77777777" w:rsidR="00124AB6" w:rsidRPr="00124AB6" w:rsidRDefault="00124AB6" w:rsidP="00124AB6">
            <w:pPr>
              <w:jc w:val="center"/>
              <w:rPr>
                <w:bCs/>
                <w:szCs w:val="18"/>
              </w:rPr>
            </w:pPr>
            <w:r w:rsidRPr="00124AB6">
              <w:rPr>
                <w:bCs/>
                <w:szCs w:val="18"/>
              </w:rPr>
              <w:t>T-315</w:t>
            </w:r>
          </w:p>
        </w:tc>
      </w:tr>
      <w:tr w:rsidR="00124AB6" w:rsidRPr="00124AB6" w14:paraId="68AC0151" w14:textId="77777777" w:rsidTr="004E3BFD">
        <w:trPr>
          <w:cantSplit/>
          <w:trHeight w:val="432"/>
          <w:jc w:val="center"/>
        </w:trPr>
        <w:tc>
          <w:tcPr>
            <w:tcW w:w="1350" w:type="dxa"/>
            <w:vAlign w:val="center"/>
          </w:tcPr>
          <w:p w14:paraId="05C69793" w14:textId="77777777" w:rsidR="00124AB6" w:rsidRPr="00124AB6" w:rsidRDefault="00124AB6" w:rsidP="00124AB6">
            <w:pPr>
              <w:jc w:val="center"/>
              <w:rPr>
                <w:bCs/>
                <w:szCs w:val="18"/>
              </w:rPr>
            </w:pPr>
            <w:r w:rsidRPr="00124AB6">
              <w:rPr>
                <w:bCs/>
                <w:szCs w:val="18"/>
              </w:rPr>
              <w:t>T-701</w:t>
            </w:r>
          </w:p>
        </w:tc>
        <w:tc>
          <w:tcPr>
            <w:tcW w:w="5132" w:type="dxa"/>
            <w:vAlign w:val="center"/>
          </w:tcPr>
          <w:p w14:paraId="2EB188B1" w14:textId="77777777" w:rsidR="00124AB6" w:rsidRPr="00124AB6" w:rsidRDefault="00124AB6" w:rsidP="00124AB6">
            <w:pPr>
              <w:jc w:val="center"/>
              <w:rPr>
                <w:bCs/>
                <w:szCs w:val="18"/>
              </w:rPr>
            </w:pPr>
            <w:r w:rsidRPr="00124AB6">
              <w:rPr>
                <w:bCs/>
                <w:szCs w:val="18"/>
              </w:rPr>
              <w:t>Storage Tank T-701</w:t>
            </w:r>
          </w:p>
        </w:tc>
        <w:tc>
          <w:tcPr>
            <w:tcW w:w="1981" w:type="dxa"/>
            <w:vAlign w:val="center"/>
          </w:tcPr>
          <w:p w14:paraId="6BD5C12B" w14:textId="77777777" w:rsidR="00124AB6" w:rsidRPr="00124AB6" w:rsidRDefault="00124AB6" w:rsidP="00124AB6">
            <w:pPr>
              <w:jc w:val="center"/>
            </w:pPr>
            <w:r w:rsidRPr="00124AB6">
              <w:t>1984</w:t>
            </w:r>
          </w:p>
        </w:tc>
        <w:tc>
          <w:tcPr>
            <w:tcW w:w="1174" w:type="dxa"/>
            <w:vAlign w:val="center"/>
          </w:tcPr>
          <w:p w14:paraId="02608AC8" w14:textId="77777777" w:rsidR="00124AB6" w:rsidRPr="00124AB6" w:rsidRDefault="00124AB6" w:rsidP="00124AB6">
            <w:pPr>
              <w:jc w:val="center"/>
              <w:rPr>
                <w:bCs/>
                <w:szCs w:val="18"/>
              </w:rPr>
            </w:pPr>
            <w:r w:rsidRPr="00124AB6">
              <w:rPr>
                <w:bCs/>
                <w:szCs w:val="18"/>
              </w:rPr>
              <w:t>None</w:t>
            </w:r>
          </w:p>
        </w:tc>
        <w:tc>
          <w:tcPr>
            <w:tcW w:w="1168" w:type="dxa"/>
            <w:vAlign w:val="center"/>
          </w:tcPr>
          <w:p w14:paraId="4CB8CD62" w14:textId="77777777" w:rsidR="00124AB6" w:rsidRPr="00124AB6" w:rsidRDefault="00124AB6" w:rsidP="00124AB6">
            <w:pPr>
              <w:jc w:val="center"/>
              <w:rPr>
                <w:bCs/>
                <w:szCs w:val="18"/>
              </w:rPr>
            </w:pPr>
            <w:r w:rsidRPr="00124AB6">
              <w:rPr>
                <w:bCs/>
                <w:szCs w:val="18"/>
              </w:rPr>
              <w:t>T-701</w:t>
            </w:r>
          </w:p>
        </w:tc>
      </w:tr>
      <w:tr w:rsidR="00124AB6" w:rsidRPr="00124AB6" w14:paraId="13BB0F65" w14:textId="77777777" w:rsidTr="004E3BFD">
        <w:trPr>
          <w:cantSplit/>
          <w:trHeight w:val="432"/>
          <w:jc w:val="center"/>
        </w:trPr>
        <w:tc>
          <w:tcPr>
            <w:tcW w:w="1350" w:type="dxa"/>
            <w:vAlign w:val="center"/>
          </w:tcPr>
          <w:p w14:paraId="29BB73AB" w14:textId="77777777" w:rsidR="00124AB6" w:rsidRPr="00124AB6" w:rsidRDefault="00124AB6" w:rsidP="00124AB6">
            <w:pPr>
              <w:jc w:val="center"/>
              <w:rPr>
                <w:bCs/>
                <w:szCs w:val="18"/>
              </w:rPr>
            </w:pPr>
            <w:r w:rsidRPr="00124AB6">
              <w:rPr>
                <w:bCs/>
                <w:szCs w:val="18"/>
              </w:rPr>
              <w:t>T-702</w:t>
            </w:r>
          </w:p>
        </w:tc>
        <w:tc>
          <w:tcPr>
            <w:tcW w:w="5132" w:type="dxa"/>
            <w:vAlign w:val="center"/>
          </w:tcPr>
          <w:p w14:paraId="17512889" w14:textId="77777777" w:rsidR="00124AB6" w:rsidRPr="00124AB6" w:rsidRDefault="00124AB6" w:rsidP="00124AB6">
            <w:pPr>
              <w:jc w:val="center"/>
              <w:rPr>
                <w:bCs/>
                <w:szCs w:val="18"/>
              </w:rPr>
            </w:pPr>
            <w:r w:rsidRPr="00124AB6">
              <w:rPr>
                <w:bCs/>
                <w:szCs w:val="18"/>
              </w:rPr>
              <w:t>Storage Tank T-702</w:t>
            </w:r>
          </w:p>
        </w:tc>
        <w:tc>
          <w:tcPr>
            <w:tcW w:w="1981" w:type="dxa"/>
            <w:vAlign w:val="center"/>
          </w:tcPr>
          <w:p w14:paraId="1F8CD934" w14:textId="77777777" w:rsidR="00124AB6" w:rsidRPr="00124AB6" w:rsidRDefault="00124AB6" w:rsidP="00124AB6">
            <w:pPr>
              <w:jc w:val="center"/>
            </w:pPr>
            <w:r w:rsidRPr="00124AB6">
              <w:t>1984</w:t>
            </w:r>
          </w:p>
        </w:tc>
        <w:tc>
          <w:tcPr>
            <w:tcW w:w="1174" w:type="dxa"/>
            <w:vAlign w:val="center"/>
          </w:tcPr>
          <w:p w14:paraId="797553AA" w14:textId="77777777" w:rsidR="00124AB6" w:rsidRPr="00124AB6" w:rsidRDefault="00124AB6" w:rsidP="00124AB6">
            <w:pPr>
              <w:jc w:val="center"/>
              <w:rPr>
                <w:bCs/>
                <w:szCs w:val="18"/>
              </w:rPr>
            </w:pPr>
            <w:r w:rsidRPr="00124AB6">
              <w:rPr>
                <w:bCs/>
                <w:szCs w:val="18"/>
              </w:rPr>
              <w:t>None</w:t>
            </w:r>
          </w:p>
        </w:tc>
        <w:tc>
          <w:tcPr>
            <w:tcW w:w="1168" w:type="dxa"/>
            <w:vAlign w:val="center"/>
          </w:tcPr>
          <w:p w14:paraId="25178E4E" w14:textId="77777777" w:rsidR="00124AB6" w:rsidRPr="00124AB6" w:rsidRDefault="00124AB6" w:rsidP="00124AB6">
            <w:pPr>
              <w:jc w:val="center"/>
              <w:rPr>
                <w:bCs/>
                <w:szCs w:val="18"/>
              </w:rPr>
            </w:pPr>
            <w:r w:rsidRPr="00124AB6">
              <w:rPr>
                <w:bCs/>
                <w:szCs w:val="18"/>
              </w:rPr>
              <w:t>T-702</w:t>
            </w:r>
          </w:p>
        </w:tc>
      </w:tr>
      <w:tr w:rsidR="00124AB6" w:rsidRPr="00124AB6" w14:paraId="04769A0C" w14:textId="77777777" w:rsidTr="004E3BFD">
        <w:trPr>
          <w:cantSplit/>
          <w:trHeight w:val="432"/>
          <w:jc w:val="center"/>
        </w:trPr>
        <w:tc>
          <w:tcPr>
            <w:tcW w:w="1350" w:type="dxa"/>
            <w:vAlign w:val="center"/>
          </w:tcPr>
          <w:p w14:paraId="0A4A4CFE" w14:textId="77777777" w:rsidR="00124AB6" w:rsidRPr="00124AB6" w:rsidRDefault="00124AB6" w:rsidP="00124AB6">
            <w:pPr>
              <w:jc w:val="center"/>
              <w:rPr>
                <w:bCs/>
                <w:szCs w:val="18"/>
              </w:rPr>
            </w:pPr>
            <w:r w:rsidRPr="00124AB6">
              <w:rPr>
                <w:bCs/>
                <w:szCs w:val="18"/>
              </w:rPr>
              <w:t>T-703</w:t>
            </w:r>
          </w:p>
        </w:tc>
        <w:tc>
          <w:tcPr>
            <w:tcW w:w="5132" w:type="dxa"/>
            <w:vAlign w:val="center"/>
          </w:tcPr>
          <w:p w14:paraId="5F7861B2" w14:textId="77777777" w:rsidR="00124AB6" w:rsidRPr="00124AB6" w:rsidRDefault="00124AB6" w:rsidP="00124AB6">
            <w:pPr>
              <w:jc w:val="center"/>
              <w:rPr>
                <w:bCs/>
                <w:szCs w:val="18"/>
              </w:rPr>
            </w:pPr>
            <w:r w:rsidRPr="00124AB6">
              <w:rPr>
                <w:bCs/>
                <w:szCs w:val="18"/>
              </w:rPr>
              <w:t>Storage Tank T-703</w:t>
            </w:r>
          </w:p>
        </w:tc>
        <w:tc>
          <w:tcPr>
            <w:tcW w:w="1981" w:type="dxa"/>
            <w:vAlign w:val="center"/>
          </w:tcPr>
          <w:p w14:paraId="2848D710" w14:textId="77777777" w:rsidR="00124AB6" w:rsidRPr="00124AB6" w:rsidRDefault="00124AB6" w:rsidP="00124AB6">
            <w:pPr>
              <w:jc w:val="center"/>
            </w:pPr>
            <w:r w:rsidRPr="00124AB6">
              <w:t>1984</w:t>
            </w:r>
          </w:p>
        </w:tc>
        <w:tc>
          <w:tcPr>
            <w:tcW w:w="1174" w:type="dxa"/>
            <w:vAlign w:val="center"/>
          </w:tcPr>
          <w:p w14:paraId="0D6F3BC9" w14:textId="77777777" w:rsidR="00124AB6" w:rsidRPr="00124AB6" w:rsidRDefault="00124AB6" w:rsidP="00124AB6">
            <w:pPr>
              <w:jc w:val="center"/>
              <w:rPr>
                <w:bCs/>
                <w:szCs w:val="18"/>
              </w:rPr>
            </w:pPr>
            <w:r w:rsidRPr="00124AB6">
              <w:rPr>
                <w:bCs/>
                <w:szCs w:val="18"/>
              </w:rPr>
              <w:t>None</w:t>
            </w:r>
          </w:p>
        </w:tc>
        <w:tc>
          <w:tcPr>
            <w:tcW w:w="1168" w:type="dxa"/>
            <w:vAlign w:val="center"/>
          </w:tcPr>
          <w:p w14:paraId="7F553F9E" w14:textId="77777777" w:rsidR="00124AB6" w:rsidRPr="00124AB6" w:rsidRDefault="00124AB6" w:rsidP="00124AB6">
            <w:pPr>
              <w:jc w:val="center"/>
              <w:rPr>
                <w:bCs/>
                <w:szCs w:val="18"/>
              </w:rPr>
            </w:pPr>
            <w:r w:rsidRPr="00124AB6">
              <w:rPr>
                <w:bCs/>
                <w:szCs w:val="18"/>
              </w:rPr>
              <w:t>T-703</w:t>
            </w:r>
          </w:p>
        </w:tc>
      </w:tr>
      <w:tr w:rsidR="00124AB6" w:rsidRPr="00124AB6" w14:paraId="258334A8" w14:textId="77777777" w:rsidTr="004E3BFD">
        <w:trPr>
          <w:cantSplit/>
          <w:trHeight w:val="432"/>
          <w:jc w:val="center"/>
        </w:trPr>
        <w:tc>
          <w:tcPr>
            <w:tcW w:w="1350" w:type="dxa"/>
            <w:vAlign w:val="center"/>
          </w:tcPr>
          <w:p w14:paraId="55006565" w14:textId="77777777" w:rsidR="00124AB6" w:rsidRPr="00124AB6" w:rsidRDefault="00124AB6" w:rsidP="00124AB6">
            <w:pPr>
              <w:jc w:val="center"/>
              <w:rPr>
                <w:bCs/>
                <w:szCs w:val="18"/>
              </w:rPr>
            </w:pPr>
            <w:r w:rsidRPr="00124AB6">
              <w:rPr>
                <w:bCs/>
                <w:szCs w:val="18"/>
              </w:rPr>
              <w:t>T-704</w:t>
            </w:r>
          </w:p>
        </w:tc>
        <w:tc>
          <w:tcPr>
            <w:tcW w:w="5132" w:type="dxa"/>
            <w:vAlign w:val="center"/>
          </w:tcPr>
          <w:p w14:paraId="0B3EC5E3" w14:textId="77777777" w:rsidR="00124AB6" w:rsidRPr="00124AB6" w:rsidRDefault="00124AB6" w:rsidP="00124AB6">
            <w:pPr>
              <w:jc w:val="center"/>
              <w:rPr>
                <w:bCs/>
                <w:szCs w:val="18"/>
              </w:rPr>
            </w:pPr>
            <w:r w:rsidRPr="00124AB6">
              <w:rPr>
                <w:bCs/>
                <w:szCs w:val="18"/>
              </w:rPr>
              <w:t>Storage Tank T-704</w:t>
            </w:r>
          </w:p>
        </w:tc>
        <w:tc>
          <w:tcPr>
            <w:tcW w:w="1981" w:type="dxa"/>
            <w:vAlign w:val="center"/>
          </w:tcPr>
          <w:p w14:paraId="023A420D" w14:textId="77777777" w:rsidR="00124AB6" w:rsidRPr="00124AB6" w:rsidRDefault="00124AB6" w:rsidP="00124AB6">
            <w:pPr>
              <w:jc w:val="center"/>
            </w:pPr>
            <w:r w:rsidRPr="00124AB6">
              <w:t>1984</w:t>
            </w:r>
          </w:p>
        </w:tc>
        <w:tc>
          <w:tcPr>
            <w:tcW w:w="1174" w:type="dxa"/>
            <w:vAlign w:val="center"/>
          </w:tcPr>
          <w:p w14:paraId="1004A320" w14:textId="77777777" w:rsidR="00124AB6" w:rsidRPr="00124AB6" w:rsidRDefault="00124AB6" w:rsidP="00124AB6">
            <w:pPr>
              <w:jc w:val="center"/>
              <w:rPr>
                <w:bCs/>
                <w:szCs w:val="18"/>
              </w:rPr>
            </w:pPr>
            <w:r w:rsidRPr="00124AB6">
              <w:rPr>
                <w:bCs/>
                <w:szCs w:val="18"/>
              </w:rPr>
              <w:t>None</w:t>
            </w:r>
          </w:p>
        </w:tc>
        <w:tc>
          <w:tcPr>
            <w:tcW w:w="1168" w:type="dxa"/>
            <w:vAlign w:val="center"/>
          </w:tcPr>
          <w:p w14:paraId="1CF2B129" w14:textId="77777777" w:rsidR="00124AB6" w:rsidRPr="00124AB6" w:rsidRDefault="00124AB6" w:rsidP="00124AB6">
            <w:pPr>
              <w:jc w:val="center"/>
              <w:rPr>
                <w:bCs/>
                <w:szCs w:val="18"/>
              </w:rPr>
            </w:pPr>
            <w:r w:rsidRPr="00124AB6">
              <w:rPr>
                <w:bCs/>
                <w:szCs w:val="18"/>
              </w:rPr>
              <w:t>T-704</w:t>
            </w:r>
          </w:p>
        </w:tc>
      </w:tr>
      <w:tr w:rsidR="00124AB6" w:rsidRPr="00124AB6" w14:paraId="16E2FE09" w14:textId="77777777" w:rsidTr="004E3BFD">
        <w:trPr>
          <w:cantSplit/>
          <w:trHeight w:val="432"/>
          <w:jc w:val="center"/>
        </w:trPr>
        <w:tc>
          <w:tcPr>
            <w:tcW w:w="1350" w:type="dxa"/>
            <w:vAlign w:val="center"/>
          </w:tcPr>
          <w:p w14:paraId="3587E4CD" w14:textId="77777777" w:rsidR="00124AB6" w:rsidRPr="00124AB6" w:rsidRDefault="00124AB6" w:rsidP="00124AB6">
            <w:pPr>
              <w:jc w:val="center"/>
              <w:rPr>
                <w:bCs/>
                <w:szCs w:val="18"/>
              </w:rPr>
            </w:pPr>
            <w:r w:rsidRPr="00124AB6">
              <w:rPr>
                <w:bCs/>
                <w:szCs w:val="18"/>
              </w:rPr>
              <w:t>T-705</w:t>
            </w:r>
          </w:p>
        </w:tc>
        <w:tc>
          <w:tcPr>
            <w:tcW w:w="5132" w:type="dxa"/>
            <w:vAlign w:val="center"/>
          </w:tcPr>
          <w:p w14:paraId="39616929" w14:textId="77777777" w:rsidR="00124AB6" w:rsidRPr="00124AB6" w:rsidRDefault="00124AB6" w:rsidP="00124AB6">
            <w:pPr>
              <w:jc w:val="center"/>
              <w:rPr>
                <w:bCs/>
                <w:szCs w:val="18"/>
              </w:rPr>
            </w:pPr>
            <w:r w:rsidRPr="00124AB6">
              <w:rPr>
                <w:bCs/>
                <w:szCs w:val="18"/>
              </w:rPr>
              <w:t>Storage Tank T-705</w:t>
            </w:r>
          </w:p>
        </w:tc>
        <w:tc>
          <w:tcPr>
            <w:tcW w:w="1981" w:type="dxa"/>
            <w:vAlign w:val="center"/>
          </w:tcPr>
          <w:p w14:paraId="690C17D1" w14:textId="77777777" w:rsidR="00124AB6" w:rsidRPr="00124AB6" w:rsidRDefault="00124AB6" w:rsidP="00124AB6">
            <w:pPr>
              <w:jc w:val="center"/>
            </w:pPr>
            <w:r w:rsidRPr="00124AB6">
              <w:t>1984</w:t>
            </w:r>
          </w:p>
        </w:tc>
        <w:tc>
          <w:tcPr>
            <w:tcW w:w="1174" w:type="dxa"/>
            <w:vAlign w:val="center"/>
          </w:tcPr>
          <w:p w14:paraId="0FFAA989" w14:textId="77777777" w:rsidR="00124AB6" w:rsidRPr="00124AB6" w:rsidRDefault="00124AB6" w:rsidP="00124AB6">
            <w:pPr>
              <w:jc w:val="center"/>
              <w:rPr>
                <w:bCs/>
                <w:szCs w:val="18"/>
              </w:rPr>
            </w:pPr>
            <w:r w:rsidRPr="00124AB6">
              <w:rPr>
                <w:bCs/>
                <w:szCs w:val="18"/>
              </w:rPr>
              <w:t>None</w:t>
            </w:r>
          </w:p>
        </w:tc>
        <w:tc>
          <w:tcPr>
            <w:tcW w:w="1168" w:type="dxa"/>
            <w:vAlign w:val="center"/>
          </w:tcPr>
          <w:p w14:paraId="1E46A2DF" w14:textId="77777777" w:rsidR="00124AB6" w:rsidRPr="00124AB6" w:rsidRDefault="00124AB6" w:rsidP="00124AB6">
            <w:pPr>
              <w:jc w:val="center"/>
              <w:rPr>
                <w:bCs/>
                <w:szCs w:val="18"/>
              </w:rPr>
            </w:pPr>
            <w:r w:rsidRPr="00124AB6">
              <w:rPr>
                <w:bCs/>
                <w:szCs w:val="18"/>
              </w:rPr>
              <w:t>T-705</w:t>
            </w:r>
          </w:p>
        </w:tc>
      </w:tr>
      <w:tr w:rsidR="00124AB6" w:rsidRPr="00124AB6" w14:paraId="1AD367E3" w14:textId="77777777" w:rsidTr="004E3BFD">
        <w:trPr>
          <w:cantSplit/>
          <w:trHeight w:val="432"/>
          <w:jc w:val="center"/>
        </w:trPr>
        <w:tc>
          <w:tcPr>
            <w:tcW w:w="1350" w:type="dxa"/>
            <w:vAlign w:val="center"/>
          </w:tcPr>
          <w:p w14:paraId="1D385B84" w14:textId="77777777" w:rsidR="00124AB6" w:rsidRPr="00124AB6" w:rsidRDefault="00124AB6" w:rsidP="00124AB6">
            <w:pPr>
              <w:jc w:val="center"/>
              <w:rPr>
                <w:bCs/>
                <w:szCs w:val="18"/>
              </w:rPr>
            </w:pPr>
            <w:r w:rsidRPr="00124AB6">
              <w:rPr>
                <w:bCs/>
                <w:szCs w:val="18"/>
              </w:rPr>
              <w:t>T-706</w:t>
            </w:r>
          </w:p>
        </w:tc>
        <w:tc>
          <w:tcPr>
            <w:tcW w:w="5132" w:type="dxa"/>
            <w:vAlign w:val="center"/>
          </w:tcPr>
          <w:p w14:paraId="161B8BEE" w14:textId="77777777" w:rsidR="00124AB6" w:rsidRPr="00124AB6" w:rsidRDefault="00124AB6" w:rsidP="00124AB6">
            <w:pPr>
              <w:jc w:val="center"/>
              <w:rPr>
                <w:bCs/>
                <w:szCs w:val="18"/>
              </w:rPr>
            </w:pPr>
            <w:r w:rsidRPr="00124AB6">
              <w:rPr>
                <w:bCs/>
                <w:szCs w:val="18"/>
              </w:rPr>
              <w:t>Storage Tank T-706</w:t>
            </w:r>
          </w:p>
        </w:tc>
        <w:tc>
          <w:tcPr>
            <w:tcW w:w="1981" w:type="dxa"/>
            <w:vAlign w:val="center"/>
          </w:tcPr>
          <w:p w14:paraId="39D3ED0C" w14:textId="77777777" w:rsidR="00124AB6" w:rsidRPr="00124AB6" w:rsidRDefault="00124AB6" w:rsidP="00124AB6">
            <w:pPr>
              <w:jc w:val="center"/>
            </w:pPr>
            <w:r w:rsidRPr="00124AB6">
              <w:t>1984</w:t>
            </w:r>
          </w:p>
        </w:tc>
        <w:tc>
          <w:tcPr>
            <w:tcW w:w="1174" w:type="dxa"/>
            <w:vAlign w:val="center"/>
          </w:tcPr>
          <w:p w14:paraId="1239B90F" w14:textId="77777777" w:rsidR="00124AB6" w:rsidRPr="00124AB6" w:rsidRDefault="00124AB6" w:rsidP="00124AB6">
            <w:pPr>
              <w:jc w:val="center"/>
              <w:rPr>
                <w:bCs/>
                <w:szCs w:val="18"/>
              </w:rPr>
            </w:pPr>
            <w:r w:rsidRPr="00124AB6">
              <w:rPr>
                <w:bCs/>
                <w:szCs w:val="18"/>
              </w:rPr>
              <w:t>None</w:t>
            </w:r>
          </w:p>
        </w:tc>
        <w:tc>
          <w:tcPr>
            <w:tcW w:w="1168" w:type="dxa"/>
            <w:vAlign w:val="center"/>
          </w:tcPr>
          <w:p w14:paraId="4B7D23CE" w14:textId="77777777" w:rsidR="00124AB6" w:rsidRPr="00124AB6" w:rsidRDefault="00124AB6" w:rsidP="00124AB6">
            <w:pPr>
              <w:jc w:val="center"/>
              <w:rPr>
                <w:bCs/>
                <w:szCs w:val="18"/>
              </w:rPr>
            </w:pPr>
            <w:r w:rsidRPr="00124AB6">
              <w:rPr>
                <w:bCs/>
                <w:szCs w:val="18"/>
              </w:rPr>
              <w:t>T-706</w:t>
            </w:r>
          </w:p>
        </w:tc>
      </w:tr>
      <w:tr w:rsidR="00124AB6" w:rsidRPr="00124AB6" w14:paraId="75A87039" w14:textId="77777777" w:rsidTr="004E3BFD">
        <w:trPr>
          <w:cantSplit/>
          <w:trHeight w:val="432"/>
          <w:jc w:val="center"/>
        </w:trPr>
        <w:tc>
          <w:tcPr>
            <w:tcW w:w="1350" w:type="dxa"/>
            <w:vAlign w:val="center"/>
          </w:tcPr>
          <w:p w14:paraId="3B451EF8" w14:textId="77777777" w:rsidR="00124AB6" w:rsidRPr="00124AB6" w:rsidRDefault="00124AB6" w:rsidP="00124AB6">
            <w:pPr>
              <w:jc w:val="center"/>
              <w:rPr>
                <w:bCs/>
                <w:szCs w:val="18"/>
              </w:rPr>
            </w:pPr>
            <w:r w:rsidRPr="00124AB6">
              <w:rPr>
                <w:bCs/>
                <w:szCs w:val="18"/>
              </w:rPr>
              <w:t>T-707</w:t>
            </w:r>
          </w:p>
        </w:tc>
        <w:tc>
          <w:tcPr>
            <w:tcW w:w="5132" w:type="dxa"/>
            <w:vAlign w:val="center"/>
          </w:tcPr>
          <w:p w14:paraId="65C1F013" w14:textId="77777777" w:rsidR="00124AB6" w:rsidRPr="00124AB6" w:rsidRDefault="00124AB6" w:rsidP="00124AB6">
            <w:pPr>
              <w:jc w:val="center"/>
              <w:rPr>
                <w:bCs/>
                <w:szCs w:val="18"/>
              </w:rPr>
            </w:pPr>
            <w:r w:rsidRPr="00124AB6">
              <w:rPr>
                <w:bCs/>
                <w:szCs w:val="18"/>
              </w:rPr>
              <w:t>Storage Tank T-707</w:t>
            </w:r>
          </w:p>
        </w:tc>
        <w:tc>
          <w:tcPr>
            <w:tcW w:w="1981" w:type="dxa"/>
            <w:vAlign w:val="center"/>
          </w:tcPr>
          <w:p w14:paraId="5C23FCE4" w14:textId="77777777" w:rsidR="00124AB6" w:rsidRPr="00124AB6" w:rsidRDefault="00124AB6" w:rsidP="00124AB6">
            <w:pPr>
              <w:jc w:val="center"/>
            </w:pPr>
            <w:r w:rsidRPr="00124AB6">
              <w:t>1984</w:t>
            </w:r>
          </w:p>
        </w:tc>
        <w:tc>
          <w:tcPr>
            <w:tcW w:w="1174" w:type="dxa"/>
            <w:vAlign w:val="center"/>
          </w:tcPr>
          <w:p w14:paraId="6BA9978F" w14:textId="77777777" w:rsidR="00124AB6" w:rsidRPr="00124AB6" w:rsidRDefault="00124AB6" w:rsidP="00124AB6">
            <w:pPr>
              <w:jc w:val="center"/>
              <w:rPr>
                <w:bCs/>
                <w:szCs w:val="18"/>
              </w:rPr>
            </w:pPr>
            <w:r w:rsidRPr="00124AB6">
              <w:rPr>
                <w:bCs/>
                <w:szCs w:val="18"/>
              </w:rPr>
              <w:t>None</w:t>
            </w:r>
          </w:p>
        </w:tc>
        <w:tc>
          <w:tcPr>
            <w:tcW w:w="1168" w:type="dxa"/>
            <w:vAlign w:val="center"/>
          </w:tcPr>
          <w:p w14:paraId="642835E5" w14:textId="77777777" w:rsidR="00124AB6" w:rsidRPr="00124AB6" w:rsidRDefault="00124AB6" w:rsidP="00124AB6">
            <w:pPr>
              <w:jc w:val="center"/>
              <w:rPr>
                <w:bCs/>
                <w:szCs w:val="18"/>
              </w:rPr>
            </w:pPr>
            <w:r w:rsidRPr="00124AB6">
              <w:rPr>
                <w:bCs/>
                <w:szCs w:val="18"/>
              </w:rPr>
              <w:t>T-707</w:t>
            </w:r>
          </w:p>
        </w:tc>
      </w:tr>
      <w:tr w:rsidR="00124AB6" w:rsidRPr="00124AB6" w14:paraId="578CA032" w14:textId="77777777" w:rsidTr="004E3BFD">
        <w:trPr>
          <w:cantSplit/>
          <w:trHeight w:val="432"/>
          <w:jc w:val="center"/>
        </w:trPr>
        <w:tc>
          <w:tcPr>
            <w:tcW w:w="1350" w:type="dxa"/>
            <w:vAlign w:val="center"/>
          </w:tcPr>
          <w:p w14:paraId="59E63956" w14:textId="77777777" w:rsidR="00124AB6" w:rsidRPr="00124AB6" w:rsidRDefault="00124AB6" w:rsidP="00124AB6">
            <w:pPr>
              <w:jc w:val="center"/>
              <w:rPr>
                <w:bCs/>
                <w:szCs w:val="18"/>
              </w:rPr>
            </w:pPr>
            <w:r w:rsidRPr="00124AB6">
              <w:rPr>
                <w:bCs/>
                <w:szCs w:val="18"/>
              </w:rPr>
              <w:t>T-708</w:t>
            </w:r>
          </w:p>
        </w:tc>
        <w:tc>
          <w:tcPr>
            <w:tcW w:w="5132" w:type="dxa"/>
            <w:vAlign w:val="center"/>
          </w:tcPr>
          <w:p w14:paraId="7032712E" w14:textId="77777777" w:rsidR="00124AB6" w:rsidRPr="00124AB6" w:rsidRDefault="00124AB6" w:rsidP="00124AB6">
            <w:pPr>
              <w:jc w:val="center"/>
              <w:rPr>
                <w:bCs/>
                <w:szCs w:val="18"/>
              </w:rPr>
            </w:pPr>
            <w:r w:rsidRPr="00124AB6">
              <w:rPr>
                <w:bCs/>
                <w:szCs w:val="18"/>
              </w:rPr>
              <w:t>Storage Tank T-708</w:t>
            </w:r>
          </w:p>
        </w:tc>
        <w:tc>
          <w:tcPr>
            <w:tcW w:w="1981" w:type="dxa"/>
            <w:vAlign w:val="center"/>
          </w:tcPr>
          <w:p w14:paraId="5A2CE2DA" w14:textId="77777777" w:rsidR="00124AB6" w:rsidRPr="00124AB6" w:rsidRDefault="00124AB6" w:rsidP="00124AB6">
            <w:pPr>
              <w:jc w:val="center"/>
            </w:pPr>
            <w:r w:rsidRPr="00124AB6">
              <w:t>1984</w:t>
            </w:r>
          </w:p>
        </w:tc>
        <w:tc>
          <w:tcPr>
            <w:tcW w:w="1174" w:type="dxa"/>
            <w:vAlign w:val="center"/>
          </w:tcPr>
          <w:p w14:paraId="0707A9D4" w14:textId="77777777" w:rsidR="00124AB6" w:rsidRPr="00124AB6" w:rsidRDefault="00124AB6" w:rsidP="00124AB6">
            <w:pPr>
              <w:jc w:val="center"/>
              <w:rPr>
                <w:bCs/>
                <w:szCs w:val="18"/>
              </w:rPr>
            </w:pPr>
            <w:r w:rsidRPr="00124AB6">
              <w:rPr>
                <w:bCs/>
                <w:szCs w:val="18"/>
              </w:rPr>
              <w:t>None</w:t>
            </w:r>
          </w:p>
        </w:tc>
        <w:tc>
          <w:tcPr>
            <w:tcW w:w="1168" w:type="dxa"/>
            <w:vAlign w:val="center"/>
          </w:tcPr>
          <w:p w14:paraId="4C0ADB51" w14:textId="77777777" w:rsidR="00124AB6" w:rsidRPr="00124AB6" w:rsidRDefault="00124AB6" w:rsidP="00124AB6">
            <w:pPr>
              <w:jc w:val="center"/>
              <w:rPr>
                <w:bCs/>
                <w:szCs w:val="18"/>
              </w:rPr>
            </w:pPr>
            <w:r w:rsidRPr="00124AB6">
              <w:rPr>
                <w:bCs/>
                <w:szCs w:val="18"/>
              </w:rPr>
              <w:t>T-708</w:t>
            </w:r>
          </w:p>
        </w:tc>
      </w:tr>
      <w:tr w:rsidR="00124AB6" w:rsidRPr="00124AB6" w14:paraId="5D67A3F8" w14:textId="77777777" w:rsidTr="004E3BFD">
        <w:trPr>
          <w:cantSplit/>
          <w:trHeight w:val="432"/>
          <w:jc w:val="center"/>
        </w:trPr>
        <w:tc>
          <w:tcPr>
            <w:tcW w:w="1350" w:type="dxa"/>
            <w:vAlign w:val="center"/>
          </w:tcPr>
          <w:p w14:paraId="48EA7BF9" w14:textId="77777777" w:rsidR="00124AB6" w:rsidRPr="00124AB6" w:rsidRDefault="00124AB6" w:rsidP="00124AB6">
            <w:pPr>
              <w:jc w:val="center"/>
              <w:rPr>
                <w:bCs/>
                <w:szCs w:val="18"/>
              </w:rPr>
            </w:pPr>
            <w:r w:rsidRPr="00124AB6">
              <w:rPr>
                <w:bCs/>
                <w:szCs w:val="18"/>
              </w:rPr>
              <w:t>T-709</w:t>
            </w:r>
          </w:p>
        </w:tc>
        <w:tc>
          <w:tcPr>
            <w:tcW w:w="5132" w:type="dxa"/>
            <w:vAlign w:val="center"/>
          </w:tcPr>
          <w:p w14:paraId="66A2E92E" w14:textId="77777777" w:rsidR="00124AB6" w:rsidRPr="00124AB6" w:rsidRDefault="00124AB6" w:rsidP="00124AB6">
            <w:pPr>
              <w:jc w:val="center"/>
              <w:rPr>
                <w:bCs/>
                <w:szCs w:val="18"/>
              </w:rPr>
            </w:pPr>
            <w:r w:rsidRPr="00124AB6">
              <w:rPr>
                <w:bCs/>
                <w:szCs w:val="18"/>
              </w:rPr>
              <w:t>Storage Tank T-709</w:t>
            </w:r>
          </w:p>
        </w:tc>
        <w:tc>
          <w:tcPr>
            <w:tcW w:w="1981" w:type="dxa"/>
            <w:vAlign w:val="center"/>
          </w:tcPr>
          <w:p w14:paraId="12D86EDE" w14:textId="77777777" w:rsidR="00124AB6" w:rsidRPr="00124AB6" w:rsidRDefault="00124AB6" w:rsidP="00124AB6">
            <w:pPr>
              <w:jc w:val="center"/>
            </w:pPr>
            <w:r w:rsidRPr="00124AB6">
              <w:t>1984</w:t>
            </w:r>
          </w:p>
        </w:tc>
        <w:tc>
          <w:tcPr>
            <w:tcW w:w="1174" w:type="dxa"/>
            <w:vAlign w:val="center"/>
          </w:tcPr>
          <w:p w14:paraId="1421F65F" w14:textId="77777777" w:rsidR="00124AB6" w:rsidRPr="00124AB6" w:rsidRDefault="00124AB6" w:rsidP="00124AB6">
            <w:pPr>
              <w:jc w:val="center"/>
              <w:rPr>
                <w:bCs/>
                <w:szCs w:val="18"/>
              </w:rPr>
            </w:pPr>
            <w:r w:rsidRPr="00124AB6">
              <w:rPr>
                <w:bCs/>
                <w:szCs w:val="18"/>
              </w:rPr>
              <w:t>None</w:t>
            </w:r>
          </w:p>
        </w:tc>
        <w:tc>
          <w:tcPr>
            <w:tcW w:w="1168" w:type="dxa"/>
            <w:vAlign w:val="center"/>
          </w:tcPr>
          <w:p w14:paraId="75F54511" w14:textId="77777777" w:rsidR="00124AB6" w:rsidRPr="00124AB6" w:rsidRDefault="00124AB6" w:rsidP="00124AB6">
            <w:pPr>
              <w:jc w:val="center"/>
              <w:rPr>
                <w:bCs/>
                <w:szCs w:val="18"/>
              </w:rPr>
            </w:pPr>
            <w:r w:rsidRPr="00124AB6">
              <w:rPr>
                <w:bCs/>
                <w:szCs w:val="18"/>
              </w:rPr>
              <w:t>T-709</w:t>
            </w:r>
          </w:p>
        </w:tc>
      </w:tr>
      <w:tr w:rsidR="00124AB6" w:rsidRPr="00124AB6" w14:paraId="285BE75E" w14:textId="77777777" w:rsidTr="004E3BFD">
        <w:trPr>
          <w:cantSplit/>
          <w:trHeight w:val="432"/>
          <w:jc w:val="center"/>
        </w:trPr>
        <w:tc>
          <w:tcPr>
            <w:tcW w:w="1350" w:type="dxa"/>
            <w:vAlign w:val="center"/>
          </w:tcPr>
          <w:p w14:paraId="6C0A589A" w14:textId="77777777" w:rsidR="00124AB6" w:rsidRPr="00124AB6" w:rsidRDefault="00124AB6" w:rsidP="00124AB6">
            <w:pPr>
              <w:jc w:val="center"/>
              <w:rPr>
                <w:bCs/>
                <w:szCs w:val="18"/>
              </w:rPr>
            </w:pPr>
            <w:r w:rsidRPr="00124AB6">
              <w:rPr>
                <w:bCs/>
                <w:szCs w:val="18"/>
              </w:rPr>
              <w:t>T-710</w:t>
            </w:r>
          </w:p>
        </w:tc>
        <w:tc>
          <w:tcPr>
            <w:tcW w:w="5132" w:type="dxa"/>
            <w:vAlign w:val="center"/>
          </w:tcPr>
          <w:p w14:paraId="63F60148" w14:textId="77777777" w:rsidR="00124AB6" w:rsidRPr="00124AB6" w:rsidRDefault="00124AB6" w:rsidP="00124AB6">
            <w:pPr>
              <w:jc w:val="center"/>
              <w:rPr>
                <w:bCs/>
                <w:szCs w:val="18"/>
              </w:rPr>
            </w:pPr>
            <w:r w:rsidRPr="00124AB6">
              <w:rPr>
                <w:bCs/>
                <w:szCs w:val="18"/>
              </w:rPr>
              <w:t>Storage Tank T-710</w:t>
            </w:r>
          </w:p>
        </w:tc>
        <w:tc>
          <w:tcPr>
            <w:tcW w:w="1981" w:type="dxa"/>
            <w:vAlign w:val="center"/>
          </w:tcPr>
          <w:p w14:paraId="6F9C1260" w14:textId="77777777" w:rsidR="00124AB6" w:rsidRPr="00124AB6" w:rsidRDefault="00124AB6" w:rsidP="00124AB6">
            <w:pPr>
              <w:jc w:val="center"/>
            </w:pPr>
            <w:r w:rsidRPr="00124AB6">
              <w:t>1984</w:t>
            </w:r>
          </w:p>
        </w:tc>
        <w:tc>
          <w:tcPr>
            <w:tcW w:w="1174" w:type="dxa"/>
            <w:vAlign w:val="center"/>
          </w:tcPr>
          <w:p w14:paraId="5179EA4E" w14:textId="77777777" w:rsidR="00124AB6" w:rsidRPr="00124AB6" w:rsidRDefault="00124AB6" w:rsidP="00124AB6">
            <w:pPr>
              <w:jc w:val="center"/>
              <w:rPr>
                <w:bCs/>
                <w:szCs w:val="18"/>
              </w:rPr>
            </w:pPr>
            <w:r w:rsidRPr="00124AB6">
              <w:rPr>
                <w:bCs/>
                <w:szCs w:val="18"/>
              </w:rPr>
              <w:t>None</w:t>
            </w:r>
          </w:p>
        </w:tc>
        <w:tc>
          <w:tcPr>
            <w:tcW w:w="1168" w:type="dxa"/>
            <w:vAlign w:val="center"/>
          </w:tcPr>
          <w:p w14:paraId="4D1E8EDF" w14:textId="77777777" w:rsidR="00124AB6" w:rsidRPr="00124AB6" w:rsidRDefault="00124AB6" w:rsidP="00124AB6">
            <w:pPr>
              <w:jc w:val="center"/>
              <w:rPr>
                <w:bCs/>
                <w:szCs w:val="18"/>
              </w:rPr>
            </w:pPr>
            <w:r w:rsidRPr="00124AB6">
              <w:rPr>
                <w:bCs/>
                <w:szCs w:val="18"/>
              </w:rPr>
              <w:t>T-710</w:t>
            </w:r>
          </w:p>
        </w:tc>
      </w:tr>
      <w:tr w:rsidR="00124AB6" w:rsidRPr="00124AB6" w14:paraId="7467E153" w14:textId="77777777" w:rsidTr="004E3BFD">
        <w:trPr>
          <w:cantSplit/>
          <w:trHeight w:val="432"/>
          <w:jc w:val="center"/>
        </w:trPr>
        <w:tc>
          <w:tcPr>
            <w:tcW w:w="1350" w:type="dxa"/>
            <w:vAlign w:val="center"/>
          </w:tcPr>
          <w:p w14:paraId="68C7B944" w14:textId="77777777" w:rsidR="00124AB6" w:rsidRPr="00124AB6" w:rsidRDefault="00124AB6" w:rsidP="00124AB6">
            <w:pPr>
              <w:jc w:val="center"/>
              <w:rPr>
                <w:bCs/>
                <w:szCs w:val="18"/>
              </w:rPr>
            </w:pPr>
            <w:r w:rsidRPr="00124AB6">
              <w:rPr>
                <w:bCs/>
                <w:szCs w:val="18"/>
              </w:rPr>
              <w:t>T-711</w:t>
            </w:r>
          </w:p>
        </w:tc>
        <w:tc>
          <w:tcPr>
            <w:tcW w:w="5132" w:type="dxa"/>
            <w:vAlign w:val="center"/>
          </w:tcPr>
          <w:p w14:paraId="511B67C7" w14:textId="77777777" w:rsidR="00124AB6" w:rsidRPr="00124AB6" w:rsidRDefault="00124AB6" w:rsidP="00124AB6">
            <w:pPr>
              <w:jc w:val="center"/>
              <w:rPr>
                <w:bCs/>
                <w:szCs w:val="18"/>
              </w:rPr>
            </w:pPr>
            <w:r w:rsidRPr="00124AB6">
              <w:rPr>
                <w:bCs/>
                <w:szCs w:val="18"/>
              </w:rPr>
              <w:t>Storage Tank T-711</w:t>
            </w:r>
          </w:p>
        </w:tc>
        <w:tc>
          <w:tcPr>
            <w:tcW w:w="1981" w:type="dxa"/>
            <w:vAlign w:val="center"/>
          </w:tcPr>
          <w:p w14:paraId="236923B9" w14:textId="77777777" w:rsidR="00124AB6" w:rsidRPr="00124AB6" w:rsidRDefault="00124AB6" w:rsidP="00124AB6">
            <w:pPr>
              <w:jc w:val="center"/>
            </w:pPr>
            <w:r w:rsidRPr="00124AB6">
              <w:t>1984</w:t>
            </w:r>
          </w:p>
        </w:tc>
        <w:tc>
          <w:tcPr>
            <w:tcW w:w="1174" w:type="dxa"/>
            <w:vAlign w:val="center"/>
          </w:tcPr>
          <w:p w14:paraId="138C2F4D" w14:textId="77777777" w:rsidR="00124AB6" w:rsidRPr="00124AB6" w:rsidRDefault="00124AB6" w:rsidP="00124AB6">
            <w:pPr>
              <w:jc w:val="center"/>
              <w:rPr>
                <w:bCs/>
                <w:szCs w:val="18"/>
              </w:rPr>
            </w:pPr>
            <w:r w:rsidRPr="00124AB6">
              <w:rPr>
                <w:bCs/>
                <w:szCs w:val="18"/>
              </w:rPr>
              <w:t>None</w:t>
            </w:r>
          </w:p>
        </w:tc>
        <w:tc>
          <w:tcPr>
            <w:tcW w:w="1168" w:type="dxa"/>
            <w:vAlign w:val="center"/>
          </w:tcPr>
          <w:p w14:paraId="03FF4E34" w14:textId="77777777" w:rsidR="00124AB6" w:rsidRPr="00124AB6" w:rsidRDefault="00124AB6" w:rsidP="00124AB6">
            <w:pPr>
              <w:jc w:val="center"/>
              <w:rPr>
                <w:bCs/>
                <w:szCs w:val="18"/>
              </w:rPr>
            </w:pPr>
            <w:r w:rsidRPr="00124AB6">
              <w:rPr>
                <w:bCs/>
                <w:szCs w:val="18"/>
              </w:rPr>
              <w:t>T-711</w:t>
            </w:r>
          </w:p>
        </w:tc>
      </w:tr>
      <w:tr w:rsidR="00124AB6" w:rsidRPr="00124AB6" w14:paraId="56FFD784" w14:textId="77777777" w:rsidTr="004E3BFD">
        <w:trPr>
          <w:cantSplit/>
          <w:trHeight w:val="432"/>
          <w:jc w:val="center"/>
        </w:trPr>
        <w:tc>
          <w:tcPr>
            <w:tcW w:w="1350" w:type="dxa"/>
            <w:vAlign w:val="center"/>
          </w:tcPr>
          <w:p w14:paraId="503C3572" w14:textId="77777777" w:rsidR="00124AB6" w:rsidRPr="00124AB6" w:rsidRDefault="00124AB6" w:rsidP="00124AB6">
            <w:pPr>
              <w:jc w:val="center"/>
              <w:rPr>
                <w:bCs/>
                <w:szCs w:val="18"/>
              </w:rPr>
            </w:pPr>
            <w:r w:rsidRPr="00124AB6">
              <w:rPr>
                <w:bCs/>
                <w:szCs w:val="18"/>
              </w:rPr>
              <w:t>T-712</w:t>
            </w:r>
          </w:p>
        </w:tc>
        <w:tc>
          <w:tcPr>
            <w:tcW w:w="5132" w:type="dxa"/>
            <w:vAlign w:val="center"/>
          </w:tcPr>
          <w:p w14:paraId="30DB3FD7" w14:textId="77777777" w:rsidR="00124AB6" w:rsidRPr="00124AB6" w:rsidRDefault="00124AB6" w:rsidP="00124AB6">
            <w:pPr>
              <w:jc w:val="center"/>
              <w:rPr>
                <w:bCs/>
                <w:szCs w:val="18"/>
              </w:rPr>
            </w:pPr>
            <w:r w:rsidRPr="00124AB6">
              <w:rPr>
                <w:bCs/>
                <w:szCs w:val="18"/>
              </w:rPr>
              <w:t>Storage Tank T-712</w:t>
            </w:r>
          </w:p>
        </w:tc>
        <w:tc>
          <w:tcPr>
            <w:tcW w:w="1981" w:type="dxa"/>
            <w:vAlign w:val="center"/>
          </w:tcPr>
          <w:p w14:paraId="662CE462" w14:textId="77777777" w:rsidR="00124AB6" w:rsidRPr="00124AB6" w:rsidRDefault="00124AB6" w:rsidP="00124AB6">
            <w:pPr>
              <w:jc w:val="center"/>
            </w:pPr>
            <w:r w:rsidRPr="00124AB6">
              <w:t>1997</w:t>
            </w:r>
          </w:p>
        </w:tc>
        <w:tc>
          <w:tcPr>
            <w:tcW w:w="1174" w:type="dxa"/>
            <w:vAlign w:val="center"/>
          </w:tcPr>
          <w:p w14:paraId="6342762A" w14:textId="77777777" w:rsidR="00124AB6" w:rsidRPr="00124AB6" w:rsidRDefault="00124AB6" w:rsidP="00124AB6">
            <w:pPr>
              <w:jc w:val="center"/>
              <w:rPr>
                <w:bCs/>
                <w:szCs w:val="18"/>
              </w:rPr>
            </w:pPr>
            <w:r w:rsidRPr="00124AB6">
              <w:rPr>
                <w:bCs/>
                <w:szCs w:val="18"/>
              </w:rPr>
              <w:t>None</w:t>
            </w:r>
          </w:p>
        </w:tc>
        <w:tc>
          <w:tcPr>
            <w:tcW w:w="1168" w:type="dxa"/>
            <w:vAlign w:val="center"/>
          </w:tcPr>
          <w:p w14:paraId="07BC1F0D" w14:textId="77777777" w:rsidR="00124AB6" w:rsidRPr="00124AB6" w:rsidRDefault="00124AB6" w:rsidP="00124AB6">
            <w:pPr>
              <w:jc w:val="center"/>
              <w:rPr>
                <w:bCs/>
                <w:szCs w:val="18"/>
              </w:rPr>
            </w:pPr>
            <w:r w:rsidRPr="00124AB6">
              <w:rPr>
                <w:bCs/>
                <w:szCs w:val="18"/>
              </w:rPr>
              <w:t>T-712</w:t>
            </w:r>
          </w:p>
        </w:tc>
      </w:tr>
      <w:tr w:rsidR="00124AB6" w:rsidRPr="00124AB6" w14:paraId="6CA819C6" w14:textId="77777777" w:rsidTr="004E3BFD">
        <w:trPr>
          <w:cantSplit/>
          <w:trHeight w:val="432"/>
          <w:jc w:val="center"/>
        </w:trPr>
        <w:tc>
          <w:tcPr>
            <w:tcW w:w="1350" w:type="dxa"/>
            <w:vAlign w:val="center"/>
          </w:tcPr>
          <w:p w14:paraId="2FFBB9B9" w14:textId="77777777" w:rsidR="00124AB6" w:rsidRPr="00124AB6" w:rsidRDefault="00124AB6" w:rsidP="00124AB6">
            <w:pPr>
              <w:jc w:val="center"/>
              <w:rPr>
                <w:bCs/>
                <w:szCs w:val="18"/>
              </w:rPr>
            </w:pPr>
            <w:r w:rsidRPr="00124AB6">
              <w:rPr>
                <w:bCs/>
                <w:szCs w:val="18"/>
              </w:rPr>
              <w:t>T-713</w:t>
            </w:r>
          </w:p>
        </w:tc>
        <w:tc>
          <w:tcPr>
            <w:tcW w:w="5132" w:type="dxa"/>
            <w:vAlign w:val="center"/>
          </w:tcPr>
          <w:p w14:paraId="6710AEB8" w14:textId="77777777" w:rsidR="00124AB6" w:rsidRPr="00124AB6" w:rsidRDefault="00124AB6" w:rsidP="00124AB6">
            <w:pPr>
              <w:jc w:val="center"/>
              <w:rPr>
                <w:bCs/>
                <w:szCs w:val="18"/>
              </w:rPr>
            </w:pPr>
            <w:r w:rsidRPr="00124AB6">
              <w:rPr>
                <w:bCs/>
                <w:szCs w:val="18"/>
              </w:rPr>
              <w:t>Storage Tank T-713</w:t>
            </w:r>
          </w:p>
        </w:tc>
        <w:tc>
          <w:tcPr>
            <w:tcW w:w="1981" w:type="dxa"/>
            <w:vAlign w:val="center"/>
          </w:tcPr>
          <w:p w14:paraId="060BB1BF" w14:textId="77777777" w:rsidR="00124AB6" w:rsidRPr="00124AB6" w:rsidRDefault="00124AB6" w:rsidP="00124AB6">
            <w:pPr>
              <w:jc w:val="center"/>
            </w:pPr>
            <w:r w:rsidRPr="00124AB6">
              <w:t>1984</w:t>
            </w:r>
          </w:p>
        </w:tc>
        <w:tc>
          <w:tcPr>
            <w:tcW w:w="1174" w:type="dxa"/>
            <w:vAlign w:val="center"/>
          </w:tcPr>
          <w:p w14:paraId="09AEAB41" w14:textId="77777777" w:rsidR="00124AB6" w:rsidRPr="00124AB6" w:rsidRDefault="00124AB6" w:rsidP="00124AB6">
            <w:pPr>
              <w:jc w:val="center"/>
              <w:rPr>
                <w:bCs/>
                <w:szCs w:val="18"/>
              </w:rPr>
            </w:pPr>
            <w:r w:rsidRPr="00124AB6">
              <w:rPr>
                <w:bCs/>
                <w:szCs w:val="18"/>
              </w:rPr>
              <w:t>None</w:t>
            </w:r>
          </w:p>
        </w:tc>
        <w:tc>
          <w:tcPr>
            <w:tcW w:w="1168" w:type="dxa"/>
            <w:vAlign w:val="center"/>
          </w:tcPr>
          <w:p w14:paraId="0CEC9F4E" w14:textId="77777777" w:rsidR="00124AB6" w:rsidRPr="00124AB6" w:rsidRDefault="00124AB6" w:rsidP="00124AB6">
            <w:pPr>
              <w:jc w:val="center"/>
              <w:rPr>
                <w:bCs/>
                <w:szCs w:val="18"/>
              </w:rPr>
            </w:pPr>
            <w:r w:rsidRPr="00124AB6">
              <w:rPr>
                <w:bCs/>
                <w:szCs w:val="18"/>
              </w:rPr>
              <w:t>T-713</w:t>
            </w:r>
          </w:p>
        </w:tc>
      </w:tr>
      <w:tr w:rsidR="00124AB6" w:rsidRPr="00124AB6" w14:paraId="29BD37AF" w14:textId="77777777" w:rsidTr="004E3BFD">
        <w:trPr>
          <w:cantSplit/>
          <w:trHeight w:val="432"/>
          <w:jc w:val="center"/>
        </w:trPr>
        <w:tc>
          <w:tcPr>
            <w:tcW w:w="1350" w:type="dxa"/>
            <w:vAlign w:val="center"/>
          </w:tcPr>
          <w:p w14:paraId="07F1A1BE" w14:textId="77777777" w:rsidR="00124AB6" w:rsidRPr="00124AB6" w:rsidRDefault="00124AB6" w:rsidP="00124AB6">
            <w:pPr>
              <w:jc w:val="center"/>
              <w:rPr>
                <w:bCs/>
                <w:szCs w:val="18"/>
              </w:rPr>
            </w:pPr>
            <w:r w:rsidRPr="00124AB6">
              <w:rPr>
                <w:bCs/>
                <w:szCs w:val="18"/>
              </w:rPr>
              <w:t>T-714</w:t>
            </w:r>
          </w:p>
        </w:tc>
        <w:tc>
          <w:tcPr>
            <w:tcW w:w="5132" w:type="dxa"/>
            <w:vAlign w:val="center"/>
          </w:tcPr>
          <w:p w14:paraId="5BD69D36" w14:textId="77777777" w:rsidR="00124AB6" w:rsidRPr="00124AB6" w:rsidRDefault="00124AB6" w:rsidP="00124AB6">
            <w:pPr>
              <w:jc w:val="center"/>
              <w:rPr>
                <w:bCs/>
                <w:szCs w:val="18"/>
              </w:rPr>
            </w:pPr>
            <w:r w:rsidRPr="00124AB6">
              <w:rPr>
                <w:bCs/>
                <w:szCs w:val="18"/>
              </w:rPr>
              <w:t>Storage Tank T-714</w:t>
            </w:r>
          </w:p>
        </w:tc>
        <w:tc>
          <w:tcPr>
            <w:tcW w:w="1981" w:type="dxa"/>
            <w:vAlign w:val="center"/>
          </w:tcPr>
          <w:p w14:paraId="5359FA61" w14:textId="77777777" w:rsidR="00124AB6" w:rsidRPr="00124AB6" w:rsidRDefault="00124AB6" w:rsidP="00124AB6">
            <w:pPr>
              <w:jc w:val="center"/>
            </w:pPr>
            <w:r w:rsidRPr="00124AB6">
              <w:t>1993</w:t>
            </w:r>
          </w:p>
        </w:tc>
        <w:tc>
          <w:tcPr>
            <w:tcW w:w="1174" w:type="dxa"/>
            <w:vAlign w:val="center"/>
          </w:tcPr>
          <w:p w14:paraId="3DE74C4E" w14:textId="77777777" w:rsidR="00124AB6" w:rsidRPr="00124AB6" w:rsidRDefault="00124AB6" w:rsidP="00124AB6">
            <w:pPr>
              <w:jc w:val="center"/>
              <w:rPr>
                <w:bCs/>
                <w:szCs w:val="18"/>
              </w:rPr>
            </w:pPr>
            <w:r w:rsidRPr="00124AB6">
              <w:rPr>
                <w:bCs/>
                <w:szCs w:val="18"/>
              </w:rPr>
              <w:t>None</w:t>
            </w:r>
          </w:p>
        </w:tc>
        <w:tc>
          <w:tcPr>
            <w:tcW w:w="1168" w:type="dxa"/>
            <w:vAlign w:val="center"/>
          </w:tcPr>
          <w:p w14:paraId="6D6729D8" w14:textId="77777777" w:rsidR="00124AB6" w:rsidRPr="00124AB6" w:rsidRDefault="00124AB6" w:rsidP="00124AB6">
            <w:pPr>
              <w:jc w:val="center"/>
              <w:rPr>
                <w:bCs/>
                <w:szCs w:val="18"/>
              </w:rPr>
            </w:pPr>
            <w:r w:rsidRPr="00124AB6">
              <w:rPr>
                <w:bCs/>
                <w:szCs w:val="18"/>
              </w:rPr>
              <w:t>T-714</w:t>
            </w:r>
          </w:p>
        </w:tc>
      </w:tr>
      <w:tr w:rsidR="00124AB6" w:rsidRPr="00124AB6" w14:paraId="1A148E3D" w14:textId="77777777" w:rsidTr="004E3BFD">
        <w:trPr>
          <w:cantSplit/>
          <w:trHeight w:val="432"/>
          <w:jc w:val="center"/>
        </w:trPr>
        <w:tc>
          <w:tcPr>
            <w:tcW w:w="1350" w:type="dxa"/>
            <w:vAlign w:val="center"/>
          </w:tcPr>
          <w:p w14:paraId="5B0E03EC" w14:textId="77777777" w:rsidR="00124AB6" w:rsidRPr="00124AB6" w:rsidRDefault="00124AB6" w:rsidP="00124AB6">
            <w:pPr>
              <w:jc w:val="center"/>
              <w:rPr>
                <w:bCs/>
                <w:szCs w:val="18"/>
              </w:rPr>
            </w:pPr>
            <w:r w:rsidRPr="00124AB6">
              <w:rPr>
                <w:bCs/>
                <w:szCs w:val="18"/>
              </w:rPr>
              <w:t>T-715</w:t>
            </w:r>
          </w:p>
        </w:tc>
        <w:tc>
          <w:tcPr>
            <w:tcW w:w="5132" w:type="dxa"/>
            <w:vAlign w:val="center"/>
          </w:tcPr>
          <w:p w14:paraId="43B95C49" w14:textId="77777777" w:rsidR="00124AB6" w:rsidRPr="00124AB6" w:rsidRDefault="00124AB6" w:rsidP="00124AB6">
            <w:pPr>
              <w:jc w:val="center"/>
              <w:rPr>
                <w:bCs/>
                <w:szCs w:val="18"/>
              </w:rPr>
            </w:pPr>
            <w:r w:rsidRPr="00124AB6">
              <w:rPr>
                <w:bCs/>
                <w:szCs w:val="18"/>
              </w:rPr>
              <w:t>Storage Tank T-715</w:t>
            </w:r>
          </w:p>
        </w:tc>
        <w:tc>
          <w:tcPr>
            <w:tcW w:w="1981" w:type="dxa"/>
            <w:vAlign w:val="center"/>
          </w:tcPr>
          <w:p w14:paraId="39163769" w14:textId="77777777" w:rsidR="00124AB6" w:rsidRPr="00124AB6" w:rsidRDefault="00124AB6" w:rsidP="00124AB6">
            <w:pPr>
              <w:jc w:val="center"/>
            </w:pPr>
            <w:r w:rsidRPr="00124AB6">
              <w:t>1993</w:t>
            </w:r>
          </w:p>
        </w:tc>
        <w:tc>
          <w:tcPr>
            <w:tcW w:w="1174" w:type="dxa"/>
            <w:vAlign w:val="center"/>
          </w:tcPr>
          <w:p w14:paraId="24587749" w14:textId="77777777" w:rsidR="00124AB6" w:rsidRPr="00124AB6" w:rsidRDefault="00124AB6" w:rsidP="00124AB6">
            <w:pPr>
              <w:jc w:val="center"/>
              <w:rPr>
                <w:bCs/>
                <w:szCs w:val="18"/>
              </w:rPr>
            </w:pPr>
            <w:r w:rsidRPr="00124AB6">
              <w:rPr>
                <w:bCs/>
                <w:szCs w:val="18"/>
              </w:rPr>
              <w:t>None</w:t>
            </w:r>
          </w:p>
        </w:tc>
        <w:tc>
          <w:tcPr>
            <w:tcW w:w="1168" w:type="dxa"/>
            <w:vAlign w:val="center"/>
          </w:tcPr>
          <w:p w14:paraId="70E4F193" w14:textId="77777777" w:rsidR="00124AB6" w:rsidRPr="00124AB6" w:rsidRDefault="00124AB6" w:rsidP="00124AB6">
            <w:pPr>
              <w:jc w:val="center"/>
              <w:rPr>
                <w:bCs/>
                <w:szCs w:val="18"/>
              </w:rPr>
            </w:pPr>
            <w:r w:rsidRPr="00124AB6">
              <w:rPr>
                <w:bCs/>
                <w:szCs w:val="18"/>
              </w:rPr>
              <w:t>T-715</w:t>
            </w:r>
          </w:p>
        </w:tc>
      </w:tr>
      <w:tr w:rsidR="00124AB6" w:rsidRPr="00124AB6" w14:paraId="5C033424" w14:textId="77777777" w:rsidTr="004E3BFD">
        <w:trPr>
          <w:cantSplit/>
          <w:trHeight w:val="432"/>
          <w:jc w:val="center"/>
        </w:trPr>
        <w:tc>
          <w:tcPr>
            <w:tcW w:w="1350" w:type="dxa"/>
            <w:vAlign w:val="center"/>
          </w:tcPr>
          <w:p w14:paraId="21A17B20" w14:textId="77777777" w:rsidR="00124AB6" w:rsidRPr="00124AB6" w:rsidRDefault="00124AB6" w:rsidP="00124AB6">
            <w:pPr>
              <w:jc w:val="center"/>
              <w:rPr>
                <w:bCs/>
                <w:szCs w:val="18"/>
              </w:rPr>
            </w:pPr>
            <w:r w:rsidRPr="00124AB6">
              <w:rPr>
                <w:bCs/>
                <w:szCs w:val="18"/>
              </w:rPr>
              <w:t>T-716</w:t>
            </w:r>
          </w:p>
        </w:tc>
        <w:tc>
          <w:tcPr>
            <w:tcW w:w="5132" w:type="dxa"/>
            <w:vAlign w:val="center"/>
          </w:tcPr>
          <w:p w14:paraId="4AFD409C" w14:textId="77777777" w:rsidR="00124AB6" w:rsidRPr="00124AB6" w:rsidRDefault="00124AB6" w:rsidP="00124AB6">
            <w:pPr>
              <w:jc w:val="center"/>
              <w:rPr>
                <w:bCs/>
                <w:szCs w:val="18"/>
              </w:rPr>
            </w:pPr>
            <w:r w:rsidRPr="00124AB6">
              <w:rPr>
                <w:bCs/>
                <w:szCs w:val="18"/>
              </w:rPr>
              <w:t>Storage Tank T-716</w:t>
            </w:r>
          </w:p>
        </w:tc>
        <w:tc>
          <w:tcPr>
            <w:tcW w:w="1981" w:type="dxa"/>
            <w:vAlign w:val="center"/>
          </w:tcPr>
          <w:p w14:paraId="70A46D2C" w14:textId="77777777" w:rsidR="00124AB6" w:rsidRPr="00124AB6" w:rsidRDefault="00124AB6" w:rsidP="00124AB6">
            <w:pPr>
              <w:jc w:val="center"/>
            </w:pPr>
            <w:r w:rsidRPr="00124AB6">
              <w:t>1993</w:t>
            </w:r>
          </w:p>
        </w:tc>
        <w:tc>
          <w:tcPr>
            <w:tcW w:w="1174" w:type="dxa"/>
            <w:vAlign w:val="center"/>
          </w:tcPr>
          <w:p w14:paraId="6EFD1C47" w14:textId="77777777" w:rsidR="00124AB6" w:rsidRPr="00124AB6" w:rsidRDefault="00124AB6" w:rsidP="00124AB6">
            <w:pPr>
              <w:jc w:val="center"/>
              <w:rPr>
                <w:bCs/>
                <w:szCs w:val="18"/>
              </w:rPr>
            </w:pPr>
            <w:r w:rsidRPr="00124AB6">
              <w:rPr>
                <w:bCs/>
                <w:szCs w:val="18"/>
              </w:rPr>
              <w:t>None</w:t>
            </w:r>
          </w:p>
        </w:tc>
        <w:tc>
          <w:tcPr>
            <w:tcW w:w="1168" w:type="dxa"/>
            <w:vAlign w:val="center"/>
          </w:tcPr>
          <w:p w14:paraId="7F32D430" w14:textId="77777777" w:rsidR="00124AB6" w:rsidRPr="00124AB6" w:rsidRDefault="00124AB6" w:rsidP="00124AB6">
            <w:pPr>
              <w:jc w:val="center"/>
              <w:rPr>
                <w:bCs/>
                <w:szCs w:val="18"/>
              </w:rPr>
            </w:pPr>
            <w:r w:rsidRPr="00124AB6">
              <w:rPr>
                <w:bCs/>
                <w:szCs w:val="18"/>
              </w:rPr>
              <w:t>T-716</w:t>
            </w:r>
          </w:p>
        </w:tc>
      </w:tr>
      <w:tr w:rsidR="00124AB6" w:rsidRPr="00124AB6" w14:paraId="3B24C1AA" w14:textId="77777777" w:rsidTr="004E3BFD">
        <w:trPr>
          <w:cantSplit/>
          <w:trHeight w:val="432"/>
          <w:jc w:val="center"/>
        </w:trPr>
        <w:tc>
          <w:tcPr>
            <w:tcW w:w="1350" w:type="dxa"/>
            <w:vAlign w:val="center"/>
          </w:tcPr>
          <w:p w14:paraId="01F428EA" w14:textId="77777777" w:rsidR="00124AB6" w:rsidRPr="00124AB6" w:rsidRDefault="00124AB6" w:rsidP="00124AB6">
            <w:pPr>
              <w:jc w:val="center"/>
              <w:rPr>
                <w:bCs/>
                <w:szCs w:val="18"/>
              </w:rPr>
            </w:pPr>
            <w:r w:rsidRPr="00124AB6">
              <w:rPr>
                <w:bCs/>
                <w:szCs w:val="18"/>
              </w:rPr>
              <w:t>T-717</w:t>
            </w:r>
          </w:p>
        </w:tc>
        <w:tc>
          <w:tcPr>
            <w:tcW w:w="5132" w:type="dxa"/>
            <w:vAlign w:val="center"/>
          </w:tcPr>
          <w:p w14:paraId="0ED258B3" w14:textId="77777777" w:rsidR="00124AB6" w:rsidRPr="00124AB6" w:rsidRDefault="00124AB6" w:rsidP="00124AB6">
            <w:pPr>
              <w:jc w:val="center"/>
              <w:rPr>
                <w:bCs/>
                <w:szCs w:val="18"/>
              </w:rPr>
            </w:pPr>
            <w:r w:rsidRPr="00124AB6">
              <w:rPr>
                <w:bCs/>
                <w:szCs w:val="18"/>
              </w:rPr>
              <w:t>Storage Tank T-717</w:t>
            </w:r>
          </w:p>
        </w:tc>
        <w:tc>
          <w:tcPr>
            <w:tcW w:w="1981" w:type="dxa"/>
            <w:vAlign w:val="center"/>
          </w:tcPr>
          <w:p w14:paraId="36A18DA4" w14:textId="77777777" w:rsidR="00124AB6" w:rsidRPr="00124AB6" w:rsidRDefault="00124AB6" w:rsidP="00124AB6">
            <w:pPr>
              <w:jc w:val="center"/>
            </w:pPr>
            <w:r w:rsidRPr="00124AB6">
              <w:t>Pre-1980</w:t>
            </w:r>
          </w:p>
        </w:tc>
        <w:tc>
          <w:tcPr>
            <w:tcW w:w="1174" w:type="dxa"/>
            <w:vAlign w:val="center"/>
          </w:tcPr>
          <w:p w14:paraId="6EC3A969" w14:textId="77777777" w:rsidR="00124AB6" w:rsidRPr="00124AB6" w:rsidRDefault="00124AB6" w:rsidP="00124AB6">
            <w:pPr>
              <w:jc w:val="center"/>
              <w:rPr>
                <w:bCs/>
                <w:szCs w:val="18"/>
              </w:rPr>
            </w:pPr>
            <w:r w:rsidRPr="00124AB6">
              <w:rPr>
                <w:bCs/>
                <w:szCs w:val="18"/>
              </w:rPr>
              <w:t>None</w:t>
            </w:r>
          </w:p>
        </w:tc>
        <w:tc>
          <w:tcPr>
            <w:tcW w:w="1168" w:type="dxa"/>
            <w:vAlign w:val="center"/>
          </w:tcPr>
          <w:p w14:paraId="6347235E" w14:textId="77777777" w:rsidR="00124AB6" w:rsidRPr="00124AB6" w:rsidRDefault="00124AB6" w:rsidP="00124AB6">
            <w:pPr>
              <w:jc w:val="center"/>
              <w:rPr>
                <w:bCs/>
                <w:szCs w:val="18"/>
              </w:rPr>
            </w:pPr>
            <w:r w:rsidRPr="00124AB6">
              <w:rPr>
                <w:bCs/>
                <w:szCs w:val="18"/>
              </w:rPr>
              <w:t>T-717</w:t>
            </w:r>
          </w:p>
        </w:tc>
      </w:tr>
      <w:tr w:rsidR="00124AB6" w:rsidRPr="00124AB6" w14:paraId="40611E17" w14:textId="77777777" w:rsidTr="004E3BFD">
        <w:trPr>
          <w:cantSplit/>
          <w:trHeight w:val="432"/>
          <w:jc w:val="center"/>
        </w:trPr>
        <w:tc>
          <w:tcPr>
            <w:tcW w:w="1350" w:type="dxa"/>
            <w:vAlign w:val="center"/>
          </w:tcPr>
          <w:p w14:paraId="0C265B8C" w14:textId="77777777" w:rsidR="00124AB6" w:rsidRPr="00124AB6" w:rsidRDefault="00124AB6" w:rsidP="00124AB6">
            <w:pPr>
              <w:jc w:val="center"/>
              <w:rPr>
                <w:bCs/>
                <w:szCs w:val="18"/>
              </w:rPr>
            </w:pPr>
            <w:r w:rsidRPr="00124AB6">
              <w:rPr>
                <w:bCs/>
                <w:szCs w:val="18"/>
              </w:rPr>
              <w:t>T-410</w:t>
            </w:r>
          </w:p>
        </w:tc>
        <w:tc>
          <w:tcPr>
            <w:tcW w:w="5132" w:type="dxa"/>
            <w:vAlign w:val="center"/>
          </w:tcPr>
          <w:p w14:paraId="3692B398" w14:textId="77777777" w:rsidR="00124AB6" w:rsidRPr="00124AB6" w:rsidRDefault="00124AB6" w:rsidP="00124AB6">
            <w:pPr>
              <w:jc w:val="center"/>
              <w:rPr>
                <w:bCs/>
                <w:szCs w:val="18"/>
              </w:rPr>
            </w:pPr>
            <w:r w:rsidRPr="00124AB6">
              <w:rPr>
                <w:bCs/>
                <w:szCs w:val="18"/>
              </w:rPr>
              <w:t>Storage Tank T-410</w:t>
            </w:r>
          </w:p>
        </w:tc>
        <w:tc>
          <w:tcPr>
            <w:tcW w:w="1981" w:type="dxa"/>
            <w:vAlign w:val="center"/>
          </w:tcPr>
          <w:p w14:paraId="3500AEBA" w14:textId="77777777" w:rsidR="00124AB6" w:rsidRPr="00124AB6" w:rsidRDefault="00124AB6" w:rsidP="00124AB6">
            <w:pPr>
              <w:jc w:val="center"/>
            </w:pPr>
            <w:r w:rsidRPr="00124AB6">
              <w:t>1989</w:t>
            </w:r>
          </w:p>
        </w:tc>
        <w:tc>
          <w:tcPr>
            <w:tcW w:w="1174" w:type="dxa"/>
            <w:vAlign w:val="center"/>
          </w:tcPr>
          <w:p w14:paraId="763BED9C" w14:textId="77777777" w:rsidR="00124AB6" w:rsidRPr="00124AB6" w:rsidRDefault="00124AB6" w:rsidP="00124AB6">
            <w:pPr>
              <w:jc w:val="center"/>
              <w:rPr>
                <w:bCs/>
                <w:szCs w:val="18"/>
              </w:rPr>
            </w:pPr>
            <w:r w:rsidRPr="00124AB6">
              <w:rPr>
                <w:bCs/>
                <w:szCs w:val="18"/>
              </w:rPr>
              <w:t>None</w:t>
            </w:r>
          </w:p>
        </w:tc>
        <w:tc>
          <w:tcPr>
            <w:tcW w:w="1168" w:type="dxa"/>
            <w:vAlign w:val="center"/>
          </w:tcPr>
          <w:p w14:paraId="741763EB" w14:textId="77777777" w:rsidR="00124AB6" w:rsidRPr="00124AB6" w:rsidRDefault="00124AB6" w:rsidP="00124AB6">
            <w:pPr>
              <w:jc w:val="center"/>
              <w:rPr>
                <w:bCs/>
                <w:szCs w:val="18"/>
              </w:rPr>
            </w:pPr>
            <w:r w:rsidRPr="00124AB6">
              <w:rPr>
                <w:bCs/>
                <w:szCs w:val="18"/>
              </w:rPr>
              <w:t>T-410</w:t>
            </w:r>
          </w:p>
        </w:tc>
      </w:tr>
      <w:tr w:rsidR="00124AB6" w:rsidRPr="00124AB6" w14:paraId="325E8F6B" w14:textId="77777777" w:rsidTr="004E3BFD">
        <w:trPr>
          <w:cantSplit/>
          <w:trHeight w:val="432"/>
          <w:jc w:val="center"/>
        </w:trPr>
        <w:tc>
          <w:tcPr>
            <w:tcW w:w="1350" w:type="dxa"/>
            <w:vAlign w:val="center"/>
          </w:tcPr>
          <w:p w14:paraId="68CC2B99" w14:textId="77777777" w:rsidR="00124AB6" w:rsidRPr="00124AB6" w:rsidRDefault="00124AB6" w:rsidP="00124AB6">
            <w:pPr>
              <w:jc w:val="center"/>
              <w:rPr>
                <w:bCs/>
                <w:szCs w:val="18"/>
              </w:rPr>
            </w:pPr>
            <w:r w:rsidRPr="00124AB6">
              <w:rPr>
                <w:bCs/>
                <w:szCs w:val="18"/>
              </w:rPr>
              <w:t>T-460B</w:t>
            </w:r>
          </w:p>
        </w:tc>
        <w:tc>
          <w:tcPr>
            <w:tcW w:w="5132" w:type="dxa"/>
            <w:vAlign w:val="center"/>
          </w:tcPr>
          <w:p w14:paraId="7BB18537" w14:textId="77777777" w:rsidR="00124AB6" w:rsidRPr="00124AB6" w:rsidRDefault="00124AB6" w:rsidP="00124AB6">
            <w:pPr>
              <w:jc w:val="center"/>
              <w:rPr>
                <w:bCs/>
                <w:szCs w:val="18"/>
              </w:rPr>
            </w:pPr>
            <w:r w:rsidRPr="00124AB6">
              <w:rPr>
                <w:bCs/>
                <w:szCs w:val="18"/>
              </w:rPr>
              <w:t>Storage Tank T-460B</w:t>
            </w:r>
          </w:p>
        </w:tc>
        <w:tc>
          <w:tcPr>
            <w:tcW w:w="1981" w:type="dxa"/>
            <w:vAlign w:val="center"/>
          </w:tcPr>
          <w:p w14:paraId="645079C0" w14:textId="77777777" w:rsidR="00124AB6" w:rsidRPr="00124AB6" w:rsidRDefault="00124AB6" w:rsidP="00124AB6">
            <w:pPr>
              <w:jc w:val="center"/>
            </w:pPr>
            <w:r w:rsidRPr="00124AB6">
              <w:t>2000</w:t>
            </w:r>
          </w:p>
        </w:tc>
        <w:tc>
          <w:tcPr>
            <w:tcW w:w="1174" w:type="dxa"/>
            <w:vAlign w:val="center"/>
          </w:tcPr>
          <w:p w14:paraId="7E5BB4CE" w14:textId="77777777" w:rsidR="00124AB6" w:rsidRPr="00124AB6" w:rsidRDefault="00124AB6" w:rsidP="00124AB6">
            <w:pPr>
              <w:jc w:val="center"/>
              <w:rPr>
                <w:bCs/>
                <w:szCs w:val="18"/>
              </w:rPr>
            </w:pPr>
            <w:r w:rsidRPr="00124AB6">
              <w:rPr>
                <w:bCs/>
                <w:szCs w:val="18"/>
              </w:rPr>
              <w:t>None</w:t>
            </w:r>
          </w:p>
        </w:tc>
        <w:tc>
          <w:tcPr>
            <w:tcW w:w="1168" w:type="dxa"/>
            <w:vAlign w:val="center"/>
          </w:tcPr>
          <w:p w14:paraId="1F343EEB" w14:textId="77777777" w:rsidR="00124AB6" w:rsidRPr="00124AB6" w:rsidRDefault="00124AB6" w:rsidP="00124AB6">
            <w:pPr>
              <w:jc w:val="center"/>
              <w:rPr>
                <w:bCs/>
                <w:szCs w:val="18"/>
              </w:rPr>
            </w:pPr>
            <w:r w:rsidRPr="00124AB6">
              <w:rPr>
                <w:bCs/>
                <w:szCs w:val="18"/>
              </w:rPr>
              <w:t>T-460B</w:t>
            </w:r>
          </w:p>
        </w:tc>
      </w:tr>
    </w:tbl>
    <w:p w14:paraId="70B0D1BC" w14:textId="77777777" w:rsidR="00124AB6" w:rsidRPr="00124AB6" w:rsidRDefault="00124AB6" w:rsidP="00124AB6">
      <w:pPr>
        <w:rPr>
          <w:rFonts w:cs="Open Sans"/>
          <w:szCs w:val="20"/>
        </w:rPr>
      </w:pPr>
    </w:p>
    <w:tbl>
      <w:tblPr>
        <w:tblW w:w="1080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2" w:type="dxa"/>
          <w:right w:w="72" w:type="dxa"/>
        </w:tblCellMar>
        <w:tblLook w:val="01E0" w:firstRow="1" w:lastRow="1" w:firstColumn="1" w:lastColumn="1" w:noHBand="0" w:noVBand="0"/>
      </w:tblPr>
      <w:tblGrid>
        <w:gridCol w:w="1350"/>
        <w:gridCol w:w="5130"/>
        <w:gridCol w:w="1980"/>
        <w:gridCol w:w="1173"/>
        <w:gridCol w:w="1167"/>
      </w:tblGrid>
      <w:tr w:rsidR="00124AB6" w:rsidRPr="00124AB6" w14:paraId="2ECFDD48" w14:textId="77777777" w:rsidTr="004E3BFD">
        <w:trPr>
          <w:cantSplit/>
          <w:tblHeader/>
          <w:jc w:val="center"/>
        </w:trPr>
        <w:tc>
          <w:tcPr>
            <w:tcW w:w="10800" w:type="dxa"/>
            <w:gridSpan w:val="5"/>
            <w:vAlign w:val="center"/>
          </w:tcPr>
          <w:p w14:paraId="4A6B1FA5" w14:textId="77777777" w:rsidR="00124AB6" w:rsidRPr="00124AB6" w:rsidRDefault="00124AB6" w:rsidP="00124AB6">
            <w:pPr>
              <w:keepNext/>
              <w:keepLines/>
              <w:widowControl w:val="0"/>
              <w:numPr>
                <w:ilvl w:val="0"/>
                <w:numId w:val="5"/>
              </w:numPr>
              <w:rPr>
                <w:rFonts w:eastAsiaTheme="majorEastAsia" w:cstheme="majorBidi"/>
                <w:b/>
                <w:szCs w:val="26"/>
              </w:rPr>
            </w:pPr>
            <w:r w:rsidRPr="00124AB6">
              <w:rPr>
                <w:rFonts w:eastAsiaTheme="majorEastAsia" w:cstheme="majorBidi"/>
                <w:b/>
                <w:szCs w:val="26"/>
              </w:rPr>
              <w:t xml:space="preserve">EQUIPMENT FOR EMISSION </w:t>
            </w:r>
            <w:smartTag w:uri="urn:schemas-microsoft-com:office:smarttags" w:element="stockticker">
              <w:r w:rsidRPr="00124AB6">
                <w:rPr>
                  <w:rFonts w:eastAsiaTheme="majorEastAsia" w:cstheme="majorBidi"/>
                  <w:b/>
                  <w:szCs w:val="26"/>
                </w:rPr>
                <w:t>UNIT</w:t>
              </w:r>
            </w:smartTag>
            <w:r w:rsidRPr="00124AB6">
              <w:rPr>
                <w:rFonts w:eastAsiaTheme="majorEastAsia" w:cstheme="majorBidi"/>
                <w:b/>
                <w:szCs w:val="26"/>
              </w:rPr>
              <w:t xml:space="preserve"> 18 – NSPS SUBPART KB STORAGE TANKS</w:t>
            </w:r>
          </w:p>
          <w:p w14:paraId="0AA9CAA5" w14:textId="77777777" w:rsidR="00124AB6" w:rsidRPr="00124AB6" w:rsidRDefault="00124AB6" w:rsidP="00124AB6">
            <w:pPr>
              <w:rPr>
                <w:b/>
                <w:szCs w:val="20"/>
              </w:rPr>
            </w:pPr>
          </w:p>
        </w:tc>
      </w:tr>
      <w:tr w:rsidR="00124AB6" w:rsidRPr="00124AB6" w14:paraId="52A0AF7A" w14:textId="77777777" w:rsidTr="004E3BFD">
        <w:trPr>
          <w:cantSplit/>
          <w:trHeight w:val="432"/>
          <w:tblHeader/>
          <w:jc w:val="center"/>
        </w:trPr>
        <w:tc>
          <w:tcPr>
            <w:tcW w:w="1350" w:type="dxa"/>
            <w:shd w:val="pct10" w:color="auto" w:fill="auto"/>
            <w:vAlign w:val="center"/>
          </w:tcPr>
          <w:p w14:paraId="7768D59D" w14:textId="77777777" w:rsidR="00124AB6" w:rsidRPr="00124AB6" w:rsidRDefault="00124AB6" w:rsidP="00124AB6">
            <w:pPr>
              <w:jc w:val="center"/>
              <w:rPr>
                <w:b/>
              </w:rPr>
            </w:pPr>
            <w:r w:rsidRPr="00124AB6">
              <w:rPr>
                <w:b/>
              </w:rPr>
              <w:t>Equipment ID</w:t>
            </w:r>
          </w:p>
        </w:tc>
        <w:tc>
          <w:tcPr>
            <w:tcW w:w="5130" w:type="dxa"/>
            <w:shd w:val="pct10" w:color="auto" w:fill="auto"/>
            <w:vAlign w:val="center"/>
          </w:tcPr>
          <w:p w14:paraId="0BD7ECA9" w14:textId="77777777" w:rsidR="00124AB6" w:rsidRPr="00124AB6" w:rsidRDefault="00124AB6" w:rsidP="00124AB6">
            <w:pPr>
              <w:jc w:val="center"/>
              <w:rPr>
                <w:b/>
              </w:rPr>
            </w:pPr>
            <w:r w:rsidRPr="00124AB6">
              <w:rPr>
                <w:b/>
              </w:rPr>
              <w:t>Equipment Description</w:t>
            </w:r>
          </w:p>
        </w:tc>
        <w:tc>
          <w:tcPr>
            <w:tcW w:w="1980" w:type="dxa"/>
            <w:shd w:val="pct10" w:color="auto" w:fill="auto"/>
            <w:vAlign w:val="center"/>
          </w:tcPr>
          <w:p w14:paraId="759ED659" w14:textId="77777777" w:rsidR="00124AB6" w:rsidRPr="00124AB6" w:rsidRDefault="00124AB6" w:rsidP="00124AB6">
            <w:pPr>
              <w:jc w:val="center"/>
              <w:rPr>
                <w:b/>
              </w:rPr>
            </w:pPr>
            <w:r w:rsidRPr="00124AB6">
              <w:rPr>
                <w:b/>
              </w:rPr>
              <w:t>Installation Date/</w:t>
            </w:r>
          </w:p>
          <w:p w14:paraId="6992150E" w14:textId="77777777" w:rsidR="00124AB6" w:rsidRPr="00124AB6" w:rsidRDefault="00124AB6" w:rsidP="00124AB6">
            <w:pPr>
              <w:jc w:val="center"/>
              <w:rPr>
                <w:b/>
              </w:rPr>
            </w:pPr>
            <w:r w:rsidRPr="00124AB6">
              <w:rPr>
                <w:b/>
              </w:rPr>
              <w:t>Modification Date</w:t>
            </w:r>
          </w:p>
        </w:tc>
        <w:tc>
          <w:tcPr>
            <w:tcW w:w="1173" w:type="dxa"/>
            <w:shd w:val="pct10" w:color="auto" w:fill="auto"/>
            <w:vAlign w:val="center"/>
          </w:tcPr>
          <w:p w14:paraId="243EBCB0" w14:textId="77777777" w:rsidR="00124AB6" w:rsidRPr="00124AB6" w:rsidRDefault="00124AB6" w:rsidP="00124AB6">
            <w:pPr>
              <w:jc w:val="center"/>
              <w:rPr>
                <w:b/>
              </w:rPr>
            </w:pPr>
            <w:r w:rsidRPr="00124AB6">
              <w:rPr>
                <w:b/>
              </w:rPr>
              <w:t>Control Device ID</w:t>
            </w:r>
          </w:p>
        </w:tc>
        <w:tc>
          <w:tcPr>
            <w:tcW w:w="1167" w:type="dxa"/>
            <w:shd w:val="pct10" w:color="auto" w:fill="auto"/>
            <w:vAlign w:val="center"/>
          </w:tcPr>
          <w:p w14:paraId="15D9766B" w14:textId="77777777" w:rsidR="00124AB6" w:rsidRPr="00124AB6" w:rsidRDefault="00124AB6" w:rsidP="00124AB6">
            <w:pPr>
              <w:jc w:val="center"/>
              <w:rPr>
                <w:b/>
              </w:rPr>
            </w:pPr>
            <w:smartTag w:uri="urn:schemas-microsoft-com:office:smarttags" w:element="place">
              <w:smartTag w:uri="urn:schemas-microsoft-com:office:smarttags" w:element="PlaceName">
                <w:r w:rsidRPr="00124AB6">
                  <w:rPr>
                    <w:b/>
                  </w:rPr>
                  <w:t>Emission</w:t>
                </w:r>
              </w:smartTag>
              <w:r w:rsidRPr="00124AB6">
                <w:rPr>
                  <w:b/>
                </w:rPr>
                <w:t xml:space="preserve"> </w:t>
              </w:r>
              <w:smartTag w:uri="urn:schemas-microsoft-com:office:smarttags" w:element="PlaceType">
                <w:r w:rsidRPr="00124AB6">
                  <w:rPr>
                    <w:b/>
                  </w:rPr>
                  <w:t>Point</w:t>
                </w:r>
              </w:smartTag>
              <w:r w:rsidRPr="00124AB6">
                <w:rPr>
                  <w:b/>
                </w:rPr>
                <w:t xml:space="preserve"> </w:t>
              </w:r>
              <w:smartTag w:uri="urn:schemas-microsoft-com:office:smarttags" w:element="PlaceName">
                <w:r w:rsidRPr="00124AB6">
                  <w:rPr>
                    <w:b/>
                  </w:rPr>
                  <w:t>ID</w:t>
                </w:r>
              </w:smartTag>
            </w:smartTag>
          </w:p>
        </w:tc>
      </w:tr>
      <w:tr w:rsidR="00124AB6" w:rsidRPr="00124AB6" w14:paraId="6F55266F" w14:textId="77777777" w:rsidTr="004E3BFD">
        <w:trPr>
          <w:cantSplit/>
          <w:trHeight w:val="432"/>
          <w:jc w:val="center"/>
        </w:trPr>
        <w:tc>
          <w:tcPr>
            <w:tcW w:w="1350" w:type="dxa"/>
            <w:vAlign w:val="center"/>
          </w:tcPr>
          <w:p w14:paraId="7978B588" w14:textId="77777777" w:rsidR="00124AB6" w:rsidRPr="00124AB6" w:rsidRDefault="00124AB6" w:rsidP="00124AB6">
            <w:pPr>
              <w:jc w:val="center"/>
              <w:rPr>
                <w:bCs/>
                <w:szCs w:val="18"/>
              </w:rPr>
            </w:pPr>
            <w:r w:rsidRPr="00124AB6">
              <w:rPr>
                <w:bCs/>
                <w:szCs w:val="18"/>
              </w:rPr>
              <w:t>T-415</w:t>
            </w:r>
          </w:p>
        </w:tc>
        <w:tc>
          <w:tcPr>
            <w:tcW w:w="5130" w:type="dxa"/>
            <w:vAlign w:val="center"/>
          </w:tcPr>
          <w:p w14:paraId="26D916EC" w14:textId="77777777" w:rsidR="00124AB6" w:rsidRPr="00124AB6" w:rsidRDefault="00124AB6" w:rsidP="00124AB6">
            <w:pPr>
              <w:jc w:val="center"/>
              <w:rPr>
                <w:bCs/>
                <w:szCs w:val="18"/>
              </w:rPr>
            </w:pPr>
            <w:r w:rsidRPr="00124AB6">
              <w:rPr>
                <w:bCs/>
                <w:szCs w:val="18"/>
              </w:rPr>
              <w:t>Storage Tank T-415</w:t>
            </w:r>
          </w:p>
        </w:tc>
        <w:tc>
          <w:tcPr>
            <w:tcW w:w="1980" w:type="dxa"/>
            <w:vAlign w:val="center"/>
          </w:tcPr>
          <w:p w14:paraId="71512097" w14:textId="77777777" w:rsidR="00124AB6" w:rsidRPr="00124AB6" w:rsidRDefault="00124AB6" w:rsidP="00124AB6">
            <w:pPr>
              <w:jc w:val="center"/>
            </w:pPr>
            <w:r w:rsidRPr="00124AB6">
              <w:t>1989</w:t>
            </w:r>
          </w:p>
        </w:tc>
        <w:tc>
          <w:tcPr>
            <w:tcW w:w="1173" w:type="dxa"/>
            <w:vAlign w:val="center"/>
          </w:tcPr>
          <w:p w14:paraId="505C3E49" w14:textId="77777777" w:rsidR="00124AB6" w:rsidRPr="00124AB6" w:rsidRDefault="00124AB6" w:rsidP="00124AB6">
            <w:pPr>
              <w:jc w:val="center"/>
              <w:rPr>
                <w:bCs/>
                <w:szCs w:val="18"/>
              </w:rPr>
            </w:pPr>
            <w:r w:rsidRPr="00124AB6">
              <w:rPr>
                <w:bCs/>
                <w:szCs w:val="18"/>
              </w:rPr>
              <w:t>TO-1</w:t>
            </w:r>
          </w:p>
        </w:tc>
        <w:tc>
          <w:tcPr>
            <w:tcW w:w="1167" w:type="dxa"/>
            <w:vAlign w:val="center"/>
          </w:tcPr>
          <w:p w14:paraId="7DCE530D" w14:textId="77777777" w:rsidR="00124AB6" w:rsidRPr="00124AB6" w:rsidRDefault="00124AB6" w:rsidP="00124AB6">
            <w:pPr>
              <w:jc w:val="center"/>
              <w:rPr>
                <w:bCs/>
                <w:szCs w:val="18"/>
              </w:rPr>
            </w:pPr>
            <w:r w:rsidRPr="00124AB6">
              <w:rPr>
                <w:bCs/>
                <w:szCs w:val="18"/>
              </w:rPr>
              <w:t>13</w:t>
            </w:r>
          </w:p>
        </w:tc>
      </w:tr>
    </w:tbl>
    <w:p w14:paraId="30B07553" w14:textId="77777777" w:rsidR="00124AB6" w:rsidRDefault="00124AB6" w:rsidP="00124AB6">
      <w:pPr>
        <w:rPr>
          <w:rFonts w:cs="Open Sans"/>
          <w:szCs w:val="20"/>
        </w:rPr>
      </w:pPr>
    </w:p>
    <w:tbl>
      <w:tblPr>
        <w:tblStyle w:val="TableGrid"/>
        <w:tblW w:w="10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50"/>
        <w:gridCol w:w="4860"/>
        <w:gridCol w:w="1890"/>
        <w:gridCol w:w="1440"/>
        <w:gridCol w:w="1260"/>
      </w:tblGrid>
      <w:tr w:rsidR="00124AB6" w:rsidRPr="00124AB6" w14:paraId="76285D40" w14:textId="77777777" w:rsidTr="004E3BFD">
        <w:trPr>
          <w:tblHeader/>
        </w:trPr>
        <w:tc>
          <w:tcPr>
            <w:tcW w:w="10800" w:type="dxa"/>
            <w:gridSpan w:val="5"/>
            <w:tcBorders>
              <w:top w:val="single" w:sz="2" w:space="0" w:color="auto"/>
              <w:left w:val="single" w:sz="2" w:space="0" w:color="auto"/>
              <w:bottom w:val="single" w:sz="2" w:space="0" w:color="auto"/>
              <w:right w:val="single" w:sz="2" w:space="0" w:color="auto"/>
            </w:tcBorders>
          </w:tcPr>
          <w:p w14:paraId="7C91B482" w14:textId="77777777" w:rsidR="00124AB6" w:rsidRPr="00124AB6" w:rsidRDefault="00124AB6" w:rsidP="00124AB6">
            <w:pPr>
              <w:keepNext/>
              <w:keepLines/>
              <w:numPr>
                <w:ilvl w:val="0"/>
                <w:numId w:val="5"/>
              </w:numPr>
              <w:ind w:left="735" w:hanging="735"/>
              <w:rPr>
                <w:rFonts w:eastAsiaTheme="majorEastAsia" w:cstheme="majorBidi"/>
                <w:b/>
                <w:szCs w:val="26"/>
              </w:rPr>
            </w:pPr>
            <w:r w:rsidRPr="00124AB6">
              <w:rPr>
                <w:rFonts w:eastAsiaTheme="majorEastAsia" w:cstheme="majorBidi"/>
                <w:b/>
                <w:szCs w:val="26"/>
              </w:rPr>
              <w:t>CONTROL DEVICE(S) FOR EMISSION UNIT 18 – NSPS SUBPART KB STORAGE TANKS</w:t>
            </w:r>
          </w:p>
          <w:p w14:paraId="7CC6EABD" w14:textId="77777777" w:rsidR="00124AB6" w:rsidRPr="00124AB6" w:rsidRDefault="00124AB6" w:rsidP="00124AB6"/>
        </w:tc>
      </w:tr>
      <w:tr w:rsidR="00124AB6" w:rsidRPr="00124AB6" w14:paraId="55A30D67" w14:textId="77777777" w:rsidTr="004E3BFD">
        <w:trPr>
          <w:trHeight w:val="432"/>
          <w:tblHeader/>
        </w:trPr>
        <w:tc>
          <w:tcPr>
            <w:tcW w:w="1350"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058E658D" w14:textId="77777777" w:rsidR="00124AB6" w:rsidRPr="00124AB6" w:rsidRDefault="00124AB6" w:rsidP="00124AB6">
            <w:pPr>
              <w:jc w:val="center"/>
              <w:rPr>
                <w:b/>
              </w:rPr>
            </w:pPr>
            <w:r w:rsidRPr="00124AB6">
              <w:rPr>
                <w:b/>
              </w:rPr>
              <w:t>Control Device ID</w:t>
            </w:r>
          </w:p>
        </w:tc>
        <w:tc>
          <w:tcPr>
            <w:tcW w:w="4860"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42DA8B18" w14:textId="77777777" w:rsidR="00124AB6" w:rsidRPr="00124AB6" w:rsidRDefault="00124AB6" w:rsidP="00124AB6">
            <w:pPr>
              <w:jc w:val="center"/>
              <w:rPr>
                <w:b/>
              </w:rPr>
            </w:pPr>
            <w:r w:rsidRPr="00124AB6">
              <w:rPr>
                <w:b/>
              </w:rPr>
              <w:t>Control Device Description</w:t>
            </w:r>
          </w:p>
        </w:tc>
        <w:tc>
          <w:tcPr>
            <w:tcW w:w="1890"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5516EC63" w14:textId="77777777" w:rsidR="00124AB6" w:rsidRPr="00124AB6" w:rsidRDefault="00124AB6" w:rsidP="00124AB6">
            <w:pPr>
              <w:jc w:val="center"/>
              <w:rPr>
                <w:b/>
              </w:rPr>
            </w:pPr>
            <w:r w:rsidRPr="00124AB6">
              <w:rPr>
                <w:b/>
              </w:rPr>
              <w:t>Pollutant(s) Controlled</w:t>
            </w:r>
          </w:p>
        </w:tc>
        <w:tc>
          <w:tcPr>
            <w:tcW w:w="1440"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6B77758B" w14:textId="77777777" w:rsidR="00124AB6" w:rsidRPr="00124AB6" w:rsidRDefault="00124AB6" w:rsidP="00124AB6">
            <w:pPr>
              <w:jc w:val="center"/>
              <w:rPr>
                <w:b/>
              </w:rPr>
            </w:pPr>
            <w:r w:rsidRPr="00124AB6">
              <w:rPr>
                <w:b/>
              </w:rPr>
              <w:t>Installation Date</w:t>
            </w:r>
          </w:p>
        </w:tc>
        <w:tc>
          <w:tcPr>
            <w:tcW w:w="1260"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60E53EB2" w14:textId="77777777" w:rsidR="00124AB6" w:rsidRPr="00124AB6" w:rsidRDefault="00124AB6" w:rsidP="00124AB6">
            <w:pPr>
              <w:jc w:val="center"/>
              <w:rPr>
                <w:b/>
              </w:rPr>
            </w:pPr>
            <w:r w:rsidRPr="00124AB6">
              <w:rPr>
                <w:b/>
              </w:rPr>
              <w:t>Emission Point ID</w:t>
            </w:r>
          </w:p>
        </w:tc>
      </w:tr>
      <w:tr w:rsidR="00124AB6" w:rsidRPr="00124AB6" w14:paraId="0478CCCB" w14:textId="77777777" w:rsidTr="004E3BFD">
        <w:trPr>
          <w:trHeight w:val="432"/>
        </w:trPr>
        <w:tc>
          <w:tcPr>
            <w:tcW w:w="1350" w:type="dxa"/>
            <w:tcBorders>
              <w:top w:val="single" w:sz="2" w:space="0" w:color="auto"/>
              <w:left w:val="single" w:sz="2" w:space="0" w:color="auto"/>
              <w:bottom w:val="single" w:sz="2" w:space="0" w:color="auto"/>
              <w:right w:val="single" w:sz="2" w:space="0" w:color="auto"/>
            </w:tcBorders>
          </w:tcPr>
          <w:p w14:paraId="6B4600FB" w14:textId="77777777" w:rsidR="00124AB6" w:rsidRPr="00124AB6" w:rsidRDefault="00124AB6" w:rsidP="00124AB6">
            <w:pPr>
              <w:jc w:val="center"/>
            </w:pPr>
            <w:r w:rsidRPr="00124AB6">
              <w:rPr>
                <w:szCs w:val="20"/>
              </w:rPr>
              <w:t>TO-1</w:t>
            </w:r>
          </w:p>
        </w:tc>
        <w:tc>
          <w:tcPr>
            <w:tcW w:w="4860" w:type="dxa"/>
            <w:tcBorders>
              <w:top w:val="single" w:sz="2" w:space="0" w:color="auto"/>
              <w:left w:val="single" w:sz="2" w:space="0" w:color="auto"/>
              <w:bottom w:val="single" w:sz="2" w:space="0" w:color="auto"/>
              <w:right w:val="single" w:sz="2" w:space="0" w:color="auto"/>
            </w:tcBorders>
          </w:tcPr>
          <w:p w14:paraId="77A091D8" w14:textId="77777777" w:rsidR="00124AB6" w:rsidRPr="00124AB6" w:rsidRDefault="00124AB6" w:rsidP="00124AB6">
            <w:pPr>
              <w:jc w:val="center"/>
            </w:pPr>
            <w:r w:rsidRPr="00124AB6">
              <w:t>Thermal Oxidizer (Natural Gas as Fuel)</w:t>
            </w:r>
          </w:p>
        </w:tc>
        <w:tc>
          <w:tcPr>
            <w:tcW w:w="1890" w:type="dxa"/>
            <w:tcBorders>
              <w:top w:val="single" w:sz="2" w:space="0" w:color="auto"/>
              <w:left w:val="single" w:sz="2" w:space="0" w:color="auto"/>
              <w:bottom w:val="single" w:sz="2" w:space="0" w:color="auto"/>
              <w:right w:val="single" w:sz="2" w:space="0" w:color="auto"/>
            </w:tcBorders>
          </w:tcPr>
          <w:p w14:paraId="660804A0" w14:textId="77777777" w:rsidR="00124AB6" w:rsidRPr="00124AB6" w:rsidRDefault="00124AB6" w:rsidP="00124AB6">
            <w:pPr>
              <w:jc w:val="center"/>
            </w:pPr>
            <w:r w:rsidRPr="00124AB6">
              <w:rPr>
                <w:szCs w:val="20"/>
              </w:rPr>
              <w:t>VOC, HAP, TAP</w:t>
            </w:r>
          </w:p>
        </w:tc>
        <w:tc>
          <w:tcPr>
            <w:tcW w:w="1440" w:type="dxa"/>
            <w:tcBorders>
              <w:top w:val="single" w:sz="2" w:space="0" w:color="auto"/>
              <w:left w:val="single" w:sz="2" w:space="0" w:color="auto"/>
              <w:bottom w:val="single" w:sz="2" w:space="0" w:color="auto"/>
              <w:right w:val="single" w:sz="2" w:space="0" w:color="auto"/>
            </w:tcBorders>
          </w:tcPr>
          <w:p w14:paraId="5CA66363" w14:textId="77777777" w:rsidR="00124AB6" w:rsidRPr="00124AB6" w:rsidRDefault="00124AB6" w:rsidP="00124AB6">
            <w:pPr>
              <w:jc w:val="center"/>
            </w:pPr>
            <w:r w:rsidRPr="00124AB6">
              <w:rPr>
                <w:szCs w:val="20"/>
              </w:rPr>
              <w:t>2007</w:t>
            </w:r>
          </w:p>
        </w:tc>
        <w:tc>
          <w:tcPr>
            <w:tcW w:w="1260" w:type="dxa"/>
            <w:tcBorders>
              <w:top w:val="single" w:sz="2" w:space="0" w:color="auto"/>
              <w:left w:val="single" w:sz="2" w:space="0" w:color="auto"/>
              <w:bottom w:val="single" w:sz="2" w:space="0" w:color="auto"/>
              <w:right w:val="single" w:sz="2" w:space="0" w:color="auto"/>
            </w:tcBorders>
          </w:tcPr>
          <w:p w14:paraId="763FB111" w14:textId="77777777" w:rsidR="00124AB6" w:rsidRPr="00124AB6" w:rsidRDefault="00124AB6" w:rsidP="00124AB6">
            <w:pPr>
              <w:jc w:val="center"/>
            </w:pPr>
            <w:r w:rsidRPr="00124AB6">
              <w:t>13</w:t>
            </w:r>
          </w:p>
        </w:tc>
      </w:tr>
    </w:tbl>
    <w:p w14:paraId="295545B7" w14:textId="77777777" w:rsidR="00A3574E" w:rsidRDefault="00A3574E" w:rsidP="00F244AE">
      <w:pPr>
        <w:rPr>
          <w:rFonts w:cs="Open Sans"/>
          <w:szCs w:val="20"/>
        </w:rPr>
      </w:pPr>
    </w:p>
    <w:tbl>
      <w:tblPr>
        <w:tblStyle w:val="TableGrid"/>
        <w:tblW w:w="10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67"/>
        <w:gridCol w:w="9433"/>
      </w:tblGrid>
      <w:tr w:rsidR="00D54368" w14:paraId="04D2C81B" w14:textId="77777777" w:rsidTr="00BD4159">
        <w:trPr>
          <w:cantSplit w:val="0"/>
          <w:tblHeader/>
        </w:trPr>
        <w:tc>
          <w:tcPr>
            <w:tcW w:w="10800" w:type="dxa"/>
            <w:gridSpan w:val="2"/>
            <w:tcBorders>
              <w:top w:val="single" w:sz="2" w:space="0" w:color="auto"/>
              <w:left w:val="single" w:sz="2" w:space="0" w:color="auto"/>
              <w:bottom w:val="single" w:sz="2" w:space="0" w:color="auto"/>
              <w:right w:val="single" w:sz="2" w:space="0" w:color="auto"/>
            </w:tcBorders>
          </w:tcPr>
          <w:p w14:paraId="47603946" w14:textId="77777777" w:rsidR="00F244AE" w:rsidRPr="00A3574E" w:rsidRDefault="00124AB6" w:rsidP="00971C71">
            <w:pPr>
              <w:pStyle w:val="TableHeading"/>
            </w:pPr>
            <w:r w:rsidRPr="00A3574E">
              <w:t>LIMITATIONS, MONITORING, AND REPORTING</w:t>
            </w:r>
          </w:p>
          <w:p w14:paraId="51820A52" w14:textId="77777777" w:rsidR="00F244AE" w:rsidRDefault="00F244AE">
            <w:pPr>
              <w:rPr>
                <w:rFonts w:cs="Open Sans"/>
                <w:szCs w:val="20"/>
              </w:rPr>
            </w:pPr>
          </w:p>
        </w:tc>
      </w:tr>
      <w:tr w:rsidR="00D54368" w14:paraId="753A366F" w14:textId="77777777" w:rsidTr="00BD4159">
        <w:trPr>
          <w:cantSplit w:val="0"/>
          <w:tblHeader/>
        </w:trPr>
        <w:tc>
          <w:tcPr>
            <w:tcW w:w="1367"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25535EE5" w14:textId="77777777" w:rsidR="00F244AE" w:rsidRDefault="00124AB6">
            <w:pPr>
              <w:jc w:val="center"/>
              <w:rPr>
                <w:rFonts w:cs="Open Sans"/>
                <w:b/>
                <w:szCs w:val="20"/>
              </w:rPr>
            </w:pPr>
            <w:r>
              <w:rPr>
                <w:rFonts w:cs="Open Sans"/>
                <w:b/>
                <w:szCs w:val="20"/>
              </w:rPr>
              <w:t>Condition Number</w:t>
            </w:r>
          </w:p>
        </w:tc>
        <w:tc>
          <w:tcPr>
            <w:tcW w:w="9433"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0A6C3BAE" w14:textId="77777777" w:rsidR="00F244AE" w:rsidRDefault="00124AB6">
            <w:pPr>
              <w:jc w:val="center"/>
              <w:rPr>
                <w:rFonts w:cs="Open Sans"/>
                <w:b/>
                <w:szCs w:val="20"/>
              </w:rPr>
            </w:pPr>
            <w:r>
              <w:rPr>
                <w:rFonts w:cs="Open Sans"/>
                <w:b/>
                <w:szCs w:val="20"/>
              </w:rPr>
              <w:t>Conditions</w:t>
            </w:r>
          </w:p>
        </w:tc>
      </w:tr>
      <w:tr w:rsidR="00124AB6" w14:paraId="2491085F"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7" w:type="dxa"/>
          </w:tcPr>
          <w:p w14:paraId="55473151" w14:textId="77777777" w:rsidR="00124AB6" w:rsidRDefault="00124AB6" w:rsidP="004E3BFD">
            <w:pPr>
              <w:pStyle w:val="BNum"/>
            </w:pPr>
          </w:p>
        </w:tc>
        <w:tc>
          <w:tcPr>
            <w:tcW w:w="9433" w:type="dxa"/>
          </w:tcPr>
          <w:p w14:paraId="273BC6F8" w14:textId="77777777" w:rsidR="00124AB6" w:rsidRPr="001B6EC4" w:rsidRDefault="00124AB6" w:rsidP="004E3BFD">
            <w:r w:rsidRPr="001B6EC4">
              <w:rPr>
                <w:b/>
              </w:rPr>
              <w:t>Emission Unit ID:</w:t>
            </w:r>
            <w:r>
              <w:t xml:space="preserve"> 06, 07, 14, 18</w:t>
            </w:r>
          </w:p>
          <w:p w14:paraId="3B4CEA11" w14:textId="77777777" w:rsidR="00124AB6" w:rsidRDefault="00124AB6" w:rsidP="004E3BFD">
            <w:pPr>
              <w:jc w:val="left"/>
            </w:pPr>
            <w:r w:rsidRPr="009A00D8">
              <w:rPr>
                <w:b/>
              </w:rPr>
              <w:t>Equipment ID:</w:t>
            </w:r>
            <w:r w:rsidRPr="009A00D8">
              <w:t xml:space="preserve"> </w:t>
            </w:r>
            <w:r w:rsidRPr="004E6804">
              <w:rPr>
                <w:bCs/>
                <w:szCs w:val="18"/>
              </w:rPr>
              <w:t>R-2</w:t>
            </w:r>
            <w:r>
              <w:rPr>
                <w:bCs/>
                <w:szCs w:val="18"/>
              </w:rPr>
              <w:t xml:space="preserve">, </w:t>
            </w:r>
            <w:r w:rsidRPr="004E6804">
              <w:rPr>
                <w:bCs/>
                <w:szCs w:val="18"/>
              </w:rPr>
              <w:t>R-3</w:t>
            </w:r>
            <w:r>
              <w:rPr>
                <w:bCs/>
                <w:szCs w:val="18"/>
              </w:rPr>
              <w:t xml:space="preserve">, </w:t>
            </w:r>
            <w:r w:rsidRPr="004E6804">
              <w:rPr>
                <w:bCs/>
                <w:szCs w:val="18"/>
              </w:rPr>
              <w:t>R-4</w:t>
            </w:r>
            <w:r>
              <w:rPr>
                <w:bCs/>
                <w:szCs w:val="18"/>
              </w:rPr>
              <w:t xml:space="preserve">, </w:t>
            </w:r>
            <w:r w:rsidRPr="004E6804">
              <w:rPr>
                <w:bCs/>
                <w:szCs w:val="18"/>
              </w:rPr>
              <w:t>R-6</w:t>
            </w:r>
            <w:r>
              <w:rPr>
                <w:bCs/>
                <w:szCs w:val="18"/>
              </w:rPr>
              <w:t xml:space="preserve">, </w:t>
            </w:r>
            <w:r w:rsidRPr="004E6804">
              <w:rPr>
                <w:bCs/>
                <w:szCs w:val="18"/>
              </w:rPr>
              <w:t>R-7</w:t>
            </w:r>
            <w:r>
              <w:rPr>
                <w:bCs/>
                <w:szCs w:val="18"/>
              </w:rPr>
              <w:t xml:space="preserve">, </w:t>
            </w:r>
            <w:r w:rsidRPr="004E6804">
              <w:rPr>
                <w:bCs/>
                <w:szCs w:val="18"/>
              </w:rPr>
              <w:t>R-8</w:t>
            </w:r>
            <w:r>
              <w:rPr>
                <w:bCs/>
                <w:szCs w:val="18"/>
              </w:rPr>
              <w:t xml:space="preserve">, </w:t>
            </w:r>
            <w:r w:rsidRPr="004E6804">
              <w:rPr>
                <w:bCs/>
                <w:szCs w:val="18"/>
              </w:rPr>
              <w:t>R-11</w:t>
            </w:r>
            <w:r>
              <w:rPr>
                <w:bCs/>
                <w:szCs w:val="18"/>
              </w:rPr>
              <w:t xml:space="preserve">, </w:t>
            </w:r>
            <w:r w:rsidRPr="004E6804">
              <w:rPr>
                <w:bCs/>
                <w:szCs w:val="18"/>
              </w:rPr>
              <w:t>R-12</w:t>
            </w:r>
            <w:r>
              <w:rPr>
                <w:bCs/>
                <w:szCs w:val="18"/>
              </w:rPr>
              <w:t xml:space="preserve">, </w:t>
            </w:r>
            <w:r w:rsidRPr="004E6804">
              <w:rPr>
                <w:bCs/>
                <w:szCs w:val="18"/>
              </w:rPr>
              <w:t>R-10</w:t>
            </w:r>
            <w:r>
              <w:rPr>
                <w:bCs/>
                <w:szCs w:val="18"/>
              </w:rPr>
              <w:t xml:space="preserve">, </w:t>
            </w:r>
            <w:r w:rsidRPr="004E6804">
              <w:rPr>
                <w:bCs/>
                <w:szCs w:val="18"/>
              </w:rPr>
              <w:t>T-234</w:t>
            </w:r>
            <w:r>
              <w:rPr>
                <w:bCs/>
                <w:szCs w:val="18"/>
              </w:rPr>
              <w:t xml:space="preserve">, </w:t>
            </w:r>
            <w:r w:rsidRPr="004E6804">
              <w:rPr>
                <w:bCs/>
                <w:szCs w:val="18"/>
              </w:rPr>
              <w:t>T-501</w:t>
            </w:r>
            <w:r>
              <w:rPr>
                <w:bCs/>
                <w:szCs w:val="18"/>
              </w:rPr>
              <w:t>,</w:t>
            </w:r>
            <w:r w:rsidRPr="00534FD4">
              <w:rPr>
                <w:bCs/>
                <w:szCs w:val="18"/>
              </w:rPr>
              <w:t xml:space="preserve"> </w:t>
            </w:r>
            <w:r w:rsidRPr="00A75C58">
              <w:rPr>
                <w:bCs/>
                <w:szCs w:val="18"/>
              </w:rPr>
              <w:t>T-415</w:t>
            </w:r>
          </w:p>
          <w:p w14:paraId="10BC5D14" w14:textId="77777777" w:rsidR="00124AB6" w:rsidRPr="009A00D8" w:rsidRDefault="00124AB6" w:rsidP="004E3BFD">
            <w:r w:rsidRPr="009A00D8">
              <w:rPr>
                <w:b/>
              </w:rPr>
              <w:t>Control Device ID:</w:t>
            </w:r>
            <w:r w:rsidRPr="009A00D8">
              <w:t xml:space="preserve"> </w:t>
            </w:r>
            <w:r>
              <w:rPr>
                <w:bCs/>
              </w:rPr>
              <w:t xml:space="preserve">NP-1, </w:t>
            </w:r>
            <w:r>
              <w:t>TO-1</w:t>
            </w:r>
          </w:p>
          <w:p w14:paraId="254B8602" w14:textId="77777777" w:rsidR="00124AB6" w:rsidRDefault="00124AB6" w:rsidP="004E3BFD">
            <w:pPr>
              <w:rPr>
                <w:rFonts w:cs="Open Sans"/>
                <w:szCs w:val="20"/>
              </w:rPr>
            </w:pPr>
          </w:p>
          <w:p w14:paraId="5D60C7FA" w14:textId="77777777" w:rsidR="00124AB6" w:rsidRPr="000179B0" w:rsidRDefault="00124AB6" w:rsidP="004E3BFD">
            <w:pPr>
              <w:autoSpaceDE/>
              <w:autoSpaceDN/>
              <w:adjustRightInd/>
            </w:pPr>
            <w:r w:rsidRPr="000179B0">
              <w:t>The owner or operator shall inspect, calibrate, adjust, and maintain continuous monitoring systems, monitoring devices, and gauges in accordance with manufacturer’s specifications or good engineering practices. The owner or operator shall maintain on file all measurements including continuous monitoring system or monitoring device performance measurements; all continuous monitoring system performance evaluations; all continuous monitoring system or monitoring device calibration checks; adjustments and maintenance performed on these systems or devices; and all other information required in a permanent form suitable for inspection by Department personnel.</w:t>
            </w:r>
          </w:p>
          <w:p w14:paraId="64E4A613" w14:textId="77777777" w:rsidR="00124AB6" w:rsidRPr="000179B0" w:rsidRDefault="00124AB6" w:rsidP="004E3BFD">
            <w:pPr>
              <w:autoSpaceDE/>
              <w:autoSpaceDN/>
              <w:adjustRightInd/>
            </w:pPr>
          </w:p>
          <w:p w14:paraId="32C40217" w14:textId="77777777" w:rsidR="00124AB6" w:rsidRDefault="00124AB6" w:rsidP="004E3BFD">
            <w:pPr>
              <w:autoSpaceDE/>
              <w:autoSpaceDN/>
              <w:adjustRightInd/>
              <w:rPr>
                <w:rFonts w:cs="Open Sans"/>
                <w:szCs w:val="20"/>
              </w:rPr>
            </w:pPr>
            <w:r w:rsidRPr="000179B0">
              <w:t>(S.C. Regulation 61-62.1, Section II(J)(1)(d)) Sources required to have continuous emission monitors shall submit reports as specified in applicable parts of the permit, law, regulations, or standards.</w:t>
            </w:r>
          </w:p>
        </w:tc>
      </w:tr>
      <w:tr w:rsidR="00124AB6" w14:paraId="3651B530"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7" w:type="dxa"/>
          </w:tcPr>
          <w:p w14:paraId="6AFADA15" w14:textId="77777777" w:rsidR="00124AB6" w:rsidRDefault="00124AB6" w:rsidP="004E3BFD">
            <w:pPr>
              <w:pStyle w:val="BNum"/>
            </w:pPr>
          </w:p>
        </w:tc>
        <w:tc>
          <w:tcPr>
            <w:tcW w:w="9433" w:type="dxa"/>
          </w:tcPr>
          <w:p w14:paraId="348D52F6" w14:textId="77777777" w:rsidR="00124AB6" w:rsidRPr="001B6EC4" w:rsidRDefault="00124AB6" w:rsidP="004E3BFD">
            <w:r w:rsidRPr="001B6EC4">
              <w:rPr>
                <w:b/>
              </w:rPr>
              <w:t>Emission Unit ID:</w:t>
            </w:r>
            <w:r>
              <w:t xml:space="preserve"> 06, 07, 14, 18</w:t>
            </w:r>
          </w:p>
          <w:p w14:paraId="2CB4809C" w14:textId="77777777" w:rsidR="00124AB6" w:rsidRDefault="00124AB6" w:rsidP="004E3BFD">
            <w:pPr>
              <w:jc w:val="left"/>
            </w:pPr>
            <w:r w:rsidRPr="009A00D8">
              <w:rPr>
                <w:b/>
              </w:rPr>
              <w:t>Equipment ID:</w:t>
            </w:r>
            <w:r w:rsidRPr="009A00D8">
              <w:t xml:space="preserve"> </w:t>
            </w:r>
            <w:r w:rsidRPr="004E6804">
              <w:rPr>
                <w:bCs/>
                <w:szCs w:val="18"/>
              </w:rPr>
              <w:t>R-2</w:t>
            </w:r>
            <w:r>
              <w:rPr>
                <w:bCs/>
                <w:szCs w:val="18"/>
              </w:rPr>
              <w:t xml:space="preserve">, </w:t>
            </w:r>
            <w:r w:rsidRPr="004E6804">
              <w:rPr>
                <w:bCs/>
                <w:szCs w:val="18"/>
              </w:rPr>
              <w:t>R-3</w:t>
            </w:r>
            <w:r>
              <w:rPr>
                <w:bCs/>
                <w:szCs w:val="18"/>
              </w:rPr>
              <w:t xml:space="preserve">, </w:t>
            </w:r>
            <w:r w:rsidRPr="004E6804">
              <w:rPr>
                <w:bCs/>
                <w:szCs w:val="18"/>
              </w:rPr>
              <w:t>R-4</w:t>
            </w:r>
            <w:r>
              <w:rPr>
                <w:bCs/>
                <w:szCs w:val="18"/>
              </w:rPr>
              <w:t xml:space="preserve">, </w:t>
            </w:r>
            <w:r w:rsidRPr="004E6804">
              <w:rPr>
                <w:bCs/>
                <w:szCs w:val="18"/>
              </w:rPr>
              <w:t>R-6</w:t>
            </w:r>
            <w:r>
              <w:rPr>
                <w:bCs/>
                <w:szCs w:val="18"/>
              </w:rPr>
              <w:t xml:space="preserve">, </w:t>
            </w:r>
            <w:r w:rsidRPr="004E6804">
              <w:rPr>
                <w:bCs/>
                <w:szCs w:val="18"/>
              </w:rPr>
              <w:t>R-7</w:t>
            </w:r>
            <w:r>
              <w:rPr>
                <w:bCs/>
                <w:szCs w:val="18"/>
              </w:rPr>
              <w:t xml:space="preserve">, </w:t>
            </w:r>
            <w:r w:rsidRPr="004E6804">
              <w:rPr>
                <w:bCs/>
                <w:szCs w:val="18"/>
              </w:rPr>
              <w:t>R-8</w:t>
            </w:r>
            <w:r>
              <w:rPr>
                <w:bCs/>
                <w:szCs w:val="18"/>
              </w:rPr>
              <w:t xml:space="preserve">, </w:t>
            </w:r>
            <w:r w:rsidRPr="004E6804">
              <w:rPr>
                <w:bCs/>
                <w:szCs w:val="18"/>
              </w:rPr>
              <w:t>R-11</w:t>
            </w:r>
            <w:r>
              <w:rPr>
                <w:bCs/>
                <w:szCs w:val="18"/>
              </w:rPr>
              <w:t xml:space="preserve">, </w:t>
            </w:r>
            <w:r w:rsidRPr="004E6804">
              <w:rPr>
                <w:bCs/>
                <w:szCs w:val="18"/>
              </w:rPr>
              <w:t>R-12</w:t>
            </w:r>
            <w:r>
              <w:rPr>
                <w:bCs/>
                <w:szCs w:val="18"/>
              </w:rPr>
              <w:t xml:space="preserve">, </w:t>
            </w:r>
            <w:r w:rsidRPr="004E6804">
              <w:rPr>
                <w:bCs/>
                <w:szCs w:val="18"/>
              </w:rPr>
              <w:t>R-10</w:t>
            </w:r>
            <w:r>
              <w:rPr>
                <w:bCs/>
                <w:szCs w:val="18"/>
              </w:rPr>
              <w:t xml:space="preserve">, </w:t>
            </w:r>
            <w:r w:rsidRPr="004E6804">
              <w:rPr>
                <w:bCs/>
                <w:szCs w:val="18"/>
              </w:rPr>
              <w:t>T-234</w:t>
            </w:r>
            <w:r>
              <w:rPr>
                <w:bCs/>
                <w:szCs w:val="18"/>
              </w:rPr>
              <w:t xml:space="preserve">, </w:t>
            </w:r>
            <w:r w:rsidRPr="004E6804">
              <w:rPr>
                <w:bCs/>
                <w:szCs w:val="18"/>
              </w:rPr>
              <w:t>T-501</w:t>
            </w:r>
            <w:r>
              <w:rPr>
                <w:bCs/>
                <w:szCs w:val="18"/>
              </w:rPr>
              <w:t>,</w:t>
            </w:r>
            <w:r w:rsidRPr="00534FD4">
              <w:rPr>
                <w:bCs/>
                <w:szCs w:val="18"/>
              </w:rPr>
              <w:t xml:space="preserve"> </w:t>
            </w:r>
            <w:r w:rsidRPr="00A75C58">
              <w:rPr>
                <w:bCs/>
                <w:szCs w:val="18"/>
              </w:rPr>
              <w:t>T-415</w:t>
            </w:r>
          </w:p>
          <w:p w14:paraId="23B6A0F6" w14:textId="77777777" w:rsidR="00124AB6" w:rsidRPr="009A00D8" w:rsidRDefault="00124AB6" w:rsidP="004E3BFD">
            <w:r w:rsidRPr="009A00D8">
              <w:rPr>
                <w:b/>
              </w:rPr>
              <w:t>Control Device ID:</w:t>
            </w:r>
            <w:r w:rsidRPr="009A00D8">
              <w:t xml:space="preserve"> </w:t>
            </w:r>
            <w:r>
              <w:rPr>
                <w:bCs/>
              </w:rPr>
              <w:t xml:space="preserve">NP-1, </w:t>
            </w:r>
            <w:r>
              <w:t>TO-1</w:t>
            </w:r>
          </w:p>
          <w:p w14:paraId="3049D15D" w14:textId="77777777" w:rsidR="00124AB6" w:rsidRDefault="00124AB6" w:rsidP="004E3BFD">
            <w:pPr>
              <w:autoSpaceDE/>
              <w:autoSpaceDN/>
              <w:adjustRightInd/>
              <w:rPr>
                <w:rFonts w:eastAsia="Open Sans"/>
                <w:szCs w:val="20"/>
              </w:rPr>
            </w:pPr>
          </w:p>
          <w:p w14:paraId="1AF1A804" w14:textId="77777777" w:rsidR="00124AB6" w:rsidRPr="000179B0" w:rsidRDefault="00124AB6" w:rsidP="004E3BFD">
            <w:pPr>
              <w:autoSpaceDE/>
              <w:autoSpaceDN/>
              <w:adjustRightInd/>
              <w:rPr>
                <w:rFonts w:eastAsia="Open Sans"/>
                <w:szCs w:val="20"/>
              </w:rPr>
            </w:pPr>
            <w:r w:rsidRPr="000179B0">
              <w:rPr>
                <w:rFonts w:eastAsia="Open Sans"/>
                <w:szCs w:val="20"/>
              </w:rPr>
              <w:t xml:space="preserve">All gauges shall be readily accessible and easily read by operating personnel and Department personnel (i.e. on ground level or easily accessible roof level). Monitoring parameter readings (e.g., pressure drop readings, flow rates, etc.) and inspection checks shall be maintained in logs (written or electronic), along with any corrective action taken when deviations occur. Each occurrence of operation outside the operational ranges, including date and time, cause, and corrective action taken, shall be </w:t>
            </w:r>
            <w:proofErr w:type="gramStart"/>
            <w:r w:rsidRPr="000179B0">
              <w:rPr>
                <w:rFonts w:eastAsia="Open Sans"/>
                <w:szCs w:val="20"/>
              </w:rPr>
              <w:t>recorded</w:t>
            </w:r>
            <w:proofErr w:type="gramEnd"/>
            <w:r w:rsidRPr="000179B0">
              <w:rPr>
                <w:rFonts w:eastAsia="Open Sans"/>
                <w:szCs w:val="20"/>
              </w:rPr>
              <w:t xml:space="preserve"> and kept on site. Exceedance of operational range shall not be considered a violation of an emission limit of this permit, unless the exceedance is also accompanied by other information demonstrating that a violation of an emission limit has taken place.</w:t>
            </w:r>
          </w:p>
          <w:p w14:paraId="43C76304" w14:textId="77777777" w:rsidR="00124AB6" w:rsidRPr="000179B0" w:rsidRDefault="00124AB6" w:rsidP="004E3BFD">
            <w:pPr>
              <w:autoSpaceDE/>
              <w:autoSpaceDN/>
              <w:adjustRightInd/>
              <w:rPr>
                <w:rFonts w:eastAsia="Open Sans"/>
                <w:szCs w:val="20"/>
              </w:rPr>
            </w:pPr>
          </w:p>
          <w:p w14:paraId="532E67D2" w14:textId="77777777" w:rsidR="00124AB6" w:rsidRDefault="00124AB6" w:rsidP="004E3BFD">
            <w:pPr>
              <w:autoSpaceDE/>
              <w:autoSpaceDN/>
              <w:adjustRightInd/>
              <w:rPr>
                <w:rFonts w:cs="Open Sans"/>
                <w:b/>
                <w:szCs w:val="20"/>
              </w:rPr>
            </w:pPr>
            <w:r w:rsidRPr="000179B0">
              <w:rPr>
                <w:rFonts w:eastAsia="Open Sans"/>
                <w:szCs w:val="20"/>
              </w:rPr>
              <w:t xml:space="preserve">Reports of these occurrences shall be submitted </w:t>
            </w:r>
            <w:sdt>
              <w:sdtPr>
                <w:rPr>
                  <w:rFonts w:eastAsia="Open Sans"/>
                  <w:szCs w:val="20"/>
                </w:rPr>
                <w:id w:val="-1099557763"/>
                <w:placeholder>
                  <w:docPart w:val="73EF5EF6A47A4F82B0928253BB616898"/>
                </w:placeholder>
                <w:dropDownList>
                  <w:listItem w:value="Choose an item."/>
                  <w:listItem w:displayText="annually" w:value="annually"/>
                  <w:listItem w:displayText="semiannually" w:value="semiannually"/>
                </w:dropDownList>
              </w:sdtPr>
              <w:sdtEndPr/>
              <w:sdtContent>
                <w:r>
                  <w:rPr>
                    <w:rFonts w:eastAsia="Open Sans"/>
                    <w:szCs w:val="20"/>
                  </w:rPr>
                  <w:t>semiannually</w:t>
                </w:r>
              </w:sdtContent>
            </w:sdt>
            <w:r w:rsidRPr="000179B0">
              <w:rPr>
                <w:rFonts w:eastAsia="Open Sans"/>
                <w:szCs w:val="20"/>
              </w:rPr>
              <w:t xml:space="preserve">. If there were no occurrences during the reporting period, then documentation shall be submitted to indicate such. Any alternative method for monitoring control device performance must be preapproved by the Department and shall be incorporated into the permit as set forth in </w:t>
            </w:r>
            <w:sdt>
              <w:sdtPr>
                <w:rPr>
                  <w:rFonts w:eastAsia="Open Sans"/>
                  <w:szCs w:val="20"/>
                </w:rPr>
                <w:id w:val="414748940"/>
                <w:placeholder>
                  <w:docPart w:val="C5DFE0DCC8194581B4D739470C6D8835"/>
                </w:placeholder>
                <w:dropDownList>
                  <w:listItem w:value="Choose an item."/>
                  <w:listItem w:displayText="S.C. Regulation 61-62.1 Section II." w:value="S.C. Regulation 61-62.1 Section II."/>
                  <w:listItem w:displayText="S.C. Regulation 61-62.70.7." w:value="S.C. Regulation 61-62.70.7."/>
                </w:dropDownList>
              </w:sdtPr>
              <w:sdtEndPr/>
              <w:sdtContent>
                <w:r>
                  <w:rPr>
                    <w:rFonts w:eastAsia="Open Sans"/>
                    <w:szCs w:val="20"/>
                  </w:rPr>
                  <w:t>S.C. Regulation 61-62.70.7.</w:t>
                </w:r>
              </w:sdtContent>
            </w:sdt>
          </w:p>
        </w:tc>
      </w:tr>
      <w:tr w:rsidR="00124AB6" w14:paraId="49DA5570"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7" w:type="dxa"/>
          </w:tcPr>
          <w:p w14:paraId="77A0BA5E" w14:textId="77777777" w:rsidR="00124AB6" w:rsidRDefault="00124AB6" w:rsidP="004E3BFD">
            <w:pPr>
              <w:pStyle w:val="BNum"/>
            </w:pPr>
          </w:p>
        </w:tc>
        <w:tc>
          <w:tcPr>
            <w:tcW w:w="9433" w:type="dxa"/>
          </w:tcPr>
          <w:p w14:paraId="6C1A905F" w14:textId="77777777" w:rsidR="00124AB6" w:rsidRPr="001B6EC4" w:rsidRDefault="00124AB6" w:rsidP="004E3BFD">
            <w:r w:rsidRPr="001B6EC4">
              <w:rPr>
                <w:b/>
              </w:rPr>
              <w:t>Emission Unit ID:</w:t>
            </w:r>
            <w:r>
              <w:t xml:space="preserve"> 03</w:t>
            </w:r>
          </w:p>
          <w:p w14:paraId="52217FD3" w14:textId="77777777" w:rsidR="00124AB6" w:rsidRPr="009A00D8" w:rsidRDefault="00124AB6" w:rsidP="004E3BFD">
            <w:r w:rsidRPr="009A00D8">
              <w:rPr>
                <w:b/>
              </w:rPr>
              <w:t>Equipment ID:</w:t>
            </w:r>
            <w:r w:rsidRPr="009A00D8">
              <w:t xml:space="preserve"> </w:t>
            </w:r>
            <w:r w:rsidRPr="008B64B3">
              <w:t>B-3, B-5</w:t>
            </w:r>
          </w:p>
          <w:p w14:paraId="6A31B078" w14:textId="77777777" w:rsidR="00124AB6" w:rsidRDefault="00124AB6" w:rsidP="004E3BFD">
            <w:pPr>
              <w:rPr>
                <w:rFonts w:cs="Open Sans"/>
                <w:b/>
                <w:szCs w:val="20"/>
              </w:rPr>
            </w:pPr>
          </w:p>
          <w:p w14:paraId="0F4BDE3D" w14:textId="77777777" w:rsidR="00124AB6" w:rsidRPr="000179B0" w:rsidRDefault="00124AB6" w:rsidP="004E3BFD">
            <w:pPr>
              <w:autoSpaceDE/>
              <w:autoSpaceDN/>
              <w:adjustRightInd/>
              <w:rPr>
                <w:rFonts w:eastAsia="Open Sans"/>
                <w:szCs w:val="20"/>
              </w:rPr>
            </w:pPr>
            <w:r w:rsidRPr="000179B0">
              <w:rPr>
                <w:rFonts w:eastAsia="Open Sans"/>
                <w:szCs w:val="20"/>
              </w:rPr>
              <w:t>(S.C. Regulation 61-62.5, Standard No. 5.2) Any existing source where a burner assembly is replaced with another burner assembly after June 25, 2004, regardless of size or age of the burner assembly to be replaced shall be replaced with a low NO</w:t>
            </w:r>
            <w:r w:rsidRPr="000179B0">
              <w:rPr>
                <w:rFonts w:eastAsia="Open Sans"/>
                <w:szCs w:val="20"/>
                <w:vertAlign w:val="subscript"/>
              </w:rPr>
              <w:t>X</w:t>
            </w:r>
            <w:r w:rsidRPr="000179B0">
              <w:rPr>
                <w:rFonts w:eastAsia="Open Sans"/>
                <w:szCs w:val="20"/>
              </w:rPr>
              <w:t xml:space="preserve"> burner assembly or equivalent </w:t>
            </w:r>
            <w:proofErr w:type="gramStart"/>
            <w:r w:rsidRPr="000179B0">
              <w:rPr>
                <w:rFonts w:eastAsia="Open Sans"/>
                <w:szCs w:val="20"/>
              </w:rPr>
              <w:t>technology, and</w:t>
            </w:r>
            <w:proofErr w:type="gramEnd"/>
            <w:r w:rsidRPr="000179B0">
              <w:rPr>
                <w:rFonts w:eastAsia="Open Sans"/>
                <w:szCs w:val="20"/>
              </w:rPr>
              <w:t xml:space="preserve"> shall achieve a 30 percent reduction from uncontrolled NO</w:t>
            </w:r>
            <w:r w:rsidRPr="000179B0">
              <w:rPr>
                <w:rFonts w:eastAsia="Open Sans"/>
                <w:szCs w:val="20"/>
                <w:vertAlign w:val="subscript"/>
              </w:rPr>
              <w:t>X</w:t>
            </w:r>
            <w:r w:rsidRPr="000179B0">
              <w:rPr>
                <w:rFonts w:eastAsia="Open Sans"/>
                <w:szCs w:val="20"/>
              </w:rPr>
              <w:t xml:space="preserve"> emission levels based upon manufacturer’s specifications. An exemption from this requirement shall be granted when a single burner assembly is being replaced in an existing source with multiple burners due to non-routine maintenance. The replacement of individual components such as burner heads, nozzles, or </w:t>
            </w:r>
            <w:proofErr w:type="spellStart"/>
            <w:r w:rsidRPr="000179B0">
              <w:rPr>
                <w:rFonts w:eastAsia="Open Sans"/>
                <w:szCs w:val="20"/>
              </w:rPr>
              <w:t>windboxes</w:t>
            </w:r>
            <w:proofErr w:type="spellEnd"/>
            <w:r w:rsidRPr="000179B0">
              <w:rPr>
                <w:rFonts w:eastAsia="Open Sans"/>
                <w:szCs w:val="20"/>
              </w:rPr>
              <w:t xml:space="preserve"> does not trigger this requirement.</w:t>
            </w:r>
            <w:smartTag w:uri="urn:schemas-microsoft-com:office:smarttags" w:element="stockticker"/>
            <w:smartTag w:uri="urn:schemas-microsoft-com:office:smarttags" w:element="stockticker"/>
          </w:p>
          <w:p w14:paraId="6C997A30" w14:textId="77777777" w:rsidR="00124AB6" w:rsidRPr="000179B0" w:rsidRDefault="00124AB6" w:rsidP="004E3BFD">
            <w:pPr>
              <w:autoSpaceDE/>
              <w:autoSpaceDN/>
              <w:adjustRightInd/>
              <w:rPr>
                <w:rFonts w:eastAsia="Open Sans"/>
                <w:szCs w:val="20"/>
              </w:rPr>
            </w:pPr>
          </w:p>
          <w:p w14:paraId="56F16DD6" w14:textId="77777777" w:rsidR="00124AB6" w:rsidRPr="000179B0" w:rsidRDefault="00124AB6" w:rsidP="004E3BFD">
            <w:pPr>
              <w:autoSpaceDE/>
              <w:autoSpaceDN/>
              <w:adjustRightInd/>
              <w:rPr>
                <w:rFonts w:eastAsia="Open Sans"/>
                <w:szCs w:val="20"/>
              </w:rPr>
            </w:pPr>
            <w:r w:rsidRPr="000179B0">
              <w:rPr>
                <w:rFonts w:eastAsia="Open Sans"/>
                <w:szCs w:val="20"/>
              </w:rPr>
              <w:t xml:space="preserve">The owner or operator shall notify and register the burner assembly replacement with the Department, in writing, within 7 days of replacing the existing burner assembly. Notification will be provided on the Department’s </w:t>
            </w:r>
            <w:r w:rsidRPr="000179B0">
              <w:rPr>
                <w:rFonts w:eastAsia="Open Sans"/>
                <w:i/>
                <w:iCs/>
                <w:szCs w:val="20"/>
              </w:rPr>
              <w:t>Low NO</w:t>
            </w:r>
            <w:r w:rsidRPr="000179B0">
              <w:rPr>
                <w:rFonts w:eastAsia="Open Sans"/>
                <w:i/>
                <w:iCs/>
                <w:szCs w:val="20"/>
                <w:vertAlign w:val="subscript"/>
              </w:rPr>
              <w:t>x</w:t>
            </w:r>
            <w:r w:rsidRPr="000179B0">
              <w:rPr>
                <w:rFonts w:eastAsia="Open Sans"/>
                <w:i/>
                <w:iCs/>
                <w:szCs w:val="20"/>
              </w:rPr>
              <w:t xml:space="preserve"> Burner Assembly Replacement Notification</w:t>
            </w:r>
            <w:r w:rsidRPr="000179B0">
              <w:rPr>
                <w:rFonts w:eastAsia="Open Sans"/>
                <w:szCs w:val="20"/>
              </w:rPr>
              <w:t xml:space="preserve"> Form. Those affected sources that wish to receive an emission reduction credit for the control device will be required to submit a construction permit application. Those affected sources requesting an alternative control methodology must receive written approval prior to burner replacement.</w:t>
            </w:r>
          </w:p>
          <w:p w14:paraId="070F81E3" w14:textId="77777777" w:rsidR="00124AB6" w:rsidRPr="000179B0" w:rsidRDefault="00124AB6" w:rsidP="004E3BFD">
            <w:pPr>
              <w:autoSpaceDE/>
              <w:autoSpaceDN/>
              <w:adjustRightInd/>
              <w:rPr>
                <w:rFonts w:eastAsia="Open Sans"/>
                <w:szCs w:val="20"/>
              </w:rPr>
            </w:pPr>
          </w:p>
          <w:p w14:paraId="78F69E74" w14:textId="77777777" w:rsidR="00124AB6" w:rsidRPr="000179B0" w:rsidRDefault="00124AB6" w:rsidP="004E3BFD">
            <w:pPr>
              <w:autoSpaceDE/>
              <w:autoSpaceDN/>
              <w:adjustRightInd/>
              <w:rPr>
                <w:rFonts w:eastAsia="Open Sans"/>
                <w:szCs w:val="20"/>
              </w:rPr>
            </w:pPr>
            <w:r w:rsidRPr="000179B0">
              <w:rPr>
                <w:rFonts w:eastAsia="Open Sans"/>
                <w:szCs w:val="20"/>
              </w:rPr>
              <w:t>If the burner assembly is replaced as detailed above, the owner or operator shall perform tune-ups every twenty-four (24) months in accordance with manufacturer’s specifications or with good engineering practices. The first tune-up shall be conducted no more than twenty-four (24) months from replacement of a burner assembly for affected existing sources. Each subsequent tune-up shall be conducted no more than twenty-four (24) months after the previous tune-up.</w:t>
            </w:r>
          </w:p>
          <w:p w14:paraId="2829C2CD" w14:textId="77777777" w:rsidR="00124AB6" w:rsidRPr="000179B0" w:rsidRDefault="00124AB6" w:rsidP="004E3BFD">
            <w:pPr>
              <w:autoSpaceDE/>
              <w:autoSpaceDN/>
              <w:adjustRightInd/>
              <w:rPr>
                <w:rFonts w:eastAsia="Open Sans"/>
                <w:szCs w:val="20"/>
              </w:rPr>
            </w:pPr>
          </w:p>
          <w:p w14:paraId="6522F349" w14:textId="77777777" w:rsidR="00124AB6" w:rsidRPr="000179B0" w:rsidRDefault="00124AB6" w:rsidP="004E3BFD">
            <w:pPr>
              <w:autoSpaceDE/>
              <w:autoSpaceDN/>
              <w:adjustRightInd/>
              <w:rPr>
                <w:rFonts w:eastAsia="Open Sans"/>
                <w:szCs w:val="20"/>
              </w:rPr>
            </w:pPr>
            <w:r w:rsidRPr="000179B0">
              <w:rPr>
                <w:rFonts w:eastAsia="Open Sans"/>
                <w:szCs w:val="20"/>
              </w:rPr>
              <w:t>All tune-up records are required to be maintained on site and available for inspection by the Department for a period of five (5) years from the date generated.</w:t>
            </w:r>
          </w:p>
          <w:p w14:paraId="08DC15EF" w14:textId="77777777" w:rsidR="00124AB6" w:rsidRPr="000179B0" w:rsidRDefault="00124AB6" w:rsidP="004E3BFD">
            <w:pPr>
              <w:autoSpaceDE/>
              <w:autoSpaceDN/>
              <w:adjustRightInd/>
              <w:rPr>
                <w:rFonts w:eastAsia="Open Sans"/>
                <w:szCs w:val="20"/>
              </w:rPr>
            </w:pPr>
          </w:p>
          <w:p w14:paraId="7E422034" w14:textId="77777777" w:rsidR="00124AB6" w:rsidRDefault="00124AB6" w:rsidP="004E3BFD">
            <w:pPr>
              <w:autoSpaceDE/>
              <w:autoSpaceDN/>
              <w:adjustRightInd/>
              <w:rPr>
                <w:rFonts w:cs="Open Sans"/>
                <w:b/>
                <w:szCs w:val="20"/>
              </w:rPr>
            </w:pPr>
            <w:r w:rsidRPr="000179B0">
              <w:rPr>
                <w:rFonts w:eastAsia="Open Sans"/>
                <w:szCs w:val="20"/>
              </w:rPr>
              <w:t>The owner or operator shall develop and retain a tune-up plan on file.</w:t>
            </w:r>
          </w:p>
        </w:tc>
      </w:tr>
      <w:tr w:rsidR="00124AB6" w14:paraId="5EF16200"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7" w:type="dxa"/>
          </w:tcPr>
          <w:p w14:paraId="580C8EEA" w14:textId="77777777" w:rsidR="00124AB6" w:rsidRDefault="00124AB6" w:rsidP="004E3BFD">
            <w:pPr>
              <w:pStyle w:val="BNum"/>
            </w:pPr>
          </w:p>
        </w:tc>
        <w:tc>
          <w:tcPr>
            <w:tcW w:w="9433" w:type="dxa"/>
          </w:tcPr>
          <w:p w14:paraId="74D3900E" w14:textId="77777777" w:rsidR="00124AB6" w:rsidRPr="001B6EC4" w:rsidRDefault="00124AB6" w:rsidP="004E3BFD">
            <w:r w:rsidRPr="001B6EC4">
              <w:rPr>
                <w:b/>
              </w:rPr>
              <w:t>Emission Unit ID:</w:t>
            </w:r>
            <w:r>
              <w:t xml:space="preserve"> </w:t>
            </w:r>
            <w:r w:rsidRPr="00A04999">
              <w:rPr>
                <w:lang w:val="fr-FR"/>
              </w:rPr>
              <w:t>06, 07, 14, 15, 18</w:t>
            </w:r>
          </w:p>
          <w:p w14:paraId="734A5C3F" w14:textId="77777777" w:rsidR="00124AB6" w:rsidRDefault="00124AB6" w:rsidP="004E3BFD">
            <w:pPr>
              <w:rPr>
                <w:b/>
              </w:rPr>
            </w:pPr>
          </w:p>
          <w:p w14:paraId="06C1E423" w14:textId="77777777" w:rsidR="00124AB6" w:rsidRPr="009A00D8" w:rsidRDefault="00124AB6" w:rsidP="004E3BFD">
            <w:r w:rsidRPr="009A00D8">
              <w:rPr>
                <w:b/>
              </w:rPr>
              <w:t>Equipment ID:</w:t>
            </w:r>
            <w:r w:rsidRPr="009A00D8">
              <w:t xml:space="preserve"> </w:t>
            </w:r>
            <w:r w:rsidRPr="00A65F6F">
              <w:rPr>
                <w:bCs/>
                <w:szCs w:val="20"/>
                <w:lang w:val="fr-FR"/>
              </w:rPr>
              <w:t xml:space="preserve">R-2, R-3, R-4, R-6, R-7, </w:t>
            </w:r>
            <w:r>
              <w:rPr>
                <w:bCs/>
                <w:szCs w:val="20"/>
                <w:lang w:val="fr-FR"/>
              </w:rPr>
              <w:t xml:space="preserve">R-8, </w:t>
            </w:r>
            <w:r w:rsidRPr="00A65F6F">
              <w:rPr>
                <w:bCs/>
                <w:szCs w:val="20"/>
                <w:lang w:val="fr-FR"/>
              </w:rPr>
              <w:t>R-10, R-11, R-12, T-234, T-501, T-106, T-220, T-221, T-222, T-223, T-224, T-225, T-227, T-228, T-301, T-302, T-303, T-304, T-305, T-306, T-307, T-308, T-309, T-310, T-311, T-312, T-313, T-314, T-315, T-712, T-714, T-715, T-716, T-410, T-460B, T-415</w:t>
            </w:r>
          </w:p>
          <w:p w14:paraId="5759C0F2" w14:textId="77777777" w:rsidR="00124AB6" w:rsidRDefault="00124AB6" w:rsidP="004E3BFD">
            <w:pPr>
              <w:rPr>
                <w:rFonts w:cs="Open Sans"/>
                <w:b/>
                <w:szCs w:val="20"/>
              </w:rPr>
            </w:pPr>
          </w:p>
          <w:p w14:paraId="294BE087" w14:textId="77777777" w:rsidR="00124AB6" w:rsidRDefault="00124AB6" w:rsidP="004E3BFD">
            <w:pPr>
              <w:rPr>
                <w:rFonts w:cs="Open Sans"/>
                <w:b/>
                <w:szCs w:val="20"/>
              </w:rPr>
            </w:pPr>
            <w:r w:rsidRPr="005C22D9">
              <w:t>(S.C. Regulation 61</w:t>
            </w:r>
            <w:r w:rsidRPr="005C22D9">
              <w:noBreakHyphen/>
              <w:t xml:space="preserve">62.5, Standard No. 4, Section IX) Where construction or modification began after December 31, 1985, emissions from </w:t>
            </w:r>
            <w:r>
              <w:t>these sources</w:t>
            </w:r>
            <w:r w:rsidRPr="005C22D9">
              <w:t xml:space="preserve"> (including fugitive emissions) shall</w:t>
            </w:r>
            <w:r>
              <w:t xml:space="preserve"> </w:t>
            </w:r>
            <w:r w:rsidRPr="005C22D9">
              <w:t>not exhibit an opacity greater than 20%</w:t>
            </w:r>
            <w:r>
              <w:t xml:space="preserve"> each</w:t>
            </w:r>
            <w:r w:rsidRPr="005C22D9">
              <w:t>.</w:t>
            </w:r>
          </w:p>
        </w:tc>
      </w:tr>
      <w:tr w:rsidR="00124AB6" w14:paraId="6D032C31"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7" w:type="dxa"/>
          </w:tcPr>
          <w:p w14:paraId="6D49745C" w14:textId="77777777" w:rsidR="00124AB6" w:rsidRDefault="00124AB6" w:rsidP="004E3BFD">
            <w:pPr>
              <w:pStyle w:val="BNum"/>
            </w:pPr>
          </w:p>
        </w:tc>
        <w:tc>
          <w:tcPr>
            <w:tcW w:w="9433" w:type="dxa"/>
          </w:tcPr>
          <w:p w14:paraId="3601EFDF" w14:textId="77777777" w:rsidR="00124AB6" w:rsidRPr="001B6EC4" w:rsidRDefault="00124AB6" w:rsidP="004E3BFD">
            <w:r w:rsidRPr="001B6EC4">
              <w:rPr>
                <w:b/>
              </w:rPr>
              <w:t>Emission Unit ID:</w:t>
            </w:r>
            <w:r>
              <w:t xml:space="preserve"> </w:t>
            </w:r>
            <w:r w:rsidRPr="00A04999">
              <w:rPr>
                <w:lang w:val="fr-FR"/>
              </w:rPr>
              <w:t>15</w:t>
            </w:r>
          </w:p>
          <w:p w14:paraId="035C20FF" w14:textId="77777777" w:rsidR="00124AB6" w:rsidRDefault="00124AB6" w:rsidP="004E3BFD">
            <w:pPr>
              <w:rPr>
                <w:b/>
              </w:rPr>
            </w:pPr>
          </w:p>
          <w:p w14:paraId="006A8818" w14:textId="77777777" w:rsidR="00124AB6" w:rsidRPr="00A65F6F" w:rsidRDefault="00124AB6" w:rsidP="004E3BFD">
            <w:pPr>
              <w:rPr>
                <w:szCs w:val="20"/>
                <w:lang w:val="fr-FR"/>
              </w:rPr>
            </w:pPr>
            <w:r w:rsidRPr="009A00D8">
              <w:rPr>
                <w:b/>
              </w:rPr>
              <w:t>Equipment ID:</w:t>
            </w:r>
            <w:r w:rsidRPr="009A00D8">
              <w:t xml:space="preserve"> </w:t>
            </w:r>
            <w:r w:rsidRPr="00A65F6F">
              <w:rPr>
                <w:bCs/>
                <w:szCs w:val="20"/>
                <w:lang w:val="fr-FR"/>
              </w:rPr>
              <w:t>T-101, T-102, T-103, T-104,</w:t>
            </w:r>
            <w:r>
              <w:rPr>
                <w:bCs/>
                <w:szCs w:val="20"/>
                <w:lang w:val="fr-FR"/>
              </w:rPr>
              <w:t xml:space="preserve"> </w:t>
            </w:r>
            <w:r w:rsidRPr="00A65F6F">
              <w:rPr>
                <w:bCs/>
                <w:szCs w:val="20"/>
                <w:lang w:val="fr-FR"/>
              </w:rPr>
              <w:t>T-107, T-108, T-109, T-110, T-111, T-112, T-113, T-114, T-115, T-116, T-117, T-118, T-201, T-202, T-203, T-204, T-205, T-206, T-207, T-230, T-231, T-701, T-702, T-703, T-704, T-705, T-706, T-707, T-708, T-709, T-710, T-711, T-713, T-717</w:t>
            </w:r>
          </w:p>
          <w:p w14:paraId="11F3AFB4" w14:textId="77777777" w:rsidR="00124AB6" w:rsidRDefault="00124AB6" w:rsidP="004E3BFD">
            <w:pPr>
              <w:rPr>
                <w:b/>
              </w:rPr>
            </w:pPr>
          </w:p>
          <w:p w14:paraId="4CA83B99" w14:textId="77777777" w:rsidR="00124AB6" w:rsidRDefault="00124AB6" w:rsidP="004E3BFD">
            <w:pPr>
              <w:rPr>
                <w:rFonts w:cs="Open Sans"/>
                <w:b/>
                <w:szCs w:val="20"/>
              </w:rPr>
            </w:pPr>
            <w:r w:rsidRPr="00741CE0">
              <w:rPr>
                <w:szCs w:val="20"/>
              </w:rPr>
              <w:t>(S.C. Regulation 61</w:t>
            </w:r>
            <w:r w:rsidRPr="00741CE0">
              <w:rPr>
                <w:szCs w:val="20"/>
              </w:rPr>
              <w:noBreakHyphen/>
              <w:t>62.5, Standard No</w:t>
            </w:r>
            <w:r>
              <w:rPr>
                <w:szCs w:val="20"/>
              </w:rPr>
              <w:t>.</w:t>
            </w:r>
            <w:r w:rsidRPr="00741CE0">
              <w:rPr>
                <w:szCs w:val="20"/>
              </w:rPr>
              <w:t xml:space="preserve"> 4, Section IX) Where construction or modification began on or before December 31, 1985, emissions from </w:t>
            </w:r>
            <w:r>
              <w:rPr>
                <w:szCs w:val="20"/>
              </w:rPr>
              <w:t>these</w:t>
            </w:r>
            <w:r w:rsidRPr="00741CE0">
              <w:rPr>
                <w:szCs w:val="20"/>
              </w:rPr>
              <w:t xml:space="preserve"> source</w:t>
            </w:r>
            <w:r>
              <w:rPr>
                <w:szCs w:val="20"/>
              </w:rPr>
              <w:t>s</w:t>
            </w:r>
            <w:r w:rsidRPr="00741CE0">
              <w:rPr>
                <w:szCs w:val="20"/>
              </w:rPr>
              <w:t xml:space="preserve"> (including fugitive emissions) shall not exhibit an opacity greater than 40%</w:t>
            </w:r>
            <w:r>
              <w:rPr>
                <w:szCs w:val="20"/>
              </w:rPr>
              <w:t xml:space="preserve"> each</w:t>
            </w:r>
            <w:r w:rsidRPr="00741CE0">
              <w:rPr>
                <w:szCs w:val="20"/>
              </w:rPr>
              <w:t>.</w:t>
            </w:r>
          </w:p>
        </w:tc>
      </w:tr>
      <w:tr w:rsidR="00124AB6" w:rsidRPr="001B6EC4" w14:paraId="20665D4F"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7" w:type="dxa"/>
          </w:tcPr>
          <w:p w14:paraId="2DC34099" w14:textId="77777777" w:rsidR="00124AB6" w:rsidRDefault="00124AB6" w:rsidP="004E3BFD">
            <w:pPr>
              <w:pStyle w:val="BNum"/>
            </w:pPr>
          </w:p>
        </w:tc>
        <w:tc>
          <w:tcPr>
            <w:tcW w:w="9433" w:type="dxa"/>
          </w:tcPr>
          <w:p w14:paraId="3691FD88" w14:textId="77777777" w:rsidR="00124AB6" w:rsidRPr="001B6EC4" w:rsidRDefault="00124AB6" w:rsidP="004E3BFD">
            <w:r w:rsidRPr="001B6EC4">
              <w:rPr>
                <w:b/>
              </w:rPr>
              <w:t>Emission Unit ID:</w:t>
            </w:r>
            <w:r>
              <w:t xml:space="preserve"> </w:t>
            </w:r>
            <w:r w:rsidRPr="00A04999">
              <w:rPr>
                <w:lang w:val="fr-FR"/>
              </w:rPr>
              <w:t>06, 07, 14, 15, 18</w:t>
            </w:r>
          </w:p>
          <w:p w14:paraId="19B81CFB" w14:textId="77777777" w:rsidR="00124AB6" w:rsidRDefault="00124AB6" w:rsidP="004E3BFD">
            <w:pPr>
              <w:rPr>
                <w:b/>
              </w:rPr>
            </w:pPr>
          </w:p>
          <w:p w14:paraId="473C831A" w14:textId="77777777" w:rsidR="00124AB6" w:rsidRPr="009A00D8" w:rsidRDefault="00124AB6" w:rsidP="004E3BFD">
            <w:r w:rsidRPr="009A00D8">
              <w:rPr>
                <w:b/>
              </w:rPr>
              <w:t>Equipment ID:</w:t>
            </w:r>
            <w:r w:rsidRPr="009A00D8">
              <w:t xml:space="preserve"> </w:t>
            </w:r>
            <w:r w:rsidRPr="00A65F6F">
              <w:rPr>
                <w:bCs/>
                <w:szCs w:val="20"/>
                <w:lang w:val="fr-FR"/>
              </w:rPr>
              <w:t>R-2, R-3, R-4, R-6, R-7, R-10, R-11, R-12, T-234, T-501, T-106, T-220, T-221, T-222, T-223, T-224, T-225, T-227, T-228, T-301, T-302, T-303, T-304, T-305, T-306, T-307, T-308, T-309, T-310, T-311, T-312, T-313, T-314, T-315, T-712, T-714, T-715, T-716, T-410, T-460B, T-415</w:t>
            </w:r>
          </w:p>
          <w:p w14:paraId="777E65F1" w14:textId="77777777" w:rsidR="00124AB6" w:rsidRDefault="00124AB6" w:rsidP="004E3BFD">
            <w:pPr>
              <w:rPr>
                <w:b/>
              </w:rPr>
            </w:pPr>
          </w:p>
          <w:p w14:paraId="4719C52A" w14:textId="77777777" w:rsidR="00124AB6" w:rsidRPr="000179B0" w:rsidRDefault="00124AB6" w:rsidP="004E3BFD">
            <w:pPr>
              <w:autoSpaceDE/>
              <w:autoSpaceDN/>
              <w:adjustRightInd/>
              <w:rPr>
                <w:rFonts w:eastAsia="Open Sans"/>
                <w:szCs w:val="20"/>
              </w:rPr>
            </w:pPr>
            <w:r w:rsidRPr="000179B0">
              <w:rPr>
                <w:rFonts w:eastAsia="Open Sans"/>
                <w:szCs w:val="20"/>
              </w:rPr>
              <w:t xml:space="preserve">The owner or operator shall perform a visual inspection on a </w:t>
            </w:r>
            <w:sdt>
              <w:sdtPr>
                <w:rPr>
                  <w:rFonts w:eastAsia="Open Sans"/>
                  <w:szCs w:val="20"/>
                </w:rPr>
                <w:id w:val="-899204041"/>
                <w:placeholder>
                  <w:docPart w:val="84891D294D3F4466A8C08ABC73611ABA"/>
                </w:placeholder>
                <w:dropDownList>
                  <w:listItem w:value="Choose an item."/>
                  <w:listItem w:displayText="daily" w:value="daily"/>
                  <w:listItem w:displayText="weekly" w:value="weekly"/>
                  <w:listItem w:displayText="semiannual" w:value="semiannual"/>
                </w:dropDownList>
              </w:sdtPr>
              <w:sdtEndPr/>
              <w:sdtContent>
                <w:r w:rsidRPr="000179B0">
                  <w:rPr>
                    <w:rFonts w:eastAsia="Open Sans"/>
                    <w:szCs w:val="20"/>
                  </w:rPr>
                  <w:t>semiannual</w:t>
                </w:r>
              </w:sdtContent>
            </w:sdt>
            <w:r w:rsidRPr="000179B0">
              <w:rPr>
                <w:rFonts w:eastAsia="Open Sans"/>
                <w:szCs w:val="20"/>
              </w:rPr>
              <w:t xml:space="preserve"> basis of sources subject to opacity limits. The inspection shall occur during normal source operation. No periodic monitoring for opacity will be required for sources during periods that only natural gas or propane are being combusted. Logs shall be kept </w:t>
            </w:r>
            <w:proofErr w:type="gramStart"/>
            <w:r w:rsidRPr="000179B0">
              <w:rPr>
                <w:rFonts w:eastAsia="Open Sans"/>
                <w:szCs w:val="20"/>
              </w:rPr>
              <w:t>to record</w:t>
            </w:r>
            <w:proofErr w:type="gramEnd"/>
            <w:r w:rsidRPr="000179B0">
              <w:rPr>
                <w:rFonts w:eastAsia="Open Sans"/>
                <w:szCs w:val="20"/>
              </w:rPr>
              <w:t xml:space="preserve"> all visual inspections, noting color, duration, density (heavy or light), cause, and corrective action taken for any abnormal emissions. If a source did not operate during the required visual inspection time frame, the log shall indicate such. The owner or operator shall submit semiannual reports. The report shall include records of abnormal emissions, if any, and corrective actions taken. </w:t>
            </w:r>
            <w:sdt>
              <w:sdtPr>
                <w:rPr>
                  <w:rFonts w:eastAsia="Open Sans"/>
                  <w:szCs w:val="20"/>
                </w:rPr>
                <w:id w:val="1707682098"/>
                <w:placeholder>
                  <w:docPart w:val="84891D294D3F4466A8C08ABC73611ABA"/>
                </w:placeholder>
                <w:dropDownList>
                  <w:listItem w:value="Choose an item."/>
                  <w:listItem w:displayText="If only natural gas or propane was combusted or if the unit did not operate during the semiannual period" w:value="If only natural gas or propane was combusted or if the unit did not operate during the semiannual period"/>
                  <w:listItem w:displayText="If the unit did not operate during the semiannual period" w:value="If the unit did not operate during the semiannual period"/>
                </w:dropDownList>
              </w:sdtPr>
              <w:sdtEndPr/>
              <w:sdtContent>
                <w:r w:rsidRPr="000179B0">
                  <w:rPr>
                    <w:rFonts w:eastAsia="Open Sans"/>
                    <w:szCs w:val="20"/>
                  </w:rPr>
                  <w:t>If only natural gas or propane was combusted or if the unit did not operate during the semiannual period</w:t>
                </w:r>
              </w:sdtContent>
            </w:sdt>
            <w:r w:rsidRPr="000179B0">
              <w:rPr>
                <w:rFonts w:eastAsia="Open Sans"/>
                <w:szCs w:val="20"/>
              </w:rPr>
              <w:t>, the report shall state so.</w:t>
            </w:r>
          </w:p>
          <w:p w14:paraId="42ADA46A" w14:textId="77777777" w:rsidR="00124AB6" w:rsidRPr="000179B0" w:rsidRDefault="00124AB6" w:rsidP="004E3BFD">
            <w:pPr>
              <w:autoSpaceDE/>
              <w:autoSpaceDN/>
              <w:adjustRightInd/>
              <w:rPr>
                <w:rFonts w:eastAsia="Open Sans"/>
                <w:szCs w:val="20"/>
              </w:rPr>
            </w:pPr>
          </w:p>
          <w:p w14:paraId="1A894D47" w14:textId="77777777" w:rsidR="00124AB6" w:rsidRPr="001B6EC4" w:rsidRDefault="00124AB6" w:rsidP="004E3BFD">
            <w:pPr>
              <w:autoSpaceDE/>
              <w:autoSpaceDN/>
              <w:adjustRightInd/>
              <w:rPr>
                <w:b/>
              </w:rPr>
            </w:pPr>
            <w:r w:rsidRPr="000179B0">
              <w:rPr>
                <w:rFonts w:eastAsia="Open Sans"/>
                <w:szCs w:val="20"/>
              </w:rPr>
              <w:t>Visual inspection means a qualitative observation of opacity during daylight hours. The observer does not need to be certified to conduct valid visual inspections. However, at a minimum, the observer should be trained and knowledgeable about the effects on visibility of emissions caused by background contrast, ambient lighting, and observer position relative to lighting, wind, and the presence of uncombined water.</w:t>
            </w:r>
          </w:p>
        </w:tc>
      </w:tr>
      <w:tr w:rsidR="00124AB6" w:rsidRPr="001B6EC4" w14:paraId="01805762"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7" w:type="dxa"/>
          </w:tcPr>
          <w:p w14:paraId="1216623D" w14:textId="77777777" w:rsidR="00124AB6" w:rsidRDefault="00124AB6" w:rsidP="004E3BFD">
            <w:pPr>
              <w:pStyle w:val="BNum"/>
            </w:pPr>
          </w:p>
        </w:tc>
        <w:tc>
          <w:tcPr>
            <w:tcW w:w="9433" w:type="dxa"/>
          </w:tcPr>
          <w:p w14:paraId="7FC37D05" w14:textId="77777777" w:rsidR="00124AB6" w:rsidRPr="001B6EC4" w:rsidRDefault="00124AB6" w:rsidP="004E3BFD">
            <w:r w:rsidRPr="001B6EC4">
              <w:rPr>
                <w:b/>
              </w:rPr>
              <w:t>Emission Unit ID:</w:t>
            </w:r>
            <w:r>
              <w:t xml:space="preserve"> 03</w:t>
            </w:r>
          </w:p>
          <w:p w14:paraId="09A0383C" w14:textId="77777777" w:rsidR="00124AB6" w:rsidRPr="009A00D8" w:rsidRDefault="00124AB6" w:rsidP="004E3BFD">
            <w:r w:rsidRPr="009A00D8">
              <w:rPr>
                <w:b/>
              </w:rPr>
              <w:t>Equipment ID:</w:t>
            </w:r>
            <w:r w:rsidRPr="009A00D8">
              <w:t xml:space="preserve"> </w:t>
            </w:r>
            <w:r w:rsidRPr="004E6804">
              <w:rPr>
                <w:bCs/>
                <w:szCs w:val="18"/>
              </w:rPr>
              <w:t>B-3</w:t>
            </w:r>
            <w:r>
              <w:rPr>
                <w:bCs/>
                <w:szCs w:val="18"/>
              </w:rPr>
              <w:t xml:space="preserve">, </w:t>
            </w:r>
            <w:r w:rsidRPr="004E6804">
              <w:rPr>
                <w:bCs/>
                <w:szCs w:val="18"/>
              </w:rPr>
              <w:t>B-5</w:t>
            </w:r>
            <w:r>
              <w:rPr>
                <w:bCs/>
                <w:szCs w:val="18"/>
              </w:rPr>
              <w:t xml:space="preserve">, </w:t>
            </w:r>
            <w:r>
              <w:t>H-800R</w:t>
            </w:r>
          </w:p>
          <w:p w14:paraId="6299FC62" w14:textId="77777777" w:rsidR="00124AB6" w:rsidRDefault="00124AB6" w:rsidP="004E3BFD">
            <w:pPr>
              <w:rPr>
                <w:b/>
              </w:rPr>
            </w:pPr>
          </w:p>
          <w:p w14:paraId="48742A58" w14:textId="77777777" w:rsidR="00124AB6" w:rsidRPr="000179B0" w:rsidRDefault="00124AB6" w:rsidP="004E3BFD">
            <w:pPr>
              <w:autoSpaceDE/>
              <w:autoSpaceDN/>
              <w:adjustRightInd/>
              <w:rPr>
                <w:rFonts w:eastAsia="Open Sans"/>
                <w:szCs w:val="20"/>
              </w:rPr>
            </w:pPr>
            <w:r w:rsidRPr="000179B0">
              <w:rPr>
                <w:rFonts w:eastAsia="Open Sans"/>
                <w:szCs w:val="20"/>
              </w:rPr>
              <w:t xml:space="preserve">(S.C. Regulation 61-62.5, Standard No. 1, Section I) The fuel burning source(s) shall not discharge into the ambient air smoke which exceeds opacity of </w:t>
            </w:r>
            <w:sdt>
              <w:sdtPr>
                <w:rPr>
                  <w:rFonts w:eastAsia="Open Sans"/>
                  <w:szCs w:val="20"/>
                </w:rPr>
                <w:id w:val="-704714990"/>
                <w:placeholder>
                  <w:docPart w:val="D13C420D17FF4046886F3B0875CC4C4B"/>
                </w:placeholder>
                <w:dropDownList>
                  <w:listItem w:value="Choose an item."/>
                  <w:listItem w:displayText="20%" w:value="20%"/>
                  <w:listItem w:displayText="40%" w:value="40%"/>
                </w:dropDownList>
              </w:sdtPr>
              <w:sdtEndPr/>
              <w:sdtContent>
                <w:r>
                  <w:rPr>
                    <w:rFonts w:eastAsia="Open Sans"/>
                    <w:szCs w:val="20"/>
                  </w:rPr>
                  <w:t>20%</w:t>
                </w:r>
              </w:sdtContent>
            </w:sdt>
            <w:r w:rsidRPr="000179B0">
              <w:rPr>
                <w:rFonts w:eastAsia="Open Sans"/>
                <w:szCs w:val="20"/>
              </w:rPr>
              <w:t xml:space="preserve">. The opacity limit may be exceeded for </w:t>
            </w:r>
            <w:proofErr w:type="spellStart"/>
            <w:proofErr w:type="gramStart"/>
            <w:r w:rsidRPr="000179B0">
              <w:rPr>
                <w:rFonts w:eastAsia="Open Sans"/>
                <w:szCs w:val="20"/>
              </w:rPr>
              <w:t>sootblowing</w:t>
            </w:r>
            <w:proofErr w:type="spellEnd"/>
            <w:r w:rsidRPr="000179B0">
              <w:rPr>
                <w:rFonts w:eastAsia="Open Sans"/>
                <w:szCs w:val="20"/>
              </w:rPr>
              <w:t>, but</w:t>
            </w:r>
            <w:proofErr w:type="gramEnd"/>
            <w:r w:rsidRPr="000179B0">
              <w:rPr>
                <w:rFonts w:eastAsia="Open Sans"/>
                <w:szCs w:val="20"/>
              </w:rPr>
              <w:t xml:space="preserve"> may not be exceeded for more than 6 minutes in a one hour period nor be exceeded for more than a total of 24 minutes in a 24 hour period. Emissions caused by </w:t>
            </w:r>
            <w:proofErr w:type="spellStart"/>
            <w:r w:rsidRPr="000179B0">
              <w:rPr>
                <w:rFonts w:eastAsia="Open Sans"/>
                <w:szCs w:val="20"/>
              </w:rPr>
              <w:t>sootblowing</w:t>
            </w:r>
            <w:proofErr w:type="spellEnd"/>
            <w:r w:rsidRPr="000179B0">
              <w:rPr>
                <w:rFonts w:eastAsia="Open Sans"/>
                <w:szCs w:val="20"/>
              </w:rPr>
              <w:t xml:space="preserve"> shall not exceed an opacity of 60%.</w:t>
            </w:r>
          </w:p>
          <w:p w14:paraId="2B895DA4" w14:textId="77777777" w:rsidR="00124AB6" w:rsidRPr="000179B0" w:rsidRDefault="00124AB6" w:rsidP="004E3BFD">
            <w:pPr>
              <w:autoSpaceDE/>
              <w:autoSpaceDN/>
              <w:adjustRightInd/>
              <w:rPr>
                <w:rFonts w:eastAsia="Open Sans"/>
                <w:szCs w:val="20"/>
              </w:rPr>
            </w:pPr>
          </w:p>
          <w:p w14:paraId="4FDA3717" w14:textId="77777777" w:rsidR="00124AB6" w:rsidRPr="001B6EC4" w:rsidRDefault="00124AB6" w:rsidP="004E3BFD">
            <w:pPr>
              <w:autoSpaceDE/>
              <w:autoSpaceDN/>
              <w:adjustRightInd/>
              <w:rPr>
                <w:b/>
              </w:rPr>
            </w:pPr>
            <w:r w:rsidRPr="000179B0">
              <w:rPr>
                <w:rFonts w:eastAsia="Open Sans"/>
                <w:szCs w:val="20"/>
              </w:rPr>
              <w:t>Owners and operators shall, to the extent practicable, maintain and operate any source including associated air pollution control equipment in a manner consistent with good air pollution control practices for minimizing emissions. In addition, the owner or operator shall maintain a log of the time, magnitude, duration, and any other pertinent information to determine periods of startup and shutdown and make available to the Department upon request.</w:t>
            </w:r>
          </w:p>
        </w:tc>
      </w:tr>
      <w:tr w:rsidR="00124AB6" w:rsidRPr="001B6EC4" w14:paraId="3CCD9FAC"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7" w:type="dxa"/>
          </w:tcPr>
          <w:p w14:paraId="33A4FEE7" w14:textId="77777777" w:rsidR="00124AB6" w:rsidRDefault="00124AB6" w:rsidP="004E3BFD">
            <w:pPr>
              <w:pStyle w:val="BNum"/>
            </w:pPr>
          </w:p>
        </w:tc>
        <w:tc>
          <w:tcPr>
            <w:tcW w:w="9433" w:type="dxa"/>
          </w:tcPr>
          <w:p w14:paraId="5BD3B584" w14:textId="77777777" w:rsidR="00124AB6" w:rsidRPr="001B6EC4" w:rsidRDefault="00124AB6" w:rsidP="004E3BFD">
            <w:r w:rsidRPr="001B6EC4">
              <w:rPr>
                <w:b/>
              </w:rPr>
              <w:t>Emission Unit ID:</w:t>
            </w:r>
            <w:r>
              <w:t xml:space="preserve"> 03</w:t>
            </w:r>
          </w:p>
          <w:p w14:paraId="63E766E0" w14:textId="77777777" w:rsidR="00124AB6" w:rsidRPr="009A00D8" w:rsidRDefault="00124AB6" w:rsidP="004E3BFD">
            <w:r w:rsidRPr="009A00D8">
              <w:rPr>
                <w:b/>
              </w:rPr>
              <w:t>Equipment ID:</w:t>
            </w:r>
            <w:r w:rsidRPr="009A00D8">
              <w:t xml:space="preserve"> </w:t>
            </w:r>
            <w:r w:rsidRPr="004E6804">
              <w:rPr>
                <w:bCs/>
                <w:szCs w:val="18"/>
              </w:rPr>
              <w:t>B-3</w:t>
            </w:r>
            <w:r>
              <w:rPr>
                <w:bCs/>
                <w:szCs w:val="18"/>
              </w:rPr>
              <w:t xml:space="preserve">, </w:t>
            </w:r>
            <w:r w:rsidRPr="004E6804">
              <w:rPr>
                <w:bCs/>
                <w:szCs w:val="18"/>
              </w:rPr>
              <w:t>B-5</w:t>
            </w:r>
            <w:r>
              <w:rPr>
                <w:bCs/>
                <w:szCs w:val="18"/>
              </w:rPr>
              <w:t xml:space="preserve">, </w:t>
            </w:r>
            <w:r>
              <w:t>H-800R</w:t>
            </w:r>
          </w:p>
          <w:p w14:paraId="3F628055" w14:textId="77777777" w:rsidR="00124AB6" w:rsidRDefault="00124AB6" w:rsidP="004E3BFD">
            <w:pPr>
              <w:rPr>
                <w:b/>
              </w:rPr>
            </w:pPr>
          </w:p>
          <w:p w14:paraId="40E2185E" w14:textId="77777777" w:rsidR="00124AB6" w:rsidRPr="001B6EC4" w:rsidRDefault="00124AB6" w:rsidP="004E3BFD">
            <w:pPr>
              <w:rPr>
                <w:b/>
              </w:rPr>
            </w:pPr>
            <w:r w:rsidRPr="0081578D">
              <w:t xml:space="preserve">(S.C. Regulation 61-62.5, Standard No.1, Section II) The allowable discharge of particulate matter resulting from </w:t>
            </w:r>
            <w:r>
              <w:t>fuel combustion</w:t>
            </w:r>
            <w:r w:rsidRPr="0081578D">
              <w:t xml:space="preserve"> is 0.6 pounds per million B</w:t>
            </w:r>
            <w:r>
              <w:t>tu</w:t>
            </w:r>
            <w:r w:rsidRPr="0081578D">
              <w:t xml:space="preserve"> input.</w:t>
            </w:r>
          </w:p>
        </w:tc>
      </w:tr>
      <w:tr w:rsidR="00124AB6" w:rsidRPr="001B6EC4" w14:paraId="38D7AECF"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7" w:type="dxa"/>
          </w:tcPr>
          <w:p w14:paraId="377354F0" w14:textId="77777777" w:rsidR="00124AB6" w:rsidRDefault="00124AB6" w:rsidP="004E3BFD">
            <w:pPr>
              <w:pStyle w:val="BNum"/>
            </w:pPr>
          </w:p>
        </w:tc>
        <w:tc>
          <w:tcPr>
            <w:tcW w:w="9433" w:type="dxa"/>
          </w:tcPr>
          <w:p w14:paraId="5E8E51A7" w14:textId="77777777" w:rsidR="00124AB6" w:rsidRPr="001B6EC4" w:rsidRDefault="00124AB6" w:rsidP="004E3BFD">
            <w:r w:rsidRPr="001B6EC4">
              <w:rPr>
                <w:b/>
              </w:rPr>
              <w:t>Emission Unit ID:</w:t>
            </w:r>
            <w:r>
              <w:t xml:space="preserve"> 03</w:t>
            </w:r>
          </w:p>
          <w:p w14:paraId="14DF650A" w14:textId="77777777" w:rsidR="00124AB6" w:rsidRPr="009A00D8" w:rsidRDefault="00124AB6" w:rsidP="004E3BFD">
            <w:r w:rsidRPr="009A00D8">
              <w:rPr>
                <w:b/>
              </w:rPr>
              <w:t>Equipment ID:</w:t>
            </w:r>
            <w:r w:rsidRPr="009A00D8">
              <w:t xml:space="preserve"> </w:t>
            </w:r>
            <w:r w:rsidRPr="004E6804">
              <w:rPr>
                <w:bCs/>
                <w:szCs w:val="18"/>
              </w:rPr>
              <w:t>B-3</w:t>
            </w:r>
            <w:r>
              <w:rPr>
                <w:bCs/>
                <w:szCs w:val="18"/>
              </w:rPr>
              <w:t xml:space="preserve">, </w:t>
            </w:r>
            <w:r w:rsidRPr="004E6804">
              <w:rPr>
                <w:bCs/>
                <w:szCs w:val="18"/>
              </w:rPr>
              <w:t>B-5</w:t>
            </w:r>
            <w:r>
              <w:rPr>
                <w:bCs/>
                <w:szCs w:val="18"/>
              </w:rPr>
              <w:t xml:space="preserve">, </w:t>
            </w:r>
            <w:r>
              <w:t>H-800R</w:t>
            </w:r>
          </w:p>
          <w:p w14:paraId="5933DD4A" w14:textId="77777777" w:rsidR="00124AB6" w:rsidRDefault="00124AB6" w:rsidP="004E3BFD">
            <w:pPr>
              <w:rPr>
                <w:b/>
              </w:rPr>
            </w:pPr>
          </w:p>
          <w:p w14:paraId="35BD439D" w14:textId="77777777" w:rsidR="00124AB6" w:rsidRPr="001B6EC4" w:rsidRDefault="00124AB6" w:rsidP="004E3BFD">
            <w:pPr>
              <w:rPr>
                <w:b/>
              </w:rPr>
            </w:pPr>
            <w:r w:rsidRPr="0081578D">
              <w:t xml:space="preserve">(S.C. Regulation 61-62.5, Standard No.1, Section </w:t>
            </w:r>
            <w:smartTag w:uri="urn:schemas-microsoft-com:office:smarttags" w:element="stockticker">
              <w:r w:rsidRPr="0081578D">
                <w:t>III</w:t>
              </w:r>
            </w:smartTag>
            <w:r w:rsidRPr="0081578D">
              <w:t>) The maximum allowable discharge of sulfur dioxide (SO</w:t>
            </w:r>
            <w:r w:rsidRPr="0081578D">
              <w:rPr>
                <w:vertAlign w:val="subscript"/>
              </w:rPr>
              <w:t>2</w:t>
            </w:r>
            <w:r w:rsidRPr="0081578D">
              <w:t xml:space="preserve">) resulting from </w:t>
            </w:r>
            <w:r>
              <w:t>fuel combustion</w:t>
            </w:r>
            <w:r w:rsidRPr="0081578D">
              <w:t xml:space="preserve"> is </w:t>
            </w:r>
            <w:r>
              <w:t>2</w:t>
            </w:r>
            <w:r w:rsidRPr="0081578D">
              <w:t>.</w:t>
            </w:r>
            <w:r>
              <w:t>3</w:t>
            </w:r>
            <w:r w:rsidRPr="0081578D">
              <w:t xml:space="preserve"> pounds per million B</w:t>
            </w:r>
            <w:r>
              <w:t>tu</w:t>
            </w:r>
            <w:r w:rsidRPr="0081578D">
              <w:t xml:space="preserve"> input.</w:t>
            </w:r>
          </w:p>
        </w:tc>
      </w:tr>
      <w:tr w:rsidR="00124AB6" w:rsidRPr="001B6EC4" w14:paraId="58E0EA2C"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7" w:type="dxa"/>
          </w:tcPr>
          <w:p w14:paraId="455A0DB2" w14:textId="77777777" w:rsidR="00124AB6" w:rsidRDefault="00124AB6" w:rsidP="004E3BFD">
            <w:pPr>
              <w:pStyle w:val="BNum"/>
            </w:pPr>
          </w:p>
        </w:tc>
        <w:tc>
          <w:tcPr>
            <w:tcW w:w="9433" w:type="dxa"/>
          </w:tcPr>
          <w:p w14:paraId="2ACC3EFB" w14:textId="77777777" w:rsidR="00124AB6" w:rsidRPr="001B6EC4" w:rsidRDefault="00124AB6" w:rsidP="004E3BFD">
            <w:r w:rsidRPr="001B6EC4">
              <w:rPr>
                <w:b/>
              </w:rPr>
              <w:t>Emission Unit ID:</w:t>
            </w:r>
            <w:r>
              <w:t xml:space="preserve"> 03</w:t>
            </w:r>
          </w:p>
          <w:p w14:paraId="7898EA70" w14:textId="77777777" w:rsidR="00124AB6" w:rsidRPr="009A00D8" w:rsidRDefault="00124AB6" w:rsidP="004E3BFD">
            <w:r w:rsidRPr="009A00D8">
              <w:rPr>
                <w:b/>
              </w:rPr>
              <w:t>Equipment ID:</w:t>
            </w:r>
            <w:r w:rsidRPr="009A00D8">
              <w:t xml:space="preserve"> </w:t>
            </w:r>
            <w:r w:rsidRPr="004E6804">
              <w:rPr>
                <w:bCs/>
                <w:szCs w:val="18"/>
              </w:rPr>
              <w:t>B-3</w:t>
            </w:r>
            <w:r>
              <w:rPr>
                <w:bCs/>
                <w:szCs w:val="18"/>
              </w:rPr>
              <w:t xml:space="preserve">, </w:t>
            </w:r>
            <w:r w:rsidRPr="004E6804">
              <w:rPr>
                <w:bCs/>
                <w:szCs w:val="18"/>
              </w:rPr>
              <w:t>B-5</w:t>
            </w:r>
            <w:r>
              <w:rPr>
                <w:bCs/>
                <w:szCs w:val="18"/>
              </w:rPr>
              <w:t xml:space="preserve">, </w:t>
            </w:r>
            <w:r>
              <w:t>H-800R</w:t>
            </w:r>
          </w:p>
          <w:p w14:paraId="1D66C0ED" w14:textId="77777777" w:rsidR="00124AB6" w:rsidRDefault="00124AB6" w:rsidP="004E3BFD">
            <w:pPr>
              <w:rPr>
                <w:b/>
              </w:rPr>
            </w:pPr>
          </w:p>
          <w:p w14:paraId="0A040FDB" w14:textId="77777777" w:rsidR="00124AB6" w:rsidRPr="001B6EC4" w:rsidRDefault="00124AB6" w:rsidP="004E3BFD">
            <w:pPr>
              <w:rPr>
                <w:b/>
              </w:rPr>
            </w:pPr>
            <w:r w:rsidRPr="0081578D">
              <w:rPr>
                <w:szCs w:val="20"/>
              </w:rPr>
              <w:t>These sources are</w:t>
            </w:r>
            <w:r w:rsidRPr="0081578D">
              <w:t xml:space="preserve"> permitted to burn only Natural Gas and No.2 Fuel Oil as</w:t>
            </w:r>
            <w:r>
              <w:t xml:space="preserve"> </w:t>
            </w:r>
            <w:r w:rsidRPr="0081578D">
              <w:t>fuel. The use of any other substances as fuel is prohibited without prior written approval from the Department.</w:t>
            </w:r>
          </w:p>
        </w:tc>
      </w:tr>
      <w:tr w:rsidR="00124AB6" w:rsidRPr="001B6EC4" w14:paraId="3A00B48D"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7" w:type="dxa"/>
          </w:tcPr>
          <w:p w14:paraId="47847ADE" w14:textId="77777777" w:rsidR="00124AB6" w:rsidRDefault="00124AB6" w:rsidP="004E3BFD">
            <w:pPr>
              <w:pStyle w:val="BNum"/>
            </w:pPr>
          </w:p>
        </w:tc>
        <w:tc>
          <w:tcPr>
            <w:tcW w:w="9433" w:type="dxa"/>
          </w:tcPr>
          <w:p w14:paraId="406A6B2B" w14:textId="77777777" w:rsidR="00124AB6" w:rsidRPr="001B6EC4" w:rsidRDefault="00124AB6" w:rsidP="004E3BFD">
            <w:r w:rsidRPr="001B6EC4">
              <w:rPr>
                <w:b/>
              </w:rPr>
              <w:t>Emission Unit ID:</w:t>
            </w:r>
            <w:r>
              <w:t xml:space="preserve"> 03</w:t>
            </w:r>
          </w:p>
          <w:p w14:paraId="4D9E2643" w14:textId="77777777" w:rsidR="00124AB6" w:rsidRDefault="00124AB6" w:rsidP="004E3BFD">
            <w:r w:rsidRPr="009A00D8">
              <w:rPr>
                <w:b/>
              </w:rPr>
              <w:t>Equipment ID:</w:t>
            </w:r>
            <w:r w:rsidRPr="009A00D8">
              <w:t xml:space="preserve"> </w:t>
            </w:r>
            <w:r>
              <w:t>H-800R</w:t>
            </w:r>
          </w:p>
          <w:p w14:paraId="472EC9C8" w14:textId="77777777" w:rsidR="00124AB6" w:rsidRPr="009A00D8" w:rsidRDefault="00124AB6" w:rsidP="004E3BFD"/>
          <w:p w14:paraId="68FFD7A5" w14:textId="77777777" w:rsidR="00124AB6" w:rsidRPr="001B6EC4" w:rsidRDefault="00124AB6" w:rsidP="004E3BFD">
            <w:pPr>
              <w:widowControl/>
              <w:rPr>
                <w:b/>
              </w:rPr>
            </w:pPr>
            <w:r w:rsidRPr="0069662E">
              <w:t>Th</w:t>
            </w:r>
            <w:r>
              <w:t>is</w:t>
            </w:r>
            <w:r w:rsidRPr="0069662E">
              <w:t xml:space="preserve"> source </w:t>
            </w:r>
            <w:r>
              <w:t>is</w:t>
            </w:r>
            <w:r w:rsidRPr="0069662E">
              <w:t xml:space="preserve"> subject to New Source Performance Standard (NSPS), 40CFR60 Subpart A (General Provisions) and Subpart Dc (</w:t>
            </w:r>
            <w:r w:rsidRPr="0069662E">
              <w:rPr>
                <w:bCs/>
                <w:szCs w:val="20"/>
              </w:rPr>
              <w:t xml:space="preserve">Standards of Performance for Small Industrial-Commercial-Institutional Steam Generating Units) </w:t>
            </w:r>
            <w:r w:rsidRPr="0069662E">
              <w:t>and S.C. Regulation 61-62.60, Subparts A (General Provisions) and Dc (Standards of Performance for Small Industrial-Commercial-Institutional Steam Generating Units), as applicable. The owner/operator shall comply with all applicable requirements of Subparts A and Dc.</w:t>
            </w:r>
          </w:p>
        </w:tc>
      </w:tr>
      <w:tr w:rsidR="00124AB6" w:rsidRPr="001B6EC4" w14:paraId="4B704E61"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7" w:type="dxa"/>
          </w:tcPr>
          <w:p w14:paraId="481B565F" w14:textId="77777777" w:rsidR="00124AB6" w:rsidRDefault="00124AB6" w:rsidP="004E3BFD">
            <w:pPr>
              <w:pStyle w:val="BNum"/>
            </w:pPr>
          </w:p>
        </w:tc>
        <w:tc>
          <w:tcPr>
            <w:tcW w:w="9433" w:type="dxa"/>
          </w:tcPr>
          <w:p w14:paraId="5BCD497C" w14:textId="77777777" w:rsidR="00124AB6" w:rsidRPr="001B6EC4" w:rsidRDefault="00124AB6" w:rsidP="004E3BFD">
            <w:r w:rsidRPr="001B6EC4">
              <w:rPr>
                <w:b/>
              </w:rPr>
              <w:t>Emission Unit ID:</w:t>
            </w:r>
            <w:r>
              <w:t xml:space="preserve"> 03</w:t>
            </w:r>
          </w:p>
          <w:p w14:paraId="6D89051E" w14:textId="77777777" w:rsidR="00124AB6" w:rsidRDefault="00124AB6" w:rsidP="004E3BFD">
            <w:r w:rsidRPr="009A00D8">
              <w:rPr>
                <w:b/>
              </w:rPr>
              <w:t>Equipment ID:</w:t>
            </w:r>
            <w:r w:rsidRPr="009A00D8">
              <w:t xml:space="preserve"> </w:t>
            </w:r>
            <w:r>
              <w:t>H-800R</w:t>
            </w:r>
          </w:p>
          <w:p w14:paraId="3C963F64" w14:textId="77777777" w:rsidR="00124AB6" w:rsidRDefault="00124AB6" w:rsidP="004E3BFD">
            <w:pPr>
              <w:pStyle w:val="Heading2"/>
            </w:pPr>
          </w:p>
          <w:p w14:paraId="6B0AC3F4" w14:textId="77777777" w:rsidR="00124AB6" w:rsidRPr="000179B0" w:rsidRDefault="00124AB6" w:rsidP="004E3BFD">
            <w:pPr>
              <w:pStyle w:val="Heading2"/>
              <w:spacing w:before="0"/>
              <w:rPr>
                <w:rFonts w:ascii="Open Sans" w:hAnsi="Open Sans" w:cs="Open Sans"/>
                <w:color w:val="auto"/>
                <w:sz w:val="20"/>
                <w:szCs w:val="20"/>
              </w:rPr>
            </w:pPr>
            <w:r w:rsidRPr="000179B0">
              <w:rPr>
                <w:rFonts w:ascii="Open Sans" w:hAnsi="Open Sans" w:cs="Open Sans"/>
                <w:color w:val="auto"/>
                <w:sz w:val="20"/>
                <w:szCs w:val="20"/>
              </w:rPr>
              <w:t>40CFR60.40c Applicability and delegation of authority.</w:t>
            </w:r>
          </w:p>
          <w:p w14:paraId="170C65AC" w14:textId="77777777" w:rsidR="00124AB6" w:rsidRPr="000179B0" w:rsidRDefault="00124AB6" w:rsidP="004E3BFD"/>
          <w:p w14:paraId="51A53F0A" w14:textId="77777777" w:rsidR="00124AB6" w:rsidRPr="001B6EC4" w:rsidRDefault="00124AB6" w:rsidP="004E3BFD">
            <w:pPr>
              <w:pStyle w:val="indent-1"/>
              <w:spacing w:before="0" w:beforeAutospacing="0" w:after="0" w:afterAutospacing="0"/>
              <w:ind w:left="1"/>
              <w:jc w:val="both"/>
              <w:rPr>
                <w:b/>
              </w:rPr>
            </w:pPr>
            <w:r w:rsidRPr="000179B0">
              <w:rPr>
                <w:rStyle w:val="paren"/>
                <w:rFonts w:ascii="Open Sans" w:hAnsi="Open Sans" w:cs="Open Sans"/>
                <w:sz w:val="20"/>
                <w:szCs w:val="20"/>
              </w:rPr>
              <w:t>(</w:t>
            </w:r>
            <w:r w:rsidRPr="000179B0">
              <w:rPr>
                <w:rStyle w:val="paragraph-hierarchy"/>
                <w:rFonts w:ascii="Open Sans" w:hAnsi="Open Sans" w:cs="Open Sans"/>
                <w:sz w:val="20"/>
                <w:szCs w:val="20"/>
              </w:rPr>
              <w:t>a</w:t>
            </w:r>
            <w:r w:rsidRPr="000179B0">
              <w:rPr>
                <w:rStyle w:val="paren"/>
                <w:rFonts w:ascii="Open Sans" w:hAnsi="Open Sans" w:cs="Open Sans"/>
                <w:sz w:val="20"/>
                <w:szCs w:val="20"/>
              </w:rPr>
              <w:t>)</w:t>
            </w:r>
            <w:r w:rsidRPr="000179B0">
              <w:rPr>
                <w:rFonts w:ascii="Open Sans" w:hAnsi="Open Sans" w:cs="Open Sans"/>
                <w:sz w:val="20"/>
                <w:szCs w:val="20"/>
              </w:rPr>
              <w:t xml:space="preserve"> Except as provided in </w:t>
            </w:r>
            <w:hyperlink r:id="rId9" w:anchor="p-60.40c(d)" w:history="1">
              <w:r w:rsidRPr="00124AB6">
                <w:rPr>
                  <w:rStyle w:val="Hyperlink"/>
                  <w:rFonts w:ascii="Open Sans" w:hAnsi="Open Sans" w:cs="Open Sans"/>
                  <w:color w:val="auto"/>
                  <w:sz w:val="20"/>
                  <w:szCs w:val="20"/>
                  <w:u w:val="none"/>
                </w:rPr>
                <w:t>paragraphs (d)</w:t>
              </w:r>
            </w:hyperlink>
            <w:r w:rsidRPr="00124AB6">
              <w:rPr>
                <w:rFonts w:ascii="Open Sans" w:hAnsi="Open Sans" w:cs="Open Sans"/>
                <w:sz w:val="20"/>
                <w:szCs w:val="20"/>
              </w:rPr>
              <w:t xml:space="preserve">, </w:t>
            </w:r>
            <w:hyperlink r:id="rId10" w:anchor="p-60.40c(e)" w:history="1">
              <w:r w:rsidRPr="00124AB6">
                <w:rPr>
                  <w:rStyle w:val="Hyperlink"/>
                  <w:rFonts w:ascii="Open Sans" w:hAnsi="Open Sans" w:cs="Open Sans"/>
                  <w:color w:val="auto"/>
                  <w:sz w:val="20"/>
                  <w:szCs w:val="20"/>
                  <w:u w:val="none"/>
                </w:rPr>
                <w:t>(e)</w:t>
              </w:r>
            </w:hyperlink>
            <w:r w:rsidRPr="00124AB6">
              <w:rPr>
                <w:rFonts w:ascii="Open Sans" w:hAnsi="Open Sans" w:cs="Open Sans"/>
                <w:sz w:val="20"/>
                <w:szCs w:val="20"/>
              </w:rPr>
              <w:t xml:space="preserve">, </w:t>
            </w:r>
            <w:hyperlink r:id="rId11" w:anchor="p-60.40c(f)" w:history="1">
              <w:r w:rsidRPr="00124AB6">
                <w:rPr>
                  <w:rStyle w:val="Hyperlink"/>
                  <w:rFonts w:ascii="Open Sans" w:hAnsi="Open Sans" w:cs="Open Sans"/>
                  <w:color w:val="auto"/>
                  <w:sz w:val="20"/>
                  <w:szCs w:val="20"/>
                  <w:u w:val="none"/>
                </w:rPr>
                <w:t>(f)</w:t>
              </w:r>
            </w:hyperlink>
            <w:r w:rsidRPr="00124AB6">
              <w:rPr>
                <w:rFonts w:ascii="Open Sans" w:hAnsi="Open Sans" w:cs="Open Sans"/>
                <w:sz w:val="20"/>
                <w:szCs w:val="20"/>
              </w:rPr>
              <w:t xml:space="preserve">, and </w:t>
            </w:r>
            <w:hyperlink r:id="rId12" w:anchor="p-60.40c(g)" w:history="1">
              <w:r w:rsidRPr="00124AB6">
                <w:rPr>
                  <w:rStyle w:val="Hyperlink"/>
                  <w:rFonts w:ascii="Open Sans" w:hAnsi="Open Sans" w:cs="Open Sans"/>
                  <w:color w:val="auto"/>
                  <w:sz w:val="20"/>
                  <w:szCs w:val="20"/>
                  <w:u w:val="none"/>
                </w:rPr>
                <w:t>(g)</w:t>
              </w:r>
            </w:hyperlink>
            <w:r w:rsidRPr="00124AB6">
              <w:rPr>
                <w:rFonts w:ascii="Open Sans" w:hAnsi="Open Sans" w:cs="Open Sans"/>
                <w:sz w:val="20"/>
                <w:szCs w:val="20"/>
              </w:rPr>
              <w:t xml:space="preserve"> </w:t>
            </w:r>
            <w:r w:rsidRPr="000179B0">
              <w:rPr>
                <w:rFonts w:ascii="Open Sans" w:hAnsi="Open Sans" w:cs="Open Sans"/>
                <w:sz w:val="20"/>
                <w:szCs w:val="20"/>
              </w:rPr>
              <w:t>of this section, the affected facility to which this subpart applies is each steam generating unit for which construction, modification, or reconstruction is commenced after June 9, 1989 and that has a maximum design heat input capacity of 29 megawatts (MW) (100 million British thermal units per hour (MMBtu/h)) or less, but greater than or equal to 2.9 MW (10 MMBtu/h).</w:t>
            </w:r>
          </w:p>
        </w:tc>
      </w:tr>
      <w:tr w:rsidR="00124AB6" w:rsidRPr="001B6EC4" w14:paraId="7E726E46"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7" w:type="dxa"/>
          </w:tcPr>
          <w:p w14:paraId="2E7BC0B9" w14:textId="77777777" w:rsidR="00124AB6" w:rsidRDefault="00124AB6" w:rsidP="004E3BFD">
            <w:pPr>
              <w:pStyle w:val="BNum"/>
            </w:pPr>
          </w:p>
        </w:tc>
        <w:tc>
          <w:tcPr>
            <w:tcW w:w="9433" w:type="dxa"/>
          </w:tcPr>
          <w:p w14:paraId="5C9D38BF" w14:textId="77777777" w:rsidR="00124AB6" w:rsidRPr="001B6EC4" w:rsidRDefault="00124AB6" w:rsidP="004E3BFD">
            <w:r w:rsidRPr="001B6EC4">
              <w:rPr>
                <w:b/>
              </w:rPr>
              <w:t>Emission Unit ID:</w:t>
            </w:r>
            <w:r>
              <w:t xml:space="preserve"> 03</w:t>
            </w:r>
          </w:p>
          <w:p w14:paraId="1696D26D" w14:textId="77777777" w:rsidR="00124AB6" w:rsidRDefault="00124AB6" w:rsidP="004E3BFD">
            <w:r w:rsidRPr="009A00D8">
              <w:rPr>
                <w:b/>
              </w:rPr>
              <w:t>Equipment ID:</w:t>
            </w:r>
            <w:r w:rsidRPr="009A00D8">
              <w:t xml:space="preserve"> </w:t>
            </w:r>
            <w:r>
              <w:t>H-800R</w:t>
            </w:r>
          </w:p>
          <w:p w14:paraId="33136DAD" w14:textId="77777777" w:rsidR="00124AB6" w:rsidRDefault="00124AB6" w:rsidP="004E3BFD">
            <w:pPr>
              <w:rPr>
                <w:b/>
              </w:rPr>
            </w:pPr>
          </w:p>
          <w:p w14:paraId="0B6343AB" w14:textId="77777777" w:rsidR="00124AB6" w:rsidRDefault="00124AB6" w:rsidP="004E3BFD">
            <w:r>
              <w:t>40CFR60.42c Standard for sulfur dioxide (SO</w:t>
            </w:r>
            <w:r>
              <w:rPr>
                <w:vertAlign w:val="subscript"/>
              </w:rPr>
              <w:t>2</w:t>
            </w:r>
            <w:r>
              <w:t>).</w:t>
            </w:r>
          </w:p>
          <w:p w14:paraId="7A27A4F9" w14:textId="77777777" w:rsidR="00124AB6" w:rsidRDefault="00124AB6" w:rsidP="004E3BFD">
            <w:pPr>
              <w:rPr>
                <w:b/>
              </w:rPr>
            </w:pPr>
          </w:p>
          <w:p w14:paraId="5DF0EAF4" w14:textId="77777777" w:rsidR="00124AB6" w:rsidRPr="001B6EC4" w:rsidRDefault="00124AB6" w:rsidP="004E3BFD">
            <w:pPr>
              <w:rPr>
                <w:b/>
              </w:rPr>
            </w:pPr>
            <w:r>
              <w:t xml:space="preserve">(d) On and after the date on which the initial performance test is completed or required to be completed under </w:t>
            </w:r>
            <w:hyperlink r:id="rId13" w:history="1">
              <w:r w:rsidRPr="00124AB6">
                <w:rPr>
                  <w:rStyle w:val="Hyperlink"/>
                  <w:color w:val="auto"/>
                  <w:u w:val="none"/>
                </w:rPr>
                <w:t>§60.8</w:t>
              </w:r>
            </w:hyperlink>
            <w:r w:rsidRPr="00124AB6">
              <w:t>,</w:t>
            </w:r>
            <w:r w:rsidRPr="000179B0">
              <w:t xml:space="preserve"> </w:t>
            </w:r>
            <w:r>
              <w:t>whichever date comes first, no owner or operator of an affected facility that combusts oil shall cause to be discharged into the atmosphere from that affected facility any gases that contain SO</w:t>
            </w:r>
            <w:r>
              <w:rPr>
                <w:vertAlign w:val="subscript"/>
              </w:rPr>
              <w:t>2</w:t>
            </w:r>
            <w:r>
              <w:t xml:space="preserve"> in excess of 215 ng/J (0.50 </w:t>
            </w:r>
            <w:proofErr w:type="spellStart"/>
            <w:r>
              <w:t>lb</w:t>
            </w:r>
            <w:proofErr w:type="spellEnd"/>
            <w:r>
              <w:t>/MMBtu) heat input from oil; or, as an alternative, no owner or operator of an affected facility that combusts oil shall combust oil in the affected facility that contains greater than 0.5 weight percent sulfur. The percent reduction requirements are not applicable to affected facilities under this paragraph.</w:t>
            </w:r>
          </w:p>
        </w:tc>
      </w:tr>
      <w:tr w:rsidR="00124AB6" w:rsidRPr="001B6EC4" w14:paraId="66A981CF"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7" w:type="dxa"/>
          </w:tcPr>
          <w:p w14:paraId="06FD7941" w14:textId="77777777" w:rsidR="00124AB6" w:rsidRDefault="00124AB6" w:rsidP="004E3BFD">
            <w:pPr>
              <w:pStyle w:val="BNum"/>
            </w:pPr>
          </w:p>
        </w:tc>
        <w:tc>
          <w:tcPr>
            <w:tcW w:w="9433" w:type="dxa"/>
          </w:tcPr>
          <w:p w14:paraId="452175F9" w14:textId="77777777" w:rsidR="00124AB6" w:rsidRPr="001B6EC4" w:rsidRDefault="00124AB6" w:rsidP="004E3BFD">
            <w:r w:rsidRPr="001B6EC4">
              <w:rPr>
                <w:b/>
              </w:rPr>
              <w:t>Emission Unit ID:</w:t>
            </w:r>
            <w:r>
              <w:t xml:space="preserve"> 03</w:t>
            </w:r>
          </w:p>
          <w:p w14:paraId="2FB7B69D" w14:textId="77777777" w:rsidR="00124AB6" w:rsidRDefault="00124AB6" w:rsidP="004E3BFD">
            <w:r w:rsidRPr="009A00D8">
              <w:rPr>
                <w:b/>
              </w:rPr>
              <w:t>Equipment ID:</w:t>
            </w:r>
            <w:r w:rsidRPr="009A00D8">
              <w:t xml:space="preserve"> </w:t>
            </w:r>
            <w:r>
              <w:t>H-800R</w:t>
            </w:r>
          </w:p>
          <w:p w14:paraId="35E560C1" w14:textId="77777777" w:rsidR="00124AB6" w:rsidRDefault="00124AB6" w:rsidP="004E3BFD"/>
          <w:p w14:paraId="3BBD9D09" w14:textId="77777777" w:rsidR="00124AB6" w:rsidRDefault="00124AB6" w:rsidP="004E3BFD">
            <w:r>
              <w:t>40CFR60.43c Standard for particulate matter (PM).</w:t>
            </w:r>
          </w:p>
          <w:p w14:paraId="743E42B3" w14:textId="77777777" w:rsidR="00124AB6" w:rsidRDefault="00124AB6" w:rsidP="004E3BFD">
            <w:pPr>
              <w:pStyle w:val="indent-1"/>
              <w:spacing w:before="0" w:beforeAutospacing="0" w:after="0" w:afterAutospacing="0"/>
              <w:jc w:val="both"/>
              <w:rPr>
                <w:rFonts w:ascii="Open Sans" w:hAnsi="Open Sans" w:cs="Open Sans"/>
                <w:sz w:val="20"/>
                <w:szCs w:val="20"/>
              </w:rPr>
            </w:pPr>
          </w:p>
          <w:p w14:paraId="1391C477" w14:textId="77777777" w:rsidR="00124AB6" w:rsidRPr="00124AB6" w:rsidRDefault="00124AB6" w:rsidP="004E3BFD">
            <w:pPr>
              <w:pStyle w:val="indent-1"/>
              <w:spacing w:before="0" w:beforeAutospacing="0" w:after="0" w:afterAutospacing="0"/>
              <w:jc w:val="both"/>
              <w:rPr>
                <w:rFonts w:ascii="Open Sans" w:hAnsi="Open Sans" w:cs="Open Sans"/>
                <w:sz w:val="20"/>
                <w:szCs w:val="20"/>
              </w:rPr>
            </w:pPr>
            <w:r>
              <w:rPr>
                <w:rFonts w:ascii="Open Sans" w:hAnsi="Open Sans" w:cs="Open Sans"/>
                <w:sz w:val="20"/>
                <w:szCs w:val="20"/>
              </w:rPr>
              <w:t xml:space="preserve">(c) </w:t>
            </w:r>
            <w:r w:rsidRPr="000179B0">
              <w:rPr>
                <w:rFonts w:ascii="Open Sans" w:hAnsi="Open Sans" w:cs="Open Sans"/>
                <w:sz w:val="20"/>
                <w:szCs w:val="20"/>
              </w:rPr>
              <w:t>On and after the date on which the initial performance test is completed or required to be completed under</w:t>
            </w:r>
            <w:r>
              <w:rPr>
                <w:rFonts w:ascii="Open Sans" w:hAnsi="Open Sans" w:cs="Open Sans"/>
                <w:sz w:val="20"/>
                <w:szCs w:val="20"/>
              </w:rPr>
              <w:t xml:space="preserve"> </w:t>
            </w:r>
            <w:r w:rsidRPr="000179B0">
              <w:rPr>
                <w:rFonts w:ascii="Open Sans" w:hAnsi="Open Sans" w:cs="Open Sans"/>
                <w:sz w:val="20"/>
                <w:szCs w:val="20"/>
              </w:rPr>
              <w:t>§</w:t>
            </w:r>
            <w:r>
              <w:rPr>
                <w:rFonts w:ascii="Open Sans" w:hAnsi="Open Sans" w:cs="Open Sans"/>
                <w:sz w:val="20"/>
                <w:szCs w:val="20"/>
              </w:rPr>
              <w:t>60.8</w:t>
            </w:r>
            <w:hyperlink r:id="rId14" w:history="1"/>
            <w:r w:rsidRPr="000179B0">
              <w:rPr>
                <w:rFonts w:ascii="Open Sans" w:hAnsi="Open Sans" w:cs="Open Sans"/>
                <w:sz w:val="20"/>
                <w:szCs w:val="20"/>
              </w:rPr>
              <w:t xml:space="preserve">, whichever date comes first, no owner or operator of an affected facility that combusts coal, wood, or oil and has a heat input capacity of 8.7 MW (30 MMBtu/h) or greater shall cause to be discharged into the atmosphere from that affected facility any gases that exhibit greater than 20 percent opacity (6-minute average), except for one 6-minute period per hour of not more than 27 percent opacity. Owners and operators of an affected facility that elect to install, calibrate, maintain, and operate a continuous emissions monitoring system (CEMS) for measuring PM emissions according to the requirements of this subpart and are subject to a federally enforceable PM limit of 0.030 </w:t>
            </w:r>
            <w:proofErr w:type="spellStart"/>
            <w:r w:rsidRPr="000179B0">
              <w:rPr>
                <w:rFonts w:ascii="Open Sans" w:hAnsi="Open Sans" w:cs="Open Sans"/>
                <w:sz w:val="20"/>
                <w:szCs w:val="20"/>
              </w:rPr>
              <w:t>lb</w:t>
            </w:r>
            <w:proofErr w:type="spellEnd"/>
            <w:r w:rsidRPr="000179B0">
              <w:rPr>
                <w:rFonts w:ascii="Open Sans" w:hAnsi="Open Sans" w:cs="Open Sans"/>
                <w:sz w:val="20"/>
                <w:szCs w:val="20"/>
              </w:rPr>
              <w:t xml:space="preserve">/MMBtu or less are exempt from the opacity standard specified in this </w:t>
            </w:r>
            <w:hyperlink r:id="rId15" w:anchor="p-60.43c(c)" w:history="1">
              <w:r w:rsidRPr="00124AB6">
                <w:rPr>
                  <w:rStyle w:val="Hyperlink"/>
                  <w:rFonts w:ascii="Open Sans" w:hAnsi="Open Sans" w:cs="Open Sans"/>
                  <w:color w:val="auto"/>
                  <w:sz w:val="20"/>
                  <w:szCs w:val="20"/>
                  <w:u w:val="none"/>
                </w:rPr>
                <w:t>paragraph (c)</w:t>
              </w:r>
            </w:hyperlink>
            <w:r w:rsidRPr="00124AB6">
              <w:rPr>
                <w:rFonts w:ascii="Open Sans" w:hAnsi="Open Sans" w:cs="Open Sans"/>
                <w:sz w:val="20"/>
                <w:szCs w:val="20"/>
              </w:rPr>
              <w:t xml:space="preserve">. </w:t>
            </w:r>
          </w:p>
          <w:p w14:paraId="5A2AD163" w14:textId="77777777" w:rsidR="00124AB6" w:rsidRPr="000179B0" w:rsidRDefault="00124AB6" w:rsidP="004E3BFD">
            <w:pPr>
              <w:pStyle w:val="indent-1"/>
              <w:spacing w:before="0" w:beforeAutospacing="0" w:after="0" w:afterAutospacing="0"/>
              <w:jc w:val="both"/>
              <w:rPr>
                <w:rFonts w:ascii="Open Sans" w:hAnsi="Open Sans" w:cs="Open Sans"/>
                <w:sz w:val="20"/>
                <w:szCs w:val="20"/>
              </w:rPr>
            </w:pPr>
          </w:p>
          <w:p w14:paraId="37AF99BC" w14:textId="77777777" w:rsidR="00124AB6" w:rsidRPr="001B6EC4" w:rsidRDefault="00124AB6" w:rsidP="004E3BFD">
            <w:pPr>
              <w:rPr>
                <w:b/>
              </w:rPr>
            </w:pPr>
            <w:r w:rsidRPr="000179B0">
              <w:rPr>
                <w:rStyle w:val="paren"/>
                <w:rFonts w:cs="Open Sans"/>
                <w:szCs w:val="20"/>
              </w:rPr>
              <w:t>(</w:t>
            </w:r>
            <w:r w:rsidRPr="000179B0">
              <w:rPr>
                <w:rStyle w:val="paragraph-hierarchy"/>
                <w:rFonts w:cs="Open Sans"/>
                <w:szCs w:val="20"/>
              </w:rPr>
              <w:t>d</w:t>
            </w:r>
            <w:r w:rsidRPr="000179B0">
              <w:rPr>
                <w:rStyle w:val="paren"/>
                <w:rFonts w:cs="Open Sans"/>
                <w:szCs w:val="20"/>
              </w:rPr>
              <w:t>)</w:t>
            </w:r>
            <w:r w:rsidRPr="000179B0">
              <w:rPr>
                <w:rFonts w:cs="Open Sans"/>
                <w:szCs w:val="20"/>
              </w:rPr>
              <w:t xml:space="preserve"> The PM and opacity standards under this section </w:t>
            </w:r>
            <w:proofErr w:type="gramStart"/>
            <w:r w:rsidRPr="000179B0">
              <w:rPr>
                <w:rFonts w:cs="Open Sans"/>
                <w:szCs w:val="20"/>
              </w:rPr>
              <w:t>apply at all times</w:t>
            </w:r>
            <w:proofErr w:type="gramEnd"/>
            <w:r w:rsidRPr="000179B0">
              <w:rPr>
                <w:rFonts w:cs="Open Sans"/>
                <w:szCs w:val="20"/>
              </w:rPr>
              <w:t>, except during periods of startup, shutdown, or malfunction.</w:t>
            </w:r>
          </w:p>
        </w:tc>
      </w:tr>
      <w:tr w:rsidR="00124AB6" w:rsidRPr="001B6EC4" w14:paraId="58C89E1C"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7" w:type="dxa"/>
          </w:tcPr>
          <w:p w14:paraId="0FE5CB1A" w14:textId="77777777" w:rsidR="00124AB6" w:rsidRDefault="00124AB6" w:rsidP="004E3BFD">
            <w:pPr>
              <w:pStyle w:val="BNum"/>
            </w:pPr>
          </w:p>
        </w:tc>
        <w:tc>
          <w:tcPr>
            <w:tcW w:w="9433" w:type="dxa"/>
          </w:tcPr>
          <w:p w14:paraId="7DAD634F" w14:textId="77777777" w:rsidR="00124AB6" w:rsidRPr="001B6EC4" w:rsidRDefault="00124AB6" w:rsidP="004E3BFD">
            <w:r w:rsidRPr="001B6EC4">
              <w:rPr>
                <w:b/>
              </w:rPr>
              <w:t>Emission Unit ID:</w:t>
            </w:r>
            <w:r>
              <w:t xml:space="preserve"> 03</w:t>
            </w:r>
          </w:p>
          <w:p w14:paraId="7FC7B6BF" w14:textId="77777777" w:rsidR="00124AB6" w:rsidRDefault="00124AB6" w:rsidP="004E3BFD">
            <w:r w:rsidRPr="009A00D8">
              <w:rPr>
                <w:b/>
              </w:rPr>
              <w:t>Equipment ID:</w:t>
            </w:r>
            <w:r w:rsidRPr="009A00D8">
              <w:t xml:space="preserve"> </w:t>
            </w:r>
            <w:r>
              <w:t>H-800R</w:t>
            </w:r>
          </w:p>
          <w:p w14:paraId="2BBAB0B4" w14:textId="77777777" w:rsidR="00124AB6" w:rsidRDefault="00124AB6" w:rsidP="004E3BFD">
            <w:pPr>
              <w:rPr>
                <w:b/>
              </w:rPr>
            </w:pPr>
          </w:p>
          <w:p w14:paraId="3419B1D9" w14:textId="77777777" w:rsidR="00124AB6" w:rsidRPr="001B6EC4" w:rsidRDefault="00124AB6" w:rsidP="004E3BFD">
            <w:pPr>
              <w:widowControl/>
              <w:rPr>
                <w:b/>
              </w:rPr>
            </w:pPr>
            <w:r>
              <w:rPr>
                <w:bCs/>
              </w:rPr>
              <w:t>(</w:t>
            </w:r>
            <w:r w:rsidRPr="0069662E">
              <w:rPr>
                <w:bCs/>
              </w:rPr>
              <w:t>40CFR60.8, 40</w:t>
            </w:r>
            <w:smartTag w:uri="urn:schemas-microsoft-com:office:smarttags" w:element="stockticker">
              <w:r w:rsidRPr="0069662E">
                <w:rPr>
                  <w:bCs/>
                </w:rPr>
                <w:t>CFR</w:t>
              </w:r>
            </w:smartTag>
            <w:r w:rsidRPr="0069662E">
              <w:rPr>
                <w:bCs/>
              </w:rPr>
              <w:t xml:space="preserve">60.45c(a) and 40CFR60.47c(a)) </w:t>
            </w:r>
            <w:r w:rsidRPr="0069662E">
              <w:rPr>
                <w:rFonts w:cs="Open Sans"/>
              </w:rPr>
              <w:t xml:space="preserve">Within 180 calendar days after its initial startup on No.2 Fuel Oil, </w:t>
            </w:r>
            <w:r w:rsidRPr="0069662E">
              <w:t>the owner/operator shall conduct an initial performance test as required under 40CFR60.8 to determine compliance with the opacity standards specified in 40CFR60.43c(c) using the reference method as specified in 40CFR60.45c(a)(8). S</w:t>
            </w:r>
            <w:r w:rsidRPr="0069662E">
              <w:rPr>
                <w:rFonts w:cs="Open Sans"/>
                <w:szCs w:val="20"/>
              </w:rPr>
              <w:t>ubsequent opacity tests shall be conducted as specified by 40CFR60.47c(a)(1) through 40CFR60.</w:t>
            </w:r>
            <w:r>
              <w:rPr>
                <w:rFonts w:cs="Open Sans"/>
                <w:szCs w:val="20"/>
              </w:rPr>
              <w:t>4</w:t>
            </w:r>
            <w:r w:rsidRPr="0069662E">
              <w:rPr>
                <w:rFonts w:cs="Open Sans"/>
                <w:szCs w:val="20"/>
              </w:rPr>
              <w:t>7c(a)(3).</w:t>
            </w:r>
          </w:p>
        </w:tc>
      </w:tr>
      <w:tr w:rsidR="00124AB6" w:rsidRPr="000179B0" w14:paraId="6CB80A45"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7" w:type="dxa"/>
          </w:tcPr>
          <w:p w14:paraId="23666E91" w14:textId="77777777" w:rsidR="00124AB6" w:rsidRDefault="00124AB6" w:rsidP="004E3BFD">
            <w:pPr>
              <w:pStyle w:val="BNum"/>
            </w:pPr>
          </w:p>
        </w:tc>
        <w:tc>
          <w:tcPr>
            <w:tcW w:w="9433" w:type="dxa"/>
          </w:tcPr>
          <w:p w14:paraId="2BAC74B6" w14:textId="77777777" w:rsidR="00124AB6" w:rsidRPr="001B6EC4" w:rsidRDefault="00124AB6" w:rsidP="004E3BFD">
            <w:r w:rsidRPr="001B6EC4">
              <w:rPr>
                <w:b/>
              </w:rPr>
              <w:t>Emission Unit ID:</w:t>
            </w:r>
            <w:r>
              <w:t xml:space="preserve"> 03</w:t>
            </w:r>
          </w:p>
          <w:p w14:paraId="12064143" w14:textId="77777777" w:rsidR="00124AB6" w:rsidRDefault="00124AB6" w:rsidP="004E3BFD">
            <w:r w:rsidRPr="009A00D8">
              <w:rPr>
                <w:b/>
              </w:rPr>
              <w:t>Equipment ID:</w:t>
            </w:r>
            <w:r w:rsidRPr="009A00D8">
              <w:t xml:space="preserve"> </w:t>
            </w:r>
            <w:r>
              <w:t>H-800R</w:t>
            </w:r>
          </w:p>
          <w:p w14:paraId="15026456" w14:textId="77777777" w:rsidR="00124AB6" w:rsidRDefault="00124AB6" w:rsidP="004E3BFD"/>
          <w:p w14:paraId="17CFE52D" w14:textId="77777777" w:rsidR="00124AB6" w:rsidRDefault="00124AB6" w:rsidP="004E3BFD">
            <w:r>
              <w:t>40CFR60.45c Compliance and performance test methods and procedures for particulate matter.</w:t>
            </w:r>
          </w:p>
          <w:p w14:paraId="1D97B017" w14:textId="77777777" w:rsidR="00124AB6" w:rsidRDefault="00124AB6" w:rsidP="004E3BFD">
            <w:pPr>
              <w:rPr>
                <w:b/>
              </w:rPr>
            </w:pPr>
          </w:p>
          <w:p w14:paraId="5F4B136F" w14:textId="77777777" w:rsidR="00124AB6" w:rsidRPr="00124AB6" w:rsidRDefault="00124AB6" w:rsidP="004E3BFD">
            <w:pPr>
              <w:rPr>
                <w:b/>
              </w:rPr>
            </w:pPr>
            <w:r w:rsidRPr="00124AB6">
              <w:t xml:space="preserve">(a) The owner or operator of an affected facility subject to the PM and/or opacity standards under </w:t>
            </w:r>
            <w:hyperlink r:id="rId16" w:history="1">
              <w:r w:rsidRPr="00124AB6">
                <w:rPr>
                  <w:rStyle w:val="Hyperlink"/>
                  <w:color w:val="auto"/>
                  <w:u w:val="none"/>
                </w:rPr>
                <w:t>§ 60.43c</w:t>
              </w:r>
            </w:hyperlink>
            <w:r w:rsidRPr="00124AB6">
              <w:t xml:space="preserve"> shall conduct an initial performance test as required under §</w:t>
            </w:r>
            <w:hyperlink r:id="rId17" w:history="1"/>
            <w:r w:rsidRPr="00124AB6">
              <w:t xml:space="preserve">60.8, and shall conduct subsequent performance tests as requested by the Administrator, to determine compliance with the standards using the following procedures and reference methods, except as specified in </w:t>
            </w:r>
            <w:hyperlink r:id="rId18" w:anchor="p-60.45c(c)" w:history="1">
              <w:r w:rsidRPr="00124AB6">
                <w:rPr>
                  <w:rStyle w:val="Hyperlink"/>
                  <w:color w:val="auto"/>
                  <w:u w:val="none"/>
                </w:rPr>
                <w:t>paragraph (c)</w:t>
              </w:r>
            </w:hyperlink>
            <w:r w:rsidRPr="00124AB6">
              <w:t xml:space="preserve"> of this section.</w:t>
            </w:r>
          </w:p>
          <w:p w14:paraId="5E356230" w14:textId="77777777" w:rsidR="00124AB6" w:rsidRDefault="00124AB6" w:rsidP="004E3BFD">
            <w:pPr>
              <w:rPr>
                <w:rFonts w:cs="Open Sans"/>
                <w:bCs/>
                <w:szCs w:val="20"/>
              </w:rPr>
            </w:pPr>
          </w:p>
          <w:p w14:paraId="4104B59C" w14:textId="77777777" w:rsidR="00124AB6" w:rsidRPr="000179B0" w:rsidRDefault="00124AB6" w:rsidP="004E3BFD">
            <w:pPr>
              <w:rPr>
                <w:bCs/>
              </w:rPr>
            </w:pPr>
            <w:r w:rsidRPr="000179B0">
              <w:rPr>
                <w:rFonts w:cs="Open Sans"/>
                <w:bCs/>
                <w:szCs w:val="20"/>
              </w:rPr>
              <w:t>(a)(8)</w:t>
            </w:r>
            <w:r>
              <w:t xml:space="preserve"> Method 9 of appendix A–4 of this part shall be used for determining the opacity of stack emissions.</w:t>
            </w:r>
          </w:p>
        </w:tc>
      </w:tr>
      <w:tr w:rsidR="00124AB6" w:rsidRPr="007858D3" w14:paraId="185B6A12"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val="0"/>
          <w:trHeight w:val="432"/>
        </w:trPr>
        <w:tc>
          <w:tcPr>
            <w:tcW w:w="1367" w:type="dxa"/>
          </w:tcPr>
          <w:p w14:paraId="6B6EE8C8" w14:textId="77777777" w:rsidR="00124AB6" w:rsidRDefault="00124AB6" w:rsidP="004E3BFD">
            <w:pPr>
              <w:pStyle w:val="BNum"/>
            </w:pPr>
          </w:p>
        </w:tc>
        <w:tc>
          <w:tcPr>
            <w:tcW w:w="9433" w:type="dxa"/>
          </w:tcPr>
          <w:p w14:paraId="18E53A45" w14:textId="77777777" w:rsidR="00124AB6" w:rsidRPr="001B6EC4" w:rsidRDefault="00124AB6" w:rsidP="004E3BFD">
            <w:r w:rsidRPr="001B6EC4">
              <w:rPr>
                <w:b/>
              </w:rPr>
              <w:t>Emission Unit ID:</w:t>
            </w:r>
            <w:r>
              <w:t xml:space="preserve"> 03</w:t>
            </w:r>
          </w:p>
          <w:p w14:paraId="2CF9150D" w14:textId="77777777" w:rsidR="00124AB6" w:rsidRDefault="00124AB6" w:rsidP="004E3BFD">
            <w:r w:rsidRPr="009A00D8">
              <w:rPr>
                <w:b/>
              </w:rPr>
              <w:t>Equipment ID:</w:t>
            </w:r>
            <w:r w:rsidRPr="009A00D8">
              <w:t xml:space="preserve"> </w:t>
            </w:r>
            <w:r>
              <w:t>H-800R</w:t>
            </w:r>
          </w:p>
          <w:p w14:paraId="6AA95F19" w14:textId="77777777" w:rsidR="00124AB6" w:rsidRDefault="00124AB6" w:rsidP="004E3BFD">
            <w:pPr>
              <w:rPr>
                <w:b/>
              </w:rPr>
            </w:pPr>
          </w:p>
          <w:p w14:paraId="7EB237F1" w14:textId="77777777" w:rsidR="00124AB6" w:rsidRDefault="00124AB6" w:rsidP="004E3BFD">
            <w:r>
              <w:t>40CFR60.47c Emission monitoring for particulate matter.</w:t>
            </w:r>
          </w:p>
          <w:p w14:paraId="16190E0B" w14:textId="77777777" w:rsidR="00124AB6" w:rsidRDefault="00124AB6" w:rsidP="004E3BFD">
            <w:pPr>
              <w:rPr>
                <w:b/>
              </w:rPr>
            </w:pPr>
          </w:p>
          <w:p w14:paraId="5A3C6847" w14:textId="77777777" w:rsidR="00124AB6" w:rsidRDefault="00124AB6" w:rsidP="004E3BFD">
            <w:r w:rsidRPr="007858D3">
              <w:t xml:space="preserve">(a) Except as provided in </w:t>
            </w:r>
            <w:hyperlink r:id="rId19" w:anchor="p-60.47c(c)" w:history="1">
              <w:r w:rsidRPr="007858D3">
                <w:t>paragraphs (c)</w:t>
              </w:r>
            </w:hyperlink>
            <w:r w:rsidRPr="007858D3">
              <w:t xml:space="preserve">, </w:t>
            </w:r>
            <w:hyperlink r:id="rId20" w:anchor="p-60.47c(d)" w:history="1">
              <w:r w:rsidRPr="007858D3">
                <w:t>(d)</w:t>
              </w:r>
            </w:hyperlink>
            <w:r w:rsidRPr="007858D3">
              <w:t xml:space="preserve">, </w:t>
            </w:r>
            <w:hyperlink r:id="rId21" w:anchor="p-60.47c(e)" w:history="1">
              <w:r w:rsidRPr="007858D3">
                <w:t>(e)</w:t>
              </w:r>
            </w:hyperlink>
            <w:r w:rsidRPr="007858D3">
              <w:t xml:space="preserve">, and </w:t>
            </w:r>
            <w:hyperlink r:id="rId22" w:anchor="p-60.47c(f)" w:history="1">
              <w:r w:rsidRPr="007858D3">
                <w:t>(f)</w:t>
              </w:r>
            </w:hyperlink>
            <w:r w:rsidRPr="007858D3">
              <w:t xml:space="preserve"> of this section, the owner or operator of an affected facility combusting coal, oil, or wood that is subject to the opacity standards under </w:t>
            </w:r>
            <w:hyperlink r:id="rId23" w:history="1">
              <w:r w:rsidRPr="007858D3">
                <w:t>§ 60.43c</w:t>
              </w:r>
            </w:hyperlink>
            <w:r w:rsidRPr="007858D3">
              <w:t xml:space="preserve"> shall install, calibrate, maintain, and operate a continuous opacity monitoring system (COMS) for measuring the opacity of the emissions discharged to the atmosphere and record the output of the system. The owner or operator of an affected facility subject to an opacity standard in </w:t>
            </w:r>
            <w:hyperlink r:id="rId24" w:anchor="p-60.43c(c)" w:history="1">
              <w:r w:rsidRPr="007858D3">
                <w:t>§ 60.43c(c)</w:t>
              </w:r>
            </w:hyperlink>
            <w:r w:rsidRPr="007858D3">
              <w:t xml:space="preserve"> that is not required to use a COMS due to </w:t>
            </w:r>
            <w:hyperlink r:id="rId25" w:anchor="p-60.47c(c)" w:history="1">
              <w:r w:rsidRPr="007858D3">
                <w:t>paragraphs (c)</w:t>
              </w:r>
            </w:hyperlink>
            <w:r w:rsidRPr="007858D3">
              <w:t xml:space="preserve">, </w:t>
            </w:r>
            <w:hyperlink r:id="rId26" w:anchor="p-60.47c(d)" w:history="1">
              <w:r w:rsidRPr="007858D3">
                <w:t>(d)</w:t>
              </w:r>
            </w:hyperlink>
            <w:r w:rsidRPr="007858D3">
              <w:t xml:space="preserve">, </w:t>
            </w:r>
            <w:hyperlink r:id="rId27" w:anchor="p-60.47c(e)" w:history="1">
              <w:r w:rsidRPr="007858D3">
                <w:t>(e)</w:t>
              </w:r>
            </w:hyperlink>
            <w:r w:rsidRPr="007858D3">
              <w:t xml:space="preserve">, or </w:t>
            </w:r>
            <w:hyperlink r:id="rId28" w:anchor="p-60.47c(f)" w:history="1">
              <w:r w:rsidRPr="007858D3">
                <w:t>(f)</w:t>
              </w:r>
            </w:hyperlink>
            <w:r w:rsidRPr="007858D3">
              <w:t xml:space="preserve"> of this section that elects not to use a COMS shall conduct a performance test using Method 9 of appendix A–4 of this part and the procedures in </w:t>
            </w:r>
            <w:hyperlink r:id="rId29" w:history="1">
              <w:r w:rsidRPr="007858D3">
                <w:t>§ 60.11</w:t>
              </w:r>
            </w:hyperlink>
            <w:r w:rsidRPr="007858D3">
              <w:t xml:space="preserve"> to demonstrate compliance with the applicable limit in </w:t>
            </w:r>
            <w:hyperlink r:id="rId30" w:history="1">
              <w:r w:rsidRPr="007858D3">
                <w:t>§ 60.43c</w:t>
              </w:r>
            </w:hyperlink>
            <w:r w:rsidRPr="007858D3">
              <w:t xml:space="preserve"> by April 29, 2011, within 45 days of stopping use of an existing COMS, or within 180 days after initial startup of the facility, whichever is later, and shall comply with either </w:t>
            </w:r>
            <w:hyperlink r:id="rId31" w:anchor="p-60.47c(a)(1)" w:history="1">
              <w:r w:rsidRPr="007858D3">
                <w:t>paragraphs (a)(1)</w:t>
              </w:r>
            </w:hyperlink>
            <w:r w:rsidRPr="007858D3">
              <w:t xml:space="preserve">, </w:t>
            </w:r>
            <w:hyperlink r:id="rId32" w:anchor="p-60.47c(a)(2)" w:history="1">
              <w:r w:rsidRPr="007858D3">
                <w:t>(a)(2)</w:t>
              </w:r>
            </w:hyperlink>
            <w:r w:rsidRPr="007858D3">
              <w:t xml:space="preserve">, or </w:t>
            </w:r>
            <w:hyperlink r:id="rId33" w:anchor="p-60.47c(a)(3)" w:history="1">
              <w:r w:rsidRPr="007858D3">
                <w:t>(a)(3)</w:t>
              </w:r>
            </w:hyperlink>
            <w:r w:rsidRPr="007858D3">
              <w:t xml:space="preserve"> of this section. The observation period for Method 9 of appendix A–4 of this part performance tests may be reduced from 3 hours to 60 minutes if all 6-minute averages are less than 10 percent and all individual 15-second observations are less than or equal to 20 percent during the initial 60 minutes of observation.</w:t>
            </w:r>
          </w:p>
          <w:p w14:paraId="5A79530B" w14:textId="77777777" w:rsidR="00124AB6" w:rsidRDefault="00124AB6" w:rsidP="004E3BFD">
            <w:pPr>
              <w:rPr>
                <w:b/>
              </w:rPr>
            </w:pPr>
          </w:p>
          <w:p w14:paraId="7B73B25F" w14:textId="77777777" w:rsidR="00124AB6" w:rsidRPr="007858D3" w:rsidRDefault="00124AB6" w:rsidP="004E3BFD">
            <w:pPr>
              <w:autoSpaceDE/>
              <w:autoSpaceDN/>
              <w:adjustRightInd/>
              <w:ind w:firstLine="1"/>
              <w:rPr>
                <w:rFonts w:cs="Open Sans"/>
                <w:szCs w:val="20"/>
              </w:rPr>
            </w:pPr>
            <w:r w:rsidRPr="007858D3">
              <w:rPr>
                <w:rFonts w:cs="Open Sans"/>
                <w:szCs w:val="20"/>
              </w:rPr>
              <w:t xml:space="preserve">(a)(1) Except as provided in </w:t>
            </w:r>
            <w:hyperlink r:id="rId34" w:anchor="p-60.47c(a)(2)" w:history="1">
              <w:r w:rsidRPr="007858D3">
                <w:rPr>
                  <w:rFonts w:cs="Open Sans"/>
                  <w:szCs w:val="20"/>
                </w:rPr>
                <w:t>paragraph (a)(2)</w:t>
              </w:r>
            </w:hyperlink>
            <w:r w:rsidRPr="007858D3">
              <w:rPr>
                <w:rFonts w:cs="Open Sans"/>
                <w:szCs w:val="20"/>
              </w:rPr>
              <w:t xml:space="preserve"> and </w:t>
            </w:r>
            <w:hyperlink r:id="rId35" w:anchor="p-60.47c(a)(3)" w:history="1">
              <w:r w:rsidRPr="007858D3">
                <w:rPr>
                  <w:rFonts w:cs="Open Sans"/>
                  <w:szCs w:val="20"/>
                </w:rPr>
                <w:t>(a)(3)</w:t>
              </w:r>
            </w:hyperlink>
            <w:r w:rsidRPr="007858D3">
              <w:rPr>
                <w:rFonts w:cs="Open Sans"/>
                <w:szCs w:val="20"/>
              </w:rPr>
              <w:t xml:space="preserve"> of this section, the owner or operator shall conduct subsequent Method 9 of appendix A–4 of this part performance tests using the procedures in </w:t>
            </w:r>
            <w:hyperlink r:id="rId36" w:anchor="p-60.47c(a)" w:history="1">
              <w:r w:rsidRPr="007858D3">
                <w:rPr>
                  <w:rFonts w:cs="Open Sans"/>
                  <w:szCs w:val="20"/>
                </w:rPr>
                <w:t>paragraph (a)</w:t>
              </w:r>
            </w:hyperlink>
            <w:r w:rsidRPr="007858D3">
              <w:rPr>
                <w:rFonts w:cs="Open Sans"/>
                <w:szCs w:val="20"/>
              </w:rPr>
              <w:t xml:space="preserve"> of this section according to the applicable schedule in </w:t>
            </w:r>
            <w:hyperlink r:id="rId37" w:anchor="p-60.47c(a)(1)(i)" w:history="1">
              <w:r w:rsidRPr="007858D3">
                <w:rPr>
                  <w:rFonts w:cs="Open Sans"/>
                  <w:szCs w:val="20"/>
                </w:rPr>
                <w:t>paragraphs (a)(1)(</w:t>
              </w:r>
              <w:proofErr w:type="spellStart"/>
              <w:r w:rsidRPr="007858D3">
                <w:rPr>
                  <w:rFonts w:cs="Open Sans"/>
                  <w:szCs w:val="20"/>
                </w:rPr>
                <w:t>i</w:t>
              </w:r>
              <w:proofErr w:type="spellEnd"/>
              <w:r w:rsidRPr="007858D3">
                <w:rPr>
                  <w:rFonts w:cs="Open Sans"/>
                  <w:szCs w:val="20"/>
                </w:rPr>
                <w:t>)</w:t>
              </w:r>
            </w:hyperlink>
            <w:r w:rsidRPr="007858D3">
              <w:rPr>
                <w:rFonts w:cs="Open Sans"/>
                <w:szCs w:val="20"/>
              </w:rPr>
              <w:t xml:space="preserve"> through </w:t>
            </w:r>
            <w:hyperlink r:id="rId38" w:anchor="p-60.47c(a)(1)(iv)" w:history="1">
              <w:r w:rsidRPr="007858D3">
                <w:rPr>
                  <w:rFonts w:cs="Open Sans"/>
                  <w:szCs w:val="20"/>
                </w:rPr>
                <w:t>(a)(1)(iv)</w:t>
              </w:r>
            </w:hyperlink>
            <w:r w:rsidRPr="007858D3">
              <w:rPr>
                <w:rFonts w:cs="Open Sans"/>
                <w:szCs w:val="20"/>
              </w:rPr>
              <w:t xml:space="preserve"> of this section, as determined by the most recent Method 9 of appendix A–4 of this part performance test results. </w:t>
            </w:r>
          </w:p>
          <w:p w14:paraId="208EDD80" w14:textId="77777777" w:rsidR="00124AB6" w:rsidRDefault="00124AB6" w:rsidP="004E3BFD">
            <w:pPr>
              <w:autoSpaceDE/>
              <w:autoSpaceDN/>
              <w:adjustRightInd/>
              <w:ind w:left="540"/>
              <w:jc w:val="left"/>
              <w:rPr>
                <w:rFonts w:ascii="Times New Roman" w:hAnsi="Times New Roman"/>
                <w:sz w:val="24"/>
              </w:rPr>
            </w:pPr>
          </w:p>
          <w:p w14:paraId="23D43C10" w14:textId="77777777" w:rsidR="00124AB6" w:rsidRPr="007858D3" w:rsidRDefault="00124AB6" w:rsidP="004E3BFD">
            <w:pPr>
              <w:autoSpaceDE/>
              <w:autoSpaceDN/>
              <w:adjustRightInd/>
              <w:ind w:left="1"/>
              <w:rPr>
                <w:rFonts w:cs="Open Sans"/>
                <w:szCs w:val="20"/>
              </w:rPr>
            </w:pPr>
            <w:r w:rsidRPr="007858D3">
              <w:rPr>
                <w:rFonts w:cs="Open Sans"/>
                <w:szCs w:val="20"/>
              </w:rPr>
              <w:t>(a)(1)(</w:t>
            </w:r>
            <w:proofErr w:type="spellStart"/>
            <w:r w:rsidRPr="007858D3">
              <w:rPr>
                <w:rFonts w:cs="Open Sans"/>
                <w:szCs w:val="20"/>
              </w:rPr>
              <w:t>i</w:t>
            </w:r>
            <w:proofErr w:type="spellEnd"/>
            <w:r w:rsidRPr="007858D3">
              <w:rPr>
                <w:rFonts w:cs="Open Sans"/>
                <w:szCs w:val="20"/>
              </w:rPr>
              <w:t xml:space="preserve">) If no visible emissions are observed, a subsequent Method 9 of appendix A–4 of this part performance test must be completed within 12 calendar months from the date that the most recent performance test was conducted or within 45 days of the next day that fuel with an opacity standard is combusted, whichever is </w:t>
            </w:r>
            <w:proofErr w:type="gramStart"/>
            <w:r w:rsidRPr="007858D3">
              <w:rPr>
                <w:rFonts w:cs="Open Sans"/>
                <w:szCs w:val="20"/>
              </w:rPr>
              <w:t>later;</w:t>
            </w:r>
            <w:proofErr w:type="gramEnd"/>
            <w:r w:rsidRPr="007858D3">
              <w:rPr>
                <w:rFonts w:cs="Open Sans"/>
                <w:szCs w:val="20"/>
              </w:rPr>
              <w:t xml:space="preserve"> </w:t>
            </w:r>
          </w:p>
          <w:p w14:paraId="2010ED02" w14:textId="77777777" w:rsidR="00124AB6" w:rsidRPr="007858D3" w:rsidRDefault="00124AB6" w:rsidP="004E3BFD">
            <w:pPr>
              <w:autoSpaceDE/>
              <w:autoSpaceDN/>
              <w:adjustRightInd/>
              <w:ind w:left="540"/>
              <w:rPr>
                <w:rFonts w:cs="Open Sans"/>
                <w:szCs w:val="20"/>
              </w:rPr>
            </w:pPr>
          </w:p>
          <w:p w14:paraId="44612C3C" w14:textId="77777777" w:rsidR="00124AB6" w:rsidRPr="007858D3" w:rsidRDefault="00124AB6" w:rsidP="004E3BFD">
            <w:pPr>
              <w:autoSpaceDE/>
              <w:autoSpaceDN/>
              <w:adjustRightInd/>
              <w:rPr>
                <w:rFonts w:cs="Open Sans"/>
                <w:szCs w:val="20"/>
              </w:rPr>
            </w:pPr>
            <w:r w:rsidRPr="007858D3">
              <w:rPr>
                <w:rFonts w:cs="Open Sans"/>
                <w:szCs w:val="20"/>
              </w:rPr>
              <w:t>(</w:t>
            </w:r>
            <w:r>
              <w:rPr>
                <w:rFonts w:cs="Open Sans"/>
                <w:szCs w:val="20"/>
              </w:rPr>
              <w:t>a)(1)(</w:t>
            </w:r>
            <w:r w:rsidRPr="007858D3">
              <w:rPr>
                <w:rFonts w:cs="Open Sans"/>
                <w:szCs w:val="20"/>
              </w:rPr>
              <w:t xml:space="preserve">ii) If visible emissions are observed but the maximum 6-minute average opacity is less than or equal to 5 percent, a subsequent Method 9 of appendix A–4 of this part performance test must be completed within 6 calendar months from the date that the most recent performance test was conducted or within 45 days of the next day that fuel with an opacity standard is combusted, whichever is later; </w:t>
            </w:r>
          </w:p>
          <w:p w14:paraId="5EEAD0B6" w14:textId="77777777" w:rsidR="00124AB6" w:rsidRPr="007858D3" w:rsidRDefault="00124AB6" w:rsidP="004E3BFD">
            <w:pPr>
              <w:autoSpaceDE/>
              <w:autoSpaceDN/>
              <w:adjustRightInd/>
              <w:ind w:left="540"/>
              <w:rPr>
                <w:rFonts w:cs="Open Sans"/>
                <w:szCs w:val="20"/>
              </w:rPr>
            </w:pPr>
          </w:p>
          <w:p w14:paraId="7155CAED" w14:textId="77777777" w:rsidR="00124AB6" w:rsidRPr="007858D3" w:rsidRDefault="00124AB6" w:rsidP="004E3BFD">
            <w:pPr>
              <w:autoSpaceDE/>
              <w:autoSpaceDN/>
              <w:adjustRightInd/>
              <w:rPr>
                <w:rFonts w:cs="Open Sans"/>
                <w:szCs w:val="20"/>
              </w:rPr>
            </w:pPr>
            <w:r>
              <w:rPr>
                <w:rFonts w:cs="Open Sans"/>
                <w:szCs w:val="20"/>
              </w:rPr>
              <w:t>(a)(1)</w:t>
            </w:r>
            <w:r w:rsidRPr="007858D3">
              <w:rPr>
                <w:rFonts w:cs="Open Sans"/>
                <w:szCs w:val="20"/>
              </w:rPr>
              <w:t xml:space="preserve">(iii) If the maximum 6-minute average opacity is greater than 5 percent but less than or equal to 10 percent, a subsequent Method 9 of appendix A–4 of this part performance test must be completed within 3 calendar months from the date that the most recent performance test was conducted or within 45 days of the next day that fuel with an opacity standard is combusted, whichever is later; or </w:t>
            </w:r>
          </w:p>
          <w:p w14:paraId="0356ED1F" w14:textId="77777777" w:rsidR="00124AB6" w:rsidRDefault="00124AB6" w:rsidP="004E3BFD">
            <w:pPr>
              <w:autoSpaceDE/>
              <w:autoSpaceDN/>
              <w:adjustRightInd/>
              <w:ind w:left="540"/>
              <w:rPr>
                <w:rFonts w:cs="Open Sans"/>
                <w:szCs w:val="20"/>
              </w:rPr>
            </w:pPr>
          </w:p>
          <w:p w14:paraId="38D37E07" w14:textId="77777777" w:rsidR="00124AB6" w:rsidRPr="007858D3" w:rsidRDefault="00124AB6" w:rsidP="004E3BFD">
            <w:pPr>
              <w:autoSpaceDE/>
              <w:autoSpaceDN/>
              <w:adjustRightInd/>
              <w:ind w:left="1"/>
              <w:rPr>
                <w:rFonts w:cs="Open Sans"/>
                <w:szCs w:val="20"/>
              </w:rPr>
            </w:pPr>
            <w:r>
              <w:rPr>
                <w:rFonts w:cs="Open Sans"/>
                <w:szCs w:val="20"/>
              </w:rPr>
              <w:t>(a)(1)</w:t>
            </w:r>
            <w:r w:rsidRPr="007858D3">
              <w:rPr>
                <w:rFonts w:cs="Open Sans"/>
                <w:szCs w:val="20"/>
              </w:rPr>
              <w:t xml:space="preserve">(iv) If the maximum 6-minute average opacity is greater than 10 percent, a subsequent Method 9 of appendix A–4 of this part performance test must be completed within 45 calendar days from the date that the most recent performance test was conducted. </w:t>
            </w:r>
          </w:p>
          <w:p w14:paraId="24969C20" w14:textId="77777777" w:rsidR="00124AB6" w:rsidRDefault="00124AB6" w:rsidP="004E3BFD">
            <w:pPr>
              <w:rPr>
                <w:b/>
              </w:rPr>
            </w:pPr>
          </w:p>
          <w:p w14:paraId="40F03956" w14:textId="77777777" w:rsidR="00124AB6" w:rsidRDefault="00124AB6" w:rsidP="004E3BFD">
            <w:pPr>
              <w:autoSpaceDE/>
              <w:autoSpaceDN/>
              <w:adjustRightInd/>
              <w:ind w:left="1" w:hanging="1"/>
              <w:rPr>
                <w:rFonts w:cs="Open Sans"/>
                <w:szCs w:val="20"/>
              </w:rPr>
            </w:pPr>
            <w:r>
              <w:rPr>
                <w:rFonts w:cs="Open Sans"/>
                <w:szCs w:val="20"/>
              </w:rPr>
              <w:t xml:space="preserve">(a)(2) </w:t>
            </w:r>
            <w:r w:rsidRPr="007858D3">
              <w:rPr>
                <w:rFonts w:cs="Open Sans"/>
                <w:szCs w:val="20"/>
              </w:rPr>
              <w:t xml:space="preserve">If the maximum 6-minute opacity is less than 10 percent during the most recent Method 9 of appendix A–4 of this part performance test, the owner or operator may, as an alternative to performing subsequent Method 9 of appendix A–4 of this part performance tests, elect to perform subsequent monitoring using Method 22 of appendix A–7 of this part according to the procedures specified in </w:t>
            </w:r>
            <w:hyperlink r:id="rId39" w:anchor="p-60.47c(a)(2)(i)" w:history="1">
              <w:r w:rsidRPr="007858D3">
                <w:rPr>
                  <w:rFonts w:cs="Open Sans"/>
                  <w:szCs w:val="20"/>
                </w:rPr>
                <w:t>paragraphs (a)(2)(</w:t>
              </w:r>
              <w:proofErr w:type="spellStart"/>
              <w:r w:rsidRPr="007858D3">
                <w:rPr>
                  <w:rFonts w:cs="Open Sans"/>
                  <w:szCs w:val="20"/>
                </w:rPr>
                <w:t>i</w:t>
              </w:r>
              <w:proofErr w:type="spellEnd"/>
              <w:r w:rsidRPr="007858D3">
                <w:rPr>
                  <w:rFonts w:cs="Open Sans"/>
                  <w:szCs w:val="20"/>
                </w:rPr>
                <w:t>)</w:t>
              </w:r>
            </w:hyperlink>
            <w:r w:rsidRPr="007858D3">
              <w:rPr>
                <w:rFonts w:cs="Open Sans"/>
                <w:szCs w:val="20"/>
              </w:rPr>
              <w:t xml:space="preserve"> and </w:t>
            </w:r>
            <w:hyperlink r:id="rId40" w:anchor="p-60.47c(a)(2)(ii)" w:history="1">
              <w:r w:rsidRPr="007858D3">
                <w:rPr>
                  <w:rFonts w:cs="Open Sans"/>
                  <w:szCs w:val="20"/>
                </w:rPr>
                <w:t>(ii)</w:t>
              </w:r>
            </w:hyperlink>
            <w:r w:rsidRPr="007858D3">
              <w:rPr>
                <w:rFonts w:cs="Open Sans"/>
                <w:szCs w:val="20"/>
              </w:rPr>
              <w:t xml:space="preserve"> of this section. </w:t>
            </w:r>
          </w:p>
          <w:p w14:paraId="5AD47D8B" w14:textId="77777777" w:rsidR="00124AB6" w:rsidRPr="007858D3" w:rsidRDefault="00124AB6" w:rsidP="004E3BFD">
            <w:pPr>
              <w:autoSpaceDE/>
              <w:autoSpaceDN/>
              <w:adjustRightInd/>
              <w:ind w:left="1" w:hanging="1"/>
              <w:jc w:val="left"/>
              <w:rPr>
                <w:rFonts w:cs="Open Sans"/>
                <w:szCs w:val="20"/>
              </w:rPr>
            </w:pPr>
          </w:p>
          <w:p w14:paraId="24E12D84" w14:textId="77777777" w:rsidR="00124AB6" w:rsidRPr="007858D3" w:rsidRDefault="00124AB6" w:rsidP="004E3BFD">
            <w:pPr>
              <w:autoSpaceDE/>
              <w:autoSpaceDN/>
              <w:adjustRightInd/>
              <w:ind w:left="1" w:hanging="1"/>
              <w:rPr>
                <w:rFonts w:cs="Open Sans"/>
                <w:szCs w:val="20"/>
              </w:rPr>
            </w:pPr>
            <w:r>
              <w:rPr>
                <w:rFonts w:cs="Open Sans"/>
                <w:szCs w:val="20"/>
              </w:rPr>
              <w:t>(a)(2)</w:t>
            </w:r>
            <w:r w:rsidRPr="007858D3">
              <w:rPr>
                <w:rFonts w:cs="Open Sans"/>
                <w:szCs w:val="20"/>
              </w:rPr>
              <w:t>(</w:t>
            </w:r>
            <w:proofErr w:type="spellStart"/>
            <w:r w:rsidRPr="007858D3">
              <w:rPr>
                <w:rFonts w:cs="Open Sans"/>
                <w:szCs w:val="20"/>
              </w:rPr>
              <w:t>i</w:t>
            </w:r>
            <w:proofErr w:type="spellEnd"/>
            <w:r w:rsidRPr="007858D3">
              <w:rPr>
                <w:rFonts w:cs="Open Sans"/>
                <w:szCs w:val="20"/>
              </w:rPr>
              <w:t>) The owner or operator shall conduct 10 minute observations (during normal operation) each operating day the affected facility fires fuel for which an opacity standard is applicable using Method 22 of appendix A–7 of this part and demonstrate that the sum of the occurrences of any visible emissions is not in excess of 5 percent of the observation period (</w:t>
            </w:r>
            <w:r w:rsidRPr="007858D3">
              <w:rPr>
                <w:rFonts w:cs="Open Sans"/>
                <w:i/>
                <w:iCs/>
                <w:szCs w:val="20"/>
              </w:rPr>
              <w:t>i.e.</w:t>
            </w:r>
            <w:r w:rsidRPr="007858D3">
              <w:rPr>
                <w:rFonts w:cs="Open Sans"/>
                <w:szCs w:val="20"/>
              </w:rPr>
              <w:t xml:space="preserve"> , 30 seconds per 10 minute period). If the sum of the occurrence of any visible emissions is greater than 30 seconds during the initial </w:t>
            </w:r>
            <w:proofErr w:type="gramStart"/>
            <w:r w:rsidRPr="007858D3">
              <w:rPr>
                <w:rFonts w:cs="Open Sans"/>
                <w:szCs w:val="20"/>
              </w:rPr>
              <w:t>10 minute</w:t>
            </w:r>
            <w:proofErr w:type="gramEnd"/>
            <w:r w:rsidRPr="007858D3">
              <w:rPr>
                <w:rFonts w:cs="Open Sans"/>
                <w:szCs w:val="20"/>
              </w:rPr>
              <w:t xml:space="preserve"> observation, immediately conduct a 30 minute observation. If the sum of the occurrence of visible emissions is greater than 5 percent of the observation period (</w:t>
            </w:r>
            <w:r w:rsidRPr="007858D3">
              <w:rPr>
                <w:rFonts w:cs="Open Sans"/>
                <w:i/>
                <w:iCs/>
                <w:szCs w:val="20"/>
              </w:rPr>
              <w:t>i.e.,</w:t>
            </w:r>
            <w:r w:rsidRPr="007858D3">
              <w:rPr>
                <w:rFonts w:cs="Open Sans"/>
                <w:szCs w:val="20"/>
              </w:rPr>
              <w:t xml:space="preserve"> 90 seconds per 30 minute period), the owner or operator shall either document and adjust the operation of the facility and demonstrate within 24 hours that the sum of the occurrence of visible emissions is equal to or less than 5 percent during a 30 minute observation (</w:t>
            </w:r>
            <w:r w:rsidRPr="007858D3">
              <w:rPr>
                <w:rFonts w:cs="Open Sans"/>
                <w:i/>
                <w:iCs/>
                <w:szCs w:val="20"/>
              </w:rPr>
              <w:t>i.e.,</w:t>
            </w:r>
            <w:r w:rsidRPr="007858D3">
              <w:rPr>
                <w:rFonts w:cs="Open Sans"/>
                <w:szCs w:val="20"/>
              </w:rPr>
              <w:t xml:space="preserve"> 90 seconds) or conduct a new Method 9 of appendix A–4 of this part performance test using the procedures in </w:t>
            </w:r>
            <w:hyperlink r:id="rId41" w:anchor="p-60.47c(a)" w:history="1">
              <w:r w:rsidRPr="007858D3">
                <w:rPr>
                  <w:rFonts w:cs="Open Sans"/>
                  <w:szCs w:val="20"/>
                </w:rPr>
                <w:t>paragraph (a)</w:t>
              </w:r>
            </w:hyperlink>
            <w:r w:rsidRPr="007858D3">
              <w:rPr>
                <w:rFonts w:cs="Open Sans"/>
                <w:szCs w:val="20"/>
              </w:rPr>
              <w:t xml:space="preserve"> of this section within 45 calendar days according to the requirements in </w:t>
            </w:r>
            <w:hyperlink r:id="rId42" w:anchor="p-60.45c(a)(8)" w:history="1">
              <w:r w:rsidRPr="007858D3">
                <w:rPr>
                  <w:rFonts w:cs="Open Sans"/>
                  <w:szCs w:val="20"/>
                </w:rPr>
                <w:t>§ 60.45c(a)(8)</w:t>
              </w:r>
            </w:hyperlink>
            <w:r w:rsidRPr="007858D3">
              <w:rPr>
                <w:rFonts w:cs="Open Sans"/>
                <w:szCs w:val="20"/>
              </w:rPr>
              <w:t xml:space="preserve">. </w:t>
            </w:r>
          </w:p>
          <w:p w14:paraId="6D9BE9A2" w14:textId="77777777" w:rsidR="00124AB6" w:rsidRDefault="00124AB6" w:rsidP="004E3BFD">
            <w:pPr>
              <w:autoSpaceDE/>
              <w:autoSpaceDN/>
              <w:adjustRightInd/>
              <w:ind w:left="1" w:hanging="1"/>
              <w:jc w:val="left"/>
              <w:rPr>
                <w:rFonts w:cs="Open Sans"/>
                <w:szCs w:val="20"/>
              </w:rPr>
            </w:pPr>
          </w:p>
          <w:p w14:paraId="115ECD09" w14:textId="77777777" w:rsidR="00124AB6" w:rsidRPr="007858D3" w:rsidRDefault="00124AB6" w:rsidP="004E3BFD">
            <w:pPr>
              <w:autoSpaceDE/>
              <w:autoSpaceDN/>
              <w:adjustRightInd/>
              <w:ind w:left="1" w:hanging="1"/>
              <w:rPr>
                <w:rFonts w:cs="Open Sans"/>
                <w:szCs w:val="20"/>
              </w:rPr>
            </w:pPr>
            <w:r>
              <w:rPr>
                <w:rFonts w:cs="Open Sans"/>
                <w:szCs w:val="20"/>
              </w:rPr>
              <w:t>(a)(2)</w:t>
            </w:r>
            <w:r w:rsidRPr="007858D3">
              <w:rPr>
                <w:rFonts w:cs="Open Sans"/>
                <w:szCs w:val="20"/>
              </w:rPr>
              <w:t xml:space="preserve">(ii) If no visible emissions are observed for 10 operating days during which an opacity standard is applicable, observations can be reduced to once every 7 operating days during which an opacity standard is applicable. If any visible emissions are observed, daily observations shall be resumed. </w:t>
            </w:r>
          </w:p>
          <w:p w14:paraId="7CEC9C5F" w14:textId="77777777" w:rsidR="00124AB6" w:rsidRDefault="00124AB6" w:rsidP="004E3BFD">
            <w:pPr>
              <w:rPr>
                <w:b/>
              </w:rPr>
            </w:pPr>
          </w:p>
          <w:p w14:paraId="1C37DB01" w14:textId="77777777" w:rsidR="00124AB6" w:rsidRPr="007858D3" w:rsidRDefault="00124AB6" w:rsidP="004E3BFD">
            <w:pPr>
              <w:rPr>
                <w:b/>
              </w:rPr>
            </w:pPr>
            <w:r w:rsidRPr="007858D3">
              <w:t xml:space="preserve">(a)(3) If the maximum 6-minute opacity is less than 10 percent during the most recent Method 9 of appendix A–4 of this part performance test, the owner or operator may, as an alternative to performing subsequent Method 9 of appendix A–4 performance tests, elect to perform subsequent monitoring using a digital opacity compliance system according to a site-specific monitoring plan approved by the Administrator. The observations shall be similar, but not necessarily identical, to the requirements in </w:t>
            </w:r>
            <w:hyperlink r:id="rId43" w:anchor="p-60.47c(a)(2)" w:history="1">
              <w:r w:rsidRPr="007858D3">
                <w:t>paragraph (a)(2)</w:t>
              </w:r>
            </w:hyperlink>
            <w:r w:rsidRPr="007858D3">
              <w:t xml:space="preserve"> of this section. For reference purposes in preparing the monitoring plan, see OAQPS “Determination of Visible Emission Opacity from Stationary Sources Using Computer-Based Photographic Analysis Systems.” This document is available from the U.S. Environmental Protection Agency (U.S. EPA); Office of Air Quality and Planning Standards; Sector Policies and Programs Division; Measurement Policy Group (D243–02), Research Triangle Park, NC 27711. This document is also available on the Technology Transfer Network (TTN) under Emission Measurement Center Preliminary Methods.</w:t>
            </w:r>
          </w:p>
          <w:p w14:paraId="25D97DD2" w14:textId="77777777" w:rsidR="00124AB6" w:rsidRDefault="00124AB6" w:rsidP="004E3BFD">
            <w:pPr>
              <w:rPr>
                <w:b/>
              </w:rPr>
            </w:pPr>
          </w:p>
          <w:p w14:paraId="23BCAD91" w14:textId="77777777" w:rsidR="00124AB6" w:rsidRPr="007858D3" w:rsidRDefault="00124AB6" w:rsidP="004E3BFD">
            <w:pPr>
              <w:rPr>
                <w:bCs/>
              </w:rPr>
            </w:pPr>
            <w:r w:rsidRPr="007858D3">
              <w:t xml:space="preserve">(c) Owners and operators of an affected facilities that burn only distillate oil that contains no more than 0.5 weight percent sulfur and/or liquid or gaseous fuels with potential sulfur dioxide emission rates of 26 ng/J (0.060 </w:t>
            </w:r>
            <w:proofErr w:type="spellStart"/>
            <w:r w:rsidRPr="007858D3">
              <w:t>lb</w:t>
            </w:r>
            <w:proofErr w:type="spellEnd"/>
            <w:r w:rsidRPr="007858D3">
              <w:t>/MMBtu) heat input or less and that do not use a post-combustion technology to reduce SO</w:t>
            </w:r>
            <w:r w:rsidRPr="00E254E3">
              <w:rPr>
                <w:vertAlign w:val="subscript"/>
              </w:rPr>
              <w:t>2</w:t>
            </w:r>
            <w:r w:rsidRPr="007858D3">
              <w:t xml:space="preserve"> or PM emissions and that are subject to an opacity standard in </w:t>
            </w:r>
            <w:hyperlink r:id="rId44" w:anchor="p-60.43c(c)" w:history="1">
              <w:r w:rsidRPr="007858D3">
                <w:t>§ 60.43c(c)</w:t>
              </w:r>
            </w:hyperlink>
            <w:r w:rsidRPr="007858D3">
              <w:t xml:space="preserve"> are not required to operate a COMS if they follow the applicable procedures in </w:t>
            </w:r>
            <w:hyperlink r:id="rId45" w:anchor="p-60.48c(f)" w:history="1">
              <w:r w:rsidRPr="007858D3">
                <w:t>§ 60.48c(f)</w:t>
              </w:r>
            </w:hyperlink>
            <w:r w:rsidRPr="007858D3">
              <w:t>.</w:t>
            </w:r>
          </w:p>
        </w:tc>
      </w:tr>
      <w:tr w:rsidR="00124AB6" w:rsidRPr="000179B0" w14:paraId="6724C915"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val="0"/>
        </w:trPr>
        <w:tc>
          <w:tcPr>
            <w:tcW w:w="1367" w:type="dxa"/>
          </w:tcPr>
          <w:p w14:paraId="0600F894" w14:textId="77777777" w:rsidR="00124AB6" w:rsidRPr="000179B0" w:rsidRDefault="00124AB6" w:rsidP="004E3BFD">
            <w:pPr>
              <w:pStyle w:val="BNum"/>
            </w:pPr>
          </w:p>
        </w:tc>
        <w:tc>
          <w:tcPr>
            <w:tcW w:w="9433" w:type="dxa"/>
          </w:tcPr>
          <w:p w14:paraId="6E4CF68B" w14:textId="77777777" w:rsidR="00124AB6" w:rsidRPr="000179B0" w:rsidRDefault="00124AB6" w:rsidP="004E3BFD">
            <w:pPr>
              <w:rPr>
                <w:rFonts w:cs="Open Sans"/>
                <w:szCs w:val="20"/>
              </w:rPr>
            </w:pPr>
            <w:r w:rsidRPr="000179B0">
              <w:rPr>
                <w:rFonts w:cs="Open Sans"/>
                <w:b/>
                <w:szCs w:val="20"/>
              </w:rPr>
              <w:t>Emission Unit ID:</w:t>
            </w:r>
            <w:r w:rsidRPr="000179B0">
              <w:rPr>
                <w:rFonts w:cs="Open Sans"/>
                <w:szCs w:val="20"/>
              </w:rPr>
              <w:t xml:space="preserve"> 03</w:t>
            </w:r>
          </w:p>
          <w:p w14:paraId="199B15DB" w14:textId="77777777" w:rsidR="00124AB6" w:rsidRPr="000179B0" w:rsidRDefault="00124AB6" w:rsidP="004E3BFD">
            <w:pPr>
              <w:rPr>
                <w:rFonts w:cs="Open Sans"/>
                <w:szCs w:val="20"/>
              </w:rPr>
            </w:pPr>
            <w:r w:rsidRPr="000179B0">
              <w:rPr>
                <w:rFonts w:cs="Open Sans"/>
                <w:b/>
                <w:szCs w:val="20"/>
              </w:rPr>
              <w:t>Equipment ID:</w:t>
            </w:r>
            <w:r w:rsidRPr="000179B0">
              <w:rPr>
                <w:rFonts w:cs="Open Sans"/>
                <w:szCs w:val="20"/>
              </w:rPr>
              <w:t xml:space="preserve"> H-800R</w:t>
            </w:r>
          </w:p>
          <w:p w14:paraId="6DA220A3" w14:textId="77777777" w:rsidR="00124AB6" w:rsidRPr="000179B0" w:rsidRDefault="00124AB6" w:rsidP="004E3BFD">
            <w:pPr>
              <w:rPr>
                <w:rFonts w:cs="Open Sans"/>
                <w:b/>
                <w:szCs w:val="20"/>
              </w:rPr>
            </w:pPr>
          </w:p>
          <w:p w14:paraId="7FCB0240" w14:textId="77777777" w:rsidR="00124AB6" w:rsidRPr="000179B0" w:rsidRDefault="00124AB6" w:rsidP="004E3BFD">
            <w:pPr>
              <w:rPr>
                <w:rFonts w:cs="Open Sans"/>
                <w:szCs w:val="20"/>
              </w:rPr>
            </w:pPr>
            <w:r w:rsidRPr="000179B0">
              <w:rPr>
                <w:rFonts w:cs="Open Sans"/>
                <w:szCs w:val="20"/>
              </w:rPr>
              <w:t>40CFR60.48c Reporting and recordkeeping requirements.</w:t>
            </w:r>
          </w:p>
          <w:p w14:paraId="2A2246F7" w14:textId="77777777" w:rsidR="00124AB6" w:rsidRDefault="00124AB6" w:rsidP="004E3BFD">
            <w:pPr>
              <w:rPr>
                <w:rFonts w:cs="Open Sans"/>
                <w:szCs w:val="20"/>
              </w:rPr>
            </w:pPr>
          </w:p>
          <w:p w14:paraId="000932FF" w14:textId="77777777" w:rsidR="00124AB6" w:rsidRPr="00124AB6" w:rsidRDefault="00124AB6" w:rsidP="004E3BFD">
            <w:pPr>
              <w:rPr>
                <w:rFonts w:cs="Open Sans"/>
                <w:szCs w:val="20"/>
              </w:rPr>
            </w:pPr>
            <w:r w:rsidRPr="00124AB6">
              <w:rPr>
                <w:rFonts w:cs="Open Sans"/>
                <w:szCs w:val="20"/>
              </w:rPr>
              <w:t>(b) The owner or operator of each affected facility subject to the SO</w:t>
            </w:r>
            <w:r w:rsidRPr="00124AB6">
              <w:rPr>
                <w:rFonts w:cs="Open Sans"/>
                <w:szCs w:val="20"/>
                <w:vertAlign w:val="subscript"/>
              </w:rPr>
              <w:t>2</w:t>
            </w:r>
            <w:r w:rsidRPr="00124AB6">
              <w:rPr>
                <w:rFonts w:cs="Open Sans"/>
                <w:szCs w:val="20"/>
              </w:rPr>
              <w:t xml:space="preserve"> emission limits of §60.42c, or the PM or opacity limits of §60.43c, shall submit to the Administrator the performance test data from the initial and any subsequent performance tests and, if applicable, the performance evaluation of the CEMS and/or COMS using the applicable performance specifications in </w:t>
            </w:r>
            <w:hyperlink r:id="rId46" w:history="1">
              <w:r w:rsidRPr="00124AB6">
                <w:rPr>
                  <w:rStyle w:val="Hyperlink"/>
                  <w:rFonts w:cs="Open Sans"/>
                  <w:color w:val="auto"/>
                  <w:szCs w:val="20"/>
                  <w:u w:val="none"/>
                </w:rPr>
                <w:t>appendix B of this part</w:t>
              </w:r>
            </w:hyperlink>
            <w:r w:rsidRPr="00124AB6">
              <w:rPr>
                <w:rFonts w:cs="Open Sans"/>
                <w:szCs w:val="20"/>
              </w:rPr>
              <w:t>.</w:t>
            </w:r>
          </w:p>
          <w:p w14:paraId="7BF61C20" w14:textId="77777777" w:rsidR="00124AB6" w:rsidRPr="00124AB6" w:rsidRDefault="00124AB6" w:rsidP="004E3BFD">
            <w:pPr>
              <w:rPr>
                <w:rFonts w:cs="Open Sans"/>
                <w:szCs w:val="20"/>
              </w:rPr>
            </w:pPr>
          </w:p>
          <w:p w14:paraId="2BA2005F" w14:textId="77777777" w:rsidR="00124AB6" w:rsidRPr="00124AB6" w:rsidRDefault="00124AB6" w:rsidP="004E3BFD">
            <w:pPr>
              <w:pStyle w:val="indent-1"/>
              <w:spacing w:before="0" w:beforeAutospacing="0" w:after="0" w:afterAutospacing="0"/>
              <w:ind w:left="1"/>
              <w:jc w:val="both"/>
              <w:rPr>
                <w:rFonts w:ascii="Open Sans" w:hAnsi="Open Sans" w:cs="Open Sans"/>
                <w:sz w:val="20"/>
                <w:szCs w:val="20"/>
              </w:rPr>
            </w:pPr>
            <w:r w:rsidRPr="00124AB6">
              <w:rPr>
                <w:rFonts w:ascii="Open Sans" w:hAnsi="Open Sans" w:cs="Open Sans"/>
                <w:sz w:val="20"/>
                <w:szCs w:val="20"/>
              </w:rPr>
              <w:t>(c)</w:t>
            </w:r>
            <w:r w:rsidRPr="00124AB6">
              <w:rPr>
                <w:rFonts w:ascii="Open Sans" w:hAnsi="Open Sans" w:cs="Open Sans"/>
                <w:b/>
                <w:bCs/>
                <w:sz w:val="20"/>
                <w:szCs w:val="20"/>
              </w:rPr>
              <w:t xml:space="preserve"> </w:t>
            </w:r>
            <w:r w:rsidRPr="00124AB6">
              <w:rPr>
                <w:rFonts w:ascii="Open Sans" w:hAnsi="Open Sans" w:cs="Open Sans"/>
                <w:sz w:val="20"/>
                <w:szCs w:val="20"/>
              </w:rPr>
              <w:t>In addition to the applicable requirements in §60.7</w:t>
            </w:r>
            <w:hyperlink r:id="rId47" w:history="1"/>
            <w:r w:rsidRPr="00124AB6">
              <w:rPr>
                <w:rFonts w:ascii="Open Sans" w:hAnsi="Open Sans" w:cs="Open Sans"/>
                <w:sz w:val="20"/>
                <w:szCs w:val="20"/>
              </w:rPr>
              <w:t xml:space="preserve">, the owner or operator of an affected facility subject to the opacity limits in §60.43c(c) shall submit excess emission reports for any excess emissions from the affected facility that occur during the reporting period and maintain records according to the requirements specified in paragraphs (c)(1) through (c)(3) of this section, as applicable to the visible emissions monitoring method used. </w:t>
            </w:r>
          </w:p>
          <w:p w14:paraId="00F510A9" w14:textId="77777777" w:rsidR="00124AB6" w:rsidRPr="00124AB6" w:rsidRDefault="00124AB6" w:rsidP="004E3BFD">
            <w:pPr>
              <w:pStyle w:val="indent-2"/>
              <w:spacing w:before="0" w:beforeAutospacing="0" w:after="0" w:afterAutospacing="0"/>
              <w:ind w:left="360"/>
              <w:jc w:val="both"/>
              <w:rPr>
                <w:rStyle w:val="paren"/>
                <w:rFonts w:ascii="Open Sans" w:hAnsi="Open Sans" w:cs="Open Sans"/>
                <w:sz w:val="20"/>
                <w:szCs w:val="20"/>
              </w:rPr>
            </w:pPr>
          </w:p>
          <w:p w14:paraId="548CD632" w14:textId="77777777" w:rsidR="00124AB6" w:rsidRPr="000179B0" w:rsidRDefault="00124AB6" w:rsidP="004E3BFD">
            <w:pPr>
              <w:pStyle w:val="indent-2"/>
              <w:spacing w:before="0" w:beforeAutospacing="0" w:after="0" w:afterAutospacing="0"/>
              <w:ind w:left="1"/>
              <w:jc w:val="both"/>
              <w:rPr>
                <w:rFonts w:ascii="Open Sans" w:hAnsi="Open Sans" w:cs="Open Sans"/>
                <w:sz w:val="20"/>
                <w:szCs w:val="20"/>
              </w:rPr>
            </w:pPr>
            <w:r w:rsidRPr="00124AB6">
              <w:rPr>
                <w:rStyle w:val="paren"/>
                <w:rFonts w:ascii="Open Sans" w:hAnsi="Open Sans" w:cs="Open Sans"/>
                <w:sz w:val="20"/>
                <w:szCs w:val="20"/>
              </w:rPr>
              <w:t>(c)(</w:t>
            </w:r>
            <w:r w:rsidRPr="00124AB6">
              <w:rPr>
                <w:rStyle w:val="paragraph-hierarchy"/>
                <w:rFonts w:ascii="Open Sans" w:hAnsi="Open Sans" w:cs="Open Sans"/>
                <w:sz w:val="20"/>
                <w:szCs w:val="20"/>
              </w:rPr>
              <w:t>1</w:t>
            </w:r>
            <w:r w:rsidRPr="00124AB6">
              <w:rPr>
                <w:rStyle w:val="paren"/>
                <w:rFonts w:ascii="Open Sans" w:hAnsi="Open Sans" w:cs="Open Sans"/>
                <w:sz w:val="20"/>
                <w:szCs w:val="20"/>
              </w:rPr>
              <w:t>)</w:t>
            </w:r>
            <w:r w:rsidRPr="00124AB6">
              <w:rPr>
                <w:rFonts w:ascii="Open Sans" w:hAnsi="Open Sans" w:cs="Open Sans"/>
                <w:sz w:val="20"/>
                <w:szCs w:val="20"/>
              </w:rPr>
              <w:t xml:space="preserve"> For each performance test conducted using Method 9 of appendix A–4 of this part, the owner or operator shall keep the records including the information specified in </w:t>
            </w:r>
            <w:hyperlink r:id="rId48" w:anchor="p-60.48c(c)(1)(i)" w:history="1">
              <w:r w:rsidRPr="00124AB6">
                <w:rPr>
                  <w:rStyle w:val="Hyperlink"/>
                  <w:rFonts w:ascii="Open Sans" w:hAnsi="Open Sans" w:cs="Open Sans"/>
                  <w:color w:val="auto"/>
                  <w:sz w:val="20"/>
                  <w:szCs w:val="20"/>
                  <w:u w:val="none"/>
                </w:rPr>
                <w:t>paragraphs (c)(1)(</w:t>
              </w:r>
              <w:proofErr w:type="spellStart"/>
              <w:r w:rsidRPr="00124AB6">
                <w:rPr>
                  <w:rStyle w:val="Hyperlink"/>
                  <w:rFonts w:ascii="Open Sans" w:hAnsi="Open Sans" w:cs="Open Sans"/>
                  <w:color w:val="auto"/>
                  <w:sz w:val="20"/>
                  <w:szCs w:val="20"/>
                  <w:u w:val="none"/>
                </w:rPr>
                <w:t>i</w:t>
              </w:r>
              <w:proofErr w:type="spellEnd"/>
              <w:r w:rsidRPr="00124AB6">
                <w:rPr>
                  <w:rStyle w:val="Hyperlink"/>
                  <w:rFonts w:ascii="Open Sans" w:hAnsi="Open Sans" w:cs="Open Sans"/>
                  <w:color w:val="auto"/>
                  <w:sz w:val="20"/>
                  <w:szCs w:val="20"/>
                  <w:u w:val="none"/>
                </w:rPr>
                <w:t>)</w:t>
              </w:r>
            </w:hyperlink>
            <w:r w:rsidRPr="000179B0">
              <w:rPr>
                <w:rFonts w:ascii="Open Sans" w:hAnsi="Open Sans" w:cs="Open Sans"/>
                <w:sz w:val="20"/>
                <w:szCs w:val="20"/>
              </w:rPr>
              <w:t xml:space="preserve"> through </w:t>
            </w:r>
            <w:hyperlink r:id="rId49" w:anchor="p-60.48c(c)(1)(iii)" w:history="1">
              <w:r w:rsidRPr="00124AB6">
                <w:rPr>
                  <w:rStyle w:val="Hyperlink"/>
                  <w:rFonts w:ascii="Open Sans" w:hAnsi="Open Sans" w:cs="Open Sans"/>
                  <w:color w:val="auto"/>
                  <w:sz w:val="20"/>
                  <w:szCs w:val="20"/>
                  <w:u w:val="none"/>
                </w:rPr>
                <w:t>(iii)</w:t>
              </w:r>
            </w:hyperlink>
            <w:r w:rsidRPr="00124AB6">
              <w:rPr>
                <w:rFonts w:ascii="Open Sans" w:hAnsi="Open Sans" w:cs="Open Sans"/>
                <w:sz w:val="20"/>
                <w:szCs w:val="20"/>
              </w:rPr>
              <w:t xml:space="preserve"> </w:t>
            </w:r>
            <w:r w:rsidRPr="000179B0">
              <w:rPr>
                <w:rFonts w:ascii="Open Sans" w:hAnsi="Open Sans" w:cs="Open Sans"/>
                <w:sz w:val="20"/>
                <w:szCs w:val="20"/>
              </w:rPr>
              <w:t xml:space="preserve">of this section. </w:t>
            </w:r>
          </w:p>
          <w:p w14:paraId="3A021BD9" w14:textId="77777777" w:rsidR="00124AB6" w:rsidRPr="000179B0" w:rsidRDefault="00124AB6" w:rsidP="004E3BFD">
            <w:pPr>
              <w:pStyle w:val="indent-2"/>
              <w:spacing w:before="0" w:beforeAutospacing="0" w:after="0" w:afterAutospacing="0"/>
              <w:ind w:left="1"/>
              <w:jc w:val="both"/>
              <w:rPr>
                <w:rFonts w:ascii="Open Sans" w:hAnsi="Open Sans" w:cs="Open Sans"/>
                <w:sz w:val="20"/>
                <w:szCs w:val="20"/>
              </w:rPr>
            </w:pPr>
          </w:p>
          <w:p w14:paraId="7DF33769" w14:textId="77777777" w:rsidR="00124AB6" w:rsidRPr="00124AB6" w:rsidRDefault="00124AB6" w:rsidP="004E3BFD">
            <w:pPr>
              <w:pStyle w:val="indent-3"/>
              <w:spacing w:before="0" w:beforeAutospacing="0" w:after="0" w:afterAutospacing="0"/>
              <w:ind w:firstLine="1"/>
              <w:jc w:val="both"/>
              <w:rPr>
                <w:rFonts w:ascii="Open Sans" w:hAnsi="Open Sans" w:cs="Open Sans"/>
                <w:sz w:val="20"/>
                <w:szCs w:val="20"/>
              </w:rPr>
            </w:pPr>
            <w:r w:rsidRPr="00124AB6">
              <w:rPr>
                <w:rStyle w:val="paren"/>
                <w:rFonts w:ascii="Open Sans" w:hAnsi="Open Sans" w:cs="Open Sans"/>
                <w:sz w:val="20"/>
                <w:szCs w:val="20"/>
              </w:rPr>
              <w:t>(c)(1)(</w:t>
            </w:r>
            <w:proofErr w:type="spellStart"/>
            <w:r w:rsidRPr="00124AB6">
              <w:rPr>
                <w:rStyle w:val="paragraph-hierarchy"/>
                <w:rFonts w:ascii="Open Sans" w:hAnsi="Open Sans" w:cs="Open Sans"/>
                <w:sz w:val="20"/>
                <w:szCs w:val="20"/>
              </w:rPr>
              <w:t>i</w:t>
            </w:r>
            <w:proofErr w:type="spellEnd"/>
            <w:r w:rsidRPr="00124AB6">
              <w:rPr>
                <w:rStyle w:val="paren"/>
                <w:rFonts w:ascii="Open Sans" w:hAnsi="Open Sans" w:cs="Open Sans"/>
                <w:sz w:val="20"/>
                <w:szCs w:val="20"/>
              </w:rPr>
              <w:t>)</w:t>
            </w:r>
            <w:r w:rsidRPr="00124AB6">
              <w:rPr>
                <w:rFonts w:ascii="Open Sans" w:hAnsi="Open Sans" w:cs="Open Sans"/>
                <w:sz w:val="20"/>
                <w:szCs w:val="20"/>
              </w:rPr>
              <w:t xml:space="preserve"> Dates and time intervals of all opacity observation </w:t>
            </w:r>
            <w:proofErr w:type="gramStart"/>
            <w:r w:rsidRPr="00124AB6">
              <w:rPr>
                <w:rFonts w:ascii="Open Sans" w:hAnsi="Open Sans" w:cs="Open Sans"/>
                <w:sz w:val="20"/>
                <w:szCs w:val="20"/>
              </w:rPr>
              <w:t>periods;</w:t>
            </w:r>
            <w:proofErr w:type="gramEnd"/>
            <w:r w:rsidRPr="00124AB6">
              <w:rPr>
                <w:rFonts w:ascii="Open Sans" w:hAnsi="Open Sans" w:cs="Open Sans"/>
                <w:sz w:val="20"/>
                <w:szCs w:val="20"/>
              </w:rPr>
              <w:t xml:space="preserve"> </w:t>
            </w:r>
          </w:p>
          <w:p w14:paraId="76A1A057" w14:textId="77777777" w:rsidR="00124AB6" w:rsidRPr="00124AB6" w:rsidRDefault="00124AB6" w:rsidP="004E3BFD">
            <w:pPr>
              <w:pStyle w:val="indent-3"/>
              <w:spacing w:before="0" w:beforeAutospacing="0" w:after="0" w:afterAutospacing="0"/>
              <w:ind w:left="1"/>
              <w:jc w:val="both"/>
              <w:rPr>
                <w:rStyle w:val="paren"/>
                <w:rFonts w:ascii="Open Sans" w:hAnsi="Open Sans" w:cs="Open Sans"/>
                <w:sz w:val="20"/>
                <w:szCs w:val="20"/>
              </w:rPr>
            </w:pPr>
          </w:p>
          <w:p w14:paraId="31912AB5" w14:textId="77777777" w:rsidR="00124AB6" w:rsidRPr="00124AB6" w:rsidRDefault="00124AB6" w:rsidP="004E3BFD">
            <w:pPr>
              <w:pStyle w:val="indent-3"/>
              <w:spacing w:before="0" w:beforeAutospacing="0" w:after="0" w:afterAutospacing="0"/>
              <w:ind w:left="1"/>
              <w:jc w:val="both"/>
              <w:rPr>
                <w:rFonts w:ascii="Open Sans" w:hAnsi="Open Sans" w:cs="Open Sans"/>
                <w:sz w:val="20"/>
                <w:szCs w:val="20"/>
              </w:rPr>
            </w:pPr>
            <w:r w:rsidRPr="00124AB6">
              <w:rPr>
                <w:rStyle w:val="paren"/>
                <w:rFonts w:ascii="Open Sans" w:hAnsi="Open Sans" w:cs="Open Sans"/>
                <w:sz w:val="20"/>
                <w:szCs w:val="20"/>
              </w:rPr>
              <w:t>(c)(1)(</w:t>
            </w:r>
            <w:r w:rsidRPr="00124AB6">
              <w:rPr>
                <w:rStyle w:val="paragraph-hierarchy"/>
                <w:rFonts w:ascii="Open Sans" w:hAnsi="Open Sans" w:cs="Open Sans"/>
                <w:sz w:val="20"/>
                <w:szCs w:val="20"/>
              </w:rPr>
              <w:t>ii</w:t>
            </w:r>
            <w:r w:rsidRPr="00124AB6">
              <w:rPr>
                <w:rStyle w:val="paren"/>
                <w:rFonts w:ascii="Open Sans" w:hAnsi="Open Sans" w:cs="Open Sans"/>
                <w:sz w:val="20"/>
                <w:szCs w:val="20"/>
              </w:rPr>
              <w:t>)</w:t>
            </w:r>
            <w:r w:rsidRPr="00124AB6">
              <w:rPr>
                <w:rFonts w:ascii="Open Sans" w:hAnsi="Open Sans" w:cs="Open Sans"/>
                <w:sz w:val="20"/>
                <w:szCs w:val="20"/>
              </w:rPr>
              <w:t xml:space="preserve"> Name, affiliation, and copy of current visible emission reading certification for each visible emission observer participating in the performance test; and </w:t>
            </w:r>
          </w:p>
          <w:p w14:paraId="29203A65" w14:textId="77777777" w:rsidR="00124AB6" w:rsidRPr="00124AB6" w:rsidRDefault="00124AB6" w:rsidP="004E3BFD">
            <w:pPr>
              <w:pStyle w:val="indent-3"/>
              <w:spacing w:before="0" w:beforeAutospacing="0" w:after="0" w:afterAutospacing="0"/>
              <w:ind w:left="1"/>
              <w:jc w:val="both"/>
              <w:rPr>
                <w:rStyle w:val="paren"/>
                <w:rFonts w:ascii="Open Sans" w:hAnsi="Open Sans" w:cs="Open Sans"/>
                <w:sz w:val="20"/>
                <w:szCs w:val="20"/>
              </w:rPr>
            </w:pPr>
          </w:p>
          <w:p w14:paraId="546D09F5" w14:textId="77777777" w:rsidR="00124AB6" w:rsidRPr="00124AB6" w:rsidRDefault="00124AB6" w:rsidP="004E3BFD">
            <w:pPr>
              <w:pStyle w:val="indent-3"/>
              <w:spacing w:before="0" w:beforeAutospacing="0" w:after="0" w:afterAutospacing="0"/>
              <w:ind w:left="1"/>
              <w:jc w:val="both"/>
              <w:rPr>
                <w:rFonts w:ascii="Open Sans" w:hAnsi="Open Sans" w:cs="Open Sans"/>
                <w:sz w:val="20"/>
                <w:szCs w:val="20"/>
              </w:rPr>
            </w:pPr>
            <w:r w:rsidRPr="00124AB6">
              <w:rPr>
                <w:rStyle w:val="paren"/>
                <w:rFonts w:ascii="Open Sans" w:hAnsi="Open Sans" w:cs="Open Sans"/>
                <w:sz w:val="20"/>
                <w:szCs w:val="20"/>
              </w:rPr>
              <w:t>(c)(1)(</w:t>
            </w:r>
            <w:r w:rsidRPr="00124AB6">
              <w:rPr>
                <w:rStyle w:val="paragraph-hierarchy"/>
                <w:rFonts w:ascii="Open Sans" w:hAnsi="Open Sans" w:cs="Open Sans"/>
                <w:sz w:val="20"/>
                <w:szCs w:val="20"/>
              </w:rPr>
              <w:t>iii</w:t>
            </w:r>
            <w:r w:rsidRPr="00124AB6">
              <w:rPr>
                <w:rStyle w:val="paren"/>
                <w:rFonts w:ascii="Open Sans" w:hAnsi="Open Sans" w:cs="Open Sans"/>
                <w:sz w:val="20"/>
                <w:szCs w:val="20"/>
              </w:rPr>
              <w:t>)</w:t>
            </w:r>
            <w:r w:rsidRPr="00124AB6">
              <w:rPr>
                <w:rFonts w:ascii="Open Sans" w:hAnsi="Open Sans" w:cs="Open Sans"/>
                <w:sz w:val="20"/>
                <w:szCs w:val="20"/>
              </w:rPr>
              <w:t xml:space="preserve"> Copies of all visible emission observer opacity field data </w:t>
            </w:r>
            <w:proofErr w:type="gramStart"/>
            <w:r w:rsidRPr="00124AB6">
              <w:rPr>
                <w:rFonts w:ascii="Open Sans" w:hAnsi="Open Sans" w:cs="Open Sans"/>
                <w:sz w:val="20"/>
                <w:szCs w:val="20"/>
              </w:rPr>
              <w:t>sheets;</w:t>
            </w:r>
            <w:proofErr w:type="gramEnd"/>
            <w:r w:rsidRPr="00124AB6">
              <w:rPr>
                <w:rFonts w:ascii="Open Sans" w:hAnsi="Open Sans" w:cs="Open Sans"/>
                <w:sz w:val="20"/>
                <w:szCs w:val="20"/>
              </w:rPr>
              <w:t xml:space="preserve"> </w:t>
            </w:r>
          </w:p>
          <w:p w14:paraId="7623F0F7" w14:textId="77777777" w:rsidR="00124AB6" w:rsidRPr="00124AB6" w:rsidRDefault="00124AB6" w:rsidP="004E3BFD">
            <w:pPr>
              <w:rPr>
                <w:rFonts w:cs="Open Sans"/>
                <w:b/>
                <w:szCs w:val="20"/>
              </w:rPr>
            </w:pPr>
          </w:p>
          <w:p w14:paraId="5BE02253" w14:textId="77777777" w:rsidR="00124AB6" w:rsidRPr="00124AB6" w:rsidRDefault="00124AB6" w:rsidP="004E3BFD">
            <w:pPr>
              <w:rPr>
                <w:rFonts w:cs="Open Sans"/>
                <w:bCs/>
                <w:szCs w:val="20"/>
              </w:rPr>
            </w:pPr>
            <w:r w:rsidRPr="00124AB6">
              <w:rPr>
                <w:rFonts w:cs="Open Sans"/>
                <w:szCs w:val="20"/>
              </w:rPr>
              <w:t>(d) The owner or operator of each affected facility subject to the SO</w:t>
            </w:r>
            <w:r w:rsidRPr="00124AB6">
              <w:rPr>
                <w:rFonts w:cs="Open Sans"/>
                <w:szCs w:val="20"/>
                <w:vertAlign w:val="subscript"/>
              </w:rPr>
              <w:t>2</w:t>
            </w:r>
            <w:r w:rsidRPr="00124AB6">
              <w:rPr>
                <w:rFonts w:cs="Open Sans"/>
                <w:szCs w:val="20"/>
              </w:rPr>
              <w:t xml:space="preserve"> emission limits, fuel oil sulfur limits, or percent reduction requirements under §60.42c shall submit reports to the Administrator.</w:t>
            </w:r>
          </w:p>
          <w:p w14:paraId="4091A7E3" w14:textId="77777777" w:rsidR="00124AB6" w:rsidRPr="00124AB6" w:rsidRDefault="00124AB6" w:rsidP="004E3BFD">
            <w:pPr>
              <w:rPr>
                <w:rFonts w:cs="Open Sans"/>
                <w:bCs/>
                <w:szCs w:val="20"/>
              </w:rPr>
            </w:pPr>
          </w:p>
          <w:p w14:paraId="2EE29239" w14:textId="77777777" w:rsidR="00124AB6" w:rsidRPr="00124AB6" w:rsidRDefault="00124AB6" w:rsidP="004E3BFD">
            <w:pPr>
              <w:pStyle w:val="indent-1"/>
              <w:spacing w:before="0" w:beforeAutospacing="0" w:after="0" w:afterAutospacing="0"/>
              <w:ind w:left="1"/>
              <w:jc w:val="both"/>
              <w:rPr>
                <w:rFonts w:ascii="Open Sans" w:hAnsi="Open Sans" w:cs="Open Sans"/>
                <w:sz w:val="20"/>
                <w:szCs w:val="20"/>
              </w:rPr>
            </w:pPr>
            <w:r w:rsidRPr="00124AB6">
              <w:rPr>
                <w:rStyle w:val="paren"/>
                <w:rFonts w:ascii="Open Sans" w:hAnsi="Open Sans" w:cs="Open Sans"/>
                <w:sz w:val="20"/>
                <w:szCs w:val="20"/>
              </w:rPr>
              <w:t>(</w:t>
            </w:r>
            <w:r w:rsidRPr="00124AB6">
              <w:rPr>
                <w:rStyle w:val="paragraph-hierarchy"/>
                <w:rFonts w:ascii="Open Sans" w:hAnsi="Open Sans" w:cs="Open Sans"/>
                <w:sz w:val="20"/>
                <w:szCs w:val="20"/>
              </w:rPr>
              <w:t>e</w:t>
            </w:r>
            <w:r w:rsidRPr="00124AB6">
              <w:rPr>
                <w:rStyle w:val="paren"/>
                <w:rFonts w:ascii="Open Sans" w:hAnsi="Open Sans" w:cs="Open Sans"/>
                <w:sz w:val="20"/>
                <w:szCs w:val="20"/>
              </w:rPr>
              <w:t>)</w:t>
            </w:r>
            <w:r w:rsidRPr="00124AB6">
              <w:rPr>
                <w:rFonts w:ascii="Open Sans" w:hAnsi="Open Sans" w:cs="Open Sans"/>
                <w:sz w:val="20"/>
                <w:szCs w:val="20"/>
              </w:rPr>
              <w:t xml:space="preserve"> The owner or operator of each affected facility subject to the SO</w:t>
            </w:r>
            <w:r w:rsidRPr="00124AB6">
              <w:rPr>
                <w:rFonts w:ascii="Open Sans" w:hAnsi="Open Sans" w:cs="Open Sans"/>
                <w:sz w:val="20"/>
                <w:szCs w:val="20"/>
                <w:vertAlign w:val="subscript"/>
              </w:rPr>
              <w:t>2</w:t>
            </w:r>
            <w:r w:rsidRPr="00124AB6">
              <w:rPr>
                <w:rFonts w:ascii="Open Sans" w:hAnsi="Open Sans" w:cs="Open Sans"/>
                <w:sz w:val="20"/>
                <w:szCs w:val="20"/>
              </w:rPr>
              <w:t xml:space="preserve"> emission limits, fuel oil sulfur limits, or percent reduction requirements under §60.42c shall keep records and submit reports as required under </w:t>
            </w:r>
            <w:hyperlink r:id="rId50" w:anchor="p-60.48c(d)" w:history="1">
              <w:r w:rsidRPr="00124AB6">
                <w:rPr>
                  <w:rStyle w:val="Hyperlink"/>
                  <w:rFonts w:ascii="Open Sans" w:hAnsi="Open Sans" w:cs="Open Sans"/>
                  <w:color w:val="auto"/>
                  <w:sz w:val="20"/>
                  <w:szCs w:val="20"/>
                  <w:u w:val="none"/>
                </w:rPr>
                <w:t>paragraph (d)</w:t>
              </w:r>
            </w:hyperlink>
            <w:r w:rsidRPr="00124AB6">
              <w:rPr>
                <w:rFonts w:ascii="Open Sans" w:hAnsi="Open Sans" w:cs="Open Sans"/>
                <w:sz w:val="20"/>
                <w:szCs w:val="20"/>
              </w:rPr>
              <w:t xml:space="preserve"> of this section, including the following information, as applicable.</w:t>
            </w:r>
          </w:p>
          <w:p w14:paraId="4510579E" w14:textId="77777777" w:rsidR="00124AB6" w:rsidRPr="00124AB6" w:rsidRDefault="00124AB6" w:rsidP="004E3BFD">
            <w:pPr>
              <w:pStyle w:val="indent-1"/>
              <w:spacing w:before="0" w:beforeAutospacing="0" w:after="0" w:afterAutospacing="0"/>
              <w:ind w:left="1"/>
              <w:jc w:val="both"/>
              <w:rPr>
                <w:rFonts w:ascii="Open Sans" w:hAnsi="Open Sans" w:cs="Open Sans"/>
                <w:sz w:val="20"/>
                <w:szCs w:val="20"/>
              </w:rPr>
            </w:pPr>
            <w:r w:rsidRPr="00124AB6">
              <w:rPr>
                <w:rFonts w:ascii="Open Sans" w:hAnsi="Open Sans" w:cs="Open Sans"/>
                <w:sz w:val="20"/>
                <w:szCs w:val="20"/>
              </w:rPr>
              <w:t xml:space="preserve"> </w:t>
            </w:r>
          </w:p>
          <w:p w14:paraId="1EFE2A1B" w14:textId="77777777" w:rsidR="00124AB6" w:rsidRPr="00124AB6" w:rsidRDefault="00124AB6" w:rsidP="004E3BFD">
            <w:pPr>
              <w:pStyle w:val="indent-2"/>
              <w:spacing w:before="0" w:beforeAutospacing="0" w:after="0" w:afterAutospacing="0"/>
              <w:ind w:firstLine="1"/>
              <w:jc w:val="both"/>
              <w:rPr>
                <w:rFonts w:ascii="Open Sans" w:hAnsi="Open Sans" w:cs="Open Sans"/>
                <w:sz w:val="20"/>
                <w:szCs w:val="20"/>
              </w:rPr>
            </w:pPr>
            <w:r w:rsidRPr="00124AB6">
              <w:rPr>
                <w:rStyle w:val="paren"/>
                <w:rFonts w:ascii="Open Sans" w:hAnsi="Open Sans" w:cs="Open Sans"/>
                <w:sz w:val="20"/>
                <w:szCs w:val="20"/>
              </w:rPr>
              <w:t>(e)(</w:t>
            </w:r>
            <w:r w:rsidRPr="00124AB6">
              <w:rPr>
                <w:rStyle w:val="paragraph-hierarchy"/>
                <w:rFonts w:ascii="Open Sans" w:hAnsi="Open Sans" w:cs="Open Sans"/>
                <w:sz w:val="20"/>
                <w:szCs w:val="20"/>
              </w:rPr>
              <w:t>1</w:t>
            </w:r>
            <w:r w:rsidRPr="00124AB6">
              <w:rPr>
                <w:rStyle w:val="paren"/>
                <w:rFonts w:ascii="Open Sans" w:hAnsi="Open Sans" w:cs="Open Sans"/>
                <w:sz w:val="20"/>
                <w:szCs w:val="20"/>
              </w:rPr>
              <w:t>)</w:t>
            </w:r>
            <w:r w:rsidRPr="00124AB6">
              <w:rPr>
                <w:rFonts w:ascii="Open Sans" w:hAnsi="Open Sans" w:cs="Open Sans"/>
                <w:sz w:val="20"/>
                <w:szCs w:val="20"/>
              </w:rPr>
              <w:t xml:space="preserve"> Calendar dates covered in the reporting period. </w:t>
            </w:r>
          </w:p>
          <w:p w14:paraId="17A22241" w14:textId="77777777" w:rsidR="00124AB6" w:rsidRPr="00124AB6" w:rsidRDefault="00124AB6" w:rsidP="004E3BFD">
            <w:pPr>
              <w:pStyle w:val="indent-2"/>
              <w:spacing w:before="0" w:beforeAutospacing="0" w:after="0" w:afterAutospacing="0"/>
              <w:ind w:left="1"/>
              <w:jc w:val="both"/>
              <w:rPr>
                <w:rStyle w:val="paren"/>
                <w:rFonts w:ascii="Open Sans" w:hAnsi="Open Sans" w:cs="Open Sans"/>
                <w:sz w:val="20"/>
                <w:szCs w:val="20"/>
              </w:rPr>
            </w:pPr>
          </w:p>
          <w:p w14:paraId="4208E64A" w14:textId="77777777" w:rsidR="00124AB6" w:rsidRPr="00124AB6" w:rsidRDefault="00124AB6" w:rsidP="004E3BFD">
            <w:pPr>
              <w:pStyle w:val="indent-2"/>
              <w:spacing w:before="0" w:beforeAutospacing="0" w:after="0" w:afterAutospacing="0"/>
              <w:ind w:left="1"/>
              <w:jc w:val="both"/>
              <w:rPr>
                <w:rFonts w:ascii="Open Sans" w:hAnsi="Open Sans" w:cs="Open Sans"/>
                <w:sz w:val="20"/>
                <w:szCs w:val="20"/>
              </w:rPr>
            </w:pPr>
            <w:r w:rsidRPr="00124AB6">
              <w:rPr>
                <w:rStyle w:val="paren"/>
                <w:rFonts w:ascii="Open Sans" w:hAnsi="Open Sans" w:cs="Open Sans"/>
                <w:sz w:val="20"/>
                <w:szCs w:val="20"/>
              </w:rPr>
              <w:t>(e)(</w:t>
            </w:r>
            <w:r w:rsidRPr="00124AB6">
              <w:rPr>
                <w:rStyle w:val="paragraph-hierarchy"/>
                <w:rFonts w:ascii="Open Sans" w:hAnsi="Open Sans" w:cs="Open Sans"/>
                <w:sz w:val="20"/>
                <w:szCs w:val="20"/>
              </w:rPr>
              <w:t>2</w:t>
            </w:r>
            <w:r w:rsidRPr="00124AB6">
              <w:rPr>
                <w:rStyle w:val="paren"/>
                <w:rFonts w:ascii="Open Sans" w:hAnsi="Open Sans" w:cs="Open Sans"/>
                <w:sz w:val="20"/>
                <w:szCs w:val="20"/>
              </w:rPr>
              <w:t>)</w:t>
            </w:r>
            <w:r w:rsidRPr="00124AB6">
              <w:rPr>
                <w:rFonts w:ascii="Open Sans" w:hAnsi="Open Sans" w:cs="Open Sans"/>
                <w:sz w:val="20"/>
                <w:szCs w:val="20"/>
              </w:rPr>
              <w:t xml:space="preserve"> Each 30-day average SO</w:t>
            </w:r>
            <w:r w:rsidRPr="00124AB6">
              <w:rPr>
                <w:rFonts w:ascii="Open Sans" w:hAnsi="Open Sans" w:cs="Open Sans"/>
                <w:sz w:val="20"/>
                <w:szCs w:val="20"/>
                <w:vertAlign w:val="subscript"/>
              </w:rPr>
              <w:t>2</w:t>
            </w:r>
            <w:r w:rsidRPr="00124AB6">
              <w:rPr>
                <w:rFonts w:ascii="Open Sans" w:hAnsi="Open Sans" w:cs="Open Sans"/>
                <w:sz w:val="20"/>
                <w:szCs w:val="20"/>
              </w:rPr>
              <w:t xml:space="preserve"> emission rate (ng/J or </w:t>
            </w:r>
            <w:proofErr w:type="spellStart"/>
            <w:r w:rsidRPr="00124AB6">
              <w:rPr>
                <w:rFonts w:ascii="Open Sans" w:hAnsi="Open Sans" w:cs="Open Sans"/>
                <w:sz w:val="20"/>
                <w:szCs w:val="20"/>
              </w:rPr>
              <w:t>lb</w:t>
            </w:r>
            <w:proofErr w:type="spellEnd"/>
            <w:r w:rsidRPr="00124AB6">
              <w:rPr>
                <w:rFonts w:ascii="Open Sans" w:hAnsi="Open Sans" w:cs="Open Sans"/>
                <w:sz w:val="20"/>
                <w:szCs w:val="20"/>
              </w:rPr>
              <w:t xml:space="preserve">/MMBtu), or 30-day average sulfur content (weight percent), calculated during the reporting period, ending with the last 30-day period; reasons for any noncompliance with the emission standards; and a description of corrective actions taken. </w:t>
            </w:r>
          </w:p>
          <w:p w14:paraId="6A777414" w14:textId="77777777" w:rsidR="00124AB6" w:rsidRPr="00124AB6" w:rsidRDefault="00124AB6" w:rsidP="004E3BFD">
            <w:pPr>
              <w:pStyle w:val="indent-2"/>
              <w:spacing w:before="0" w:beforeAutospacing="0" w:after="0" w:afterAutospacing="0"/>
              <w:jc w:val="both"/>
              <w:rPr>
                <w:rStyle w:val="paren"/>
                <w:rFonts w:ascii="Open Sans" w:hAnsi="Open Sans" w:cs="Open Sans"/>
                <w:sz w:val="20"/>
                <w:szCs w:val="20"/>
              </w:rPr>
            </w:pPr>
          </w:p>
          <w:p w14:paraId="03AD233F" w14:textId="77777777" w:rsidR="00124AB6" w:rsidRPr="00124AB6" w:rsidRDefault="00124AB6" w:rsidP="004E3BFD">
            <w:pPr>
              <w:pStyle w:val="indent-2"/>
              <w:spacing w:before="0" w:beforeAutospacing="0" w:after="0" w:afterAutospacing="0"/>
              <w:jc w:val="both"/>
              <w:rPr>
                <w:rFonts w:ascii="Open Sans" w:hAnsi="Open Sans" w:cs="Open Sans"/>
                <w:sz w:val="20"/>
                <w:szCs w:val="20"/>
              </w:rPr>
            </w:pPr>
            <w:r w:rsidRPr="00124AB6">
              <w:rPr>
                <w:rStyle w:val="paren"/>
                <w:rFonts w:ascii="Open Sans" w:hAnsi="Open Sans" w:cs="Open Sans"/>
                <w:sz w:val="20"/>
                <w:szCs w:val="20"/>
              </w:rPr>
              <w:t>(e)(</w:t>
            </w:r>
            <w:r w:rsidRPr="00124AB6">
              <w:rPr>
                <w:rStyle w:val="paragraph-hierarchy"/>
                <w:rFonts w:ascii="Open Sans" w:hAnsi="Open Sans" w:cs="Open Sans"/>
                <w:sz w:val="20"/>
                <w:szCs w:val="20"/>
              </w:rPr>
              <w:t>3</w:t>
            </w:r>
            <w:r w:rsidRPr="00124AB6">
              <w:rPr>
                <w:rStyle w:val="paren"/>
                <w:rFonts w:ascii="Open Sans" w:hAnsi="Open Sans" w:cs="Open Sans"/>
                <w:sz w:val="20"/>
                <w:szCs w:val="20"/>
              </w:rPr>
              <w:t>)</w:t>
            </w:r>
            <w:r w:rsidRPr="00124AB6">
              <w:rPr>
                <w:rFonts w:ascii="Open Sans" w:hAnsi="Open Sans" w:cs="Open Sans"/>
                <w:sz w:val="20"/>
                <w:szCs w:val="20"/>
              </w:rPr>
              <w:t xml:space="preserve"> Each 30-day average percent of potential SO</w:t>
            </w:r>
            <w:r w:rsidRPr="00124AB6">
              <w:rPr>
                <w:rFonts w:ascii="Open Sans" w:hAnsi="Open Sans" w:cs="Open Sans"/>
                <w:sz w:val="20"/>
                <w:szCs w:val="20"/>
                <w:vertAlign w:val="subscript"/>
              </w:rPr>
              <w:t>2</w:t>
            </w:r>
            <w:r w:rsidRPr="00124AB6">
              <w:rPr>
                <w:rFonts w:ascii="Open Sans" w:hAnsi="Open Sans" w:cs="Open Sans"/>
                <w:sz w:val="20"/>
                <w:szCs w:val="20"/>
              </w:rPr>
              <w:t xml:space="preserve"> emission rate calculated during the reporting period, ending with the last 30-day period; reasons for any noncompliance with the emission standards; and a description of the corrective actions taken. </w:t>
            </w:r>
          </w:p>
          <w:p w14:paraId="242DE4A8" w14:textId="77777777" w:rsidR="00124AB6" w:rsidRPr="000179B0" w:rsidRDefault="00124AB6" w:rsidP="004E3BFD">
            <w:pPr>
              <w:pStyle w:val="indent-2"/>
              <w:spacing w:before="0" w:beforeAutospacing="0" w:after="0" w:afterAutospacing="0"/>
              <w:jc w:val="both"/>
              <w:rPr>
                <w:rFonts w:ascii="Open Sans" w:hAnsi="Open Sans" w:cs="Open Sans"/>
                <w:sz w:val="20"/>
                <w:szCs w:val="20"/>
              </w:rPr>
            </w:pPr>
          </w:p>
          <w:p w14:paraId="0FA9C06D" w14:textId="77777777" w:rsidR="00124AB6" w:rsidRPr="000179B0" w:rsidRDefault="00124AB6" w:rsidP="004E3BFD">
            <w:pPr>
              <w:pStyle w:val="indent-2"/>
              <w:spacing w:before="0" w:beforeAutospacing="0" w:after="0" w:afterAutospacing="0"/>
              <w:jc w:val="both"/>
              <w:rPr>
                <w:rFonts w:ascii="Open Sans" w:hAnsi="Open Sans" w:cs="Open Sans"/>
                <w:sz w:val="20"/>
                <w:szCs w:val="20"/>
              </w:rPr>
            </w:pPr>
            <w:r w:rsidRPr="000179B0">
              <w:rPr>
                <w:rStyle w:val="paren"/>
                <w:rFonts w:ascii="Open Sans" w:hAnsi="Open Sans" w:cs="Open Sans"/>
                <w:sz w:val="20"/>
                <w:szCs w:val="20"/>
              </w:rPr>
              <w:t>(e)(</w:t>
            </w:r>
            <w:r w:rsidRPr="000179B0">
              <w:rPr>
                <w:rStyle w:val="paragraph-hierarchy"/>
                <w:rFonts w:ascii="Open Sans" w:hAnsi="Open Sans" w:cs="Open Sans"/>
                <w:sz w:val="20"/>
                <w:szCs w:val="20"/>
              </w:rPr>
              <w:t>4</w:t>
            </w:r>
            <w:r w:rsidRPr="000179B0">
              <w:rPr>
                <w:rStyle w:val="paren"/>
                <w:rFonts w:ascii="Open Sans" w:hAnsi="Open Sans" w:cs="Open Sans"/>
                <w:sz w:val="20"/>
                <w:szCs w:val="20"/>
              </w:rPr>
              <w:t>)</w:t>
            </w:r>
            <w:r w:rsidRPr="000179B0">
              <w:rPr>
                <w:rFonts w:ascii="Open Sans" w:hAnsi="Open Sans" w:cs="Open Sans"/>
                <w:sz w:val="20"/>
                <w:szCs w:val="20"/>
              </w:rPr>
              <w:t xml:space="preserve"> Identification of any steam generating unit operating days for which </w:t>
            </w:r>
            <w:proofErr w:type="gramStart"/>
            <w:r w:rsidRPr="000179B0">
              <w:rPr>
                <w:rFonts w:ascii="Open Sans" w:hAnsi="Open Sans" w:cs="Open Sans"/>
                <w:sz w:val="20"/>
                <w:szCs w:val="20"/>
              </w:rPr>
              <w:t>SO</w:t>
            </w:r>
            <w:r w:rsidRPr="000179B0">
              <w:rPr>
                <w:rFonts w:ascii="Open Sans" w:hAnsi="Open Sans" w:cs="Open Sans"/>
                <w:sz w:val="20"/>
                <w:szCs w:val="20"/>
                <w:vertAlign w:val="subscript"/>
              </w:rPr>
              <w:t>2</w:t>
            </w:r>
            <w:proofErr w:type="gramEnd"/>
            <w:r w:rsidRPr="000179B0">
              <w:rPr>
                <w:rFonts w:ascii="Open Sans" w:hAnsi="Open Sans" w:cs="Open Sans"/>
                <w:sz w:val="20"/>
                <w:szCs w:val="20"/>
              </w:rPr>
              <w:t xml:space="preserve"> or diluent (O</w:t>
            </w:r>
            <w:r w:rsidRPr="000179B0">
              <w:rPr>
                <w:rFonts w:ascii="Open Sans" w:hAnsi="Open Sans" w:cs="Open Sans"/>
                <w:sz w:val="20"/>
                <w:szCs w:val="20"/>
                <w:vertAlign w:val="subscript"/>
              </w:rPr>
              <w:t>2</w:t>
            </w:r>
            <w:r w:rsidRPr="000179B0">
              <w:rPr>
                <w:rFonts w:ascii="Open Sans" w:hAnsi="Open Sans" w:cs="Open Sans"/>
                <w:sz w:val="20"/>
                <w:szCs w:val="20"/>
              </w:rPr>
              <w:t xml:space="preserve"> or CO</w:t>
            </w:r>
            <w:r w:rsidRPr="000179B0">
              <w:rPr>
                <w:rFonts w:ascii="Open Sans" w:hAnsi="Open Sans" w:cs="Open Sans"/>
                <w:sz w:val="20"/>
                <w:szCs w:val="20"/>
                <w:vertAlign w:val="subscript"/>
              </w:rPr>
              <w:t>2</w:t>
            </w:r>
            <w:r w:rsidRPr="000179B0">
              <w:rPr>
                <w:rFonts w:ascii="Open Sans" w:hAnsi="Open Sans" w:cs="Open Sans"/>
                <w:sz w:val="20"/>
                <w:szCs w:val="20"/>
              </w:rPr>
              <w:t xml:space="preserve">) data have not been obtained by an approved method for at least 75 percent of the operating hours; justification for not obtaining sufficient data; and a description of corrective actions taken. </w:t>
            </w:r>
          </w:p>
          <w:p w14:paraId="7E47BC55" w14:textId="77777777" w:rsidR="00124AB6" w:rsidRPr="000179B0" w:rsidRDefault="00124AB6" w:rsidP="004E3BFD">
            <w:pPr>
              <w:pStyle w:val="indent-2"/>
              <w:spacing w:before="0" w:beforeAutospacing="0" w:after="0" w:afterAutospacing="0"/>
              <w:ind w:left="1"/>
              <w:rPr>
                <w:rStyle w:val="paren"/>
                <w:rFonts w:ascii="Open Sans" w:hAnsi="Open Sans" w:cs="Open Sans"/>
                <w:sz w:val="20"/>
                <w:szCs w:val="20"/>
              </w:rPr>
            </w:pPr>
          </w:p>
          <w:p w14:paraId="21110590" w14:textId="77777777" w:rsidR="00124AB6" w:rsidRPr="000179B0" w:rsidRDefault="00124AB6" w:rsidP="004E3BFD">
            <w:pPr>
              <w:pStyle w:val="indent-2"/>
              <w:spacing w:before="0" w:beforeAutospacing="0" w:after="0" w:afterAutospacing="0"/>
              <w:ind w:left="1"/>
              <w:jc w:val="both"/>
              <w:rPr>
                <w:rFonts w:ascii="Open Sans" w:hAnsi="Open Sans" w:cs="Open Sans"/>
                <w:sz w:val="20"/>
                <w:szCs w:val="20"/>
              </w:rPr>
            </w:pPr>
            <w:r w:rsidRPr="000179B0">
              <w:rPr>
                <w:rStyle w:val="paren"/>
                <w:rFonts w:ascii="Open Sans" w:hAnsi="Open Sans" w:cs="Open Sans"/>
                <w:sz w:val="20"/>
                <w:szCs w:val="20"/>
              </w:rPr>
              <w:t>(e)(</w:t>
            </w:r>
            <w:r w:rsidRPr="000179B0">
              <w:rPr>
                <w:rStyle w:val="paragraph-hierarchy"/>
                <w:rFonts w:ascii="Open Sans" w:hAnsi="Open Sans" w:cs="Open Sans"/>
                <w:sz w:val="20"/>
                <w:szCs w:val="20"/>
              </w:rPr>
              <w:t>5</w:t>
            </w:r>
            <w:r w:rsidRPr="000179B0">
              <w:rPr>
                <w:rStyle w:val="paren"/>
                <w:rFonts w:ascii="Open Sans" w:hAnsi="Open Sans" w:cs="Open Sans"/>
                <w:sz w:val="20"/>
                <w:szCs w:val="20"/>
              </w:rPr>
              <w:t>)</w:t>
            </w:r>
            <w:r w:rsidRPr="000179B0">
              <w:rPr>
                <w:rFonts w:ascii="Open Sans" w:hAnsi="Open Sans" w:cs="Open Sans"/>
                <w:sz w:val="20"/>
                <w:szCs w:val="20"/>
              </w:rPr>
              <w:t xml:space="preserve"> Identification of any times when emissions data have been excluded from the calculation of average emission rates; justification for excluding data; and a description of corrective actions taken if data have been excluded for periods other than those during which coal or oil were not combusted in the steam generating unit. </w:t>
            </w:r>
          </w:p>
          <w:p w14:paraId="250F2262" w14:textId="77777777" w:rsidR="00124AB6" w:rsidRPr="000179B0" w:rsidRDefault="00124AB6" w:rsidP="004E3BFD">
            <w:pPr>
              <w:pStyle w:val="indent-2"/>
              <w:spacing w:before="0" w:beforeAutospacing="0" w:after="0" w:afterAutospacing="0"/>
              <w:ind w:left="1"/>
              <w:jc w:val="both"/>
              <w:rPr>
                <w:rStyle w:val="paren"/>
                <w:rFonts w:ascii="Open Sans" w:hAnsi="Open Sans" w:cs="Open Sans"/>
                <w:sz w:val="20"/>
                <w:szCs w:val="20"/>
              </w:rPr>
            </w:pPr>
          </w:p>
          <w:p w14:paraId="50A6BE80" w14:textId="77777777" w:rsidR="00124AB6" w:rsidRPr="000179B0" w:rsidRDefault="00124AB6" w:rsidP="004E3BFD">
            <w:pPr>
              <w:pStyle w:val="indent-2"/>
              <w:spacing w:before="0" w:beforeAutospacing="0" w:after="0" w:afterAutospacing="0"/>
              <w:ind w:left="1"/>
              <w:jc w:val="both"/>
              <w:rPr>
                <w:rFonts w:ascii="Open Sans" w:hAnsi="Open Sans" w:cs="Open Sans"/>
                <w:sz w:val="20"/>
                <w:szCs w:val="20"/>
              </w:rPr>
            </w:pPr>
            <w:r w:rsidRPr="000179B0">
              <w:rPr>
                <w:rStyle w:val="paren"/>
                <w:rFonts w:ascii="Open Sans" w:hAnsi="Open Sans" w:cs="Open Sans"/>
                <w:sz w:val="20"/>
                <w:szCs w:val="20"/>
              </w:rPr>
              <w:t>(e)(</w:t>
            </w:r>
            <w:r w:rsidRPr="000179B0">
              <w:rPr>
                <w:rStyle w:val="paragraph-hierarchy"/>
                <w:rFonts w:ascii="Open Sans" w:hAnsi="Open Sans" w:cs="Open Sans"/>
                <w:sz w:val="20"/>
                <w:szCs w:val="20"/>
              </w:rPr>
              <w:t>6</w:t>
            </w:r>
            <w:r w:rsidRPr="000179B0">
              <w:rPr>
                <w:rStyle w:val="paren"/>
                <w:rFonts w:ascii="Open Sans" w:hAnsi="Open Sans" w:cs="Open Sans"/>
                <w:sz w:val="20"/>
                <w:szCs w:val="20"/>
              </w:rPr>
              <w:t>)</w:t>
            </w:r>
            <w:r w:rsidRPr="000179B0">
              <w:rPr>
                <w:rFonts w:ascii="Open Sans" w:hAnsi="Open Sans" w:cs="Open Sans"/>
                <w:sz w:val="20"/>
                <w:szCs w:val="20"/>
              </w:rPr>
              <w:t xml:space="preserve"> Identification of the F factor used in calculations, method of determination, and type of fuel combusted. </w:t>
            </w:r>
          </w:p>
          <w:p w14:paraId="27E7177B" w14:textId="77777777" w:rsidR="00124AB6" w:rsidRPr="000179B0" w:rsidRDefault="00124AB6" w:rsidP="004E3BFD">
            <w:pPr>
              <w:pStyle w:val="indent-2"/>
              <w:spacing w:before="0" w:beforeAutospacing="0" w:after="0" w:afterAutospacing="0"/>
              <w:ind w:left="1"/>
              <w:rPr>
                <w:rStyle w:val="paren"/>
                <w:rFonts w:ascii="Open Sans" w:hAnsi="Open Sans" w:cs="Open Sans"/>
                <w:sz w:val="20"/>
                <w:szCs w:val="20"/>
              </w:rPr>
            </w:pPr>
          </w:p>
          <w:p w14:paraId="677CA17F" w14:textId="77777777" w:rsidR="00124AB6" w:rsidRPr="000179B0" w:rsidRDefault="00124AB6" w:rsidP="004E3BFD">
            <w:pPr>
              <w:pStyle w:val="indent-2"/>
              <w:spacing w:before="0" w:beforeAutospacing="0" w:after="0" w:afterAutospacing="0"/>
              <w:ind w:left="1"/>
              <w:jc w:val="both"/>
              <w:rPr>
                <w:rFonts w:ascii="Open Sans" w:hAnsi="Open Sans" w:cs="Open Sans"/>
                <w:sz w:val="20"/>
                <w:szCs w:val="20"/>
              </w:rPr>
            </w:pPr>
            <w:r w:rsidRPr="000179B0">
              <w:rPr>
                <w:rFonts w:ascii="Open Sans" w:hAnsi="Open Sans" w:cs="Open Sans"/>
                <w:sz w:val="20"/>
                <w:szCs w:val="20"/>
              </w:rPr>
              <w:t>(</w:t>
            </w:r>
            <w:r w:rsidRPr="00124AB6">
              <w:rPr>
                <w:rFonts w:ascii="Open Sans" w:hAnsi="Open Sans" w:cs="Open Sans"/>
                <w:sz w:val="20"/>
                <w:szCs w:val="20"/>
              </w:rPr>
              <w:t>e)</w:t>
            </w:r>
            <w:r w:rsidRPr="00124AB6">
              <w:rPr>
                <w:rStyle w:val="paren"/>
                <w:rFonts w:ascii="Open Sans" w:hAnsi="Open Sans" w:cs="Open Sans"/>
                <w:sz w:val="20"/>
                <w:szCs w:val="20"/>
              </w:rPr>
              <w:t>(</w:t>
            </w:r>
            <w:r w:rsidRPr="00124AB6">
              <w:rPr>
                <w:rStyle w:val="paragraph-hierarchy"/>
                <w:rFonts w:ascii="Open Sans" w:hAnsi="Open Sans" w:cs="Open Sans"/>
                <w:sz w:val="20"/>
                <w:szCs w:val="20"/>
              </w:rPr>
              <w:t>11</w:t>
            </w:r>
            <w:r w:rsidRPr="00124AB6">
              <w:rPr>
                <w:rStyle w:val="paren"/>
                <w:rFonts w:ascii="Open Sans" w:hAnsi="Open Sans" w:cs="Open Sans"/>
                <w:sz w:val="20"/>
                <w:szCs w:val="20"/>
              </w:rPr>
              <w:t>)</w:t>
            </w:r>
            <w:r w:rsidRPr="00124AB6">
              <w:rPr>
                <w:rFonts w:ascii="Open Sans" w:hAnsi="Open Sans" w:cs="Open Sans"/>
                <w:sz w:val="20"/>
                <w:szCs w:val="20"/>
              </w:rPr>
              <w:t xml:space="preserve"> If fuel supplier certification is used to demonstrate compliance, records of fuel supplier certification as described under </w:t>
            </w:r>
            <w:hyperlink r:id="rId51" w:anchor="p-60.48c(f)(1)" w:history="1">
              <w:r w:rsidRPr="00124AB6">
                <w:rPr>
                  <w:rStyle w:val="Hyperlink"/>
                  <w:rFonts w:ascii="Open Sans" w:hAnsi="Open Sans" w:cs="Open Sans"/>
                  <w:color w:val="auto"/>
                  <w:sz w:val="20"/>
                  <w:szCs w:val="20"/>
                  <w:u w:val="none"/>
                </w:rPr>
                <w:t>paragraph (f)(1)</w:t>
              </w:r>
            </w:hyperlink>
            <w:r w:rsidRPr="00124AB6">
              <w:rPr>
                <w:rFonts w:ascii="Open Sans" w:hAnsi="Open Sans" w:cs="Open Sans"/>
                <w:sz w:val="20"/>
                <w:szCs w:val="20"/>
              </w:rPr>
              <w:t xml:space="preserve">, </w:t>
            </w:r>
            <w:hyperlink r:id="rId52" w:anchor="p-60.48c(f)(2)" w:history="1">
              <w:r w:rsidRPr="00124AB6">
                <w:rPr>
                  <w:rStyle w:val="Hyperlink"/>
                  <w:rFonts w:ascii="Open Sans" w:hAnsi="Open Sans" w:cs="Open Sans"/>
                  <w:color w:val="auto"/>
                  <w:sz w:val="20"/>
                  <w:szCs w:val="20"/>
                  <w:u w:val="none"/>
                </w:rPr>
                <w:t>(2)</w:t>
              </w:r>
            </w:hyperlink>
            <w:r w:rsidRPr="00124AB6">
              <w:rPr>
                <w:rFonts w:ascii="Open Sans" w:hAnsi="Open Sans" w:cs="Open Sans"/>
                <w:sz w:val="20"/>
                <w:szCs w:val="20"/>
              </w:rPr>
              <w:t xml:space="preserve">, </w:t>
            </w:r>
            <w:hyperlink r:id="rId53" w:anchor="p-60.48c(f)(3)" w:history="1">
              <w:r w:rsidRPr="00124AB6">
                <w:rPr>
                  <w:rStyle w:val="Hyperlink"/>
                  <w:rFonts w:ascii="Open Sans" w:hAnsi="Open Sans" w:cs="Open Sans"/>
                  <w:color w:val="auto"/>
                  <w:sz w:val="20"/>
                  <w:szCs w:val="20"/>
                  <w:u w:val="none"/>
                </w:rPr>
                <w:t>(3)</w:t>
              </w:r>
            </w:hyperlink>
            <w:r w:rsidRPr="00124AB6">
              <w:rPr>
                <w:rFonts w:ascii="Open Sans" w:hAnsi="Open Sans" w:cs="Open Sans"/>
                <w:sz w:val="20"/>
                <w:szCs w:val="20"/>
              </w:rPr>
              <w:t xml:space="preserve">, or </w:t>
            </w:r>
            <w:hyperlink r:id="rId54" w:anchor="p-60.48c(f)(4)" w:history="1">
              <w:r w:rsidRPr="00124AB6">
                <w:rPr>
                  <w:rStyle w:val="Hyperlink"/>
                  <w:rFonts w:ascii="Open Sans" w:hAnsi="Open Sans" w:cs="Open Sans"/>
                  <w:color w:val="auto"/>
                  <w:sz w:val="20"/>
                  <w:szCs w:val="20"/>
                  <w:u w:val="none"/>
                </w:rPr>
                <w:t>(4)</w:t>
              </w:r>
            </w:hyperlink>
            <w:r w:rsidRPr="00124AB6">
              <w:rPr>
                <w:rFonts w:ascii="Open Sans" w:hAnsi="Open Sans" w:cs="Open Sans"/>
                <w:sz w:val="20"/>
                <w:szCs w:val="20"/>
              </w:rPr>
              <w:t xml:space="preserve"> of this section, as applicable. In addition to records of fuel supplier certifications, the report shall include a certified statement signed by the owner or operator of the affected facility that the records of fuel supplier </w:t>
            </w:r>
            <w:r w:rsidRPr="000179B0">
              <w:rPr>
                <w:rFonts w:ascii="Open Sans" w:hAnsi="Open Sans" w:cs="Open Sans"/>
                <w:sz w:val="20"/>
                <w:szCs w:val="20"/>
              </w:rPr>
              <w:t xml:space="preserve">certifications submitted represent </w:t>
            </w:r>
            <w:proofErr w:type="gramStart"/>
            <w:r w:rsidRPr="000179B0">
              <w:rPr>
                <w:rFonts w:ascii="Open Sans" w:hAnsi="Open Sans" w:cs="Open Sans"/>
                <w:sz w:val="20"/>
                <w:szCs w:val="20"/>
              </w:rPr>
              <w:t>all of</w:t>
            </w:r>
            <w:proofErr w:type="gramEnd"/>
            <w:r w:rsidRPr="000179B0">
              <w:rPr>
                <w:rFonts w:ascii="Open Sans" w:hAnsi="Open Sans" w:cs="Open Sans"/>
                <w:sz w:val="20"/>
                <w:szCs w:val="20"/>
              </w:rPr>
              <w:t xml:space="preserve"> the fuel combusted during the reporting period. </w:t>
            </w:r>
          </w:p>
          <w:p w14:paraId="334C80D8" w14:textId="77777777" w:rsidR="00124AB6" w:rsidRPr="000179B0" w:rsidRDefault="00124AB6" w:rsidP="004E3BFD">
            <w:pPr>
              <w:pStyle w:val="indent-2"/>
              <w:spacing w:before="0" w:beforeAutospacing="0" w:after="0" w:afterAutospacing="0"/>
              <w:ind w:left="1"/>
              <w:jc w:val="both"/>
              <w:rPr>
                <w:rFonts w:ascii="Open Sans" w:hAnsi="Open Sans" w:cs="Open Sans"/>
                <w:sz w:val="20"/>
                <w:szCs w:val="20"/>
              </w:rPr>
            </w:pPr>
          </w:p>
          <w:p w14:paraId="18F7B40A" w14:textId="77777777" w:rsidR="00124AB6" w:rsidRPr="000179B0" w:rsidRDefault="00124AB6" w:rsidP="004E3BFD">
            <w:pPr>
              <w:pStyle w:val="indent-1"/>
              <w:spacing w:before="0" w:beforeAutospacing="0" w:after="0" w:afterAutospacing="0"/>
              <w:rPr>
                <w:rFonts w:ascii="Open Sans" w:hAnsi="Open Sans" w:cs="Open Sans"/>
                <w:sz w:val="20"/>
                <w:szCs w:val="20"/>
              </w:rPr>
            </w:pPr>
            <w:r w:rsidRPr="000179B0">
              <w:rPr>
                <w:rStyle w:val="paren"/>
                <w:rFonts w:ascii="Open Sans" w:hAnsi="Open Sans" w:cs="Open Sans"/>
                <w:sz w:val="20"/>
                <w:szCs w:val="20"/>
              </w:rPr>
              <w:t>(</w:t>
            </w:r>
            <w:r w:rsidRPr="000179B0">
              <w:rPr>
                <w:rStyle w:val="paragraph-hierarchy"/>
                <w:rFonts w:ascii="Open Sans" w:hAnsi="Open Sans" w:cs="Open Sans"/>
                <w:sz w:val="20"/>
                <w:szCs w:val="20"/>
              </w:rPr>
              <w:t>f</w:t>
            </w:r>
            <w:r w:rsidRPr="000179B0">
              <w:rPr>
                <w:rStyle w:val="paren"/>
                <w:rFonts w:ascii="Open Sans" w:hAnsi="Open Sans" w:cs="Open Sans"/>
                <w:sz w:val="20"/>
                <w:szCs w:val="20"/>
              </w:rPr>
              <w:t>)</w:t>
            </w:r>
            <w:r w:rsidRPr="000179B0">
              <w:rPr>
                <w:rFonts w:ascii="Open Sans" w:hAnsi="Open Sans" w:cs="Open Sans"/>
                <w:sz w:val="20"/>
                <w:szCs w:val="20"/>
              </w:rPr>
              <w:t xml:space="preserve"> Fuel supplier certification shall include the following information: </w:t>
            </w:r>
          </w:p>
          <w:p w14:paraId="71C2A7BD" w14:textId="77777777" w:rsidR="00124AB6" w:rsidRDefault="00124AB6" w:rsidP="004E3BFD">
            <w:pPr>
              <w:pStyle w:val="indent-2"/>
              <w:spacing w:before="0" w:beforeAutospacing="0" w:after="0" w:afterAutospacing="0"/>
              <w:rPr>
                <w:rStyle w:val="paren"/>
                <w:rFonts w:ascii="Open Sans" w:hAnsi="Open Sans" w:cs="Open Sans"/>
                <w:sz w:val="20"/>
                <w:szCs w:val="20"/>
              </w:rPr>
            </w:pPr>
          </w:p>
          <w:p w14:paraId="53AA0222" w14:textId="77777777" w:rsidR="00124AB6" w:rsidRPr="000179B0" w:rsidRDefault="00124AB6" w:rsidP="004E3BFD">
            <w:pPr>
              <w:pStyle w:val="indent-2"/>
              <w:spacing w:before="0" w:beforeAutospacing="0" w:after="0" w:afterAutospacing="0"/>
              <w:rPr>
                <w:rFonts w:ascii="Open Sans" w:hAnsi="Open Sans" w:cs="Open Sans"/>
                <w:sz w:val="20"/>
                <w:szCs w:val="20"/>
              </w:rPr>
            </w:pPr>
            <w:r w:rsidRPr="000179B0">
              <w:rPr>
                <w:rStyle w:val="paren"/>
                <w:rFonts w:ascii="Open Sans" w:hAnsi="Open Sans" w:cs="Open Sans"/>
                <w:sz w:val="20"/>
                <w:szCs w:val="20"/>
              </w:rPr>
              <w:t>(f)(</w:t>
            </w:r>
            <w:r w:rsidRPr="000179B0">
              <w:rPr>
                <w:rStyle w:val="paragraph-hierarchy"/>
                <w:rFonts w:ascii="Open Sans" w:hAnsi="Open Sans" w:cs="Open Sans"/>
                <w:sz w:val="20"/>
                <w:szCs w:val="20"/>
              </w:rPr>
              <w:t>1</w:t>
            </w:r>
            <w:r w:rsidRPr="000179B0">
              <w:rPr>
                <w:rStyle w:val="paren"/>
                <w:rFonts w:ascii="Open Sans" w:hAnsi="Open Sans" w:cs="Open Sans"/>
                <w:sz w:val="20"/>
                <w:szCs w:val="20"/>
              </w:rPr>
              <w:t>)</w:t>
            </w:r>
            <w:r w:rsidRPr="000179B0">
              <w:rPr>
                <w:rFonts w:ascii="Open Sans" w:hAnsi="Open Sans" w:cs="Open Sans"/>
                <w:sz w:val="20"/>
                <w:szCs w:val="20"/>
              </w:rPr>
              <w:t xml:space="preserve"> For distillate oil: </w:t>
            </w:r>
          </w:p>
          <w:p w14:paraId="3C20B196" w14:textId="77777777" w:rsidR="00124AB6" w:rsidRDefault="00124AB6" w:rsidP="004E3BFD">
            <w:pPr>
              <w:pStyle w:val="indent-3"/>
              <w:spacing w:before="0" w:beforeAutospacing="0" w:after="0" w:afterAutospacing="0"/>
              <w:rPr>
                <w:rStyle w:val="paren"/>
                <w:rFonts w:ascii="Open Sans" w:hAnsi="Open Sans" w:cs="Open Sans"/>
                <w:sz w:val="20"/>
                <w:szCs w:val="20"/>
              </w:rPr>
            </w:pPr>
          </w:p>
          <w:p w14:paraId="4D499C29" w14:textId="77777777" w:rsidR="00124AB6" w:rsidRPr="000179B0" w:rsidRDefault="00124AB6" w:rsidP="004E3BFD">
            <w:pPr>
              <w:pStyle w:val="indent-3"/>
              <w:spacing w:before="0" w:beforeAutospacing="0" w:after="0" w:afterAutospacing="0"/>
              <w:rPr>
                <w:rFonts w:ascii="Open Sans" w:hAnsi="Open Sans" w:cs="Open Sans"/>
                <w:sz w:val="20"/>
                <w:szCs w:val="20"/>
              </w:rPr>
            </w:pPr>
            <w:r w:rsidRPr="000179B0">
              <w:rPr>
                <w:rStyle w:val="paren"/>
                <w:rFonts w:ascii="Open Sans" w:hAnsi="Open Sans" w:cs="Open Sans"/>
                <w:sz w:val="20"/>
                <w:szCs w:val="20"/>
              </w:rPr>
              <w:t>(f)(1)(</w:t>
            </w:r>
            <w:proofErr w:type="spellStart"/>
            <w:r w:rsidRPr="000179B0">
              <w:rPr>
                <w:rStyle w:val="paragraph-hierarchy"/>
                <w:rFonts w:ascii="Open Sans" w:hAnsi="Open Sans" w:cs="Open Sans"/>
                <w:sz w:val="20"/>
                <w:szCs w:val="20"/>
              </w:rPr>
              <w:t>i</w:t>
            </w:r>
            <w:proofErr w:type="spellEnd"/>
            <w:r w:rsidRPr="000179B0">
              <w:rPr>
                <w:rStyle w:val="paren"/>
                <w:rFonts w:ascii="Open Sans" w:hAnsi="Open Sans" w:cs="Open Sans"/>
                <w:sz w:val="20"/>
                <w:szCs w:val="20"/>
              </w:rPr>
              <w:t>)</w:t>
            </w:r>
            <w:r w:rsidRPr="000179B0">
              <w:rPr>
                <w:rFonts w:ascii="Open Sans" w:hAnsi="Open Sans" w:cs="Open Sans"/>
                <w:sz w:val="20"/>
                <w:szCs w:val="20"/>
              </w:rPr>
              <w:t xml:space="preserve"> The name of the oil </w:t>
            </w:r>
            <w:proofErr w:type="gramStart"/>
            <w:r w:rsidRPr="000179B0">
              <w:rPr>
                <w:rFonts w:ascii="Open Sans" w:hAnsi="Open Sans" w:cs="Open Sans"/>
                <w:sz w:val="20"/>
                <w:szCs w:val="20"/>
              </w:rPr>
              <w:t>supplier;</w:t>
            </w:r>
            <w:proofErr w:type="gramEnd"/>
            <w:r w:rsidRPr="000179B0">
              <w:rPr>
                <w:rFonts w:ascii="Open Sans" w:hAnsi="Open Sans" w:cs="Open Sans"/>
                <w:sz w:val="20"/>
                <w:szCs w:val="20"/>
              </w:rPr>
              <w:t xml:space="preserve"> </w:t>
            </w:r>
          </w:p>
          <w:p w14:paraId="1BF8B47A" w14:textId="77777777" w:rsidR="00124AB6" w:rsidRPr="000179B0" w:rsidRDefault="00124AB6" w:rsidP="004E3BFD">
            <w:pPr>
              <w:pStyle w:val="indent-3"/>
              <w:spacing w:before="0" w:beforeAutospacing="0" w:after="0" w:afterAutospacing="0"/>
              <w:rPr>
                <w:rStyle w:val="paren"/>
                <w:rFonts w:ascii="Open Sans" w:hAnsi="Open Sans" w:cs="Open Sans"/>
                <w:sz w:val="20"/>
                <w:szCs w:val="20"/>
              </w:rPr>
            </w:pPr>
          </w:p>
          <w:p w14:paraId="2F306F28" w14:textId="77777777" w:rsidR="00124AB6" w:rsidRPr="000179B0" w:rsidRDefault="00124AB6" w:rsidP="004E3BFD">
            <w:pPr>
              <w:pStyle w:val="indent-3"/>
              <w:spacing w:before="0" w:beforeAutospacing="0" w:after="0" w:afterAutospacing="0"/>
              <w:rPr>
                <w:rFonts w:ascii="Open Sans" w:hAnsi="Open Sans" w:cs="Open Sans"/>
                <w:sz w:val="20"/>
                <w:szCs w:val="20"/>
              </w:rPr>
            </w:pPr>
            <w:r w:rsidRPr="000179B0">
              <w:rPr>
                <w:rStyle w:val="paren"/>
                <w:rFonts w:ascii="Open Sans" w:hAnsi="Open Sans" w:cs="Open Sans"/>
                <w:sz w:val="20"/>
                <w:szCs w:val="20"/>
              </w:rPr>
              <w:t>(f)(1)(</w:t>
            </w:r>
            <w:r w:rsidRPr="000179B0">
              <w:rPr>
                <w:rStyle w:val="paragraph-hierarchy"/>
                <w:rFonts w:ascii="Open Sans" w:hAnsi="Open Sans" w:cs="Open Sans"/>
                <w:sz w:val="20"/>
                <w:szCs w:val="20"/>
              </w:rPr>
              <w:t>ii</w:t>
            </w:r>
            <w:r w:rsidRPr="000179B0">
              <w:rPr>
                <w:rStyle w:val="paren"/>
                <w:rFonts w:ascii="Open Sans" w:hAnsi="Open Sans" w:cs="Open Sans"/>
                <w:sz w:val="20"/>
                <w:szCs w:val="20"/>
              </w:rPr>
              <w:t>)</w:t>
            </w:r>
            <w:r w:rsidRPr="000179B0">
              <w:rPr>
                <w:rFonts w:ascii="Open Sans" w:hAnsi="Open Sans" w:cs="Open Sans"/>
                <w:sz w:val="20"/>
                <w:szCs w:val="20"/>
              </w:rPr>
              <w:t xml:space="preserve"> A statement from the oil supplier that the oil complies with the specifications under the definition of distillate oil in §60.41c and </w:t>
            </w:r>
          </w:p>
          <w:p w14:paraId="70252C44" w14:textId="77777777" w:rsidR="00124AB6" w:rsidRPr="000179B0" w:rsidRDefault="00124AB6" w:rsidP="004E3BFD">
            <w:pPr>
              <w:pStyle w:val="indent-3"/>
              <w:spacing w:before="0" w:beforeAutospacing="0" w:after="0" w:afterAutospacing="0"/>
              <w:rPr>
                <w:rStyle w:val="paren"/>
                <w:rFonts w:ascii="Open Sans" w:hAnsi="Open Sans" w:cs="Open Sans"/>
                <w:sz w:val="20"/>
                <w:szCs w:val="20"/>
              </w:rPr>
            </w:pPr>
          </w:p>
          <w:p w14:paraId="5D202BA1" w14:textId="77777777" w:rsidR="00124AB6" w:rsidRPr="000179B0" w:rsidRDefault="00124AB6" w:rsidP="004E3BFD">
            <w:pPr>
              <w:pStyle w:val="indent-3"/>
              <w:spacing w:before="0" w:beforeAutospacing="0" w:after="0" w:afterAutospacing="0"/>
              <w:rPr>
                <w:rFonts w:ascii="Open Sans" w:hAnsi="Open Sans" w:cs="Open Sans"/>
                <w:sz w:val="20"/>
                <w:szCs w:val="20"/>
              </w:rPr>
            </w:pPr>
            <w:r w:rsidRPr="000179B0">
              <w:rPr>
                <w:rStyle w:val="paren"/>
                <w:rFonts w:ascii="Open Sans" w:hAnsi="Open Sans" w:cs="Open Sans"/>
                <w:sz w:val="20"/>
                <w:szCs w:val="20"/>
              </w:rPr>
              <w:t>(f)(1)(</w:t>
            </w:r>
            <w:r w:rsidRPr="000179B0">
              <w:rPr>
                <w:rStyle w:val="paragraph-hierarchy"/>
                <w:rFonts w:ascii="Open Sans" w:hAnsi="Open Sans" w:cs="Open Sans"/>
                <w:sz w:val="20"/>
                <w:szCs w:val="20"/>
              </w:rPr>
              <w:t>iii</w:t>
            </w:r>
            <w:r w:rsidRPr="000179B0">
              <w:rPr>
                <w:rStyle w:val="paren"/>
                <w:rFonts w:ascii="Open Sans" w:hAnsi="Open Sans" w:cs="Open Sans"/>
                <w:sz w:val="20"/>
                <w:szCs w:val="20"/>
              </w:rPr>
              <w:t>)</w:t>
            </w:r>
            <w:r w:rsidRPr="000179B0">
              <w:rPr>
                <w:rFonts w:ascii="Open Sans" w:hAnsi="Open Sans" w:cs="Open Sans"/>
                <w:sz w:val="20"/>
                <w:szCs w:val="20"/>
              </w:rPr>
              <w:t xml:space="preserve"> The sulfur content or maximum sulfur content of the oil. </w:t>
            </w:r>
          </w:p>
          <w:p w14:paraId="3636B44D" w14:textId="77777777" w:rsidR="00124AB6" w:rsidRPr="000179B0" w:rsidRDefault="00124AB6" w:rsidP="004E3BFD">
            <w:pPr>
              <w:pStyle w:val="indent-2"/>
              <w:spacing w:before="0" w:beforeAutospacing="0" w:after="0" w:afterAutospacing="0"/>
              <w:ind w:left="1"/>
              <w:jc w:val="both"/>
              <w:rPr>
                <w:rFonts w:ascii="Open Sans" w:hAnsi="Open Sans" w:cs="Open Sans"/>
                <w:bCs/>
                <w:sz w:val="20"/>
                <w:szCs w:val="20"/>
              </w:rPr>
            </w:pPr>
          </w:p>
          <w:p w14:paraId="6BAFCEA1" w14:textId="77777777" w:rsidR="00124AB6" w:rsidRPr="000179B0" w:rsidRDefault="00124AB6" w:rsidP="004E3BFD">
            <w:pPr>
              <w:pStyle w:val="indent-2"/>
              <w:spacing w:before="0" w:beforeAutospacing="0" w:after="0" w:afterAutospacing="0"/>
              <w:ind w:left="1"/>
              <w:jc w:val="both"/>
              <w:rPr>
                <w:rFonts w:ascii="Open Sans" w:hAnsi="Open Sans" w:cs="Open Sans"/>
                <w:sz w:val="20"/>
                <w:szCs w:val="20"/>
              </w:rPr>
            </w:pPr>
            <w:r w:rsidRPr="000179B0">
              <w:rPr>
                <w:rStyle w:val="paren"/>
                <w:rFonts w:ascii="Open Sans" w:hAnsi="Open Sans" w:cs="Open Sans"/>
                <w:sz w:val="20"/>
                <w:szCs w:val="20"/>
              </w:rPr>
              <w:t>(g)(</w:t>
            </w:r>
            <w:r w:rsidRPr="000179B0">
              <w:rPr>
                <w:rStyle w:val="paragraph-hierarchy"/>
                <w:rFonts w:ascii="Open Sans" w:hAnsi="Open Sans" w:cs="Open Sans"/>
                <w:sz w:val="20"/>
                <w:szCs w:val="20"/>
              </w:rPr>
              <w:t>1</w:t>
            </w:r>
            <w:r w:rsidRPr="000179B0">
              <w:rPr>
                <w:rStyle w:val="paren"/>
                <w:rFonts w:ascii="Open Sans" w:hAnsi="Open Sans" w:cs="Open Sans"/>
                <w:sz w:val="20"/>
                <w:szCs w:val="20"/>
              </w:rPr>
              <w:t>)</w:t>
            </w:r>
            <w:r w:rsidRPr="000179B0">
              <w:rPr>
                <w:rFonts w:ascii="Open Sans" w:hAnsi="Open Sans" w:cs="Open Sans"/>
                <w:sz w:val="20"/>
                <w:szCs w:val="20"/>
              </w:rPr>
              <w:t xml:space="preserve"> Except as provided </w:t>
            </w:r>
            <w:r w:rsidRPr="00124AB6">
              <w:rPr>
                <w:rFonts w:ascii="Open Sans" w:hAnsi="Open Sans" w:cs="Open Sans"/>
                <w:sz w:val="20"/>
                <w:szCs w:val="20"/>
              </w:rPr>
              <w:t xml:space="preserve">under </w:t>
            </w:r>
            <w:hyperlink r:id="rId55" w:anchor="p-60.48c(g)(2)" w:history="1">
              <w:r w:rsidRPr="00124AB6">
                <w:rPr>
                  <w:rStyle w:val="Hyperlink"/>
                  <w:rFonts w:ascii="Open Sans" w:hAnsi="Open Sans" w:cs="Open Sans"/>
                  <w:color w:val="auto"/>
                  <w:sz w:val="20"/>
                  <w:szCs w:val="20"/>
                  <w:u w:val="none"/>
                </w:rPr>
                <w:t>paragraphs (g)(2)</w:t>
              </w:r>
            </w:hyperlink>
            <w:r w:rsidRPr="00124AB6">
              <w:rPr>
                <w:rFonts w:ascii="Open Sans" w:hAnsi="Open Sans" w:cs="Open Sans"/>
                <w:sz w:val="20"/>
                <w:szCs w:val="20"/>
              </w:rPr>
              <w:t xml:space="preserve"> and </w:t>
            </w:r>
            <w:hyperlink r:id="rId56" w:anchor="p-60.48c(g)(3)" w:history="1">
              <w:r w:rsidRPr="00124AB6">
                <w:rPr>
                  <w:rStyle w:val="Hyperlink"/>
                  <w:rFonts w:ascii="Open Sans" w:hAnsi="Open Sans" w:cs="Open Sans"/>
                  <w:color w:val="auto"/>
                  <w:sz w:val="20"/>
                  <w:szCs w:val="20"/>
                  <w:u w:val="none"/>
                </w:rPr>
                <w:t>(g)(3)</w:t>
              </w:r>
            </w:hyperlink>
            <w:r w:rsidRPr="000179B0">
              <w:rPr>
                <w:rFonts w:ascii="Open Sans" w:hAnsi="Open Sans" w:cs="Open Sans"/>
                <w:sz w:val="20"/>
                <w:szCs w:val="20"/>
              </w:rPr>
              <w:t xml:space="preserve"> of this section, the owner or operator of each affected facility shall record and maintain records of the amount of each fuel combusted during each operating day. </w:t>
            </w:r>
          </w:p>
          <w:p w14:paraId="5296DC77" w14:textId="77777777" w:rsidR="00124AB6" w:rsidRPr="000179B0" w:rsidRDefault="00124AB6" w:rsidP="004E3BFD">
            <w:pPr>
              <w:pStyle w:val="indent-2"/>
              <w:spacing w:before="0" w:beforeAutospacing="0" w:after="0" w:afterAutospacing="0"/>
              <w:ind w:left="1"/>
              <w:jc w:val="both"/>
              <w:rPr>
                <w:rFonts w:ascii="Open Sans" w:hAnsi="Open Sans" w:cs="Open Sans"/>
                <w:sz w:val="20"/>
                <w:szCs w:val="20"/>
              </w:rPr>
            </w:pPr>
          </w:p>
          <w:p w14:paraId="0094A351" w14:textId="77777777" w:rsidR="00124AB6" w:rsidRPr="00124AB6" w:rsidRDefault="00124AB6" w:rsidP="004E3BFD">
            <w:pPr>
              <w:pStyle w:val="indent-2"/>
              <w:spacing w:before="0" w:beforeAutospacing="0" w:after="0" w:afterAutospacing="0"/>
              <w:ind w:left="1"/>
              <w:jc w:val="both"/>
              <w:rPr>
                <w:rFonts w:ascii="Open Sans" w:hAnsi="Open Sans" w:cs="Open Sans"/>
                <w:sz w:val="20"/>
                <w:szCs w:val="20"/>
              </w:rPr>
            </w:pPr>
            <w:r w:rsidRPr="00124AB6">
              <w:rPr>
                <w:rStyle w:val="paren"/>
                <w:rFonts w:ascii="Open Sans" w:hAnsi="Open Sans" w:cs="Open Sans"/>
                <w:sz w:val="20"/>
                <w:szCs w:val="20"/>
              </w:rPr>
              <w:t>(g)(</w:t>
            </w:r>
            <w:r w:rsidRPr="00124AB6">
              <w:rPr>
                <w:rStyle w:val="paragraph-hierarchy"/>
                <w:rFonts w:ascii="Open Sans" w:hAnsi="Open Sans" w:cs="Open Sans"/>
                <w:sz w:val="20"/>
                <w:szCs w:val="20"/>
              </w:rPr>
              <w:t>2</w:t>
            </w:r>
            <w:r w:rsidRPr="00124AB6">
              <w:rPr>
                <w:rStyle w:val="paren"/>
                <w:rFonts w:ascii="Open Sans" w:hAnsi="Open Sans" w:cs="Open Sans"/>
                <w:sz w:val="20"/>
                <w:szCs w:val="20"/>
              </w:rPr>
              <w:t>)</w:t>
            </w:r>
            <w:r w:rsidRPr="00124AB6">
              <w:rPr>
                <w:rFonts w:ascii="Open Sans" w:hAnsi="Open Sans" w:cs="Open Sans"/>
                <w:sz w:val="20"/>
                <w:szCs w:val="20"/>
              </w:rPr>
              <w:t xml:space="preserve"> As an alternative to meeting the requirements of </w:t>
            </w:r>
            <w:hyperlink r:id="rId57" w:anchor="p-60.48c(g)(1)" w:history="1">
              <w:r w:rsidRPr="00124AB6">
                <w:rPr>
                  <w:rStyle w:val="Hyperlink"/>
                  <w:rFonts w:ascii="Open Sans" w:hAnsi="Open Sans" w:cs="Open Sans"/>
                  <w:color w:val="auto"/>
                  <w:sz w:val="20"/>
                  <w:szCs w:val="20"/>
                  <w:u w:val="none"/>
                </w:rPr>
                <w:t>paragraph (g)(1)</w:t>
              </w:r>
            </w:hyperlink>
            <w:r w:rsidRPr="00124AB6">
              <w:rPr>
                <w:rFonts w:ascii="Open Sans" w:hAnsi="Open Sans" w:cs="Open Sans"/>
                <w:sz w:val="20"/>
                <w:szCs w:val="20"/>
              </w:rPr>
              <w:t xml:space="preserve"> of this section, the owner or operator of an affected facility that combusts only natural gas, wood, fuels using fuel certification in §60.48c(f) to demonstrate compliance with the SO</w:t>
            </w:r>
            <w:r w:rsidRPr="00124AB6">
              <w:rPr>
                <w:rFonts w:ascii="Open Sans" w:hAnsi="Open Sans" w:cs="Open Sans"/>
                <w:sz w:val="20"/>
                <w:szCs w:val="20"/>
                <w:vertAlign w:val="subscript"/>
              </w:rPr>
              <w:t>2</w:t>
            </w:r>
            <w:r w:rsidRPr="00124AB6">
              <w:rPr>
                <w:rFonts w:ascii="Open Sans" w:hAnsi="Open Sans" w:cs="Open Sans"/>
                <w:sz w:val="20"/>
                <w:szCs w:val="20"/>
              </w:rPr>
              <w:t xml:space="preserve"> standard, fuels not subject to an emissions standard (excluding opacity), or a mixture of these fuels may elect to record and maintain records of the amount of each fuel combusted during each calendar month. </w:t>
            </w:r>
          </w:p>
          <w:p w14:paraId="614A04FC" w14:textId="77777777" w:rsidR="00124AB6" w:rsidRPr="00124AB6" w:rsidRDefault="00124AB6" w:rsidP="004E3BFD">
            <w:pPr>
              <w:pStyle w:val="indent-2"/>
              <w:spacing w:before="0" w:beforeAutospacing="0" w:after="0" w:afterAutospacing="0"/>
              <w:ind w:left="1"/>
              <w:jc w:val="both"/>
              <w:rPr>
                <w:rFonts w:ascii="Open Sans" w:hAnsi="Open Sans" w:cs="Open Sans"/>
                <w:sz w:val="20"/>
                <w:szCs w:val="20"/>
              </w:rPr>
            </w:pPr>
          </w:p>
          <w:p w14:paraId="6FAE17FA" w14:textId="77777777" w:rsidR="00124AB6" w:rsidRPr="000179B0" w:rsidRDefault="00124AB6" w:rsidP="004E3BFD">
            <w:pPr>
              <w:pStyle w:val="indent-2"/>
              <w:spacing w:before="0" w:beforeAutospacing="0" w:after="0" w:afterAutospacing="0"/>
              <w:ind w:left="1"/>
              <w:jc w:val="both"/>
              <w:rPr>
                <w:rFonts w:ascii="Open Sans" w:hAnsi="Open Sans" w:cs="Open Sans"/>
                <w:sz w:val="20"/>
                <w:szCs w:val="20"/>
              </w:rPr>
            </w:pPr>
            <w:r w:rsidRPr="00124AB6">
              <w:rPr>
                <w:rStyle w:val="paren"/>
                <w:rFonts w:ascii="Open Sans" w:hAnsi="Open Sans" w:cs="Open Sans"/>
                <w:sz w:val="20"/>
                <w:szCs w:val="20"/>
              </w:rPr>
              <w:t>(g)(</w:t>
            </w:r>
            <w:r w:rsidRPr="00124AB6">
              <w:rPr>
                <w:rStyle w:val="paragraph-hierarchy"/>
                <w:rFonts w:ascii="Open Sans" w:hAnsi="Open Sans" w:cs="Open Sans"/>
                <w:sz w:val="20"/>
                <w:szCs w:val="20"/>
              </w:rPr>
              <w:t>3</w:t>
            </w:r>
            <w:r w:rsidRPr="00124AB6">
              <w:rPr>
                <w:rStyle w:val="paren"/>
                <w:rFonts w:ascii="Open Sans" w:hAnsi="Open Sans" w:cs="Open Sans"/>
                <w:sz w:val="20"/>
                <w:szCs w:val="20"/>
              </w:rPr>
              <w:t>)</w:t>
            </w:r>
            <w:r w:rsidRPr="00124AB6">
              <w:rPr>
                <w:rFonts w:ascii="Open Sans" w:hAnsi="Open Sans" w:cs="Open Sans"/>
                <w:sz w:val="20"/>
                <w:szCs w:val="20"/>
              </w:rPr>
              <w:t xml:space="preserve"> As an alternative to meeting the requirements of </w:t>
            </w:r>
            <w:hyperlink r:id="rId58" w:anchor="p-60.48c(g)(1)" w:history="1">
              <w:r w:rsidRPr="00124AB6">
                <w:rPr>
                  <w:rStyle w:val="Hyperlink"/>
                  <w:rFonts w:ascii="Open Sans" w:hAnsi="Open Sans" w:cs="Open Sans"/>
                  <w:color w:val="auto"/>
                  <w:sz w:val="20"/>
                  <w:szCs w:val="20"/>
                  <w:u w:val="none"/>
                </w:rPr>
                <w:t>paragraph (g)(1)</w:t>
              </w:r>
            </w:hyperlink>
            <w:r w:rsidRPr="000179B0">
              <w:rPr>
                <w:rFonts w:ascii="Open Sans" w:hAnsi="Open Sans" w:cs="Open Sans"/>
                <w:sz w:val="20"/>
                <w:szCs w:val="20"/>
              </w:rPr>
              <w:t xml:space="preserve"> of this section, the owner or operator of an affected facility or multiple affected facilities located on a contiguous property unit where the only fuels combusted in any steam generating unit (including steam generating units not subject to this subpart) at that property are natural gas, wood, distillate oil meeting the most current requirements in</w:t>
            </w:r>
            <w:r>
              <w:rPr>
                <w:rFonts w:ascii="Open Sans" w:hAnsi="Open Sans" w:cs="Open Sans"/>
                <w:sz w:val="20"/>
                <w:szCs w:val="20"/>
              </w:rPr>
              <w:t xml:space="preserve"> </w:t>
            </w:r>
            <w:r w:rsidRPr="000179B0">
              <w:rPr>
                <w:rFonts w:ascii="Open Sans" w:hAnsi="Open Sans" w:cs="Open Sans"/>
                <w:sz w:val="20"/>
                <w:szCs w:val="20"/>
              </w:rPr>
              <w:t>§</w:t>
            </w:r>
            <w:r>
              <w:rPr>
                <w:rFonts w:ascii="Open Sans" w:hAnsi="Open Sans" w:cs="Open Sans"/>
                <w:sz w:val="20"/>
                <w:szCs w:val="20"/>
              </w:rPr>
              <w:t>60.42c</w:t>
            </w:r>
            <w:r w:rsidRPr="000179B0">
              <w:rPr>
                <w:rFonts w:ascii="Open Sans" w:hAnsi="Open Sans" w:cs="Open Sans"/>
                <w:sz w:val="20"/>
                <w:szCs w:val="20"/>
              </w:rPr>
              <w:t xml:space="preserve">  to use fuel certification to demonstrate compliance with the SO</w:t>
            </w:r>
            <w:r w:rsidRPr="000179B0">
              <w:rPr>
                <w:rFonts w:ascii="Open Sans" w:hAnsi="Open Sans" w:cs="Open Sans"/>
                <w:sz w:val="20"/>
                <w:szCs w:val="20"/>
                <w:vertAlign w:val="subscript"/>
              </w:rPr>
              <w:t>2</w:t>
            </w:r>
            <w:r w:rsidRPr="000179B0">
              <w:rPr>
                <w:rFonts w:ascii="Open Sans" w:hAnsi="Open Sans" w:cs="Open Sans"/>
                <w:sz w:val="20"/>
                <w:szCs w:val="20"/>
              </w:rPr>
              <w:t xml:space="preserve"> standard, and/or fuels, excluding coal and residual oil, not subject to an emissions standard (excluding opacity) may elect to record and maintain records of the total amount of each steam generating unit fuel delivered to that property during each calendar month. </w:t>
            </w:r>
          </w:p>
          <w:p w14:paraId="04DAD4B9" w14:textId="77777777" w:rsidR="00124AB6" w:rsidRDefault="00124AB6" w:rsidP="004E3BFD">
            <w:pPr>
              <w:pStyle w:val="indent-2"/>
              <w:spacing w:before="0" w:beforeAutospacing="0" w:after="0" w:afterAutospacing="0"/>
              <w:ind w:left="1"/>
              <w:jc w:val="both"/>
              <w:rPr>
                <w:rFonts w:ascii="Open Sans" w:hAnsi="Open Sans" w:cs="Open Sans"/>
                <w:bCs/>
                <w:sz w:val="20"/>
                <w:szCs w:val="20"/>
              </w:rPr>
            </w:pPr>
          </w:p>
          <w:p w14:paraId="5A1F7D45" w14:textId="77777777" w:rsidR="00124AB6" w:rsidRPr="000179B0" w:rsidRDefault="00124AB6" w:rsidP="004E3BFD">
            <w:pPr>
              <w:autoSpaceDE/>
              <w:autoSpaceDN/>
              <w:adjustRightInd/>
            </w:pPr>
            <w:r w:rsidRPr="000179B0">
              <w:t>(</w:t>
            </w:r>
            <w:proofErr w:type="spellStart"/>
            <w:r w:rsidRPr="000179B0">
              <w:t>i</w:t>
            </w:r>
            <w:proofErr w:type="spellEnd"/>
            <w:r w:rsidRPr="000179B0">
              <w:t>) All records required under this section shall be maintained by the owner or operator of the affected facility for a period of two years following the date of such record.</w:t>
            </w:r>
          </w:p>
          <w:p w14:paraId="0515A586" w14:textId="77777777" w:rsidR="00124AB6" w:rsidRDefault="00124AB6" w:rsidP="004E3BFD">
            <w:pPr>
              <w:pStyle w:val="indent-2"/>
              <w:spacing w:before="0" w:beforeAutospacing="0" w:after="0" w:afterAutospacing="0"/>
              <w:ind w:left="1"/>
              <w:jc w:val="both"/>
              <w:rPr>
                <w:rFonts w:ascii="Open Sans" w:hAnsi="Open Sans" w:cs="Open Sans"/>
                <w:bCs/>
                <w:sz w:val="20"/>
                <w:szCs w:val="20"/>
              </w:rPr>
            </w:pPr>
          </w:p>
          <w:p w14:paraId="2A7BB6E9" w14:textId="77777777" w:rsidR="00124AB6" w:rsidRPr="000179B0" w:rsidRDefault="00124AB6" w:rsidP="004E3BFD">
            <w:pPr>
              <w:pStyle w:val="indent-2"/>
              <w:spacing w:before="0" w:beforeAutospacing="0" w:after="0" w:afterAutospacing="0"/>
              <w:ind w:left="1"/>
              <w:jc w:val="both"/>
              <w:rPr>
                <w:rFonts w:ascii="Open Sans" w:hAnsi="Open Sans" w:cs="Open Sans"/>
                <w:bCs/>
                <w:sz w:val="20"/>
                <w:szCs w:val="20"/>
              </w:rPr>
            </w:pPr>
            <w:r w:rsidRPr="000179B0">
              <w:rPr>
                <w:rFonts w:ascii="Open Sans" w:hAnsi="Open Sans" w:cs="Open Sans"/>
                <w:sz w:val="20"/>
                <w:szCs w:val="20"/>
              </w:rPr>
              <w:t>(j) The reporting period for the reports required under this subpart is each six-month period. All reports shall be submitted to the Administrator and shall be postmarked by the 30th day following the end of the reporting period.</w:t>
            </w:r>
          </w:p>
        </w:tc>
      </w:tr>
      <w:tr w:rsidR="00124AB6" w:rsidRPr="000179B0" w14:paraId="438789CF"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7" w:type="dxa"/>
          </w:tcPr>
          <w:p w14:paraId="09430C90" w14:textId="77777777" w:rsidR="00124AB6" w:rsidRPr="000179B0" w:rsidRDefault="00124AB6" w:rsidP="004E3BFD">
            <w:pPr>
              <w:pStyle w:val="BNum"/>
            </w:pPr>
          </w:p>
        </w:tc>
        <w:tc>
          <w:tcPr>
            <w:tcW w:w="9433" w:type="dxa"/>
          </w:tcPr>
          <w:p w14:paraId="6C45B34C" w14:textId="77777777" w:rsidR="00124AB6" w:rsidRPr="001B6EC4" w:rsidRDefault="00124AB6" w:rsidP="004E3BFD">
            <w:r w:rsidRPr="001B6EC4">
              <w:rPr>
                <w:b/>
              </w:rPr>
              <w:t>Emission Unit ID:</w:t>
            </w:r>
            <w:r>
              <w:t xml:space="preserve"> 03</w:t>
            </w:r>
          </w:p>
          <w:p w14:paraId="48FC5349" w14:textId="77777777" w:rsidR="00124AB6" w:rsidRPr="009A00D8" w:rsidRDefault="00124AB6" w:rsidP="004E3BFD">
            <w:r w:rsidRPr="009A00D8">
              <w:rPr>
                <w:b/>
              </w:rPr>
              <w:t>Equipment ID:</w:t>
            </w:r>
            <w:r>
              <w:rPr>
                <w:bCs/>
                <w:szCs w:val="18"/>
              </w:rPr>
              <w:t xml:space="preserve"> </w:t>
            </w:r>
            <w:r>
              <w:t>H-800R</w:t>
            </w:r>
          </w:p>
          <w:p w14:paraId="1313E7EC" w14:textId="77777777" w:rsidR="00124AB6" w:rsidRDefault="00124AB6" w:rsidP="004E3BFD">
            <w:pPr>
              <w:widowControl/>
              <w:rPr>
                <w:rFonts w:cs="Open Sans"/>
                <w:szCs w:val="20"/>
              </w:rPr>
            </w:pPr>
          </w:p>
          <w:p w14:paraId="7DB4F863" w14:textId="77777777" w:rsidR="00124AB6" w:rsidRPr="00BC6ADD" w:rsidRDefault="00124AB6" w:rsidP="004E3BFD">
            <w:pPr>
              <w:widowControl/>
              <w:rPr>
                <w:rFonts w:cs="Open Sans"/>
                <w:szCs w:val="20"/>
              </w:rPr>
            </w:pPr>
            <w:r w:rsidRPr="00BC6ADD">
              <w:rPr>
                <w:rFonts w:cs="Open Sans"/>
                <w:szCs w:val="20"/>
              </w:rPr>
              <w:t xml:space="preserve">(S.C. Regulation 61-62.5, Standard No.5.2, Section III) The allowable discharge of </w:t>
            </w:r>
            <w:smartTag w:uri="urn:schemas-microsoft-com:office:smarttags" w:element="stockticker">
              <w:r w:rsidRPr="00BC6ADD">
                <w:rPr>
                  <w:rFonts w:cs="Open Sans"/>
                  <w:szCs w:val="20"/>
                </w:rPr>
                <w:t>NO</w:t>
              </w:r>
              <w:r w:rsidRPr="00BC6ADD">
                <w:rPr>
                  <w:rFonts w:cs="Open Sans"/>
                  <w:szCs w:val="20"/>
                  <w:vertAlign w:val="subscript"/>
                </w:rPr>
                <w:t>X</w:t>
              </w:r>
            </w:smartTag>
            <w:r w:rsidRPr="00BC6ADD">
              <w:rPr>
                <w:rFonts w:cs="Open Sans"/>
                <w:szCs w:val="20"/>
              </w:rPr>
              <w:t xml:space="preserve"> resulting from this</w:t>
            </w:r>
            <w:r w:rsidRPr="00BC6ADD">
              <w:rPr>
                <w:rFonts w:cs="Open Sans"/>
                <w:color w:val="FF0000"/>
                <w:szCs w:val="20"/>
              </w:rPr>
              <w:t xml:space="preserve"> </w:t>
            </w:r>
            <w:r w:rsidRPr="00BC6ADD">
              <w:rPr>
                <w:rFonts w:cs="Open Sans"/>
                <w:szCs w:val="20"/>
              </w:rPr>
              <w:t>source is limited to the following:</w:t>
            </w:r>
          </w:p>
          <w:p w14:paraId="22A9DBE3" w14:textId="77777777" w:rsidR="00124AB6" w:rsidRPr="00BC6ADD" w:rsidRDefault="00124AB6" w:rsidP="004E3BFD">
            <w:pPr>
              <w:widowControl/>
              <w:rPr>
                <w:rFonts w:cs="Open Sans"/>
                <w:szCs w:val="20"/>
              </w:rPr>
            </w:pPr>
          </w:p>
          <w:p w14:paraId="696558EC" w14:textId="77777777" w:rsidR="00124AB6" w:rsidRPr="00BC6ADD" w:rsidRDefault="00124AB6" w:rsidP="004E3BFD">
            <w:pPr>
              <w:widowControl/>
              <w:autoSpaceDE/>
              <w:autoSpaceDN/>
              <w:adjustRightInd/>
              <w:rPr>
                <w:rFonts w:cs="Open Sans"/>
                <w:szCs w:val="20"/>
              </w:rPr>
            </w:pPr>
            <w:r w:rsidRPr="00BC6ADD">
              <w:rPr>
                <w:rFonts w:cs="Open Sans"/>
                <w:szCs w:val="20"/>
              </w:rPr>
              <w:t>(1)  When burning Natural Gas, Low-NO</w:t>
            </w:r>
            <w:r w:rsidRPr="00BC6ADD">
              <w:rPr>
                <w:rFonts w:cs="Open Sans"/>
                <w:szCs w:val="20"/>
                <w:vertAlign w:val="subscript"/>
              </w:rPr>
              <w:t>X</w:t>
            </w:r>
            <w:r w:rsidRPr="00BC6ADD">
              <w:rPr>
                <w:rFonts w:cs="Open Sans"/>
                <w:szCs w:val="20"/>
              </w:rPr>
              <w:t xml:space="preserve"> Burners or equivalent technology are required and the boiler is limited to 0.036 </w:t>
            </w:r>
            <w:proofErr w:type="spellStart"/>
            <w:r w:rsidRPr="00BC6ADD">
              <w:rPr>
                <w:rFonts w:cs="Open Sans"/>
                <w:szCs w:val="20"/>
              </w:rPr>
              <w:t>lb</w:t>
            </w:r>
            <w:proofErr w:type="spellEnd"/>
            <w:r w:rsidRPr="00BC6ADD">
              <w:rPr>
                <w:rFonts w:cs="Open Sans"/>
                <w:szCs w:val="20"/>
              </w:rPr>
              <w:t xml:space="preserve"> NO</w:t>
            </w:r>
            <w:r w:rsidRPr="00BC6ADD">
              <w:rPr>
                <w:rFonts w:cs="Open Sans"/>
                <w:szCs w:val="20"/>
                <w:vertAlign w:val="subscript"/>
              </w:rPr>
              <w:t>x</w:t>
            </w:r>
            <w:r w:rsidRPr="00BC6ADD">
              <w:rPr>
                <w:rFonts w:cs="Open Sans"/>
                <w:szCs w:val="20"/>
              </w:rPr>
              <w:t>/MMBtu</w:t>
            </w:r>
          </w:p>
          <w:p w14:paraId="70113E2F" w14:textId="77777777" w:rsidR="00124AB6" w:rsidRPr="00BC6ADD" w:rsidRDefault="00124AB6" w:rsidP="004E3BFD">
            <w:pPr>
              <w:widowControl/>
              <w:autoSpaceDE/>
              <w:autoSpaceDN/>
              <w:adjustRightInd/>
              <w:rPr>
                <w:rFonts w:cs="Open Sans"/>
                <w:szCs w:val="20"/>
              </w:rPr>
            </w:pPr>
          </w:p>
          <w:p w14:paraId="608B72DB" w14:textId="77777777" w:rsidR="00124AB6" w:rsidRPr="00BC6ADD" w:rsidRDefault="00124AB6" w:rsidP="004E3BFD">
            <w:pPr>
              <w:widowControl/>
              <w:autoSpaceDE/>
              <w:autoSpaceDN/>
              <w:adjustRightInd/>
              <w:rPr>
                <w:rFonts w:cs="Open Sans"/>
                <w:sz w:val="18"/>
                <w:szCs w:val="18"/>
              </w:rPr>
            </w:pPr>
            <w:r w:rsidRPr="00BC6ADD">
              <w:rPr>
                <w:rFonts w:cs="Open Sans"/>
                <w:szCs w:val="20"/>
              </w:rPr>
              <w:t>(2) When burning No.2 Fuel Oil, Low-NO</w:t>
            </w:r>
            <w:r w:rsidRPr="00BC6ADD">
              <w:rPr>
                <w:rFonts w:cs="Open Sans"/>
                <w:szCs w:val="20"/>
                <w:vertAlign w:val="subscript"/>
              </w:rPr>
              <w:t>X</w:t>
            </w:r>
            <w:r w:rsidRPr="00BC6ADD">
              <w:rPr>
                <w:rFonts w:cs="Open Sans"/>
                <w:szCs w:val="20"/>
              </w:rPr>
              <w:t xml:space="preserve"> Burners or equivalent technology are required and the boiler is limited to 0.15 </w:t>
            </w:r>
            <w:proofErr w:type="spellStart"/>
            <w:r w:rsidRPr="00BC6ADD">
              <w:rPr>
                <w:rFonts w:cs="Open Sans"/>
                <w:szCs w:val="20"/>
              </w:rPr>
              <w:t>lb</w:t>
            </w:r>
            <w:proofErr w:type="spellEnd"/>
            <w:r w:rsidRPr="00BC6ADD">
              <w:rPr>
                <w:rFonts w:cs="Open Sans"/>
                <w:szCs w:val="20"/>
              </w:rPr>
              <w:t xml:space="preserve"> NO</w:t>
            </w:r>
            <w:r w:rsidRPr="00BC6ADD">
              <w:rPr>
                <w:rFonts w:cs="Open Sans"/>
                <w:szCs w:val="20"/>
                <w:vertAlign w:val="subscript"/>
              </w:rPr>
              <w:t>x</w:t>
            </w:r>
            <w:r w:rsidRPr="00BC6ADD">
              <w:rPr>
                <w:rFonts w:cs="Open Sans"/>
                <w:szCs w:val="20"/>
              </w:rPr>
              <w:t>/MMBtu</w:t>
            </w:r>
          </w:p>
          <w:p w14:paraId="60C2170B" w14:textId="77777777" w:rsidR="00124AB6" w:rsidRPr="00BC6ADD" w:rsidRDefault="00124AB6" w:rsidP="004E3BFD">
            <w:pPr>
              <w:widowControl/>
              <w:rPr>
                <w:rFonts w:cs="Open Sans"/>
                <w:szCs w:val="20"/>
              </w:rPr>
            </w:pPr>
          </w:p>
          <w:p w14:paraId="10FAF8E2" w14:textId="77777777" w:rsidR="00124AB6" w:rsidRPr="00BC6ADD" w:rsidRDefault="00124AB6" w:rsidP="004E3BFD">
            <w:pPr>
              <w:widowControl/>
              <w:autoSpaceDE/>
              <w:autoSpaceDN/>
              <w:adjustRightInd/>
              <w:rPr>
                <w:rFonts w:cs="Open Sans"/>
              </w:rPr>
            </w:pPr>
            <w:r w:rsidRPr="00BC6ADD">
              <w:rPr>
                <w:rFonts w:cs="Open Sans"/>
                <w:szCs w:val="20"/>
              </w:rPr>
              <w:t>(S.C. Regulation 61-62.5, Standard No.5.2, Section IV) T</w:t>
            </w:r>
            <w:r w:rsidRPr="00BC6ADD">
              <w:rPr>
                <w:rFonts w:cs="Open Sans"/>
              </w:rPr>
              <w:t>he owner/operator shall perform tune-ups every twenty-four (24) months in accordance with manufacturer’s specifications or with good engineering practices. The first tune-up shall be conducted no more than twenty-four (24) months from replacement of a burner assembly for affected existing sources. Each subsequent tune-up shall be conducted no more than twenty-four (24) months after the previous tune-up.</w:t>
            </w:r>
          </w:p>
          <w:p w14:paraId="072AC18F" w14:textId="77777777" w:rsidR="00124AB6" w:rsidRPr="00BC6ADD" w:rsidRDefault="00124AB6" w:rsidP="004E3BFD">
            <w:pPr>
              <w:widowControl/>
              <w:autoSpaceDE/>
              <w:autoSpaceDN/>
              <w:adjustRightInd/>
              <w:rPr>
                <w:rFonts w:cs="Open Sans"/>
              </w:rPr>
            </w:pPr>
          </w:p>
          <w:p w14:paraId="0E503B0E" w14:textId="77777777" w:rsidR="00124AB6" w:rsidRPr="00BC6ADD" w:rsidRDefault="00124AB6" w:rsidP="004E3BFD">
            <w:pPr>
              <w:widowControl/>
              <w:autoSpaceDE/>
              <w:autoSpaceDN/>
              <w:adjustRightInd/>
              <w:rPr>
                <w:rFonts w:cs="Open Sans"/>
              </w:rPr>
            </w:pPr>
            <w:r w:rsidRPr="00BC6ADD">
              <w:rPr>
                <w:rFonts w:cs="Open Sans"/>
              </w:rPr>
              <w:t>All tune-up records are required to be maintained on site and available for inspection by the Department for a period of five (5) years from the date generated.</w:t>
            </w:r>
          </w:p>
          <w:p w14:paraId="36F65317" w14:textId="77777777" w:rsidR="00124AB6" w:rsidRPr="00BC6ADD" w:rsidRDefault="00124AB6" w:rsidP="004E3BFD">
            <w:pPr>
              <w:widowControl/>
              <w:autoSpaceDE/>
              <w:autoSpaceDN/>
              <w:adjustRightInd/>
              <w:rPr>
                <w:rFonts w:cs="Open Sans"/>
              </w:rPr>
            </w:pPr>
          </w:p>
          <w:p w14:paraId="22DE6C61" w14:textId="77777777" w:rsidR="00124AB6" w:rsidRDefault="00124AB6" w:rsidP="004E3BFD">
            <w:pPr>
              <w:widowControl/>
              <w:autoSpaceDE/>
              <w:autoSpaceDN/>
              <w:adjustRightInd/>
              <w:rPr>
                <w:rFonts w:cs="Open Sans"/>
              </w:rPr>
            </w:pPr>
            <w:r w:rsidRPr="00BC6ADD">
              <w:rPr>
                <w:rFonts w:cs="Open Sans"/>
              </w:rPr>
              <w:t>The owner/operator shall develop and retain a tune-up plan on file.</w:t>
            </w:r>
          </w:p>
          <w:p w14:paraId="49F0829B" w14:textId="77777777" w:rsidR="00124AB6" w:rsidRDefault="00124AB6" w:rsidP="004E3BFD">
            <w:pPr>
              <w:widowControl/>
              <w:autoSpaceDE/>
              <w:autoSpaceDN/>
              <w:adjustRightInd/>
              <w:rPr>
                <w:rFonts w:cs="Open Sans"/>
                <w:b/>
              </w:rPr>
            </w:pPr>
          </w:p>
          <w:p w14:paraId="2ACF4515" w14:textId="77777777" w:rsidR="00124AB6" w:rsidRPr="00BC6ADD" w:rsidRDefault="00124AB6" w:rsidP="004E3BFD">
            <w:pPr>
              <w:widowControl/>
              <w:autoSpaceDE/>
              <w:autoSpaceDN/>
              <w:adjustRightInd/>
              <w:rPr>
                <w:rFonts w:cs="Open Sans"/>
                <w:szCs w:val="20"/>
              </w:rPr>
            </w:pPr>
            <w:r w:rsidRPr="00BC6ADD">
              <w:rPr>
                <w:rFonts w:cs="Open Sans"/>
                <w:szCs w:val="20"/>
              </w:rPr>
              <w:t>(S.C. Regulation 61-62.5, Standard No. 5.2, Section IV) The owner or operator shall record monthly the amounts and types of each fuel combusted by the affected sources and maintain these records on site.</w:t>
            </w:r>
          </w:p>
          <w:p w14:paraId="6C9A091F" w14:textId="77777777" w:rsidR="00124AB6" w:rsidRPr="00BC6ADD" w:rsidRDefault="00124AB6" w:rsidP="004E3BFD">
            <w:pPr>
              <w:widowControl/>
              <w:autoSpaceDE/>
              <w:autoSpaceDN/>
              <w:adjustRightInd/>
              <w:rPr>
                <w:rFonts w:cs="Open Sans"/>
                <w:szCs w:val="20"/>
              </w:rPr>
            </w:pPr>
          </w:p>
          <w:p w14:paraId="6C5CE9F0" w14:textId="77777777" w:rsidR="00124AB6" w:rsidRPr="000179B0" w:rsidRDefault="00124AB6" w:rsidP="004E3BFD">
            <w:pPr>
              <w:widowControl/>
              <w:autoSpaceDE/>
              <w:autoSpaceDN/>
              <w:adjustRightInd/>
              <w:rPr>
                <w:rFonts w:cs="Open Sans"/>
                <w:b/>
                <w:szCs w:val="20"/>
              </w:rPr>
            </w:pPr>
            <w:r w:rsidRPr="00BC6ADD">
              <w:rPr>
                <w:rFonts w:cs="Open Sans"/>
                <w:szCs w:val="20"/>
              </w:rPr>
              <w:t>The owner/operator shall maintain records of the occurrence and duration of any startup, shutdown, or malfunction in the operation of an affected source; any malfunction of the air pollution control equipment; or any periods during which a continuous monitoring system or monitoring device is inoperative.</w:t>
            </w:r>
          </w:p>
        </w:tc>
      </w:tr>
      <w:tr w:rsidR="00124AB6" w:rsidRPr="001B6EC4" w14:paraId="373818D6"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7" w:type="dxa"/>
          </w:tcPr>
          <w:p w14:paraId="41BE9A26" w14:textId="77777777" w:rsidR="00124AB6" w:rsidRPr="000179B0" w:rsidRDefault="00124AB6" w:rsidP="004E3BFD">
            <w:pPr>
              <w:pStyle w:val="BNum"/>
            </w:pPr>
          </w:p>
        </w:tc>
        <w:tc>
          <w:tcPr>
            <w:tcW w:w="9433" w:type="dxa"/>
          </w:tcPr>
          <w:p w14:paraId="482C7660" w14:textId="77777777" w:rsidR="00124AB6" w:rsidRPr="001B6EC4" w:rsidRDefault="00124AB6" w:rsidP="004E3BFD">
            <w:r w:rsidRPr="001B6EC4">
              <w:rPr>
                <w:b/>
              </w:rPr>
              <w:t>Emission Unit ID:</w:t>
            </w:r>
            <w:r>
              <w:t xml:space="preserve"> 06, 07</w:t>
            </w:r>
          </w:p>
          <w:p w14:paraId="6CC62128" w14:textId="77777777" w:rsidR="00124AB6" w:rsidRDefault="00124AB6" w:rsidP="004E3BFD">
            <w:r w:rsidRPr="009A00D8">
              <w:rPr>
                <w:b/>
              </w:rPr>
              <w:t>Equipment ID:</w:t>
            </w:r>
            <w:r w:rsidRPr="009A00D8">
              <w:t xml:space="preserve"> </w:t>
            </w:r>
            <w:r w:rsidRPr="00A04999">
              <w:t>R-6, R-7</w:t>
            </w:r>
            <w:r>
              <w:t xml:space="preserve">, R-11, R-12 </w:t>
            </w:r>
          </w:p>
          <w:p w14:paraId="07F2E509" w14:textId="77777777" w:rsidR="00124AB6" w:rsidRDefault="00124AB6" w:rsidP="004E3BFD">
            <w:r w:rsidRPr="009A00D8">
              <w:rPr>
                <w:b/>
              </w:rPr>
              <w:t>Control Device ID:</w:t>
            </w:r>
            <w:r w:rsidRPr="009A00D8">
              <w:t xml:space="preserve"> </w:t>
            </w:r>
            <w:r>
              <w:t>NP-1</w:t>
            </w:r>
          </w:p>
          <w:p w14:paraId="0C493428" w14:textId="77777777" w:rsidR="00124AB6" w:rsidRDefault="00124AB6" w:rsidP="004E3BFD">
            <w:pPr>
              <w:rPr>
                <w:rFonts w:eastAsia="Open Sans" w:cs="Open Sans"/>
                <w:szCs w:val="20"/>
              </w:rPr>
            </w:pPr>
          </w:p>
          <w:p w14:paraId="6F62AA9C" w14:textId="77777777" w:rsidR="00124AB6" w:rsidRPr="001B6EC4" w:rsidRDefault="00124AB6" w:rsidP="004E3BFD">
            <w:pPr>
              <w:rPr>
                <w:b/>
              </w:rPr>
            </w:pPr>
            <w:r w:rsidRPr="008B6A8A">
              <w:rPr>
                <w:rFonts w:eastAsia="Open Sans" w:cs="Open Sans"/>
                <w:szCs w:val="20"/>
              </w:rPr>
              <w:t xml:space="preserve">These sources are subject to New Source Performance Standards (NSPS), 40CFR60 Subpart A (General Provisions) and </w:t>
            </w:r>
            <w:r>
              <w:t xml:space="preserve">Subpart VV (Standards of Performance for Equipment Leaks of VOC in the Synthetic Organic Chemicals Manufacturing Industry for which Construction, Reconstruction, or Modification Commenced After January 5, 1981, and on or Before November 7, 2006) </w:t>
            </w:r>
            <w:r w:rsidRPr="008B6A8A">
              <w:rPr>
                <w:rFonts w:eastAsia="Open Sans" w:cs="Open Sans"/>
                <w:szCs w:val="20"/>
              </w:rPr>
              <w:t>and S.C. Regulation 61-62.60 Subparts A and Subpart VV, as applicable. These sources shall comply with all applicable requirements of Subparts A and VV.</w:t>
            </w:r>
          </w:p>
        </w:tc>
      </w:tr>
      <w:tr w:rsidR="00124AB6" w:rsidRPr="001B6EC4" w14:paraId="73A69688"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7" w:type="dxa"/>
          </w:tcPr>
          <w:p w14:paraId="7E1D8E73" w14:textId="77777777" w:rsidR="00124AB6" w:rsidRPr="000179B0" w:rsidRDefault="00124AB6" w:rsidP="004E3BFD">
            <w:pPr>
              <w:pStyle w:val="BNum"/>
            </w:pPr>
          </w:p>
        </w:tc>
        <w:tc>
          <w:tcPr>
            <w:tcW w:w="9433" w:type="dxa"/>
          </w:tcPr>
          <w:p w14:paraId="4EEEC145" w14:textId="77777777" w:rsidR="00124AB6" w:rsidRPr="001B6EC4" w:rsidRDefault="00124AB6" w:rsidP="004E3BFD">
            <w:r w:rsidRPr="001B6EC4">
              <w:rPr>
                <w:b/>
              </w:rPr>
              <w:t>Emission Unit ID:</w:t>
            </w:r>
            <w:r>
              <w:t xml:space="preserve"> 06, 07</w:t>
            </w:r>
          </w:p>
          <w:p w14:paraId="387958B2" w14:textId="77777777" w:rsidR="00124AB6" w:rsidRDefault="00124AB6" w:rsidP="004E3BFD">
            <w:r w:rsidRPr="009A00D8">
              <w:rPr>
                <w:b/>
              </w:rPr>
              <w:t>Equipment ID:</w:t>
            </w:r>
            <w:r w:rsidRPr="009A00D8">
              <w:t xml:space="preserve"> </w:t>
            </w:r>
            <w:r w:rsidRPr="00A04999">
              <w:t>R-6, R-7</w:t>
            </w:r>
            <w:r>
              <w:t xml:space="preserve">, R-11, R-12 </w:t>
            </w:r>
          </w:p>
          <w:p w14:paraId="224C7C55" w14:textId="77777777" w:rsidR="00124AB6" w:rsidRDefault="00124AB6" w:rsidP="004E3BFD">
            <w:r w:rsidRPr="009A00D8">
              <w:rPr>
                <w:b/>
              </w:rPr>
              <w:t>Control Device ID:</w:t>
            </w:r>
            <w:r w:rsidRPr="009A00D8">
              <w:t xml:space="preserve"> </w:t>
            </w:r>
            <w:r>
              <w:t>NP-1</w:t>
            </w:r>
          </w:p>
          <w:p w14:paraId="6B4A9049" w14:textId="77777777" w:rsidR="00124AB6" w:rsidRDefault="00124AB6" w:rsidP="004E3BFD">
            <w:pPr>
              <w:rPr>
                <w:b/>
              </w:rPr>
            </w:pPr>
          </w:p>
          <w:p w14:paraId="268E1E55" w14:textId="77777777" w:rsidR="00124AB6" w:rsidRPr="000A5D3A" w:rsidRDefault="00124AB6" w:rsidP="004E3BFD">
            <w:pPr>
              <w:autoSpaceDE/>
              <w:autoSpaceDN/>
              <w:adjustRightInd/>
              <w:outlineLvl w:val="1"/>
              <w:rPr>
                <w:rFonts w:cs="Open Sans"/>
                <w:szCs w:val="20"/>
              </w:rPr>
            </w:pPr>
            <w:r w:rsidRPr="000A5D3A">
              <w:rPr>
                <w:rFonts w:cs="Open Sans"/>
                <w:szCs w:val="20"/>
              </w:rPr>
              <w:t>40CFR60.480 Applicability and designation of affected facility.</w:t>
            </w:r>
          </w:p>
          <w:p w14:paraId="352E663E" w14:textId="77777777" w:rsidR="00124AB6" w:rsidRDefault="00124AB6" w:rsidP="004E3BFD">
            <w:pPr>
              <w:autoSpaceDE/>
              <w:autoSpaceDN/>
              <w:adjustRightInd/>
              <w:rPr>
                <w:rFonts w:cs="Open Sans"/>
                <w:szCs w:val="20"/>
              </w:rPr>
            </w:pPr>
          </w:p>
          <w:p w14:paraId="50151750" w14:textId="77777777" w:rsidR="00124AB6" w:rsidRPr="000A5D3A" w:rsidRDefault="00124AB6" w:rsidP="004E3BFD">
            <w:pPr>
              <w:autoSpaceDE/>
              <w:autoSpaceDN/>
              <w:adjustRightInd/>
              <w:rPr>
                <w:rFonts w:cs="Open Sans"/>
                <w:szCs w:val="20"/>
              </w:rPr>
            </w:pPr>
            <w:r w:rsidRPr="000A5D3A">
              <w:rPr>
                <w:rFonts w:cs="Open Sans"/>
                <w:szCs w:val="20"/>
              </w:rPr>
              <w:t xml:space="preserve">(a)(1) The provisions of this subpart apply to affected facilities in the synthetic organic chemicals manufacturing industry. </w:t>
            </w:r>
          </w:p>
          <w:p w14:paraId="542C3A25" w14:textId="77777777" w:rsidR="00124AB6" w:rsidRDefault="00124AB6" w:rsidP="004E3BFD">
            <w:pPr>
              <w:autoSpaceDE/>
              <w:autoSpaceDN/>
              <w:adjustRightInd/>
              <w:ind w:left="1"/>
              <w:rPr>
                <w:rFonts w:cs="Open Sans"/>
                <w:szCs w:val="20"/>
              </w:rPr>
            </w:pPr>
          </w:p>
          <w:p w14:paraId="3FBF6E5D" w14:textId="77777777" w:rsidR="00124AB6" w:rsidRPr="000A5D3A" w:rsidRDefault="00124AB6" w:rsidP="004E3BFD">
            <w:pPr>
              <w:autoSpaceDE/>
              <w:autoSpaceDN/>
              <w:adjustRightInd/>
              <w:ind w:left="1"/>
              <w:rPr>
                <w:rFonts w:cs="Open Sans"/>
                <w:szCs w:val="20"/>
              </w:rPr>
            </w:pPr>
            <w:r>
              <w:rPr>
                <w:rFonts w:cs="Open Sans"/>
                <w:szCs w:val="20"/>
              </w:rPr>
              <w:t>(a)</w:t>
            </w:r>
            <w:r w:rsidRPr="000A5D3A">
              <w:rPr>
                <w:rFonts w:cs="Open Sans"/>
                <w:szCs w:val="20"/>
              </w:rPr>
              <w:t>(2) The group of all equipment (defined in</w:t>
            </w:r>
            <w:r>
              <w:rPr>
                <w:rFonts w:cs="Open Sans"/>
                <w:szCs w:val="20"/>
              </w:rPr>
              <w:t xml:space="preserve"> </w:t>
            </w:r>
            <w:r w:rsidRPr="000A5D3A">
              <w:rPr>
                <w:rFonts w:cs="Open Sans"/>
                <w:szCs w:val="20"/>
              </w:rPr>
              <w:t>§</w:t>
            </w:r>
            <w:r>
              <w:rPr>
                <w:rFonts w:cs="Open Sans"/>
                <w:szCs w:val="20"/>
              </w:rPr>
              <w:t>60.481</w:t>
            </w:r>
            <w:r w:rsidRPr="000A5D3A">
              <w:rPr>
                <w:rFonts w:cs="Open Sans"/>
                <w:szCs w:val="20"/>
              </w:rPr>
              <w:t xml:space="preserve">) within a process unit is an affected facility. </w:t>
            </w:r>
          </w:p>
          <w:p w14:paraId="2DF9C638" w14:textId="77777777" w:rsidR="00124AB6" w:rsidRDefault="00124AB6" w:rsidP="004E3BFD">
            <w:pPr>
              <w:autoSpaceDE/>
              <w:autoSpaceDN/>
              <w:adjustRightInd/>
              <w:ind w:left="1"/>
              <w:rPr>
                <w:rFonts w:cs="Open Sans"/>
                <w:szCs w:val="20"/>
              </w:rPr>
            </w:pPr>
          </w:p>
          <w:p w14:paraId="6236236A" w14:textId="77777777" w:rsidR="00124AB6" w:rsidRPr="000A5D3A" w:rsidRDefault="00124AB6" w:rsidP="004E3BFD">
            <w:pPr>
              <w:autoSpaceDE/>
              <w:autoSpaceDN/>
              <w:adjustRightInd/>
              <w:ind w:left="1"/>
              <w:rPr>
                <w:rFonts w:cs="Open Sans"/>
                <w:szCs w:val="20"/>
              </w:rPr>
            </w:pPr>
            <w:r w:rsidRPr="000A5D3A">
              <w:rPr>
                <w:rFonts w:cs="Open Sans"/>
                <w:szCs w:val="20"/>
              </w:rPr>
              <w:t>(b) Any affected facility under</w:t>
            </w:r>
            <w:r>
              <w:rPr>
                <w:rFonts w:cs="Open Sans"/>
                <w:szCs w:val="20"/>
              </w:rPr>
              <w:t xml:space="preserve"> paragraph (a)</w:t>
            </w:r>
            <w:r w:rsidRPr="000A5D3A">
              <w:rPr>
                <w:rFonts w:cs="Open Sans"/>
                <w:szCs w:val="20"/>
              </w:rPr>
              <w:t xml:space="preserve"> of this section that commences construction, reconstruction, or modification after January 5, 1981, and on or before November 7, 2006, shall be subject to the requirements of this subpart. </w:t>
            </w:r>
          </w:p>
          <w:p w14:paraId="51F987E0" w14:textId="77777777" w:rsidR="00124AB6" w:rsidRDefault="00124AB6" w:rsidP="004E3BFD">
            <w:pPr>
              <w:autoSpaceDE/>
              <w:autoSpaceDN/>
              <w:adjustRightInd/>
              <w:ind w:left="1"/>
              <w:rPr>
                <w:rFonts w:cs="Open Sans"/>
                <w:szCs w:val="20"/>
              </w:rPr>
            </w:pPr>
          </w:p>
          <w:p w14:paraId="6CDE8B91" w14:textId="77777777" w:rsidR="00124AB6" w:rsidRPr="000A5D3A" w:rsidRDefault="00124AB6" w:rsidP="004E3BFD">
            <w:pPr>
              <w:autoSpaceDE/>
              <w:autoSpaceDN/>
              <w:adjustRightInd/>
              <w:ind w:left="1"/>
              <w:rPr>
                <w:rFonts w:cs="Open Sans"/>
                <w:szCs w:val="20"/>
              </w:rPr>
            </w:pPr>
            <w:r w:rsidRPr="000A5D3A">
              <w:rPr>
                <w:rFonts w:cs="Open Sans"/>
                <w:szCs w:val="20"/>
              </w:rPr>
              <w:t xml:space="preserve">(c) Addition or replacement of equipment for the purpose of process improvement which is accomplished without a capital expenditure shall not by itself be considered a modification under this subpart. </w:t>
            </w:r>
          </w:p>
          <w:p w14:paraId="309D28CC" w14:textId="77777777" w:rsidR="00124AB6" w:rsidRDefault="00124AB6" w:rsidP="004E3BFD">
            <w:pPr>
              <w:rPr>
                <w:b/>
                <w:bCs/>
              </w:rPr>
            </w:pPr>
          </w:p>
          <w:p w14:paraId="1832DBF9" w14:textId="77777777" w:rsidR="00124AB6" w:rsidRPr="000A5D3A" w:rsidRDefault="00124AB6" w:rsidP="004E3BFD">
            <w:pPr>
              <w:autoSpaceDE/>
              <w:autoSpaceDN/>
              <w:adjustRightInd/>
              <w:ind w:firstLine="1"/>
              <w:rPr>
                <w:rFonts w:cs="Open Sans"/>
                <w:szCs w:val="20"/>
              </w:rPr>
            </w:pPr>
            <w:r w:rsidRPr="000A5D3A">
              <w:rPr>
                <w:rFonts w:cs="Open Sans"/>
                <w:szCs w:val="20"/>
              </w:rPr>
              <w:t xml:space="preserve">(f) Stay of standards. Owners or operators are not required to comply with the definition of “process unit” in §60.481 and the requirements in §60.482–1(g) of this subpart until the EPA takes final action to require compliance and publishes a document in the Federal Register. While the definition of “process unit” is stayed, owners or operators should use the following definition: </w:t>
            </w:r>
          </w:p>
          <w:p w14:paraId="722DAC55" w14:textId="77777777" w:rsidR="00124AB6" w:rsidRPr="000A5D3A" w:rsidRDefault="00124AB6" w:rsidP="004E3BFD">
            <w:pPr>
              <w:autoSpaceDE/>
              <w:autoSpaceDN/>
              <w:adjustRightInd/>
              <w:ind w:firstLine="1"/>
              <w:rPr>
                <w:rFonts w:cs="Open Sans"/>
                <w:szCs w:val="20"/>
              </w:rPr>
            </w:pPr>
          </w:p>
          <w:p w14:paraId="5D3920A7" w14:textId="77777777" w:rsidR="00124AB6" w:rsidRPr="001B6EC4" w:rsidRDefault="00124AB6" w:rsidP="004E3BFD">
            <w:pPr>
              <w:autoSpaceDE/>
              <w:autoSpaceDN/>
              <w:adjustRightInd/>
              <w:ind w:firstLine="1"/>
              <w:rPr>
                <w:b/>
              </w:rPr>
            </w:pPr>
            <w:r w:rsidRPr="000A5D3A">
              <w:rPr>
                <w:rFonts w:cs="Open Sans"/>
                <w:szCs w:val="20"/>
              </w:rPr>
              <w:t>Process unit means components assembled to produce, as intermediate or final products, one or more of the chemicals listed in § 60.489 of this part. A process unit can operate independently if supplied with sufficient feed or raw materials and sufficient storage facilities for the product.</w:t>
            </w:r>
          </w:p>
        </w:tc>
      </w:tr>
      <w:tr w:rsidR="00124AB6" w:rsidRPr="000A5D3A" w14:paraId="59A38656"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val="0"/>
        </w:trPr>
        <w:tc>
          <w:tcPr>
            <w:tcW w:w="1367" w:type="dxa"/>
          </w:tcPr>
          <w:p w14:paraId="58E9E6E0" w14:textId="77777777" w:rsidR="00124AB6" w:rsidRPr="000A5D3A" w:rsidRDefault="00124AB6" w:rsidP="004E3BFD">
            <w:pPr>
              <w:pStyle w:val="BNum"/>
            </w:pPr>
          </w:p>
        </w:tc>
        <w:tc>
          <w:tcPr>
            <w:tcW w:w="9433" w:type="dxa"/>
          </w:tcPr>
          <w:p w14:paraId="204B08CD" w14:textId="77777777" w:rsidR="00124AB6" w:rsidRPr="001B6EC4" w:rsidRDefault="00124AB6" w:rsidP="004E3BFD">
            <w:r w:rsidRPr="001B6EC4">
              <w:rPr>
                <w:b/>
              </w:rPr>
              <w:t>Emission Unit ID:</w:t>
            </w:r>
            <w:r>
              <w:t xml:space="preserve"> 06, 07</w:t>
            </w:r>
          </w:p>
          <w:p w14:paraId="799D69C0" w14:textId="77777777" w:rsidR="00124AB6" w:rsidRDefault="00124AB6" w:rsidP="004E3BFD">
            <w:r w:rsidRPr="009A00D8">
              <w:rPr>
                <w:b/>
              </w:rPr>
              <w:t>Equipment ID:</w:t>
            </w:r>
            <w:r w:rsidRPr="009A00D8">
              <w:t xml:space="preserve"> </w:t>
            </w:r>
            <w:r w:rsidRPr="00A04999">
              <w:t>R-6, R-7</w:t>
            </w:r>
            <w:r>
              <w:t xml:space="preserve">, R-11, R-12 </w:t>
            </w:r>
          </w:p>
          <w:p w14:paraId="26EEDD51" w14:textId="77777777" w:rsidR="00124AB6" w:rsidRDefault="00124AB6" w:rsidP="004E3BFD">
            <w:r w:rsidRPr="009A00D8">
              <w:rPr>
                <w:b/>
              </w:rPr>
              <w:t>Control Device ID:</w:t>
            </w:r>
            <w:r w:rsidRPr="009A00D8">
              <w:t xml:space="preserve"> </w:t>
            </w:r>
            <w:r>
              <w:t>NP-1</w:t>
            </w:r>
          </w:p>
          <w:p w14:paraId="34AD3BED" w14:textId="77777777" w:rsidR="00124AB6" w:rsidRPr="000A5D3A" w:rsidRDefault="00124AB6" w:rsidP="004E3BFD"/>
          <w:p w14:paraId="74E0C238" w14:textId="77777777" w:rsidR="00124AB6" w:rsidRPr="000A5D3A" w:rsidRDefault="00124AB6" w:rsidP="004E3BFD">
            <w:r w:rsidRPr="000A5D3A">
              <w:t>40CFR60.482-1 Standards: General.</w:t>
            </w:r>
          </w:p>
          <w:p w14:paraId="6D87D75A" w14:textId="77777777" w:rsidR="00124AB6" w:rsidRPr="000A5D3A" w:rsidRDefault="00124AB6" w:rsidP="004E3BFD"/>
          <w:p w14:paraId="0F5D7F06" w14:textId="77777777" w:rsidR="00124AB6" w:rsidRPr="000A5D3A" w:rsidRDefault="00124AB6" w:rsidP="004E3BFD">
            <w:r w:rsidRPr="000A5D3A">
              <w:t xml:space="preserve">(a) Each owner or operator subject to the provisions of this subpart shall demonstrate compliance with the requirements of §§60.482–1 through 60.482–10 or §60.480(e) for all equipment within 180 days of initial startup. </w:t>
            </w:r>
          </w:p>
          <w:p w14:paraId="10DECF3E" w14:textId="77777777" w:rsidR="00124AB6" w:rsidRPr="000A5D3A" w:rsidRDefault="00124AB6" w:rsidP="004E3BFD"/>
          <w:p w14:paraId="4EC12AA1" w14:textId="77777777" w:rsidR="00124AB6" w:rsidRPr="000A5D3A" w:rsidRDefault="00124AB6" w:rsidP="004E3BFD">
            <w:r w:rsidRPr="000A5D3A">
              <w:t>(b) Compliance with §§60.482–1 to 60.482–10 will be determined by review of records and reports, review of performance test results, and inspection using the methods and procedures specified in § 60.485.</w:t>
            </w:r>
          </w:p>
          <w:p w14:paraId="638D49AA" w14:textId="77777777" w:rsidR="00124AB6" w:rsidRPr="000A5D3A" w:rsidRDefault="00124AB6" w:rsidP="004E3BFD"/>
          <w:p w14:paraId="3E4FDD2B" w14:textId="77777777" w:rsidR="00124AB6" w:rsidRPr="000A5D3A" w:rsidRDefault="00124AB6" w:rsidP="004E3BFD">
            <w:r w:rsidRPr="000A5D3A">
              <w:t xml:space="preserve">(d) Equipment that is in vacuum service is excluded from the requirements of §§ 60.482–2 to 60.482–10 if it is identified as required in § 60.486(e)(5). </w:t>
            </w:r>
          </w:p>
          <w:p w14:paraId="18E48F5E" w14:textId="77777777" w:rsidR="00124AB6" w:rsidRPr="000A5D3A" w:rsidRDefault="00124AB6" w:rsidP="004E3BFD"/>
          <w:p w14:paraId="135CCD56" w14:textId="77777777" w:rsidR="00124AB6" w:rsidRPr="000A5D3A" w:rsidRDefault="00124AB6" w:rsidP="004E3BFD">
            <w:r w:rsidRPr="000A5D3A">
              <w:t>(e) Equipment that an owner or operator designates as being in VOC service less than 300 hours (</w:t>
            </w:r>
            <w:proofErr w:type="spellStart"/>
            <w:r w:rsidRPr="000A5D3A">
              <w:t>hr</w:t>
            </w:r>
            <w:proofErr w:type="spellEnd"/>
            <w:r w:rsidRPr="000A5D3A">
              <w:t>)/</w:t>
            </w:r>
            <w:proofErr w:type="spellStart"/>
            <w:r w:rsidRPr="000A5D3A">
              <w:t>yr</w:t>
            </w:r>
            <w:proofErr w:type="spellEnd"/>
            <w:r w:rsidRPr="000A5D3A">
              <w:t xml:space="preserve"> is excluded from the requirements of §§ 60.482–2 through 60.482–10 if it is identified as required in § 60.486(e)(6) and it meets any of the conditions specified in paragraphs (e)(1) through (3) of this section. </w:t>
            </w:r>
          </w:p>
          <w:p w14:paraId="6A3E1AF4" w14:textId="77777777" w:rsidR="00124AB6" w:rsidRPr="000A5D3A" w:rsidRDefault="00124AB6" w:rsidP="004E3BFD"/>
          <w:p w14:paraId="6B9D041D" w14:textId="77777777" w:rsidR="00124AB6" w:rsidRPr="000A5D3A" w:rsidRDefault="00124AB6" w:rsidP="004E3BFD">
            <w:r>
              <w:t>(e)</w:t>
            </w:r>
            <w:r w:rsidRPr="000A5D3A">
              <w:t xml:space="preserve">(1) The equipment is in VOC service only during startup and shutdown, excluding startup and shutdown between batches of the same campaign for a batch process. </w:t>
            </w:r>
          </w:p>
          <w:p w14:paraId="01B3C7F2" w14:textId="77777777" w:rsidR="00124AB6" w:rsidRPr="000A5D3A" w:rsidRDefault="00124AB6" w:rsidP="004E3BFD"/>
          <w:p w14:paraId="690A48AE" w14:textId="77777777" w:rsidR="00124AB6" w:rsidRPr="000A5D3A" w:rsidRDefault="00124AB6" w:rsidP="004E3BFD">
            <w:r>
              <w:t>(e)</w:t>
            </w:r>
            <w:r w:rsidRPr="000A5D3A">
              <w:t xml:space="preserve">(2) The equipment is in VOC service only during process malfunctions or other emergencies. </w:t>
            </w:r>
          </w:p>
          <w:p w14:paraId="4A933D23" w14:textId="77777777" w:rsidR="00124AB6" w:rsidRPr="000A5D3A" w:rsidRDefault="00124AB6" w:rsidP="004E3BFD"/>
          <w:p w14:paraId="0D9D5736" w14:textId="77777777" w:rsidR="00124AB6" w:rsidRDefault="00124AB6" w:rsidP="004E3BFD">
            <w:r>
              <w:t>(e)</w:t>
            </w:r>
            <w:r w:rsidRPr="000A5D3A">
              <w:t>(3) The equipment is backup equipment that is in VOC service only when the primary equipment is out of service.</w:t>
            </w:r>
          </w:p>
          <w:p w14:paraId="682770E1" w14:textId="77777777" w:rsidR="00124AB6" w:rsidRDefault="00124AB6" w:rsidP="004E3BFD"/>
          <w:p w14:paraId="4C2265C4" w14:textId="77777777" w:rsidR="00124AB6" w:rsidRDefault="00124AB6" w:rsidP="004E3BFD">
            <w:r>
              <w:t>(f)(1) If a dedicated batch process unit operates less than 365 days during a year, an owner or operator may monitor to detect leaks from pumps and valves at the frequency specified in the following table instead of monitoring as specified in §§ 60.482–2, 60.482–7, and 60.483–2:</w:t>
            </w:r>
          </w:p>
          <w:p w14:paraId="5EA6FDF9" w14:textId="77777777" w:rsidR="00124AB6" w:rsidRDefault="00124AB6" w:rsidP="004E3BFD"/>
          <w:tbl>
            <w:tblPr>
              <w:tblStyle w:val="TableGrid"/>
              <w:tblW w:w="0" w:type="auto"/>
              <w:tblLook w:val="04A0" w:firstRow="1" w:lastRow="0" w:firstColumn="1" w:lastColumn="0" w:noHBand="0" w:noVBand="1"/>
            </w:tblPr>
            <w:tblGrid>
              <w:gridCol w:w="2317"/>
              <w:gridCol w:w="2316"/>
              <w:gridCol w:w="2322"/>
              <w:gridCol w:w="2324"/>
            </w:tblGrid>
            <w:tr w:rsidR="00124AB6" w:rsidRPr="00A6103B" w14:paraId="6EA4BBC0" w14:textId="77777777" w:rsidTr="004E3BFD">
              <w:trPr>
                <w:trHeight w:val="432"/>
              </w:trPr>
              <w:tc>
                <w:tcPr>
                  <w:tcW w:w="2337" w:type="dxa"/>
                  <w:vMerge w:val="restart"/>
                  <w:shd w:val="pct12" w:color="auto" w:fill="auto"/>
                </w:tcPr>
                <w:p w14:paraId="476A1744" w14:textId="77777777" w:rsidR="00124AB6" w:rsidRPr="00A6103B" w:rsidRDefault="00124AB6" w:rsidP="004E3BFD">
                  <w:pPr>
                    <w:rPr>
                      <w:b/>
                      <w:bCs/>
                    </w:rPr>
                  </w:pPr>
                  <w:r w:rsidRPr="00A6103B">
                    <w:rPr>
                      <w:b/>
                      <w:bCs/>
                    </w:rPr>
                    <w:t>Operating time (percent of hours during year)</w:t>
                  </w:r>
                </w:p>
              </w:tc>
              <w:tc>
                <w:tcPr>
                  <w:tcW w:w="7013" w:type="dxa"/>
                  <w:gridSpan w:val="3"/>
                  <w:shd w:val="pct12" w:color="auto" w:fill="auto"/>
                </w:tcPr>
                <w:p w14:paraId="4C0B756D" w14:textId="77777777" w:rsidR="00124AB6" w:rsidRPr="00A6103B" w:rsidRDefault="00124AB6" w:rsidP="004E3BFD">
                  <w:pPr>
                    <w:jc w:val="center"/>
                    <w:rPr>
                      <w:b/>
                      <w:bCs/>
                    </w:rPr>
                  </w:pPr>
                  <w:r w:rsidRPr="00A6103B">
                    <w:rPr>
                      <w:b/>
                      <w:bCs/>
                    </w:rPr>
                    <w:t>Equivalent monitoring frequency time in use</w:t>
                  </w:r>
                </w:p>
              </w:tc>
            </w:tr>
            <w:tr w:rsidR="00124AB6" w:rsidRPr="00A6103B" w14:paraId="512353C4" w14:textId="77777777" w:rsidTr="004E3BFD">
              <w:trPr>
                <w:trHeight w:val="432"/>
              </w:trPr>
              <w:tc>
                <w:tcPr>
                  <w:tcW w:w="2337" w:type="dxa"/>
                  <w:vMerge/>
                  <w:shd w:val="pct12" w:color="auto" w:fill="auto"/>
                </w:tcPr>
                <w:p w14:paraId="40C396D5" w14:textId="77777777" w:rsidR="00124AB6" w:rsidRPr="00A6103B" w:rsidRDefault="00124AB6" w:rsidP="004E3BFD">
                  <w:pPr>
                    <w:jc w:val="center"/>
                    <w:rPr>
                      <w:b/>
                      <w:bCs/>
                    </w:rPr>
                  </w:pPr>
                </w:p>
              </w:tc>
              <w:tc>
                <w:tcPr>
                  <w:tcW w:w="2337" w:type="dxa"/>
                  <w:shd w:val="pct12" w:color="auto" w:fill="auto"/>
                </w:tcPr>
                <w:p w14:paraId="2A7E3A61" w14:textId="77777777" w:rsidR="00124AB6" w:rsidRPr="00A6103B" w:rsidRDefault="00124AB6" w:rsidP="004E3BFD">
                  <w:pPr>
                    <w:jc w:val="center"/>
                    <w:rPr>
                      <w:b/>
                      <w:bCs/>
                    </w:rPr>
                  </w:pPr>
                  <w:r w:rsidRPr="00A6103B">
                    <w:rPr>
                      <w:b/>
                      <w:bCs/>
                    </w:rPr>
                    <w:t>Monthly</w:t>
                  </w:r>
                </w:p>
              </w:tc>
              <w:tc>
                <w:tcPr>
                  <w:tcW w:w="2338" w:type="dxa"/>
                  <w:shd w:val="pct12" w:color="auto" w:fill="auto"/>
                </w:tcPr>
                <w:p w14:paraId="47925C47" w14:textId="77777777" w:rsidR="00124AB6" w:rsidRPr="00A6103B" w:rsidRDefault="00124AB6" w:rsidP="004E3BFD">
                  <w:pPr>
                    <w:jc w:val="center"/>
                    <w:rPr>
                      <w:b/>
                      <w:bCs/>
                    </w:rPr>
                  </w:pPr>
                  <w:r w:rsidRPr="00A6103B">
                    <w:rPr>
                      <w:b/>
                      <w:bCs/>
                    </w:rPr>
                    <w:t>Quarterly</w:t>
                  </w:r>
                </w:p>
              </w:tc>
              <w:tc>
                <w:tcPr>
                  <w:tcW w:w="2338" w:type="dxa"/>
                  <w:shd w:val="pct12" w:color="auto" w:fill="auto"/>
                </w:tcPr>
                <w:p w14:paraId="54EADCBE" w14:textId="77777777" w:rsidR="00124AB6" w:rsidRPr="00A6103B" w:rsidRDefault="00124AB6" w:rsidP="004E3BFD">
                  <w:pPr>
                    <w:jc w:val="center"/>
                    <w:rPr>
                      <w:b/>
                      <w:bCs/>
                    </w:rPr>
                  </w:pPr>
                  <w:r w:rsidRPr="00A6103B">
                    <w:rPr>
                      <w:b/>
                      <w:bCs/>
                    </w:rPr>
                    <w:t>Semiannually</w:t>
                  </w:r>
                </w:p>
              </w:tc>
            </w:tr>
            <w:tr w:rsidR="00124AB6" w14:paraId="1BD33E5F" w14:textId="77777777" w:rsidTr="004E3BFD">
              <w:trPr>
                <w:trHeight w:val="432"/>
              </w:trPr>
              <w:tc>
                <w:tcPr>
                  <w:tcW w:w="2337" w:type="dxa"/>
                </w:tcPr>
                <w:p w14:paraId="535171E0" w14:textId="77777777" w:rsidR="00124AB6" w:rsidRDefault="00124AB6" w:rsidP="004E3BFD">
                  <w:pPr>
                    <w:jc w:val="center"/>
                  </w:pPr>
                  <w:r>
                    <w:t>0 to &lt;50</w:t>
                  </w:r>
                </w:p>
              </w:tc>
              <w:tc>
                <w:tcPr>
                  <w:tcW w:w="2337" w:type="dxa"/>
                </w:tcPr>
                <w:p w14:paraId="768A78E3" w14:textId="77777777" w:rsidR="00124AB6" w:rsidRDefault="00124AB6" w:rsidP="004E3BFD">
                  <w:pPr>
                    <w:jc w:val="center"/>
                  </w:pPr>
                  <w:r>
                    <w:t>Quarterly</w:t>
                  </w:r>
                </w:p>
              </w:tc>
              <w:tc>
                <w:tcPr>
                  <w:tcW w:w="2338" w:type="dxa"/>
                </w:tcPr>
                <w:p w14:paraId="394C867D" w14:textId="77777777" w:rsidR="00124AB6" w:rsidRDefault="00124AB6" w:rsidP="004E3BFD">
                  <w:pPr>
                    <w:jc w:val="center"/>
                  </w:pPr>
                  <w:r>
                    <w:t>Annually</w:t>
                  </w:r>
                </w:p>
              </w:tc>
              <w:tc>
                <w:tcPr>
                  <w:tcW w:w="2338" w:type="dxa"/>
                </w:tcPr>
                <w:p w14:paraId="47D04426" w14:textId="77777777" w:rsidR="00124AB6" w:rsidRDefault="00124AB6" w:rsidP="004E3BFD">
                  <w:pPr>
                    <w:jc w:val="center"/>
                  </w:pPr>
                  <w:r>
                    <w:t>Annually</w:t>
                  </w:r>
                </w:p>
              </w:tc>
            </w:tr>
            <w:tr w:rsidR="00124AB6" w14:paraId="1B069B5A" w14:textId="77777777" w:rsidTr="004E3BFD">
              <w:trPr>
                <w:trHeight w:val="432"/>
              </w:trPr>
              <w:tc>
                <w:tcPr>
                  <w:tcW w:w="2337" w:type="dxa"/>
                </w:tcPr>
                <w:p w14:paraId="120C90D1" w14:textId="77777777" w:rsidR="00124AB6" w:rsidRDefault="00124AB6" w:rsidP="004E3BFD">
                  <w:pPr>
                    <w:jc w:val="center"/>
                  </w:pPr>
                  <w:r>
                    <w:t>25 to &lt;50</w:t>
                  </w:r>
                </w:p>
              </w:tc>
              <w:tc>
                <w:tcPr>
                  <w:tcW w:w="2337" w:type="dxa"/>
                </w:tcPr>
                <w:p w14:paraId="071C4E4A" w14:textId="77777777" w:rsidR="00124AB6" w:rsidRDefault="00124AB6" w:rsidP="004E3BFD">
                  <w:pPr>
                    <w:jc w:val="center"/>
                  </w:pPr>
                  <w:r>
                    <w:t>Quarterly</w:t>
                  </w:r>
                </w:p>
              </w:tc>
              <w:tc>
                <w:tcPr>
                  <w:tcW w:w="2338" w:type="dxa"/>
                </w:tcPr>
                <w:p w14:paraId="63F40E60" w14:textId="77777777" w:rsidR="00124AB6" w:rsidRDefault="00124AB6" w:rsidP="004E3BFD">
                  <w:pPr>
                    <w:jc w:val="center"/>
                  </w:pPr>
                  <w:r>
                    <w:t>Semiannually</w:t>
                  </w:r>
                </w:p>
              </w:tc>
              <w:tc>
                <w:tcPr>
                  <w:tcW w:w="2338" w:type="dxa"/>
                </w:tcPr>
                <w:p w14:paraId="24D85A22" w14:textId="77777777" w:rsidR="00124AB6" w:rsidRDefault="00124AB6" w:rsidP="004E3BFD">
                  <w:pPr>
                    <w:jc w:val="center"/>
                  </w:pPr>
                  <w:r>
                    <w:t>Annually</w:t>
                  </w:r>
                </w:p>
              </w:tc>
            </w:tr>
            <w:tr w:rsidR="00124AB6" w14:paraId="6E411B68" w14:textId="77777777" w:rsidTr="004E3BFD">
              <w:trPr>
                <w:trHeight w:val="432"/>
              </w:trPr>
              <w:tc>
                <w:tcPr>
                  <w:tcW w:w="2337" w:type="dxa"/>
                </w:tcPr>
                <w:p w14:paraId="67828CBB" w14:textId="77777777" w:rsidR="00124AB6" w:rsidRDefault="00124AB6" w:rsidP="004E3BFD">
                  <w:pPr>
                    <w:jc w:val="center"/>
                  </w:pPr>
                  <w:r>
                    <w:t>50 to &lt;75</w:t>
                  </w:r>
                </w:p>
              </w:tc>
              <w:tc>
                <w:tcPr>
                  <w:tcW w:w="2337" w:type="dxa"/>
                </w:tcPr>
                <w:p w14:paraId="165DD540" w14:textId="77777777" w:rsidR="00124AB6" w:rsidRDefault="00124AB6" w:rsidP="004E3BFD">
                  <w:pPr>
                    <w:jc w:val="center"/>
                  </w:pPr>
                  <w:r>
                    <w:t>Bimonthly</w:t>
                  </w:r>
                </w:p>
              </w:tc>
              <w:tc>
                <w:tcPr>
                  <w:tcW w:w="2338" w:type="dxa"/>
                </w:tcPr>
                <w:p w14:paraId="28CAC0A2" w14:textId="77777777" w:rsidR="00124AB6" w:rsidRDefault="00124AB6" w:rsidP="004E3BFD">
                  <w:pPr>
                    <w:jc w:val="center"/>
                  </w:pPr>
                  <w:r>
                    <w:t>Three Quarters</w:t>
                  </w:r>
                </w:p>
              </w:tc>
              <w:tc>
                <w:tcPr>
                  <w:tcW w:w="2338" w:type="dxa"/>
                </w:tcPr>
                <w:p w14:paraId="054CCC2A" w14:textId="77777777" w:rsidR="00124AB6" w:rsidRDefault="00124AB6" w:rsidP="004E3BFD">
                  <w:pPr>
                    <w:jc w:val="center"/>
                  </w:pPr>
                  <w:r>
                    <w:t>Semiannually</w:t>
                  </w:r>
                </w:p>
              </w:tc>
            </w:tr>
            <w:tr w:rsidR="00124AB6" w14:paraId="35F62F28" w14:textId="77777777" w:rsidTr="004E3BFD">
              <w:trPr>
                <w:trHeight w:val="432"/>
              </w:trPr>
              <w:tc>
                <w:tcPr>
                  <w:tcW w:w="2337" w:type="dxa"/>
                </w:tcPr>
                <w:p w14:paraId="52C54ECE" w14:textId="77777777" w:rsidR="00124AB6" w:rsidRDefault="00124AB6" w:rsidP="004E3BFD">
                  <w:pPr>
                    <w:jc w:val="center"/>
                  </w:pPr>
                  <w:r>
                    <w:t>75 to 100</w:t>
                  </w:r>
                </w:p>
              </w:tc>
              <w:tc>
                <w:tcPr>
                  <w:tcW w:w="2337" w:type="dxa"/>
                </w:tcPr>
                <w:p w14:paraId="766D0F92" w14:textId="77777777" w:rsidR="00124AB6" w:rsidRDefault="00124AB6" w:rsidP="004E3BFD">
                  <w:pPr>
                    <w:jc w:val="center"/>
                  </w:pPr>
                  <w:r>
                    <w:t>Monthly</w:t>
                  </w:r>
                </w:p>
              </w:tc>
              <w:tc>
                <w:tcPr>
                  <w:tcW w:w="2338" w:type="dxa"/>
                </w:tcPr>
                <w:p w14:paraId="50FB52F8" w14:textId="77777777" w:rsidR="00124AB6" w:rsidRDefault="00124AB6" w:rsidP="004E3BFD">
                  <w:pPr>
                    <w:jc w:val="center"/>
                  </w:pPr>
                  <w:r>
                    <w:t>Quarterly</w:t>
                  </w:r>
                </w:p>
              </w:tc>
              <w:tc>
                <w:tcPr>
                  <w:tcW w:w="2338" w:type="dxa"/>
                </w:tcPr>
                <w:p w14:paraId="54AAC28B" w14:textId="77777777" w:rsidR="00124AB6" w:rsidRDefault="00124AB6" w:rsidP="004E3BFD">
                  <w:pPr>
                    <w:jc w:val="center"/>
                  </w:pPr>
                  <w:r>
                    <w:t>Semiannually</w:t>
                  </w:r>
                </w:p>
              </w:tc>
            </w:tr>
          </w:tbl>
          <w:p w14:paraId="407BD125" w14:textId="77777777" w:rsidR="00124AB6" w:rsidRDefault="00124AB6" w:rsidP="004E3BFD"/>
          <w:p w14:paraId="69135A72" w14:textId="77777777" w:rsidR="00124AB6" w:rsidRDefault="00124AB6" w:rsidP="004E3BFD">
            <w:r>
              <w:t xml:space="preserve">(f)(2) Pumps and valves that are shared among two or more batch process units that are subject to this subpart may be monitored at the frequencies specified in paragraph (f)(1) of this section, provided the operating time of all such process units is considered. </w:t>
            </w:r>
          </w:p>
          <w:p w14:paraId="2681B7BC" w14:textId="77777777" w:rsidR="00124AB6" w:rsidRDefault="00124AB6" w:rsidP="004E3BFD"/>
          <w:p w14:paraId="5972657C" w14:textId="77777777" w:rsidR="00124AB6" w:rsidRDefault="00124AB6" w:rsidP="004E3BFD">
            <w:r>
              <w:t>(f)(3) The monitoring frequencies specified in paragraph (f)(1) of this section are not requirements for monitoring at specific intervals and can be adjusted to accommodate process operations. An owner or operator may monitor at any time during the specified monitoring period (e.g., month, quarter, year), provided the monitoring is conducted at a reasonable interval after completion of the last monitoring campaign. Reasonable intervals are defined in paragraphs (f)(3)(</w:t>
            </w:r>
            <w:proofErr w:type="spellStart"/>
            <w:r>
              <w:t>i</w:t>
            </w:r>
            <w:proofErr w:type="spellEnd"/>
            <w:r>
              <w:t xml:space="preserve">) through (iv) of this section. </w:t>
            </w:r>
          </w:p>
          <w:p w14:paraId="14AC3D1C" w14:textId="77777777" w:rsidR="00124AB6" w:rsidRDefault="00124AB6" w:rsidP="004E3BFD"/>
          <w:p w14:paraId="2EB126B3" w14:textId="77777777" w:rsidR="00124AB6" w:rsidRDefault="00124AB6" w:rsidP="004E3BFD">
            <w:r>
              <w:t>(f)(3)(</w:t>
            </w:r>
            <w:proofErr w:type="spellStart"/>
            <w:r>
              <w:t>i</w:t>
            </w:r>
            <w:proofErr w:type="spellEnd"/>
            <w:r>
              <w:t xml:space="preserve">) When monitoring is conducted quarterly, monitoring events must be separated by at least 30 calendar days. </w:t>
            </w:r>
          </w:p>
          <w:p w14:paraId="5D267E76" w14:textId="77777777" w:rsidR="00124AB6" w:rsidRDefault="00124AB6" w:rsidP="004E3BFD"/>
          <w:p w14:paraId="28CE621D" w14:textId="77777777" w:rsidR="00124AB6" w:rsidRDefault="00124AB6" w:rsidP="004E3BFD">
            <w:r>
              <w:t xml:space="preserve">(f)(3)(ii) When monitoring is conducted semiannually (i.e., once every 2 quarters), monitoring events must be separated by at least 60 calendar days. </w:t>
            </w:r>
          </w:p>
          <w:p w14:paraId="1096C5EF" w14:textId="77777777" w:rsidR="00124AB6" w:rsidRDefault="00124AB6" w:rsidP="004E3BFD"/>
          <w:p w14:paraId="03341BAC" w14:textId="77777777" w:rsidR="00124AB6" w:rsidRDefault="00124AB6" w:rsidP="004E3BFD">
            <w:r>
              <w:t xml:space="preserve">(f)(3)(iii) When monitoring is conducted in 3 quarters per year, monitoring events must be separated by at least 90 calendar days. </w:t>
            </w:r>
          </w:p>
          <w:p w14:paraId="011651A8" w14:textId="77777777" w:rsidR="00124AB6" w:rsidRDefault="00124AB6" w:rsidP="004E3BFD"/>
          <w:p w14:paraId="5047480A" w14:textId="77777777" w:rsidR="00124AB6" w:rsidRPr="000A5D3A" w:rsidRDefault="00124AB6" w:rsidP="004E3BFD">
            <w:r>
              <w:t>(f)(3)(iv) When monitoring is conducted annually, monitoring events must be separated by at least 120 calendar days.</w:t>
            </w:r>
          </w:p>
        </w:tc>
      </w:tr>
      <w:tr w:rsidR="00124AB6" w:rsidRPr="000A5D3A" w14:paraId="4AE5CECC"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val="0"/>
        </w:trPr>
        <w:tc>
          <w:tcPr>
            <w:tcW w:w="1367" w:type="dxa"/>
          </w:tcPr>
          <w:p w14:paraId="71656EC0" w14:textId="77777777" w:rsidR="00124AB6" w:rsidRPr="000179B0" w:rsidRDefault="00124AB6" w:rsidP="004E3BFD">
            <w:pPr>
              <w:pStyle w:val="BNum"/>
            </w:pPr>
          </w:p>
        </w:tc>
        <w:tc>
          <w:tcPr>
            <w:tcW w:w="9433" w:type="dxa"/>
          </w:tcPr>
          <w:p w14:paraId="5B56AFF6" w14:textId="77777777" w:rsidR="00124AB6" w:rsidRPr="001B6EC4" w:rsidRDefault="00124AB6" w:rsidP="004E3BFD">
            <w:r w:rsidRPr="001B6EC4">
              <w:rPr>
                <w:b/>
              </w:rPr>
              <w:t>Emission Unit ID:</w:t>
            </w:r>
            <w:r>
              <w:t xml:space="preserve"> 06, 07</w:t>
            </w:r>
          </w:p>
          <w:p w14:paraId="27A96615" w14:textId="77777777" w:rsidR="00124AB6" w:rsidRDefault="00124AB6" w:rsidP="004E3BFD">
            <w:r w:rsidRPr="009A00D8">
              <w:rPr>
                <w:b/>
              </w:rPr>
              <w:t>Equipment ID:</w:t>
            </w:r>
            <w:r w:rsidRPr="009A00D8">
              <w:t xml:space="preserve"> </w:t>
            </w:r>
            <w:r w:rsidRPr="00A04999">
              <w:t>R-6, R-7</w:t>
            </w:r>
            <w:r>
              <w:t xml:space="preserve">, R-11, R-12 </w:t>
            </w:r>
          </w:p>
          <w:p w14:paraId="28BDF4D1" w14:textId="77777777" w:rsidR="00124AB6" w:rsidRDefault="00124AB6" w:rsidP="004E3BFD">
            <w:r w:rsidRPr="009A00D8">
              <w:rPr>
                <w:b/>
              </w:rPr>
              <w:t>Control Device ID:</w:t>
            </w:r>
            <w:r w:rsidRPr="009A00D8">
              <w:t xml:space="preserve"> </w:t>
            </w:r>
            <w:r>
              <w:t>NP-1</w:t>
            </w:r>
          </w:p>
          <w:p w14:paraId="1A65D0D1" w14:textId="77777777" w:rsidR="00124AB6" w:rsidRPr="000A5D3A" w:rsidRDefault="00124AB6" w:rsidP="004E3BFD">
            <w:pPr>
              <w:rPr>
                <w:bCs/>
              </w:rPr>
            </w:pPr>
          </w:p>
          <w:p w14:paraId="4F08A210" w14:textId="77777777" w:rsidR="00124AB6" w:rsidRPr="000A5D3A" w:rsidRDefault="00124AB6" w:rsidP="004E3BFD">
            <w:pPr>
              <w:rPr>
                <w:bCs/>
              </w:rPr>
            </w:pPr>
            <w:r w:rsidRPr="000A5D3A">
              <w:rPr>
                <w:bCs/>
              </w:rPr>
              <w:t>40CFR60.482-2 Standards: Pumps in light liquid service.</w:t>
            </w:r>
          </w:p>
          <w:p w14:paraId="193E2C3D" w14:textId="77777777" w:rsidR="00124AB6" w:rsidRPr="000A5D3A" w:rsidRDefault="00124AB6" w:rsidP="004E3BFD">
            <w:pPr>
              <w:rPr>
                <w:bCs/>
              </w:rPr>
            </w:pPr>
          </w:p>
          <w:p w14:paraId="0133CD45" w14:textId="77777777" w:rsidR="00124AB6" w:rsidRPr="000A5D3A" w:rsidRDefault="00124AB6" w:rsidP="004E3BFD">
            <w:pPr>
              <w:rPr>
                <w:bCs/>
              </w:rPr>
            </w:pPr>
            <w:r w:rsidRPr="000A5D3A">
              <w:rPr>
                <w:bCs/>
              </w:rPr>
              <w:t xml:space="preserve">(a)(1) Each pump in light liquid service shall be monitored monthly to detect leaks by the methods specified in §60.485(b), except as provided in §60.482–1(c) and (f) and paragraphs (d), (e), and (f) of this section. A pump that begins operation in light liquid service after the initial startup date for the process unit must be monitored for the first time within 30 days after the end of its startup period, except for a pump that replaces a leaking pump and except as provided in §60.482–1(c) and (f) and paragraphs (d), (e), and (f) of this section. </w:t>
            </w:r>
          </w:p>
          <w:p w14:paraId="3B5690E1" w14:textId="77777777" w:rsidR="00124AB6" w:rsidRPr="000A5D3A" w:rsidRDefault="00124AB6" w:rsidP="004E3BFD">
            <w:pPr>
              <w:rPr>
                <w:bCs/>
              </w:rPr>
            </w:pPr>
          </w:p>
          <w:p w14:paraId="0300E627" w14:textId="77777777" w:rsidR="00124AB6" w:rsidRPr="000A5D3A" w:rsidRDefault="00124AB6" w:rsidP="004E3BFD">
            <w:pPr>
              <w:rPr>
                <w:bCs/>
              </w:rPr>
            </w:pPr>
            <w:r w:rsidRPr="000A5D3A">
              <w:rPr>
                <w:bCs/>
              </w:rPr>
              <w:t>(a)(2) Each pump in light liquid service shall be checked by visual inspection each calendar week for indications of liquids dripping from the pump seal, except as provided in §60.482–1(f).</w:t>
            </w:r>
          </w:p>
          <w:p w14:paraId="548A2003" w14:textId="77777777" w:rsidR="00124AB6" w:rsidRPr="000A5D3A" w:rsidRDefault="00124AB6" w:rsidP="004E3BFD">
            <w:pPr>
              <w:rPr>
                <w:bCs/>
              </w:rPr>
            </w:pPr>
          </w:p>
          <w:p w14:paraId="51FAF59F" w14:textId="77777777" w:rsidR="00124AB6" w:rsidRPr="000A5D3A" w:rsidRDefault="00124AB6" w:rsidP="004E3BFD">
            <w:pPr>
              <w:rPr>
                <w:bCs/>
              </w:rPr>
            </w:pPr>
            <w:r w:rsidRPr="000A5D3A">
              <w:rPr>
                <w:bCs/>
              </w:rPr>
              <w:t xml:space="preserve">(b)(1) If an instrument reading of 10,000 ppm or greater is measured, a leak is detected. </w:t>
            </w:r>
          </w:p>
          <w:p w14:paraId="23ADC023" w14:textId="77777777" w:rsidR="00124AB6" w:rsidRPr="000A5D3A" w:rsidRDefault="00124AB6" w:rsidP="004E3BFD">
            <w:pPr>
              <w:rPr>
                <w:bCs/>
              </w:rPr>
            </w:pPr>
          </w:p>
          <w:p w14:paraId="5BB0BD5B" w14:textId="77777777" w:rsidR="00124AB6" w:rsidRPr="000A5D3A" w:rsidRDefault="00124AB6" w:rsidP="004E3BFD">
            <w:pPr>
              <w:rPr>
                <w:bCs/>
              </w:rPr>
            </w:pPr>
            <w:r w:rsidRPr="000A5D3A">
              <w:rPr>
                <w:bCs/>
              </w:rPr>
              <w:t>(b)(2) If there are indications of liquids dripping from the pump seal, the owner or operator shall follow the procedure specified in either paragraph (b)(2)(</w:t>
            </w:r>
            <w:proofErr w:type="spellStart"/>
            <w:r w:rsidRPr="000A5D3A">
              <w:rPr>
                <w:bCs/>
              </w:rPr>
              <w:t>i</w:t>
            </w:r>
            <w:proofErr w:type="spellEnd"/>
            <w:r w:rsidRPr="000A5D3A">
              <w:rPr>
                <w:bCs/>
              </w:rPr>
              <w:t xml:space="preserve">) or (ii) of this section. This requirement does not apply to a pump that was monitored after a previous weekly inspection if the instrument reading for that monitoring event was less than 10,000 ppm and the pump was not repaired since that monitoring event. </w:t>
            </w:r>
          </w:p>
          <w:p w14:paraId="265D2034" w14:textId="77777777" w:rsidR="00124AB6" w:rsidRPr="000A5D3A" w:rsidRDefault="00124AB6" w:rsidP="004E3BFD">
            <w:pPr>
              <w:rPr>
                <w:bCs/>
              </w:rPr>
            </w:pPr>
          </w:p>
          <w:p w14:paraId="5DA9440E" w14:textId="77777777" w:rsidR="00124AB6" w:rsidRPr="000A5D3A" w:rsidRDefault="00124AB6" w:rsidP="004E3BFD">
            <w:pPr>
              <w:rPr>
                <w:bCs/>
              </w:rPr>
            </w:pPr>
            <w:r w:rsidRPr="000A5D3A">
              <w:rPr>
                <w:bCs/>
              </w:rPr>
              <w:t>(b)(2)(</w:t>
            </w:r>
            <w:proofErr w:type="spellStart"/>
            <w:r w:rsidRPr="000A5D3A">
              <w:rPr>
                <w:bCs/>
              </w:rPr>
              <w:t>i</w:t>
            </w:r>
            <w:proofErr w:type="spellEnd"/>
            <w:r w:rsidRPr="000A5D3A">
              <w:rPr>
                <w:bCs/>
              </w:rPr>
              <w:t xml:space="preserve">) Monitor the pump within 5 days as specified in § 60.485(b). If an instrument reading of 10,000 ppm or greater is measured, a leak is detected. The leak shall be repaired using the procedures in paragraph (c) of this section. </w:t>
            </w:r>
          </w:p>
          <w:p w14:paraId="41A4ACC5" w14:textId="77777777" w:rsidR="00124AB6" w:rsidRPr="000A5D3A" w:rsidRDefault="00124AB6" w:rsidP="004E3BFD">
            <w:pPr>
              <w:rPr>
                <w:bCs/>
              </w:rPr>
            </w:pPr>
          </w:p>
          <w:p w14:paraId="6584D9AE" w14:textId="77777777" w:rsidR="00124AB6" w:rsidRPr="000A5D3A" w:rsidRDefault="00124AB6" w:rsidP="004E3BFD">
            <w:pPr>
              <w:rPr>
                <w:bCs/>
              </w:rPr>
            </w:pPr>
            <w:r w:rsidRPr="000A5D3A">
              <w:rPr>
                <w:bCs/>
              </w:rPr>
              <w:t xml:space="preserve">(b)(2)(ii) Designate the visual indications of liquids dripping as a </w:t>
            </w:r>
            <w:proofErr w:type="gramStart"/>
            <w:r w:rsidRPr="000A5D3A">
              <w:rPr>
                <w:bCs/>
              </w:rPr>
              <w:t>leak, and</w:t>
            </w:r>
            <w:proofErr w:type="gramEnd"/>
            <w:r w:rsidRPr="000A5D3A">
              <w:rPr>
                <w:bCs/>
              </w:rPr>
              <w:t xml:space="preserve"> repair the leak within 15 days of detection by eliminating the visual indications of liquids dripping.</w:t>
            </w:r>
          </w:p>
          <w:p w14:paraId="349FD96E" w14:textId="77777777" w:rsidR="00124AB6" w:rsidRPr="000A5D3A" w:rsidRDefault="00124AB6" w:rsidP="004E3BFD">
            <w:pPr>
              <w:rPr>
                <w:bCs/>
              </w:rPr>
            </w:pPr>
          </w:p>
          <w:p w14:paraId="7365160B" w14:textId="77777777" w:rsidR="00124AB6" w:rsidRPr="000A5D3A" w:rsidRDefault="00124AB6" w:rsidP="004E3BFD">
            <w:pPr>
              <w:rPr>
                <w:bCs/>
              </w:rPr>
            </w:pPr>
            <w:r w:rsidRPr="000A5D3A">
              <w:rPr>
                <w:bCs/>
              </w:rPr>
              <w:t xml:space="preserve">(c)(1) When a leak is detected, it shall be repaired as soon as practicable, but not later than 15 calendar days after it is detected, except as provided in § 60.482–9. </w:t>
            </w:r>
          </w:p>
          <w:p w14:paraId="080B8FF9" w14:textId="77777777" w:rsidR="00124AB6" w:rsidRPr="000A5D3A" w:rsidRDefault="00124AB6" w:rsidP="004E3BFD">
            <w:pPr>
              <w:rPr>
                <w:bCs/>
              </w:rPr>
            </w:pPr>
          </w:p>
          <w:p w14:paraId="3E9EED31" w14:textId="77777777" w:rsidR="00124AB6" w:rsidRPr="000A5D3A" w:rsidRDefault="00124AB6" w:rsidP="004E3BFD">
            <w:pPr>
              <w:rPr>
                <w:bCs/>
              </w:rPr>
            </w:pPr>
            <w:r w:rsidRPr="000A5D3A">
              <w:rPr>
                <w:bCs/>
              </w:rPr>
              <w:t>(c)(2) A first attempt at repair shall be made no later than 5 calendar days after each leak is detected. First attempts at repair include, but are not limited to, the practices described in paragraphs (c)(2)(</w:t>
            </w:r>
            <w:proofErr w:type="spellStart"/>
            <w:r w:rsidRPr="000A5D3A">
              <w:rPr>
                <w:bCs/>
              </w:rPr>
              <w:t>i</w:t>
            </w:r>
            <w:proofErr w:type="spellEnd"/>
            <w:r w:rsidRPr="000A5D3A">
              <w:rPr>
                <w:bCs/>
              </w:rPr>
              <w:t xml:space="preserve">) and (ii) of this section, where practicable. </w:t>
            </w:r>
          </w:p>
          <w:p w14:paraId="71FE514E" w14:textId="77777777" w:rsidR="00124AB6" w:rsidRPr="000A5D3A" w:rsidRDefault="00124AB6" w:rsidP="004E3BFD">
            <w:pPr>
              <w:rPr>
                <w:bCs/>
              </w:rPr>
            </w:pPr>
          </w:p>
          <w:p w14:paraId="44821BBD" w14:textId="77777777" w:rsidR="00124AB6" w:rsidRPr="000A5D3A" w:rsidRDefault="00124AB6" w:rsidP="004E3BFD">
            <w:pPr>
              <w:rPr>
                <w:bCs/>
              </w:rPr>
            </w:pPr>
            <w:r w:rsidRPr="000A5D3A">
              <w:rPr>
                <w:bCs/>
              </w:rPr>
              <w:t>(c)(2)(</w:t>
            </w:r>
            <w:proofErr w:type="spellStart"/>
            <w:r w:rsidRPr="000A5D3A">
              <w:rPr>
                <w:bCs/>
              </w:rPr>
              <w:t>i</w:t>
            </w:r>
            <w:proofErr w:type="spellEnd"/>
            <w:r w:rsidRPr="000A5D3A">
              <w:rPr>
                <w:bCs/>
              </w:rPr>
              <w:t xml:space="preserve">) Tightening the packing gland </w:t>
            </w:r>
            <w:proofErr w:type="gramStart"/>
            <w:r w:rsidRPr="000A5D3A">
              <w:rPr>
                <w:bCs/>
              </w:rPr>
              <w:t>nuts;</w:t>
            </w:r>
            <w:proofErr w:type="gramEnd"/>
            <w:r w:rsidRPr="000A5D3A">
              <w:rPr>
                <w:bCs/>
              </w:rPr>
              <w:t xml:space="preserve"> </w:t>
            </w:r>
          </w:p>
          <w:p w14:paraId="4E6F0BFC" w14:textId="77777777" w:rsidR="00124AB6" w:rsidRPr="000A5D3A" w:rsidRDefault="00124AB6" w:rsidP="004E3BFD">
            <w:pPr>
              <w:rPr>
                <w:bCs/>
              </w:rPr>
            </w:pPr>
            <w:r w:rsidRPr="000A5D3A">
              <w:rPr>
                <w:bCs/>
              </w:rPr>
              <w:t>(c)(2)(ii) Ensuring that the seal flush is operating at design pressure and temperature.</w:t>
            </w:r>
          </w:p>
          <w:p w14:paraId="152B92B9" w14:textId="77777777" w:rsidR="00124AB6" w:rsidRPr="000A5D3A" w:rsidRDefault="00124AB6" w:rsidP="004E3BFD">
            <w:pPr>
              <w:rPr>
                <w:bCs/>
              </w:rPr>
            </w:pPr>
          </w:p>
          <w:p w14:paraId="43A88452" w14:textId="77777777" w:rsidR="00124AB6" w:rsidRPr="000A5D3A" w:rsidRDefault="00124AB6" w:rsidP="004E3BFD">
            <w:pPr>
              <w:rPr>
                <w:bCs/>
              </w:rPr>
            </w:pPr>
            <w:r w:rsidRPr="000A5D3A">
              <w:rPr>
                <w:bCs/>
              </w:rPr>
              <w:t xml:space="preserve">(d) Each pump equipped with a dual mechanical seal system that includes a barrier fluid system is exempt from the requirements of paragraph (a) of this section, provided the requirements specified in paragraphs (d)(1) through (6) of this section are met. </w:t>
            </w:r>
          </w:p>
          <w:p w14:paraId="32E911B6" w14:textId="77777777" w:rsidR="00124AB6" w:rsidRPr="000A5D3A" w:rsidRDefault="00124AB6" w:rsidP="004E3BFD">
            <w:pPr>
              <w:rPr>
                <w:bCs/>
              </w:rPr>
            </w:pPr>
          </w:p>
          <w:p w14:paraId="32593761" w14:textId="77777777" w:rsidR="00124AB6" w:rsidRPr="000A5D3A" w:rsidRDefault="00124AB6" w:rsidP="004E3BFD">
            <w:pPr>
              <w:rPr>
                <w:bCs/>
              </w:rPr>
            </w:pPr>
            <w:r>
              <w:rPr>
                <w:bCs/>
              </w:rPr>
              <w:t>(d)</w:t>
            </w:r>
            <w:r w:rsidRPr="000A5D3A">
              <w:rPr>
                <w:bCs/>
              </w:rPr>
              <w:t xml:space="preserve">(1) Each dual mechanical seal system is— </w:t>
            </w:r>
          </w:p>
          <w:p w14:paraId="23AE49EC" w14:textId="77777777" w:rsidR="00124AB6" w:rsidRDefault="00124AB6" w:rsidP="004E3BFD">
            <w:pPr>
              <w:rPr>
                <w:bCs/>
              </w:rPr>
            </w:pPr>
          </w:p>
          <w:p w14:paraId="7056B9B9" w14:textId="77777777" w:rsidR="00124AB6" w:rsidRPr="000A5D3A" w:rsidRDefault="00124AB6" w:rsidP="004E3BFD">
            <w:pPr>
              <w:rPr>
                <w:bCs/>
              </w:rPr>
            </w:pPr>
            <w:r>
              <w:rPr>
                <w:bCs/>
              </w:rPr>
              <w:t>(d)(1)</w:t>
            </w:r>
            <w:r w:rsidRPr="000A5D3A">
              <w:rPr>
                <w:bCs/>
              </w:rPr>
              <w:t>(</w:t>
            </w:r>
            <w:proofErr w:type="spellStart"/>
            <w:r w:rsidRPr="000A5D3A">
              <w:rPr>
                <w:bCs/>
              </w:rPr>
              <w:t>i</w:t>
            </w:r>
            <w:proofErr w:type="spellEnd"/>
            <w:r w:rsidRPr="000A5D3A">
              <w:rPr>
                <w:bCs/>
              </w:rPr>
              <w:t xml:space="preserve">) Operated with the barrier fluid at a pressure that </w:t>
            </w:r>
            <w:proofErr w:type="gramStart"/>
            <w:r w:rsidRPr="000A5D3A">
              <w:rPr>
                <w:bCs/>
              </w:rPr>
              <w:t>is at all times</w:t>
            </w:r>
            <w:proofErr w:type="gramEnd"/>
            <w:r w:rsidRPr="000A5D3A">
              <w:rPr>
                <w:bCs/>
              </w:rPr>
              <w:t xml:space="preserve"> greater than the pump stuffing box pressure; or </w:t>
            </w:r>
          </w:p>
          <w:p w14:paraId="4A1FE9FD" w14:textId="77777777" w:rsidR="00124AB6" w:rsidRPr="000A5D3A" w:rsidRDefault="00124AB6" w:rsidP="004E3BFD">
            <w:pPr>
              <w:rPr>
                <w:bCs/>
              </w:rPr>
            </w:pPr>
          </w:p>
          <w:p w14:paraId="45606B72" w14:textId="77777777" w:rsidR="00124AB6" w:rsidRPr="000A5D3A" w:rsidRDefault="00124AB6" w:rsidP="004E3BFD">
            <w:pPr>
              <w:rPr>
                <w:bCs/>
              </w:rPr>
            </w:pPr>
            <w:r>
              <w:rPr>
                <w:bCs/>
              </w:rPr>
              <w:t>(d)(1)</w:t>
            </w:r>
            <w:r w:rsidRPr="000A5D3A">
              <w:rPr>
                <w:bCs/>
              </w:rPr>
              <w:t xml:space="preserve">(ii) Equipped with a barrier fluid degassing reservoir that is routed to a process or fuel gas system or connected by a closed vent system to a control device that complies with the requirements of § 60.482–10; or </w:t>
            </w:r>
          </w:p>
          <w:p w14:paraId="1F06DAC5" w14:textId="77777777" w:rsidR="00124AB6" w:rsidRPr="000A5D3A" w:rsidRDefault="00124AB6" w:rsidP="004E3BFD">
            <w:pPr>
              <w:rPr>
                <w:bCs/>
              </w:rPr>
            </w:pPr>
          </w:p>
          <w:p w14:paraId="65036FB0" w14:textId="77777777" w:rsidR="00124AB6" w:rsidRPr="000A5D3A" w:rsidRDefault="00124AB6" w:rsidP="004E3BFD">
            <w:pPr>
              <w:rPr>
                <w:bCs/>
              </w:rPr>
            </w:pPr>
            <w:r w:rsidRPr="000A5D3A">
              <w:rPr>
                <w:bCs/>
              </w:rPr>
              <w:t>(</w:t>
            </w:r>
            <w:r>
              <w:rPr>
                <w:bCs/>
              </w:rPr>
              <w:t>d)(1)(</w:t>
            </w:r>
            <w:r w:rsidRPr="000A5D3A">
              <w:rPr>
                <w:bCs/>
              </w:rPr>
              <w:t xml:space="preserve">iii) Equipped with a system that purges the barrier fluid into a process stream with zero VOC emissions to the atmosphere. </w:t>
            </w:r>
          </w:p>
          <w:p w14:paraId="4FE08EA6" w14:textId="77777777" w:rsidR="00124AB6" w:rsidRPr="000A5D3A" w:rsidRDefault="00124AB6" w:rsidP="004E3BFD">
            <w:pPr>
              <w:rPr>
                <w:bCs/>
              </w:rPr>
            </w:pPr>
          </w:p>
          <w:p w14:paraId="74CD5CBB" w14:textId="77777777" w:rsidR="00124AB6" w:rsidRPr="000A5D3A" w:rsidRDefault="00124AB6" w:rsidP="004E3BFD">
            <w:pPr>
              <w:rPr>
                <w:bCs/>
              </w:rPr>
            </w:pPr>
            <w:r>
              <w:rPr>
                <w:bCs/>
              </w:rPr>
              <w:t>(d)</w:t>
            </w:r>
            <w:r w:rsidRPr="000A5D3A">
              <w:rPr>
                <w:bCs/>
              </w:rPr>
              <w:t xml:space="preserve">(2) The barrier fluid system is in heavy liquid service or is not in VOC service. </w:t>
            </w:r>
          </w:p>
          <w:p w14:paraId="056B5764" w14:textId="77777777" w:rsidR="00124AB6" w:rsidRPr="000A5D3A" w:rsidRDefault="00124AB6" w:rsidP="004E3BFD">
            <w:pPr>
              <w:rPr>
                <w:bCs/>
              </w:rPr>
            </w:pPr>
          </w:p>
          <w:p w14:paraId="020448B6" w14:textId="77777777" w:rsidR="00124AB6" w:rsidRPr="000A5D3A" w:rsidRDefault="00124AB6" w:rsidP="004E3BFD">
            <w:pPr>
              <w:rPr>
                <w:bCs/>
              </w:rPr>
            </w:pPr>
            <w:r>
              <w:rPr>
                <w:bCs/>
              </w:rPr>
              <w:t>(d)</w:t>
            </w:r>
            <w:r w:rsidRPr="000A5D3A">
              <w:rPr>
                <w:bCs/>
              </w:rPr>
              <w:t>(3) Each barrier fluid system is equipped with a sensor that will detect failure of the seal system, the barrier fluid system, or both.</w:t>
            </w:r>
          </w:p>
          <w:p w14:paraId="79661620" w14:textId="77777777" w:rsidR="00124AB6" w:rsidRPr="000A5D3A" w:rsidRDefault="00124AB6" w:rsidP="004E3BFD">
            <w:pPr>
              <w:rPr>
                <w:bCs/>
              </w:rPr>
            </w:pPr>
          </w:p>
          <w:p w14:paraId="5C6BC9AE" w14:textId="77777777" w:rsidR="00124AB6" w:rsidRPr="000A5D3A" w:rsidRDefault="00124AB6" w:rsidP="004E3BFD">
            <w:pPr>
              <w:rPr>
                <w:bCs/>
              </w:rPr>
            </w:pPr>
            <w:r>
              <w:rPr>
                <w:bCs/>
              </w:rPr>
              <w:t>(d)</w:t>
            </w:r>
            <w:r w:rsidRPr="000A5D3A">
              <w:rPr>
                <w:bCs/>
              </w:rPr>
              <w:t>(4)(</w:t>
            </w:r>
            <w:proofErr w:type="spellStart"/>
            <w:r w:rsidRPr="000A5D3A">
              <w:rPr>
                <w:bCs/>
              </w:rPr>
              <w:t>i</w:t>
            </w:r>
            <w:proofErr w:type="spellEnd"/>
            <w:r w:rsidRPr="000A5D3A">
              <w:rPr>
                <w:bCs/>
              </w:rPr>
              <w:t xml:space="preserve">) Each pump is checked by visual inspection, each calendar week, for indications of liquids dripping from the pump seals. </w:t>
            </w:r>
          </w:p>
          <w:p w14:paraId="2E24F2F3" w14:textId="77777777" w:rsidR="00124AB6" w:rsidRPr="000A5D3A" w:rsidRDefault="00124AB6" w:rsidP="004E3BFD">
            <w:pPr>
              <w:rPr>
                <w:bCs/>
              </w:rPr>
            </w:pPr>
          </w:p>
          <w:p w14:paraId="5A892CD7" w14:textId="77777777" w:rsidR="00124AB6" w:rsidRPr="000A5D3A" w:rsidRDefault="00124AB6" w:rsidP="004E3BFD">
            <w:pPr>
              <w:rPr>
                <w:bCs/>
              </w:rPr>
            </w:pPr>
            <w:r>
              <w:rPr>
                <w:bCs/>
              </w:rPr>
              <w:t>(d)(4)</w:t>
            </w:r>
            <w:r w:rsidRPr="000A5D3A">
              <w:rPr>
                <w:bCs/>
              </w:rPr>
              <w:t xml:space="preserve">(ii) If there are indications of liquids dripping from the pump seal at the time of the weekly inspection, the owner or operator shall follow the procedure specified in either paragraph (d)(4)(ii)(A) or (B) of this section. </w:t>
            </w:r>
          </w:p>
          <w:p w14:paraId="5B8A28C4" w14:textId="77777777" w:rsidR="00124AB6" w:rsidRPr="000A5D3A" w:rsidRDefault="00124AB6" w:rsidP="004E3BFD">
            <w:pPr>
              <w:rPr>
                <w:bCs/>
              </w:rPr>
            </w:pPr>
          </w:p>
          <w:p w14:paraId="5E4AE049" w14:textId="77777777" w:rsidR="00124AB6" w:rsidRPr="000A5D3A" w:rsidRDefault="00124AB6" w:rsidP="004E3BFD">
            <w:pPr>
              <w:rPr>
                <w:bCs/>
              </w:rPr>
            </w:pPr>
            <w:r>
              <w:rPr>
                <w:bCs/>
              </w:rPr>
              <w:t>(d)(4)(ii)</w:t>
            </w:r>
            <w:r w:rsidRPr="000A5D3A">
              <w:rPr>
                <w:bCs/>
              </w:rPr>
              <w:t xml:space="preserve">(A) Monitor the pump within 5 days as specified in § 60.485(b) to determine if there is a leak of VOC in the barrier fluid. If an instrument reading of 10,000 ppm or greater is measured, a leak is detected. </w:t>
            </w:r>
          </w:p>
          <w:p w14:paraId="798B3EBC" w14:textId="77777777" w:rsidR="00124AB6" w:rsidRPr="000A5D3A" w:rsidRDefault="00124AB6" w:rsidP="004E3BFD">
            <w:pPr>
              <w:rPr>
                <w:bCs/>
              </w:rPr>
            </w:pPr>
          </w:p>
          <w:p w14:paraId="6DF2B9EA" w14:textId="77777777" w:rsidR="00124AB6" w:rsidRPr="000A5D3A" w:rsidRDefault="00124AB6" w:rsidP="004E3BFD">
            <w:pPr>
              <w:rPr>
                <w:bCs/>
              </w:rPr>
            </w:pPr>
            <w:r>
              <w:rPr>
                <w:bCs/>
              </w:rPr>
              <w:t>(d)(4)(ii)</w:t>
            </w:r>
            <w:r w:rsidRPr="000A5D3A">
              <w:rPr>
                <w:bCs/>
              </w:rPr>
              <w:t xml:space="preserve">(B) Designate the visual indications of liquids dripping as a leak. </w:t>
            </w:r>
          </w:p>
          <w:p w14:paraId="13D33D85" w14:textId="77777777" w:rsidR="00124AB6" w:rsidRPr="000A5D3A" w:rsidRDefault="00124AB6" w:rsidP="004E3BFD">
            <w:pPr>
              <w:rPr>
                <w:bCs/>
              </w:rPr>
            </w:pPr>
          </w:p>
          <w:p w14:paraId="29EBE65E" w14:textId="77777777" w:rsidR="00124AB6" w:rsidRPr="000A5D3A" w:rsidRDefault="00124AB6" w:rsidP="004E3BFD">
            <w:pPr>
              <w:rPr>
                <w:bCs/>
              </w:rPr>
            </w:pPr>
            <w:r>
              <w:rPr>
                <w:bCs/>
              </w:rPr>
              <w:t>(d)</w:t>
            </w:r>
            <w:r w:rsidRPr="000A5D3A">
              <w:rPr>
                <w:bCs/>
              </w:rPr>
              <w:t>(5)(</w:t>
            </w:r>
            <w:proofErr w:type="spellStart"/>
            <w:r w:rsidRPr="000A5D3A">
              <w:rPr>
                <w:bCs/>
              </w:rPr>
              <w:t>i</w:t>
            </w:r>
            <w:proofErr w:type="spellEnd"/>
            <w:r w:rsidRPr="000A5D3A">
              <w:rPr>
                <w:bCs/>
              </w:rPr>
              <w:t xml:space="preserve">) Each sensor as described in paragraph (d)(3) of this section is checked daily or is equipped with an audible alarm. </w:t>
            </w:r>
          </w:p>
          <w:p w14:paraId="59F16FD3" w14:textId="77777777" w:rsidR="00124AB6" w:rsidRPr="000A5D3A" w:rsidRDefault="00124AB6" w:rsidP="004E3BFD">
            <w:pPr>
              <w:rPr>
                <w:bCs/>
              </w:rPr>
            </w:pPr>
          </w:p>
          <w:p w14:paraId="1E5BDD07" w14:textId="77777777" w:rsidR="00124AB6" w:rsidRPr="000A5D3A" w:rsidRDefault="00124AB6" w:rsidP="004E3BFD">
            <w:pPr>
              <w:rPr>
                <w:bCs/>
              </w:rPr>
            </w:pPr>
            <w:r>
              <w:rPr>
                <w:bCs/>
              </w:rPr>
              <w:t>(d)(5)</w:t>
            </w:r>
            <w:r w:rsidRPr="000A5D3A">
              <w:rPr>
                <w:bCs/>
              </w:rPr>
              <w:t xml:space="preserve">(ii) The owner or operator determines, based on design considerations and operating experience, a criterion that indicates failure of the seal system, the barrier fluid system, or both. </w:t>
            </w:r>
          </w:p>
          <w:p w14:paraId="453B142F" w14:textId="77777777" w:rsidR="00124AB6" w:rsidRPr="000A5D3A" w:rsidRDefault="00124AB6" w:rsidP="004E3BFD">
            <w:pPr>
              <w:rPr>
                <w:bCs/>
              </w:rPr>
            </w:pPr>
          </w:p>
          <w:p w14:paraId="06822339" w14:textId="77777777" w:rsidR="00124AB6" w:rsidRPr="000A5D3A" w:rsidRDefault="00124AB6" w:rsidP="004E3BFD">
            <w:pPr>
              <w:rPr>
                <w:bCs/>
              </w:rPr>
            </w:pPr>
            <w:r>
              <w:rPr>
                <w:bCs/>
              </w:rPr>
              <w:t>(d)(5)</w:t>
            </w:r>
            <w:r w:rsidRPr="000A5D3A">
              <w:rPr>
                <w:bCs/>
              </w:rPr>
              <w:t xml:space="preserve">(iii) If the sensor indicates failure of the seal system, the barrier fluid system, or both, based on the criterion established in paragraph (d)(5)(ii) of this section, a leak is detected. </w:t>
            </w:r>
          </w:p>
          <w:p w14:paraId="498DF482" w14:textId="77777777" w:rsidR="00124AB6" w:rsidRPr="000A5D3A" w:rsidRDefault="00124AB6" w:rsidP="004E3BFD">
            <w:pPr>
              <w:rPr>
                <w:bCs/>
              </w:rPr>
            </w:pPr>
          </w:p>
          <w:p w14:paraId="65E9FEE8" w14:textId="77777777" w:rsidR="00124AB6" w:rsidRPr="000A5D3A" w:rsidRDefault="00124AB6" w:rsidP="004E3BFD">
            <w:pPr>
              <w:rPr>
                <w:bCs/>
              </w:rPr>
            </w:pPr>
            <w:r>
              <w:rPr>
                <w:bCs/>
              </w:rPr>
              <w:t>(d)</w:t>
            </w:r>
            <w:r w:rsidRPr="000A5D3A">
              <w:rPr>
                <w:bCs/>
              </w:rPr>
              <w:t>(6)(</w:t>
            </w:r>
            <w:proofErr w:type="spellStart"/>
            <w:r w:rsidRPr="000A5D3A">
              <w:rPr>
                <w:bCs/>
              </w:rPr>
              <w:t>i</w:t>
            </w:r>
            <w:proofErr w:type="spellEnd"/>
            <w:r w:rsidRPr="000A5D3A">
              <w:rPr>
                <w:bCs/>
              </w:rPr>
              <w:t xml:space="preserve">) When a leak is detected pursuant to paragraph (d)(4)(ii)(A) of this section, it shall be repaired as specified in paragraph (c) of this section. </w:t>
            </w:r>
          </w:p>
          <w:p w14:paraId="5CE508C2" w14:textId="77777777" w:rsidR="00124AB6" w:rsidRPr="000A5D3A" w:rsidRDefault="00124AB6" w:rsidP="004E3BFD">
            <w:pPr>
              <w:rPr>
                <w:bCs/>
              </w:rPr>
            </w:pPr>
          </w:p>
          <w:p w14:paraId="598DEBB1" w14:textId="77777777" w:rsidR="00124AB6" w:rsidRPr="000A5D3A" w:rsidRDefault="00124AB6" w:rsidP="004E3BFD">
            <w:pPr>
              <w:rPr>
                <w:bCs/>
              </w:rPr>
            </w:pPr>
            <w:r>
              <w:rPr>
                <w:bCs/>
              </w:rPr>
              <w:t>(d)(6)</w:t>
            </w:r>
            <w:r w:rsidRPr="000A5D3A">
              <w:rPr>
                <w:bCs/>
              </w:rPr>
              <w:t xml:space="preserve">(ii) A leak detected pursuant to paragraph (d)(5)(iii) of this section shall be repaired within 15 days of detection by eliminating the conditions that activated the sensor. </w:t>
            </w:r>
          </w:p>
          <w:p w14:paraId="3497D0C0" w14:textId="77777777" w:rsidR="00124AB6" w:rsidRPr="000A5D3A" w:rsidRDefault="00124AB6" w:rsidP="004E3BFD">
            <w:pPr>
              <w:rPr>
                <w:bCs/>
              </w:rPr>
            </w:pPr>
          </w:p>
          <w:p w14:paraId="3F301B5C" w14:textId="77777777" w:rsidR="00124AB6" w:rsidRDefault="00124AB6" w:rsidP="004E3BFD">
            <w:pPr>
              <w:rPr>
                <w:bCs/>
              </w:rPr>
            </w:pPr>
            <w:r>
              <w:rPr>
                <w:bCs/>
              </w:rPr>
              <w:t>(d)(6)</w:t>
            </w:r>
            <w:r w:rsidRPr="000A5D3A">
              <w:rPr>
                <w:bCs/>
              </w:rPr>
              <w:t>(iii) A designated leak pursuant to paragraph (d)(4)(ii)(B) of this section shall be repaired within 15 days of detection by eliminating visual indications of liquids dripping.</w:t>
            </w:r>
          </w:p>
          <w:p w14:paraId="33966872" w14:textId="77777777" w:rsidR="00124AB6" w:rsidRDefault="00124AB6" w:rsidP="004E3BFD">
            <w:pPr>
              <w:rPr>
                <w:bCs/>
              </w:rPr>
            </w:pPr>
          </w:p>
          <w:p w14:paraId="2C31B6F4" w14:textId="77777777" w:rsidR="00124AB6" w:rsidRPr="000A5D3A" w:rsidRDefault="00124AB6" w:rsidP="004E3BFD">
            <w:pPr>
              <w:rPr>
                <w:bCs/>
              </w:rPr>
            </w:pPr>
            <w:r w:rsidRPr="000A5D3A">
              <w:rPr>
                <w:bCs/>
              </w:rPr>
              <w:t xml:space="preserve">(e) Any pump that is designated, as described in § 60.486(e)(1) and (2), for no detectable emissions, as indicated by an instrument reading of less than 500 ppm above background, is exempt from the requirements of paragraphs (a), (c), and (d) of this section if the pump: </w:t>
            </w:r>
          </w:p>
          <w:p w14:paraId="0A448ACE" w14:textId="77777777" w:rsidR="00124AB6" w:rsidRPr="000A5D3A" w:rsidRDefault="00124AB6" w:rsidP="004E3BFD">
            <w:pPr>
              <w:rPr>
                <w:bCs/>
              </w:rPr>
            </w:pPr>
          </w:p>
          <w:p w14:paraId="028DC45A" w14:textId="77777777" w:rsidR="00124AB6" w:rsidRPr="000A5D3A" w:rsidRDefault="00124AB6" w:rsidP="004E3BFD">
            <w:pPr>
              <w:rPr>
                <w:bCs/>
              </w:rPr>
            </w:pPr>
            <w:r>
              <w:rPr>
                <w:bCs/>
              </w:rPr>
              <w:t>(e)</w:t>
            </w:r>
            <w:r w:rsidRPr="000A5D3A">
              <w:rPr>
                <w:bCs/>
              </w:rPr>
              <w:t xml:space="preserve">(1) Has no externally actuated shaft penetrating the pump housing, </w:t>
            </w:r>
          </w:p>
          <w:p w14:paraId="13B25710" w14:textId="77777777" w:rsidR="00124AB6" w:rsidRPr="000A5D3A" w:rsidRDefault="00124AB6" w:rsidP="004E3BFD">
            <w:pPr>
              <w:rPr>
                <w:bCs/>
              </w:rPr>
            </w:pPr>
          </w:p>
          <w:p w14:paraId="3BC2B44B" w14:textId="77777777" w:rsidR="00124AB6" w:rsidRPr="000A5D3A" w:rsidRDefault="00124AB6" w:rsidP="004E3BFD">
            <w:pPr>
              <w:rPr>
                <w:bCs/>
              </w:rPr>
            </w:pPr>
            <w:r>
              <w:rPr>
                <w:bCs/>
              </w:rPr>
              <w:t>(e)</w:t>
            </w:r>
            <w:r w:rsidRPr="000A5D3A">
              <w:rPr>
                <w:bCs/>
              </w:rPr>
              <w:t xml:space="preserve">(2) Is demonstrated to be operating with no detectable emissions as indicated by an instrument reading of less than 500 ppm above background as measured by the methods specified in § 60.485(c), and </w:t>
            </w:r>
          </w:p>
          <w:p w14:paraId="378B638F" w14:textId="77777777" w:rsidR="00124AB6" w:rsidRPr="000A5D3A" w:rsidRDefault="00124AB6" w:rsidP="004E3BFD">
            <w:pPr>
              <w:rPr>
                <w:bCs/>
              </w:rPr>
            </w:pPr>
          </w:p>
          <w:p w14:paraId="79773545" w14:textId="77777777" w:rsidR="00124AB6" w:rsidRDefault="00124AB6" w:rsidP="004E3BFD">
            <w:pPr>
              <w:rPr>
                <w:bCs/>
              </w:rPr>
            </w:pPr>
            <w:r>
              <w:rPr>
                <w:bCs/>
              </w:rPr>
              <w:t>(e)</w:t>
            </w:r>
            <w:r w:rsidRPr="000A5D3A">
              <w:rPr>
                <w:bCs/>
              </w:rPr>
              <w:t>(3) Is tested for compliance with paragraph (e)(2) of this section initially upon designation, annually, and at other times requested by the Administrator.</w:t>
            </w:r>
          </w:p>
          <w:p w14:paraId="6D438D7A" w14:textId="77777777" w:rsidR="00124AB6" w:rsidRDefault="00124AB6" w:rsidP="004E3BFD">
            <w:pPr>
              <w:rPr>
                <w:bCs/>
              </w:rPr>
            </w:pPr>
          </w:p>
          <w:p w14:paraId="5397736F" w14:textId="77777777" w:rsidR="00124AB6" w:rsidRPr="000A5D3A" w:rsidRDefault="00124AB6" w:rsidP="004E3BFD">
            <w:pPr>
              <w:rPr>
                <w:bCs/>
              </w:rPr>
            </w:pPr>
            <w:r w:rsidRPr="000A5D3A">
              <w:rPr>
                <w:bCs/>
              </w:rPr>
              <w:t xml:space="preserve">(g) Any pump that is designated, as described in § 60.486(f)(1), as an unsafe-to-monitor pump is exempt from the monitoring and inspection requirements of paragraphs (a) and (d)(4) through (6) of this section if: </w:t>
            </w:r>
          </w:p>
          <w:p w14:paraId="74345BBD" w14:textId="77777777" w:rsidR="00124AB6" w:rsidRPr="000A5D3A" w:rsidRDefault="00124AB6" w:rsidP="004E3BFD">
            <w:pPr>
              <w:rPr>
                <w:bCs/>
              </w:rPr>
            </w:pPr>
          </w:p>
          <w:p w14:paraId="17B04983" w14:textId="77777777" w:rsidR="00124AB6" w:rsidRPr="000A5D3A" w:rsidRDefault="00124AB6" w:rsidP="004E3BFD">
            <w:pPr>
              <w:rPr>
                <w:bCs/>
              </w:rPr>
            </w:pPr>
            <w:r>
              <w:rPr>
                <w:bCs/>
              </w:rPr>
              <w:t>(g)</w:t>
            </w:r>
            <w:r w:rsidRPr="000A5D3A">
              <w:rPr>
                <w:bCs/>
              </w:rPr>
              <w:t xml:space="preserve">(1) The owner or operator of the pump demonstrates that the pump is unsafe-to-monitor because monitoring personnel would be exposed to an immediate danger </w:t>
            </w:r>
            <w:proofErr w:type="gramStart"/>
            <w:r w:rsidRPr="000A5D3A">
              <w:rPr>
                <w:bCs/>
              </w:rPr>
              <w:t>as a consequence of</w:t>
            </w:r>
            <w:proofErr w:type="gramEnd"/>
            <w:r w:rsidRPr="000A5D3A">
              <w:rPr>
                <w:bCs/>
              </w:rPr>
              <w:t xml:space="preserve"> complying with paragraph (a) of this section; and </w:t>
            </w:r>
          </w:p>
          <w:p w14:paraId="6100F723" w14:textId="77777777" w:rsidR="00124AB6" w:rsidRPr="000A5D3A" w:rsidRDefault="00124AB6" w:rsidP="004E3BFD">
            <w:pPr>
              <w:rPr>
                <w:bCs/>
              </w:rPr>
            </w:pPr>
          </w:p>
          <w:p w14:paraId="7D15DDAA" w14:textId="77777777" w:rsidR="00124AB6" w:rsidRPr="000A5D3A" w:rsidRDefault="00124AB6" w:rsidP="00124AB6">
            <w:pPr>
              <w:rPr>
                <w:bCs/>
              </w:rPr>
            </w:pPr>
            <w:r>
              <w:rPr>
                <w:bCs/>
              </w:rPr>
              <w:t>(g)</w:t>
            </w:r>
            <w:r w:rsidRPr="000A5D3A">
              <w:rPr>
                <w:bCs/>
              </w:rPr>
              <w:t>(2) The owner or operator of the pump has a written plan that requires monitoring of the pump as frequently as practicable during safe-to-monitor times but not more frequently than the periodic monitoring schedule otherwise applicable, and repair of the equipment according to the procedures in paragraph (c) of this section if a leak is detected.</w:t>
            </w:r>
          </w:p>
        </w:tc>
      </w:tr>
      <w:tr w:rsidR="00124AB6" w:rsidRPr="001B6EC4" w14:paraId="67DD3D28"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7" w:type="dxa"/>
          </w:tcPr>
          <w:p w14:paraId="6D3B54AE" w14:textId="77777777" w:rsidR="00124AB6" w:rsidRPr="000179B0" w:rsidRDefault="00124AB6" w:rsidP="004E3BFD">
            <w:pPr>
              <w:pStyle w:val="BNum"/>
            </w:pPr>
          </w:p>
        </w:tc>
        <w:tc>
          <w:tcPr>
            <w:tcW w:w="9433" w:type="dxa"/>
          </w:tcPr>
          <w:p w14:paraId="182C789F" w14:textId="77777777" w:rsidR="00124AB6" w:rsidRPr="001B6EC4" w:rsidRDefault="00124AB6" w:rsidP="004E3BFD">
            <w:r w:rsidRPr="001B6EC4">
              <w:rPr>
                <w:b/>
              </w:rPr>
              <w:t>Emission Unit ID:</w:t>
            </w:r>
            <w:r>
              <w:t xml:space="preserve"> 06, 07</w:t>
            </w:r>
          </w:p>
          <w:p w14:paraId="7D1C2454" w14:textId="77777777" w:rsidR="00124AB6" w:rsidRDefault="00124AB6" w:rsidP="004E3BFD">
            <w:r w:rsidRPr="009A00D8">
              <w:rPr>
                <w:b/>
              </w:rPr>
              <w:t>Equipment ID:</w:t>
            </w:r>
            <w:r w:rsidRPr="009A00D8">
              <w:t xml:space="preserve"> </w:t>
            </w:r>
            <w:r w:rsidRPr="00A04999">
              <w:t>R-6, R-7</w:t>
            </w:r>
            <w:r>
              <w:t xml:space="preserve">, R-11, R-12 </w:t>
            </w:r>
          </w:p>
          <w:p w14:paraId="3BAAB00A" w14:textId="77777777" w:rsidR="00124AB6" w:rsidRDefault="00124AB6" w:rsidP="004E3BFD">
            <w:r w:rsidRPr="009A00D8">
              <w:rPr>
                <w:b/>
              </w:rPr>
              <w:t>Control Device ID:</w:t>
            </w:r>
            <w:r w:rsidRPr="009A00D8">
              <w:t xml:space="preserve"> </w:t>
            </w:r>
            <w:r>
              <w:t>NP-1</w:t>
            </w:r>
          </w:p>
          <w:p w14:paraId="1E303D7C" w14:textId="77777777" w:rsidR="00124AB6" w:rsidRDefault="00124AB6" w:rsidP="004E3BFD">
            <w:pPr>
              <w:rPr>
                <w:b/>
              </w:rPr>
            </w:pPr>
          </w:p>
          <w:p w14:paraId="3BB38D52" w14:textId="77777777" w:rsidR="00124AB6" w:rsidRPr="000A5D3A" w:rsidRDefault="00124AB6" w:rsidP="004E3BFD">
            <w:pPr>
              <w:rPr>
                <w:bCs/>
              </w:rPr>
            </w:pPr>
            <w:r>
              <w:rPr>
                <w:bCs/>
              </w:rPr>
              <w:t>40CFR</w:t>
            </w:r>
            <w:r w:rsidRPr="000A5D3A">
              <w:rPr>
                <w:bCs/>
              </w:rPr>
              <w:t>60.482-4 Standards: Pressure relief devices in gas/vapor service.</w:t>
            </w:r>
          </w:p>
          <w:p w14:paraId="7241635E" w14:textId="77777777" w:rsidR="00124AB6" w:rsidRPr="000A5D3A" w:rsidRDefault="00124AB6" w:rsidP="004E3BFD">
            <w:pPr>
              <w:rPr>
                <w:bCs/>
              </w:rPr>
            </w:pPr>
          </w:p>
          <w:p w14:paraId="518E1285" w14:textId="77777777" w:rsidR="00124AB6" w:rsidRPr="000A5D3A" w:rsidRDefault="00124AB6" w:rsidP="004E3BFD">
            <w:pPr>
              <w:rPr>
                <w:bCs/>
              </w:rPr>
            </w:pPr>
            <w:r w:rsidRPr="000A5D3A">
              <w:rPr>
                <w:bCs/>
              </w:rPr>
              <w:t xml:space="preserve">(a) Except during pressure releases, each pressure relief device in gas/vapor service shall be operated with no detectable emissions, as indicated by an instrument reading of less than 500 ppm above background, as determined by the methods specified in § 60.485(c). </w:t>
            </w:r>
          </w:p>
          <w:p w14:paraId="52695E71" w14:textId="77777777" w:rsidR="00124AB6" w:rsidRPr="000A5D3A" w:rsidRDefault="00124AB6" w:rsidP="004E3BFD">
            <w:pPr>
              <w:rPr>
                <w:bCs/>
              </w:rPr>
            </w:pPr>
          </w:p>
          <w:p w14:paraId="2F5904FF" w14:textId="77777777" w:rsidR="00124AB6" w:rsidRPr="000A5D3A" w:rsidRDefault="00124AB6" w:rsidP="004E3BFD">
            <w:pPr>
              <w:rPr>
                <w:bCs/>
              </w:rPr>
            </w:pPr>
            <w:r w:rsidRPr="000A5D3A">
              <w:rPr>
                <w:bCs/>
              </w:rPr>
              <w:t xml:space="preserve">(b)(1) After each pressure release, the pressure relief device shall be returned to a condition of no detectable emissions, as indicated by an instrument reading of less than 500 ppm above background, as soon as practicable, but no later than 5 calendar days after the pressure release, except as provided in § 60.482–9. </w:t>
            </w:r>
          </w:p>
          <w:p w14:paraId="05216C5A" w14:textId="77777777" w:rsidR="00124AB6" w:rsidRPr="000A5D3A" w:rsidRDefault="00124AB6" w:rsidP="004E3BFD">
            <w:pPr>
              <w:rPr>
                <w:bCs/>
              </w:rPr>
            </w:pPr>
          </w:p>
          <w:p w14:paraId="6E4677A2" w14:textId="77777777" w:rsidR="00124AB6" w:rsidRPr="000A5D3A" w:rsidRDefault="00124AB6" w:rsidP="004E3BFD">
            <w:pPr>
              <w:rPr>
                <w:bCs/>
              </w:rPr>
            </w:pPr>
            <w:r>
              <w:rPr>
                <w:bCs/>
              </w:rPr>
              <w:t>(b)</w:t>
            </w:r>
            <w:r w:rsidRPr="000A5D3A">
              <w:rPr>
                <w:bCs/>
              </w:rPr>
              <w:t xml:space="preserve">(2) No later than 5 calendar days after the pressure release, the pressure relief device shall be monitored to confirm the conditions of no detectable emissions, as indicated by an instrument reading of less than 500 ppm above background, by the methods specified in § 60.485(c). </w:t>
            </w:r>
          </w:p>
          <w:p w14:paraId="206871DF" w14:textId="77777777" w:rsidR="00124AB6" w:rsidRPr="000A5D3A" w:rsidRDefault="00124AB6" w:rsidP="004E3BFD">
            <w:pPr>
              <w:rPr>
                <w:bCs/>
              </w:rPr>
            </w:pPr>
          </w:p>
          <w:p w14:paraId="61E540C4" w14:textId="77777777" w:rsidR="00124AB6" w:rsidRPr="000A5D3A" w:rsidRDefault="00124AB6" w:rsidP="004E3BFD">
            <w:pPr>
              <w:rPr>
                <w:bCs/>
              </w:rPr>
            </w:pPr>
            <w:r w:rsidRPr="000A5D3A">
              <w:rPr>
                <w:bCs/>
              </w:rPr>
              <w:t xml:space="preserve">(c) Any pressure relief device that is routed to a process or fuel gas system or equipped with a closed vent system capable of capturing and transporting leakage through the pressure relief device to a control device as described in § 60.482–10 is exempted from the requirements of paragraphs (a) and (b) of this section. </w:t>
            </w:r>
          </w:p>
          <w:p w14:paraId="32F2875B" w14:textId="77777777" w:rsidR="00124AB6" w:rsidRPr="000A5D3A" w:rsidRDefault="00124AB6" w:rsidP="004E3BFD">
            <w:pPr>
              <w:rPr>
                <w:bCs/>
              </w:rPr>
            </w:pPr>
          </w:p>
          <w:p w14:paraId="1D3F73F8" w14:textId="77777777" w:rsidR="00124AB6" w:rsidRPr="000A5D3A" w:rsidRDefault="00124AB6" w:rsidP="004E3BFD">
            <w:pPr>
              <w:rPr>
                <w:bCs/>
              </w:rPr>
            </w:pPr>
            <w:r w:rsidRPr="000A5D3A">
              <w:rPr>
                <w:bCs/>
              </w:rPr>
              <w:t xml:space="preserve">(d)(1) Any pressure relief device that is equipped with a rupture disk upstream of the pressure relief device is exempt from the requirements of paragraphs (a) and (b) of this section, provided the owner or operator complies with the requirements in paragraph (d)(2) of this section. </w:t>
            </w:r>
          </w:p>
          <w:p w14:paraId="2650B6A1" w14:textId="77777777" w:rsidR="00124AB6" w:rsidRPr="000A5D3A" w:rsidRDefault="00124AB6" w:rsidP="004E3BFD">
            <w:pPr>
              <w:rPr>
                <w:bCs/>
              </w:rPr>
            </w:pPr>
          </w:p>
          <w:p w14:paraId="017B078C" w14:textId="77777777" w:rsidR="00124AB6" w:rsidRPr="001B6EC4" w:rsidRDefault="00124AB6" w:rsidP="004E3BFD">
            <w:pPr>
              <w:rPr>
                <w:b/>
              </w:rPr>
            </w:pPr>
            <w:r>
              <w:rPr>
                <w:bCs/>
              </w:rPr>
              <w:t>(d)</w:t>
            </w:r>
            <w:r w:rsidRPr="000A5D3A">
              <w:rPr>
                <w:bCs/>
              </w:rPr>
              <w:t>(2) After each pressure release, a new rupture disk shall be installed upstream of the pressure relief device as soon as practicable, but no later than 5 calendar days after each pressure release, except as provided in §60.482–9.</w:t>
            </w:r>
          </w:p>
        </w:tc>
      </w:tr>
      <w:tr w:rsidR="00124AB6" w:rsidRPr="000A5D3A" w14:paraId="5D887926"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7" w:type="dxa"/>
          </w:tcPr>
          <w:p w14:paraId="2D800352" w14:textId="77777777" w:rsidR="00124AB6" w:rsidRPr="000179B0" w:rsidRDefault="00124AB6" w:rsidP="004E3BFD">
            <w:pPr>
              <w:pStyle w:val="BNum"/>
            </w:pPr>
          </w:p>
        </w:tc>
        <w:tc>
          <w:tcPr>
            <w:tcW w:w="9433" w:type="dxa"/>
          </w:tcPr>
          <w:p w14:paraId="230C334A" w14:textId="77777777" w:rsidR="00124AB6" w:rsidRPr="001B6EC4" w:rsidRDefault="00124AB6" w:rsidP="004E3BFD">
            <w:r w:rsidRPr="001B6EC4">
              <w:rPr>
                <w:b/>
              </w:rPr>
              <w:t>Emission Unit ID:</w:t>
            </w:r>
            <w:r>
              <w:t xml:space="preserve"> 06, 07</w:t>
            </w:r>
          </w:p>
          <w:p w14:paraId="261850D6" w14:textId="77777777" w:rsidR="00124AB6" w:rsidRDefault="00124AB6" w:rsidP="004E3BFD">
            <w:r w:rsidRPr="009A00D8">
              <w:rPr>
                <w:b/>
              </w:rPr>
              <w:t>Equipment ID:</w:t>
            </w:r>
            <w:r w:rsidRPr="009A00D8">
              <w:t xml:space="preserve"> </w:t>
            </w:r>
            <w:r w:rsidRPr="00A04999">
              <w:t>R-6, R-7</w:t>
            </w:r>
            <w:r>
              <w:t xml:space="preserve">, R-11, R-12 </w:t>
            </w:r>
          </w:p>
          <w:p w14:paraId="0DE1E901" w14:textId="77777777" w:rsidR="00124AB6" w:rsidRDefault="00124AB6" w:rsidP="004E3BFD">
            <w:r w:rsidRPr="009A00D8">
              <w:rPr>
                <w:b/>
              </w:rPr>
              <w:t>Control Device ID:</w:t>
            </w:r>
            <w:r w:rsidRPr="009A00D8">
              <w:t xml:space="preserve"> </w:t>
            </w:r>
            <w:r>
              <w:t>NP-1</w:t>
            </w:r>
          </w:p>
          <w:p w14:paraId="2EB474E0" w14:textId="77777777" w:rsidR="00124AB6" w:rsidRDefault="00124AB6" w:rsidP="004E3BFD"/>
          <w:p w14:paraId="5BF480FA" w14:textId="77777777" w:rsidR="00124AB6" w:rsidRDefault="00124AB6" w:rsidP="004E3BFD">
            <w:r>
              <w:t>40CFR60.482-5 Standards: Sampling connection systems.</w:t>
            </w:r>
          </w:p>
          <w:p w14:paraId="4E04DB39" w14:textId="77777777" w:rsidR="00124AB6" w:rsidRDefault="00124AB6" w:rsidP="004E3BFD">
            <w:pPr>
              <w:rPr>
                <w:b/>
              </w:rPr>
            </w:pPr>
          </w:p>
          <w:p w14:paraId="2B5B02D5" w14:textId="77777777" w:rsidR="00124AB6" w:rsidRPr="000A5D3A" w:rsidRDefault="00124AB6" w:rsidP="004E3BFD">
            <w:pPr>
              <w:rPr>
                <w:bCs/>
              </w:rPr>
            </w:pPr>
            <w:r>
              <w:rPr>
                <w:bCs/>
              </w:rPr>
              <w:t>(c)</w:t>
            </w:r>
            <w:r>
              <w:t xml:space="preserve"> </w:t>
            </w:r>
            <w:r w:rsidRPr="000A5D3A">
              <w:rPr>
                <w:bCs/>
              </w:rPr>
              <w:t>In situ sampling systems and sampling systems without purges are exempt from the requirements of paragraphs (a) and (b) of this section.</w:t>
            </w:r>
          </w:p>
        </w:tc>
      </w:tr>
      <w:tr w:rsidR="00124AB6" w:rsidRPr="000A5D3A" w14:paraId="432ACFE5"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7" w:type="dxa"/>
          </w:tcPr>
          <w:p w14:paraId="579C837D" w14:textId="77777777" w:rsidR="00124AB6" w:rsidRPr="000A5D3A" w:rsidRDefault="00124AB6" w:rsidP="004E3BFD">
            <w:pPr>
              <w:pStyle w:val="BNum"/>
              <w:rPr>
                <w:bCs/>
              </w:rPr>
            </w:pPr>
          </w:p>
        </w:tc>
        <w:tc>
          <w:tcPr>
            <w:tcW w:w="9433" w:type="dxa"/>
          </w:tcPr>
          <w:p w14:paraId="2A6D46B3" w14:textId="77777777" w:rsidR="00124AB6" w:rsidRPr="001B6EC4" w:rsidRDefault="00124AB6" w:rsidP="004E3BFD">
            <w:r w:rsidRPr="001B6EC4">
              <w:rPr>
                <w:b/>
              </w:rPr>
              <w:t>Emission Unit ID:</w:t>
            </w:r>
            <w:r>
              <w:t xml:space="preserve"> 06, 07</w:t>
            </w:r>
          </w:p>
          <w:p w14:paraId="3D3E1745" w14:textId="77777777" w:rsidR="00124AB6" w:rsidRDefault="00124AB6" w:rsidP="004E3BFD">
            <w:r w:rsidRPr="009A00D8">
              <w:rPr>
                <w:b/>
              </w:rPr>
              <w:t>Equipment ID:</w:t>
            </w:r>
            <w:r w:rsidRPr="009A00D8">
              <w:t xml:space="preserve"> </w:t>
            </w:r>
            <w:r w:rsidRPr="00A04999">
              <w:t>R-6, R-7</w:t>
            </w:r>
            <w:r>
              <w:t xml:space="preserve">, R-11, R-12 </w:t>
            </w:r>
          </w:p>
          <w:p w14:paraId="120F8E88" w14:textId="77777777" w:rsidR="00124AB6" w:rsidRDefault="00124AB6" w:rsidP="004E3BFD">
            <w:r w:rsidRPr="009A00D8">
              <w:rPr>
                <w:b/>
              </w:rPr>
              <w:t>Control Device ID:</w:t>
            </w:r>
            <w:r w:rsidRPr="009A00D8">
              <w:t xml:space="preserve"> </w:t>
            </w:r>
            <w:r>
              <w:t>NP-1</w:t>
            </w:r>
          </w:p>
          <w:p w14:paraId="79DBB06C" w14:textId="77777777" w:rsidR="00124AB6" w:rsidRDefault="00124AB6" w:rsidP="004E3BFD">
            <w:pPr>
              <w:rPr>
                <w:bCs/>
              </w:rPr>
            </w:pPr>
          </w:p>
          <w:p w14:paraId="7C0C2833" w14:textId="77777777" w:rsidR="00124AB6" w:rsidRPr="000A5D3A" w:rsidRDefault="00124AB6" w:rsidP="004E3BFD">
            <w:pPr>
              <w:rPr>
                <w:bCs/>
              </w:rPr>
            </w:pPr>
            <w:r>
              <w:rPr>
                <w:bCs/>
              </w:rPr>
              <w:t>40CFR</w:t>
            </w:r>
            <w:r w:rsidRPr="000A5D3A">
              <w:rPr>
                <w:bCs/>
              </w:rPr>
              <w:t>60.482-6 Standards: Open-ended valves or lines.</w:t>
            </w:r>
          </w:p>
          <w:p w14:paraId="796F2E3A" w14:textId="77777777" w:rsidR="00124AB6" w:rsidRPr="000A5D3A" w:rsidRDefault="00124AB6" w:rsidP="004E3BFD">
            <w:pPr>
              <w:rPr>
                <w:bCs/>
              </w:rPr>
            </w:pPr>
          </w:p>
          <w:p w14:paraId="394D5118" w14:textId="77777777" w:rsidR="00124AB6" w:rsidRPr="000A5D3A" w:rsidRDefault="00124AB6" w:rsidP="004E3BFD">
            <w:pPr>
              <w:rPr>
                <w:bCs/>
              </w:rPr>
            </w:pPr>
            <w:r w:rsidRPr="000A5D3A">
              <w:rPr>
                <w:bCs/>
              </w:rPr>
              <w:t xml:space="preserve">(a)(1) Each open-ended valve or line shall be equipped with a cap, blind flange, plug, or a second valve, except as provided in § 60.482–1(c) and paragraphs (d) and (e) of this section. </w:t>
            </w:r>
          </w:p>
          <w:p w14:paraId="662CE074" w14:textId="77777777" w:rsidR="00124AB6" w:rsidRPr="000A5D3A" w:rsidRDefault="00124AB6" w:rsidP="004E3BFD">
            <w:pPr>
              <w:rPr>
                <w:bCs/>
              </w:rPr>
            </w:pPr>
          </w:p>
          <w:p w14:paraId="62ABC111" w14:textId="77777777" w:rsidR="00124AB6" w:rsidRPr="000A5D3A" w:rsidRDefault="00124AB6" w:rsidP="004E3BFD">
            <w:pPr>
              <w:rPr>
                <w:bCs/>
              </w:rPr>
            </w:pPr>
            <w:r>
              <w:rPr>
                <w:bCs/>
              </w:rPr>
              <w:t>(a)</w:t>
            </w:r>
            <w:r w:rsidRPr="000A5D3A">
              <w:rPr>
                <w:bCs/>
              </w:rPr>
              <w:t xml:space="preserve">(2) The cap, blind flange, plug, or second valve shall </w:t>
            </w:r>
            <w:proofErr w:type="gramStart"/>
            <w:r w:rsidRPr="000A5D3A">
              <w:rPr>
                <w:bCs/>
              </w:rPr>
              <w:t>seal the open end at all times</w:t>
            </w:r>
            <w:proofErr w:type="gramEnd"/>
            <w:r w:rsidRPr="000A5D3A">
              <w:rPr>
                <w:bCs/>
              </w:rPr>
              <w:t xml:space="preserve"> except during operations requiring process fluid flow through the open-ended valve or line. </w:t>
            </w:r>
          </w:p>
          <w:p w14:paraId="721A9DD6" w14:textId="77777777" w:rsidR="00124AB6" w:rsidRPr="000A5D3A" w:rsidRDefault="00124AB6" w:rsidP="004E3BFD">
            <w:pPr>
              <w:rPr>
                <w:bCs/>
              </w:rPr>
            </w:pPr>
          </w:p>
          <w:p w14:paraId="022613D5" w14:textId="77777777" w:rsidR="00124AB6" w:rsidRPr="000A5D3A" w:rsidRDefault="00124AB6" w:rsidP="004E3BFD">
            <w:pPr>
              <w:rPr>
                <w:bCs/>
              </w:rPr>
            </w:pPr>
            <w:r w:rsidRPr="000A5D3A">
              <w:rPr>
                <w:bCs/>
              </w:rPr>
              <w:t xml:space="preserve">(b) Each open-ended valve or line equipped with a second valve shall be operated in a manner such that the valve on the process fluid end is closed before the second valve is closed. </w:t>
            </w:r>
          </w:p>
          <w:p w14:paraId="09D373E0" w14:textId="77777777" w:rsidR="00124AB6" w:rsidRPr="000A5D3A" w:rsidRDefault="00124AB6" w:rsidP="004E3BFD">
            <w:pPr>
              <w:rPr>
                <w:bCs/>
              </w:rPr>
            </w:pPr>
          </w:p>
          <w:p w14:paraId="10111346" w14:textId="77777777" w:rsidR="00124AB6" w:rsidRPr="000A5D3A" w:rsidRDefault="00124AB6" w:rsidP="004E3BFD">
            <w:pPr>
              <w:rPr>
                <w:bCs/>
              </w:rPr>
            </w:pPr>
            <w:r w:rsidRPr="000A5D3A">
              <w:rPr>
                <w:bCs/>
              </w:rPr>
              <w:t xml:space="preserve">(c) When a double block-and-bleed system is being used, the bleed valve or line may remain open during operations that require venting the line between the block valves but shall comply with paragraph (a) at all other times. </w:t>
            </w:r>
          </w:p>
          <w:p w14:paraId="7A1D260E" w14:textId="77777777" w:rsidR="00124AB6" w:rsidRPr="000A5D3A" w:rsidRDefault="00124AB6" w:rsidP="004E3BFD">
            <w:pPr>
              <w:rPr>
                <w:bCs/>
              </w:rPr>
            </w:pPr>
          </w:p>
          <w:p w14:paraId="4B49DC89" w14:textId="77777777" w:rsidR="00124AB6" w:rsidRPr="000A5D3A" w:rsidRDefault="00124AB6" w:rsidP="004E3BFD">
            <w:pPr>
              <w:rPr>
                <w:bCs/>
              </w:rPr>
            </w:pPr>
            <w:r w:rsidRPr="000A5D3A">
              <w:rPr>
                <w:bCs/>
              </w:rPr>
              <w:t xml:space="preserve">(d) Open-ended valves or lines in an emergency shutdown system which are designed to open automatically in the event of a process upset are exempt from the requirements of paragraphs (a), (b) and (c) of this section. </w:t>
            </w:r>
          </w:p>
          <w:p w14:paraId="6B9E5626" w14:textId="77777777" w:rsidR="00124AB6" w:rsidRPr="000A5D3A" w:rsidRDefault="00124AB6" w:rsidP="004E3BFD">
            <w:pPr>
              <w:rPr>
                <w:bCs/>
              </w:rPr>
            </w:pPr>
          </w:p>
          <w:p w14:paraId="345BDC9A" w14:textId="77777777" w:rsidR="00124AB6" w:rsidRPr="000A5D3A" w:rsidRDefault="00124AB6" w:rsidP="004E3BFD">
            <w:pPr>
              <w:rPr>
                <w:bCs/>
              </w:rPr>
            </w:pPr>
            <w:r w:rsidRPr="000A5D3A">
              <w:rPr>
                <w:bCs/>
              </w:rPr>
              <w:t>(e) Open-ended valves or lines containing materials which would autocatalytically polymerize or would present an explosion, serious overpressure, or other safety hazard if capped or equipped with a double block and bleed system as specified in paragraphs (a) through (c) of this section are exempt from the requirements of paragraphs (a) through (c) of this section.</w:t>
            </w:r>
          </w:p>
        </w:tc>
      </w:tr>
      <w:tr w:rsidR="00124AB6" w:rsidRPr="001B6EC4" w14:paraId="0408D656"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val="0"/>
          <w:trHeight w:val="432"/>
        </w:trPr>
        <w:tc>
          <w:tcPr>
            <w:tcW w:w="1367" w:type="dxa"/>
          </w:tcPr>
          <w:p w14:paraId="5C7656C3" w14:textId="77777777" w:rsidR="00124AB6" w:rsidRPr="000A5D3A" w:rsidRDefault="00124AB6" w:rsidP="004E3BFD">
            <w:pPr>
              <w:pStyle w:val="BNum"/>
              <w:rPr>
                <w:bCs/>
              </w:rPr>
            </w:pPr>
          </w:p>
        </w:tc>
        <w:tc>
          <w:tcPr>
            <w:tcW w:w="9433" w:type="dxa"/>
          </w:tcPr>
          <w:p w14:paraId="42EB571F" w14:textId="77777777" w:rsidR="00124AB6" w:rsidRPr="001B6EC4" w:rsidRDefault="00124AB6" w:rsidP="004E3BFD">
            <w:r w:rsidRPr="001B6EC4">
              <w:rPr>
                <w:b/>
              </w:rPr>
              <w:t>Emission Unit ID:</w:t>
            </w:r>
            <w:r>
              <w:t xml:space="preserve"> 06, 07</w:t>
            </w:r>
          </w:p>
          <w:p w14:paraId="597A29C2" w14:textId="77777777" w:rsidR="00124AB6" w:rsidRDefault="00124AB6" w:rsidP="004E3BFD">
            <w:r w:rsidRPr="009A00D8">
              <w:rPr>
                <w:b/>
              </w:rPr>
              <w:t>Equipment ID:</w:t>
            </w:r>
            <w:r w:rsidRPr="009A00D8">
              <w:t xml:space="preserve"> </w:t>
            </w:r>
            <w:r w:rsidRPr="00A04999">
              <w:t>R-6, R-7</w:t>
            </w:r>
            <w:r>
              <w:t xml:space="preserve">, R-11, R-12 </w:t>
            </w:r>
          </w:p>
          <w:p w14:paraId="3EA0EE17" w14:textId="77777777" w:rsidR="00124AB6" w:rsidRDefault="00124AB6" w:rsidP="004E3BFD">
            <w:r w:rsidRPr="009A00D8">
              <w:rPr>
                <w:b/>
              </w:rPr>
              <w:t>Control Device ID:</w:t>
            </w:r>
            <w:r w:rsidRPr="009A00D8">
              <w:t xml:space="preserve"> </w:t>
            </w:r>
            <w:r>
              <w:t>NP-1</w:t>
            </w:r>
          </w:p>
          <w:p w14:paraId="3EDAB070" w14:textId="77777777" w:rsidR="00124AB6" w:rsidRDefault="00124AB6" w:rsidP="004E3BFD">
            <w:pPr>
              <w:rPr>
                <w:b/>
              </w:rPr>
            </w:pPr>
          </w:p>
          <w:p w14:paraId="66AF887C" w14:textId="77777777" w:rsidR="00124AB6" w:rsidRPr="000A5D3A" w:rsidRDefault="00124AB6" w:rsidP="004E3BFD">
            <w:pPr>
              <w:rPr>
                <w:bCs/>
              </w:rPr>
            </w:pPr>
            <w:r w:rsidRPr="000A5D3A">
              <w:rPr>
                <w:bCs/>
              </w:rPr>
              <w:t>60.482-7 Standards: Valves in gas/vapor service and in light liquid service.</w:t>
            </w:r>
          </w:p>
          <w:p w14:paraId="7713E80B" w14:textId="77777777" w:rsidR="00124AB6" w:rsidRPr="000A5D3A" w:rsidRDefault="00124AB6" w:rsidP="004E3BFD">
            <w:pPr>
              <w:rPr>
                <w:bCs/>
              </w:rPr>
            </w:pPr>
          </w:p>
          <w:p w14:paraId="51B9D685" w14:textId="77777777" w:rsidR="00124AB6" w:rsidRPr="000A5D3A" w:rsidRDefault="00124AB6" w:rsidP="004E3BFD">
            <w:pPr>
              <w:rPr>
                <w:bCs/>
              </w:rPr>
            </w:pPr>
            <w:r w:rsidRPr="000A5D3A">
              <w:rPr>
                <w:bCs/>
              </w:rPr>
              <w:t xml:space="preserve">(a)(1) Each valve shall be monitored monthly to detect leaks by the methods specified in § 60.485(b) and shall comply with paragraphs (b) through (e) of this section, except as provided in paragraphs (f), (g), and (h) of this section, § 60.482–1(c) and (f), and §§ 60.483–1 and 60.483–2. </w:t>
            </w:r>
          </w:p>
          <w:p w14:paraId="61679524" w14:textId="77777777" w:rsidR="00124AB6" w:rsidRPr="000A5D3A" w:rsidRDefault="00124AB6" w:rsidP="004E3BFD">
            <w:pPr>
              <w:rPr>
                <w:bCs/>
              </w:rPr>
            </w:pPr>
          </w:p>
          <w:p w14:paraId="5DD16456" w14:textId="77777777" w:rsidR="00124AB6" w:rsidRPr="000A5D3A" w:rsidRDefault="00124AB6" w:rsidP="004E3BFD">
            <w:pPr>
              <w:rPr>
                <w:bCs/>
              </w:rPr>
            </w:pPr>
            <w:r>
              <w:rPr>
                <w:bCs/>
              </w:rPr>
              <w:t>(a)</w:t>
            </w:r>
            <w:r w:rsidRPr="000A5D3A">
              <w:rPr>
                <w:bCs/>
              </w:rPr>
              <w:t>(2) A valve that begins operation in gas/vapor service or light liquid service after the initial startup date for the process unit must be monitored according to paragraphs (a)(2)(</w:t>
            </w:r>
            <w:proofErr w:type="spellStart"/>
            <w:r w:rsidRPr="000A5D3A">
              <w:rPr>
                <w:bCs/>
              </w:rPr>
              <w:t>i</w:t>
            </w:r>
            <w:proofErr w:type="spellEnd"/>
            <w:r w:rsidRPr="000A5D3A">
              <w:rPr>
                <w:bCs/>
              </w:rPr>
              <w:t xml:space="preserve">) or (ii), except for a valve that replaces a leaking valve and except as provided in paragraphs (f), (g), and (h) of this section, § 60.482–1(c), and §§ 60.483–1 and 60.483–2. </w:t>
            </w:r>
          </w:p>
          <w:p w14:paraId="4503246A" w14:textId="77777777" w:rsidR="00124AB6" w:rsidRPr="000A5D3A" w:rsidRDefault="00124AB6" w:rsidP="004E3BFD">
            <w:pPr>
              <w:rPr>
                <w:bCs/>
              </w:rPr>
            </w:pPr>
          </w:p>
          <w:p w14:paraId="2498C2F0" w14:textId="77777777" w:rsidR="00124AB6" w:rsidRPr="000A5D3A" w:rsidRDefault="00124AB6" w:rsidP="004E3BFD">
            <w:pPr>
              <w:rPr>
                <w:bCs/>
              </w:rPr>
            </w:pPr>
            <w:r>
              <w:rPr>
                <w:bCs/>
              </w:rPr>
              <w:t>(a)(2)</w:t>
            </w:r>
            <w:r w:rsidRPr="000A5D3A">
              <w:rPr>
                <w:bCs/>
              </w:rPr>
              <w:t>(</w:t>
            </w:r>
            <w:proofErr w:type="spellStart"/>
            <w:r w:rsidRPr="000A5D3A">
              <w:rPr>
                <w:bCs/>
              </w:rPr>
              <w:t>i</w:t>
            </w:r>
            <w:proofErr w:type="spellEnd"/>
            <w:r w:rsidRPr="000A5D3A">
              <w:rPr>
                <w:bCs/>
              </w:rPr>
              <w:t xml:space="preserve">) Monitor the valve as in paragraph (a)(1) of this section. The valve must be monitored for the first time within 30 days after the end of its startup period to ensure proper installation. </w:t>
            </w:r>
          </w:p>
          <w:p w14:paraId="137B2F28" w14:textId="77777777" w:rsidR="00124AB6" w:rsidRPr="000A5D3A" w:rsidRDefault="00124AB6" w:rsidP="004E3BFD">
            <w:pPr>
              <w:rPr>
                <w:bCs/>
              </w:rPr>
            </w:pPr>
          </w:p>
          <w:p w14:paraId="77CCCD52" w14:textId="77777777" w:rsidR="00124AB6" w:rsidRPr="000A5D3A" w:rsidRDefault="00124AB6" w:rsidP="004E3BFD">
            <w:pPr>
              <w:rPr>
                <w:bCs/>
              </w:rPr>
            </w:pPr>
            <w:r>
              <w:rPr>
                <w:bCs/>
              </w:rPr>
              <w:t>(a)(2)</w:t>
            </w:r>
            <w:r w:rsidRPr="000A5D3A">
              <w:rPr>
                <w:bCs/>
              </w:rPr>
              <w:t xml:space="preserve">(ii) If the valves on the process unit are monitored in accordance with § 60.483–1 or § 60.483–2, count the new valve as leaking when calculating the percentage of valves leaking as described in § 60.483–2(b)(5). If less than 2.0 percent of the valves are leaking for that process unit, the valve must be monitored for the first time during the next scheduled monitoring event for existing valves in the process unit or within 90 days, whichever comes first. </w:t>
            </w:r>
          </w:p>
          <w:p w14:paraId="06EDC10C" w14:textId="77777777" w:rsidR="00124AB6" w:rsidRPr="000A5D3A" w:rsidRDefault="00124AB6" w:rsidP="004E3BFD">
            <w:pPr>
              <w:rPr>
                <w:bCs/>
              </w:rPr>
            </w:pPr>
          </w:p>
          <w:p w14:paraId="6A139F61" w14:textId="77777777" w:rsidR="00124AB6" w:rsidRPr="000A5D3A" w:rsidRDefault="00124AB6" w:rsidP="004E3BFD">
            <w:pPr>
              <w:rPr>
                <w:bCs/>
              </w:rPr>
            </w:pPr>
            <w:r w:rsidRPr="000A5D3A">
              <w:rPr>
                <w:bCs/>
              </w:rPr>
              <w:t xml:space="preserve">(b) If an instrument reading of 10,000 ppm or greater is measured, a leak is detected. </w:t>
            </w:r>
          </w:p>
          <w:p w14:paraId="0DD64B05" w14:textId="77777777" w:rsidR="00124AB6" w:rsidRPr="000A5D3A" w:rsidRDefault="00124AB6" w:rsidP="004E3BFD">
            <w:pPr>
              <w:rPr>
                <w:bCs/>
              </w:rPr>
            </w:pPr>
          </w:p>
          <w:p w14:paraId="7108BF2D" w14:textId="77777777" w:rsidR="00124AB6" w:rsidRPr="000A5D3A" w:rsidRDefault="00124AB6" w:rsidP="004E3BFD">
            <w:pPr>
              <w:rPr>
                <w:bCs/>
              </w:rPr>
            </w:pPr>
            <w:r w:rsidRPr="000A5D3A">
              <w:rPr>
                <w:bCs/>
              </w:rPr>
              <w:t>(c)(1)(</w:t>
            </w:r>
            <w:proofErr w:type="spellStart"/>
            <w:r w:rsidRPr="000A5D3A">
              <w:rPr>
                <w:bCs/>
              </w:rPr>
              <w:t>i</w:t>
            </w:r>
            <w:proofErr w:type="spellEnd"/>
            <w:r w:rsidRPr="000A5D3A">
              <w:rPr>
                <w:bCs/>
              </w:rPr>
              <w:t xml:space="preserve">) Any valve for which a leak is not detected for 2 successive months may be monitored the first month of every quarter, beginning with the next quarter, until a leak is detected. </w:t>
            </w:r>
          </w:p>
          <w:p w14:paraId="779B22AC" w14:textId="77777777" w:rsidR="00124AB6" w:rsidRPr="000A5D3A" w:rsidRDefault="00124AB6" w:rsidP="004E3BFD">
            <w:pPr>
              <w:rPr>
                <w:bCs/>
              </w:rPr>
            </w:pPr>
          </w:p>
          <w:p w14:paraId="158E0E1B" w14:textId="77777777" w:rsidR="00124AB6" w:rsidRPr="000A5D3A" w:rsidRDefault="00124AB6" w:rsidP="004E3BFD">
            <w:pPr>
              <w:rPr>
                <w:bCs/>
              </w:rPr>
            </w:pPr>
            <w:r>
              <w:rPr>
                <w:bCs/>
              </w:rPr>
              <w:t>(c)(1)</w:t>
            </w:r>
            <w:r w:rsidRPr="000A5D3A">
              <w:rPr>
                <w:bCs/>
              </w:rPr>
              <w:t xml:space="preserve">(ii) As an alternative to monitoring </w:t>
            </w:r>
            <w:proofErr w:type="gramStart"/>
            <w:r w:rsidRPr="000A5D3A">
              <w:rPr>
                <w:bCs/>
              </w:rPr>
              <w:t>all of</w:t>
            </w:r>
            <w:proofErr w:type="gramEnd"/>
            <w:r w:rsidRPr="000A5D3A">
              <w:rPr>
                <w:bCs/>
              </w:rPr>
              <w:t xml:space="preserve"> the valves in the first month of a quarter, an owner or operator may elect to subdivide the process unit into 2 or 3 subgroups of valves and monitor each subgroup in a different month during the quarter, provided each subgroup is monitored every 3 months. The owner or operator must keep records of the valves assigned to each subgroup. </w:t>
            </w:r>
          </w:p>
          <w:p w14:paraId="05BFF1C3" w14:textId="77777777" w:rsidR="00124AB6" w:rsidRPr="000A5D3A" w:rsidRDefault="00124AB6" w:rsidP="004E3BFD">
            <w:pPr>
              <w:rPr>
                <w:bCs/>
              </w:rPr>
            </w:pPr>
          </w:p>
          <w:p w14:paraId="2FAA720D" w14:textId="77777777" w:rsidR="00124AB6" w:rsidRPr="000A5D3A" w:rsidRDefault="00124AB6" w:rsidP="004E3BFD">
            <w:pPr>
              <w:rPr>
                <w:bCs/>
              </w:rPr>
            </w:pPr>
            <w:r>
              <w:rPr>
                <w:bCs/>
              </w:rPr>
              <w:t>(c)</w:t>
            </w:r>
            <w:r w:rsidRPr="000A5D3A">
              <w:rPr>
                <w:bCs/>
              </w:rPr>
              <w:t xml:space="preserve">(2) If a leak is detected, the valve shall be monitored monthly until a leak is not detected for 2 successive months. </w:t>
            </w:r>
          </w:p>
          <w:p w14:paraId="38E616A5" w14:textId="77777777" w:rsidR="00124AB6" w:rsidRPr="000A5D3A" w:rsidRDefault="00124AB6" w:rsidP="004E3BFD">
            <w:pPr>
              <w:rPr>
                <w:bCs/>
              </w:rPr>
            </w:pPr>
          </w:p>
          <w:p w14:paraId="6DFF7B13" w14:textId="77777777" w:rsidR="00124AB6" w:rsidRPr="000A5D3A" w:rsidRDefault="00124AB6" w:rsidP="004E3BFD">
            <w:pPr>
              <w:rPr>
                <w:bCs/>
              </w:rPr>
            </w:pPr>
            <w:r w:rsidRPr="000A5D3A">
              <w:rPr>
                <w:bCs/>
              </w:rPr>
              <w:t xml:space="preserve">(d)(1) When a leak is detected, it shall be repaired as soon as practicable, but no later than 15 calendar days after the leak is detected, except as provided in §60.482–9. </w:t>
            </w:r>
          </w:p>
          <w:p w14:paraId="7D217E83" w14:textId="77777777" w:rsidR="00124AB6" w:rsidRPr="000A5D3A" w:rsidRDefault="00124AB6" w:rsidP="004E3BFD">
            <w:pPr>
              <w:rPr>
                <w:bCs/>
              </w:rPr>
            </w:pPr>
          </w:p>
          <w:p w14:paraId="08FF561D" w14:textId="77777777" w:rsidR="00124AB6" w:rsidRPr="000A5D3A" w:rsidRDefault="00124AB6" w:rsidP="004E3BFD">
            <w:pPr>
              <w:rPr>
                <w:bCs/>
              </w:rPr>
            </w:pPr>
            <w:r>
              <w:rPr>
                <w:bCs/>
              </w:rPr>
              <w:t>(d)</w:t>
            </w:r>
            <w:r w:rsidRPr="000A5D3A">
              <w:rPr>
                <w:bCs/>
              </w:rPr>
              <w:t xml:space="preserve">(2) A first attempt at repair shall be made no later than 5 calendar days after each leak is detected. </w:t>
            </w:r>
          </w:p>
          <w:p w14:paraId="46974704" w14:textId="77777777" w:rsidR="00124AB6" w:rsidRPr="000A5D3A" w:rsidRDefault="00124AB6" w:rsidP="004E3BFD">
            <w:pPr>
              <w:rPr>
                <w:bCs/>
              </w:rPr>
            </w:pPr>
          </w:p>
          <w:p w14:paraId="348C2BF0" w14:textId="77777777" w:rsidR="00124AB6" w:rsidRPr="000A5D3A" w:rsidRDefault="00124AB6" w:rsidP="004E3BFD">
            <w:pPr>
              <w:rPr>
                <w:bCs/>
              </w:rPr>
            </w:pPr>
            <w:r w:rsidRPr="000A5D3A">
              <w:rPr>
                <w:bCs/>
              </w:rPr>
              <w:t xml:space="preserve">(e) First attempts at repair include, but are not limited to, the following best practices where practicable: </w:t>
            </w:r>
          </w:p>
          <w:p w14:paraId="007E549B" w14:textId="77777777" w:rsidR="00124AB6" w:rsidRPr="000A5D3A" w:rsidRDefault="00124AB6" w:rsidP="004E3BFD">
            <w:pPr>
              <w:rPr>
                <w:bCs/>
              </w:rPr>
            </w:pPr>
          </w:p>
          <w:p w14:paraId="09807D8D" w14:textId="77777777" w:rsidR="00124AB6" w:rsidRPr="000A5D3A" w:rsidRDefault="00124AB6" w:rsidP="004E3BFD">
            <w:pPr>
              <w:rPr>
                <w:bCs/>
              </w:rPr>
            </w:pPr>
            <w:r>
              <w:rPr>
                <w:bCs/>
              </w:rPr>
              <w:t>(e)</w:t>
            </w:r>
            <w:r w:rsidRPr="000A5D3A">
              <w:rPr>
                <w:bCs/>
              </w:rPr>
              <w:t xml:space="preserve">(1) Tightening of bonnet </w:t>
            </w:r>
            <w:proofErr w:type="gramStart"/>
            <w:r w:rsidRPr="000A5D3A">
              <w:rPr>
                <w:bCs/>
              </w:rPr>
              <w:t>bolts;</w:t>
            </w:r>
            <w:proofErr w:type="gramEnd"/>
            <w:r w:rsidRPr="000A5D3A">
              <w:rPr>
                <w:bCs/>
              </w:rPr>
              <w:t xml:space="preserve"> </w:t>
            </w:r>
          </w:p>
          <w:p w14:paraId="215D4964" w14:textId="77777777" w:rsidR="00124AB6" w:rsidRPr="000A5D3A" w:rsidRDefault="00124AB6" w:rsidP="004E3BFD">
            <w:pPr>
              <w:rPr>
                <w:bCs/>
              </w:rPr>
            </w:pPr>
            <w:r>
              <w:rPr>
                <w:bCs/>
              </w:rPr>
              <w:t>(e)</w:t>
            </w:r>
            <w:r w:rsidRPr="000A5D3A">
              <w:rPr>
                <w:bCs/>
              </w:rPr>
              <w:t xml:space="preserve">(2) Replacement of bonnet </w:t>
            </w:r>
            <w:proofErr w:type="gramStart"/>
            <w:r w:rsidRPr="000A5D3A">
              <w:rPr>
                <w:bCs/>
              </w:rPr>
              <w:t>bolts;</w:t>
            </w:r>
            <w:proofErr w:type="gramEnd"/>
            <w:r w:rsidRPr="000A5D3A">
              <w:rPr>
                <w:bCs/>
              </w:rPr>
              <w:t xml:space="preserve"> </w:t>
            </w:r>
          </w:p>
          <w:p w14:paraId="12D54507" w14:textId="77777777" w:rsidR="00124AB6" w:rsidRPr="000A5D3A" w:rsidRDefault="00124AB6" w:rsidP="004E3BFD">
            <w:pPr>
              <w:rPr>
                <w:bCs/>
              </w:rPr>
            </w:pPr>
            <w:r>
              <w:rPr>
                <w:bCs/>
              </w:rPr>
              <w:t>(e)</w:t>
            </w:r>
            <w:r w:rsidRPr="000A5D3A">
              <w:rPr>
                <w:bCs/>
              </w:rPr>
              <w:t xml:space="preserve">(3) Tightening of packing gland </w:t>
            </w:r>
            <w:proofErr w:type="gramStart"/>
            <w:r w:rsidRPr="000A5D3A">
              <w:rPr>
                <w:bCs/>
              </w:rPr>
              <w:t>nuts;</w:t>
            </w:r>
            <w:proofErr w:type="gramEnd"/>
            <w:r w:rsidRPr="000A5D3A">
              <w:rPr>
                <w:bCs/>
              </w:rPr>
              <w:t xml:space="preserve"> </w:t>
            </w:r>
          </w:p>
          <w:p w14:paraId="1AC5E883" w14:textId="77777777" w:rsidR="00124AB6" w:rsidRPr="000A5D3A" w:rsidRDefault="00124AB6" w:rsidP="004E3BFD">
            <w:pPr>
              <w:rPr>
                <w:bCs/>
              </w:rPr>
            </w:pPr>
            <w:r>
              <w:rPr>
                <w:bCs/>
              </w:rPr>
              <w:t>(e)</w:t>
            </w:r>
            <w:r w:rsidRPr="000A5D3A">
              <w:rPr>
                <w:bCs/>
              </w:rPr>
              <w:t xml:space="preserve">(4) Injection of lubricant into lubricated packing. </w:t>
            </w:r>
          </w:p>
          <w:p w14:paraId="3575A5F2" w14:textId="77777777" w:rsidR="00124AB6" w:rsidRDefault="00124AB6" w:rsidP="004E3BFD">
            <w:pPr>
              <w:rPr>
                <w:bCs/>
              </w:rPr>
            </w:pPr>
          </w:p>
          <w:p w14:paraId="7D6C0785" w14:textId="77777777" w:rsidR="00124AB6" w:rsidRPr="000A5D3A" w:rsidRDefault="00124AB6" w:rsidP="004E3BFD">
            <w:pPr>
              <w:rPr>
                <w:bCs/>
              </w:rPr>
            </w:pPr>
            <w:r w:rsidRPr="000A5D3A">
              <w:rPr>
                <w:bCs/>
              </w:rPr>
              <w:t xml:space="preserve">(f) Any valve that is designated, as described in §60.486(e)(2), for no detectable emissions, as indicated by an instrument reading of less than 500 ppm above background, is exempt from the requirements of paragraph (a) if the valve: </w:t>
            </w:r>
          </w:p>
          <w:p w14:paraId="3469704E" w14:textId="77777777" w:rsidR="00124AB6" w:rsidRPr="000A5D3A" w:rsidRDefault="00124AB6" w:rsidP="004E3BFD">
            <w:pPr>
              <w:rPr>
                <w:bCs/>
              </w:rPr>
            </w:pPr>
          </w:p>
          <w:p w14:paraId="4C0624E5" w14:textId="77777777" w:rsidR="00124AB6" w:rsidRPr="000A5D3A" w:rsidRDefault="00124AB6" w:rsidP="004E3BFD">
            <w:pPr>
              <w:rPr>
                <w:bCs/>
              </w:rPr>
            </w:pPr>
            <w:r>
              <w:rPr>
                <w:bCs/>
              </w:rPr>
              <w:t>(f)</w:t>
            </w:r>
            <w:r w:rsidRPr="000A5D3A">
              <w:rPr>
                <w:bCs/>
              </w:rPr>
              <w:t xml:space="preserve">(1) Has no external actuating mechanism in contact with the process fluid, </w:t>
            </w:r>
          </w:p>
          <w:p w14:paraId="22C246C0" w14:textId="77777777" w:rsidR="00124AB6" w:rsidRDefault="00124AB6" w:rsidP="004E3BFD">
            <w:pPr>
              <w:rPr>
                <w:bCs/>
              </w:rPr>
            </w:pPr>
          </w:p>
          <w:p w14:paraId="1220FA43" w14:textId="77777777" w:rsidR="00124AB6" w:rsidRPr="000A5D3A" w:rsidRDefault="00124AB6" w:rsidP="004E3BFD">
            <w:pPr>
              <w:rPr>
                <w:bCs/>
              </w:rPr>
            </w:pPr>
            <w:r>
              <w:rPr>
                <w:bCs/>
              </w:rPr>
              <w:t>(f)</w:t>
            </w:r>
            <w:r w:rsidRPr="000A5D3A">
              <w:rPr>
                <w:bCs/>
              </w:rPr>
              <w:t xml:space="preserve">(2) Is operated with emissions less than 500 ppm above background as determined by the method specified in §60.485(c), and </w:t>
            </w:r>
          </w:p>
          <w:p w14:paraId="162D8CE5" w14:textId="77777777" w:rsidR="00124AB6" w:rsidRPr="000A5D3A" w:rsidRDefault="00124AB6" w:rsidP="004E3BFD">
            <w:pPr>
              <w:rPr>
                <w:bCs/>
              </w:rPr>
            </w:pPr>
          </w:p>
          <w:p w14:paraId="6C82FBA4" w14:textId="77777777" w:rsidR="00124AB6" w:rsidRPr="000A5D3A" w:rsidRDefault="00124AB6" w:rsidP="004E3BFD">
            <w:pPr>
              <w:rPr>
                <w:bCs/>
              </w:rPr>
            </w:pPr>
            <w:r>
              <w:rPr>
                <w:bCs/>
              </w:rPr>
              <w:t>(f)</w:t>
            </w:r>
            <w:r w:rsidRPr="000A5D3A">
              <w:rPr>
                <w:bCs/>
              </w:rPr>
              <w:t xml:space="preserve">(3) Is tested for compliance with paragraph (f)(2) of this section initially upon designation, annually, and at other times requested by the Administrator. </w:t>
            </w:r>
          </w:p>
          <w:p w14:paraId="77FCA33C" w14:textId="77777777" w:rsidR="00124AB6" w:rsidRPr="000A5D3A" w:rsidRDefault="00124AB6" w:rsidP="004E3BFD">
            <w:pPr>
              <w:rPr>
                <w:bCs/>
              </w:rPr>
            </w:pPr>
          </w:p>
          <w:p w14:paraId="320F1AED" w14:textId="77777777" w:rsidR="00124AB6" w:rsidRPr="000A5D3A" w:rsidRDefault="00124AB6" w:rsidP="004E3BFD">
            <w:pPr>
              <w:rPr>
                <w:bCs/>
              </w:rPr>
            </w:pPr>
            <w:r w:rsidRPr="000A5D3A">
              <w:rPr>
                <w:bCs/>
              </w:rPr>
              <w:t xml:space="preserve">(g) Any valve that is designated, as described in § 60.486(f)(1), as an unsafe-to-monitor valve is exempt from the requirements of paragraph (a) if: </w:t>
            </w:r>
          </w:p>
          <w:p w14:paraId="0888BFC2" w14:textId="77777777" w:rsidR="00124AB6" w:rsidRPr="000A5D3A" w:rsidRDefault="00124AB6" w:rsidP="004E3BFD">
            <w:pPr>
              <w:rPr>
                <w:bCs/>
              </w:rPr>
            </w:pPr>
          </w:p>
          <w:p w14:paraId="013117CC" w14:textId="77777777" w:rsidR="00124AB6" w:rsidRPr="000A5D3A" w:rsidRDefault="00124AB6" w:rsidP="004E3BFD">
            <w:pPr>
              <w:rPr>
                <w:bCs/>
              </w:rPr>
            </w:pPr>
            <w:r>
              <w:rPr>
                <w:bCs/>
              </w:rPr>
              <w:t>(g)</w:t>
            </w:r>
            <w:r w:rsidRPr="000A5D3A">
              <w:rPr>
                <w:bCs/>
              </w:rPr>
              <w:t xml:space="preserve">(1) The owner or operator of the valve demonstrates that the valve is unsafe to monitor because monitoring personnel would be exposed to an immediate danger </w:t>
            </w:r>
            <w:proofErr w:type="gramStart"/>
            <w:r w:rsidRPr="000A5D3A">
              <w:rPr>
                <w:bCs/>
              </w:rPr>
              <w:t>as a consequence of</w:t>
            </w:r>
            <w:proofErr w:type="gramEnd"/>
            <w:r w:rsidRPr="000A5D3A">
              <w:rPr>
                <w:bCs/>
              </w:rPr>
              <w:t xml:space="preserve"> complying with paragraph (a), and </w:t>
            </w:r>
          </w:p>
          <w:p w14:paraId="536AA7ED" w14:textId="77777777" w:rsidR="00124AB6" w:rsidRPr="000A5D3A" w:rsidRDefault="00124AB6" w:rsidP="004E3BFD">
            <w:pPr>
              <w:rPr>
                <w:bCs/>
              </w:rPr>
            </w:pPr>
          </w:p>
          <w:p w14:paraId="3DB91F7E" w14:textId="77777777" w:rsidR="00124AB6" w:rsidRPr="000A5D3A" w:rsidRDefault="00124AB6" w:rsidP="004E3BFD">
            <w:pPr>
              <w:rPr>
                <w:bCs/>
              </w:rPr>
            </w:pPr>
            <w:r>
              <w:rPr>
                <w:bCs/>
              </w:rPr>
              <w:t>(g)</w:t>
            </w:r>
            <w:r w:rsidRPr="000A5D3A">
              <w:rPr>
                <w:bCs/>
              </w:rPr>
              <w:t xml:space="preserve">(2) The owner or operator of the valve adheres to a written plan that requires monitoring of the valve as frequently as practicable during safe-to-monitor times. </w:t>
            </w:r>
          </w:p>
          <w:p w14:paraId="01F9F567" w14:textId="77777777" w:rsidR="00124AB6" w:rsidRPr="000A5D3A" w:rsidRDefault="00124AB6" w:rsidP="004E3BFD">
            <w:pPr>
              <w:rPr>
                <w:bCs/>
              </w:rPr>
            </w:pPr>
          </w:p>
          <w:p w14:paraId="6D480E9D" w14:textId="77777777" w:rsidR="00124AB6" w:rsidRPr="000A5D3A" w:rsidRDefault="00124AB6" w:rsidP="004E3BFD">
            <w:pPr>
              <w:rPr>
                <w:bCs/>
              </w:rPr>
            </w:pPr>
            <w:r w:rsidRPr="000A5D3A">
              <w:rPr>
                <w:bCs/>
              </w:rPr>
              <w:t xml:space="preserve">(h) Any valve that is designated, as described in § 60.486(f)(2), as a difficult-to-monitor valve is exempt from the requirements of paragraph (a) if: </w:t>
            </w:r>
          </w:p>
          <w:p w14:paraId="00657E99" w14:textId="77777777" w:rsidR="00124AB6" w:rsidRPr="000A5D3A" w:rsidRDefault="00124AB6" w:rsidP="004E3BFD">
            <w:pPr>
              <w:rPr>
                <w:bCs/>
              </w:rPr>
            </w:pPr>
          </w:p>
          <w:p w14:paraId="50B66ACE" w14:textId="77777777" w:rsidR="00124AB6" w:rsidRPr="000A5D3A" w:rsidRDefault="00124AB6" w:rsidP="004E3BFD">
            <w:pPr>
              <w:rPr>
                <w:bCs/>
              </w:rPr>
            </w:pPr>
            <w:r>
              <w:rPr>
                <w:bCs/>
              </w:rPr>
              <w:t>(h)</w:t>
            </w:r>
            <w:r w:rsidRPr="000A5D3A">
              <w:rPr>
                <w:bCs/>
              </w:rPr>
              <w:t xml:space="preserve">(1) The owner or operator of the valve demonstrates that the valve cannot be monitored without elevating the monitoring personnel more than 2 meters above a support surface. </w:t>
            </w:r>
          </w:p>
          <w:p w14:paraId="012C35A9" w14:textId="77777777" w:rsidR="00124AB6" w:rsidRPr="000A5D3A" w:rsidRDefault="00124AB6" w:rsidP="004E3BFD">
            <w:pPr>
              <w:rPr>
                <w:bCs/>
              </w:rPr>
            </w:pPr>
          </w:p>
          <w:p w14:paraId="18134793" w14:textId="77777777" w:rsidR="00124AB6" w:rsidRPr="000A5D3A" w:rsidRDefault="00124AB6" w:rsidP="004E3BFD">
            <w:pPr>
              <w:rPr>
                <w:bCs/>
              </w:rPr>
            </w:pPr>
            <w:r>
              <w:rPr>
                <w:bCs/>
              </w:rPr>
              <w:t>(h)</w:t>
            </w:r>
            <w:r w:rsidRPr="000A5D3A">
              <w:rPr>
                <w:bCs/>
              </w:rPr>
              <w:t xml:space="preserve">(2) The process unit within which the valve is located either becomes an affected facility through § 60.14 or §60.15 or the owner or operator designates less than 3.0 percent of the total number of valves as difficult-to-monitor, and </w:t>
            </w:r>
          </w:p>
          <w:p w14:paraId="36AD8834" w14:textId="77777777" w:rsidR="00124AB6" w:rsidRPr="000A5D3A" w:rsidRDefault="00124AB6" w:rsidP="004E3BFD">
            <w:pPr>
              <w:rPr>
                <w:bCs/>
              </w:rPr>
            </w:pPr>
          </w:p>
          <w:p w14:paraId="3A4F01E7" w14:textId="77777777" w:rsidR="00124AB6" w:rsidRPr="001B6EC4" w:rsidRDefault="00124AB6" w:rsidP="004E3BFD">
            <w:pPr>
              <w:rPr>
                <w:b/>
              </w:rPr>
            </w:pPr>
            <w:r>
              <w:rPr>
                <w:bCs/>
              </w:rPr>
              <w:t>(h)</w:t>
            </w:r>
            <w:r w:rsidRPr="000A5D3A">
              <w:rPr>
                <w:bCs/>
              </w:rPr>
              <w:t>(3) The owner or operator of the valve follows a written plan that requires monitoring of the valve at least once per calendar year.</w:t>
            </w:r>
          </w:p>
        </w:tc>
      </w:tr>
      <w:tr w:rsidR="00124AB6" w:rsidRPr="001B6EC4" w14:paraId="46832A68"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7" w:type="dxa"/>
          </w:tcPr>
          <w:p w14:paraId="6213456E" w14:textId="77777777" w:rsidR="00124AB6" w:rsidRPr="000A5D3A" w:rsidRDefault="00124AB6" w:rsidP="004E3BFD">
            <w:pPr>
              <w:pStyle w:val="BNum"/>
              <w:rPr>
                <w:bCs/>
              </w:rPr>
            </w:pPr>
          </w:p>
        </w:tc>
        <w:tc>
          <w:tcPr>
            <w:tcW w:w="9433" w:type="dxa"/>
          </w:tcPr>
          <w:p w14:paraId="185B82E7" w14:textId="77777777" w:rsidR="00124AB6" w:rsidRPr="001B6EC4" w:rsidRDefault="00124AB6" w:rsidP="004E3BFD">
            <w:r w:rsidRPr="001B6EC4">
              <w:rPr>
                <w:b/>
              </w:rPr>
              <w:t>Emission Unit ID:</w:t>
            </w:r>
            <w:r>
              <w:t xml:space="preserve"> 06, 07</w:t>
            </w:r>
          </w:p>
          <w:p w14:paraId="09B987A7" w14:textId="77777777" w:rsidR="00124AB6" w:rsidRDefault="00124AB6" w:rsidP="004E3BFD">
            <w:r w:rsidRPr="009A00D8">
              <w:rPr>
                <w:b/>
              </w:rPr>
              <w:t>Equipment ID:</w:t>
            </w:r>
            <w:r w:rsidRPr="009A00D8">
              <w:t xml:space="preserve"> </w:t>
            </w:r>
            <w:r w:rsidRPr="00A04999">
              <w:t>R-6, R-7</w:t>
            </w:r>
            <w:r>
              <w:t xml:space="preserve">, R-11, R-12 </w:t>
            </w:r>
          </w:p>
          <w:p w14:paraId="2D95B9D5" w14:textId="77777777" w:rsidR="00124AB6" w:rsidRDefault="00124AB6" w:rsidP="004E3BFD">
            <w:r w:rsidRPr="009A00D8">
              <w:rPr>
                <w:b/>
              </w:rPr>
              <w:t>Control Device ID:</w:t>
            </w:r>
            <w:r w:rsidRPr="009A00D8">
              <w:t xml:space="preserve"> </w:t>
            </w:r>
            <w:r>
              <w:t>NP-1</w:t>
            </w:r>
          </w:p>
          <w:p w14:paraId="6406E1A4" w14:textId="77777777" w:rsidR="00124AB6" w:rsidRDefault="00124AB6" w:rsidP="004E3BFD">
            <w:pPr>
              <w:rPr>
                <w:b/>
              </w:rPr>
            </w:pPr>
          </w:p>
          <w:p w14:paraId="770B326E" w14:textId="77777777" w:rsidR="00124AB6" w:rsidRPr="000A5D3A" w:rsidRDefault="00124AB6" w:rsidP="004E3BFD">
            <w:pPr>
              <w:rPr>
                <w:bCs/>
              </w:rPr>
            </w:pPr>
            <w:r>
              <w:rPr>
                <w:bCs/>
              </w:rPr>
              <w:t>40CFR</w:t>
            </w:r>
            <w:r w:rsidRPr="000A5D3A">
              <w:rPr>
                <w:bCs/>
              </w:rPr>
              <w:t>60.482-8 Standards: Pumps and valves in heavy liquid service, pressure relief devices in light liquid or heavy liquid service, and connectors.</w:t>
            </w:r>
          </w:p>
          <w:p w14:paraId="039AAEB6" w14:textId="77777777" w:rsidR="00124AB6" w:rsidRPr="000A5D3A" w:rsidRDefault="00124AB6" w:rsidP="004E3BFD">
            <w:pPr>
              <w:rPr>
                <w:bCs/>
              </w:rPr>
            </w:pPr>
          </w:p>
          <w:p w14:paraId="602D1C43" w14:textId="77777777" w:rsidR="00124AB6" w:rsidRPr="000A5D3A" w:rsidRDefault="00124AB6" w:rsidP="004E3BFD">
            <w:pPr>
              <w:rPr>
                <w:bCs/>
              </w:rPr>
            </w:pPr>
            <w:r w:rsidRPr="000A5D3A">
              <w:rPr>
                <w:bCs/>
              </w:rPr>
              <w:t xml:space="preserve">(a) If evidence of a potential leak is found by visual, audible, olfactory, or any other detection method at pumps and valves in heavy liquid service, pressure relief devices in light liquid or heavy liquid service, and connectors, the owner or operator shall follow either one of the following procedures: </w:t>
            </w:r>
          </w:p>
          <w:p w14:paraId="3DA20D42" w14:textId="77777777" w:rsidR="00124AB6" w:rsidRPr="000A5D3A" w:rsidRDefault="00124AB6" w:rsidP="004E3BFD">
            <w:pPr>
              <w:rPr>
                <w:bCs/>
              </w:rPr>
            </w:pPr>
          </w:p>
          <w:p w14:paraId="0CE36B6E" w14:textId="77777777" w:rsidR="00124AB6" w:rsidRPr="000A5D3A" w:rsidRDefault="00124AB6" w:rsidP="004E3BFD">
            <w:pPr>
              <w:rPr>
                <w:bCs/>
              </w:rPr>
            </w:pPr>
            <w:r>
              <w:rPr>
                <w:bCs/>
              </w:rPr>
              <w:t>(a)</w:t>
            </w:r>
            <w:r w:rsidRPr="000A5D3A">
              <w:rPr>
                <w:bCs/>
              </w:rPr>
              <w:t xml:space="preserve">(1) The owner or operator shall monitor the equipment within 5 days by the method specified in § 60.485(b) and shall comply with the requirements of paragraphs (b) through (d) of this section. </w:t>
            </w:r>
          </w:p>
          <w:p w14:paraId="0B9D1542" w14:textId="77777777" w:rsidR="00124AB6" w:rsidRPr="000A5D3A" w:rsidRDefault="00124AB6" w:rsidP="004E3BFD">
            <w:pPr>
              <w:rPr>
                <w:bCs/>
              </w:rPr>
            </w:pPr>
          </w:p>
          <w:p w14:paraId="24454498" w14:textId="77777777" w:rsidR="00124AB6" w:rsidRPr="000A5D3A" w:rsidRDefault="00124AB6" w:rsidP="004E3BFD">
            <w:pPr>
              <w:rPr>
                <w:bCs/>
              </w:rPr>
            </w:pPr>
            <w:r>
              <w:rPr>
                <w:bCs/>
              </w:rPr>
              <w:t>(a)</w:t>
            </w:r>
            <w:r w:rsidRPr="000A5D3A">
              <w:rPr>
                <w:bCs/>
              </w:rPr>
              <w:t xml:space="preserve">(2) The owner or operator shall eliminate the visual, audible, olfactory, or other indication of a potential leak within 5 calendar days of detection. </w:t>
            </w:r>
          </w:p>
          <w:p w14:paraId="106536DD" w14:textId="77777777" w:rsidR="00124AB6" w:rsidRPr="000A5D3A" w:rsidRDefault="00124AB6" w:rsidP="004E3BFD">
            <w:pPr>
              <w:rPr>
                <w:bCs/>
              </w:rPr>
            </w:pPr>
          </w:p>
          <w:p w14:paraId="15F6863E" w14:textId="77777777" w:rsidR="00124AB6" w:rsidRPr="000A5D3A" w:rsidRDefault="00124AB6" w:rsidP="004E3BFD">
            <w:pPr>
              <w:rPr>
                <w:bCs/>
              </w:rPr>
            </w:pPr>
            <w:r w:rsidRPr="000A5D3A">
              <w:rPr>
                <w:bCs/>
              </w:rPr>
              <w:t xml:space="preserve">(b) If an instrument reading of 10,000 ppm or greater is measured, a leak is detected. </w:t>
            </w:r>
          </w:p>
          <w:p w14:paraId="2D88B6B7" w14:textId="77777777" w:rsidR="00124AB6" w:rsidRPr="000A5D3A" w:rsidRDefault="00124AB6" w:rsidP="004E3BFD">
            <w:pPr>
              <w:rPr>
                <w:bCs/>
              </w:rPr>
            </w:pPr>
          </w:p>
          <w:p w14:paraId="70D65B2D" w14:textId="77777777" w:rsidR="00124AB6" w:rsidRPr="000A5D3A" w:rsidRDefault="00124AB6" w:rsidP="004E3BFD">
            <w:pPr>
              <w:rPr>
                <w:bCs/>
              </w:rPr>
            </w:pPr>
            <w:r w:rsidRPr="000A5D3A">
              <w:rPr>
                <w:bCs/>
              </w:rPr>
              <w:t xml:space="preserve">(c)(1) When a leak is detected, it shall be repaired as soon as practicable, but not later than 15 calendar days after it is detected, except as provided in § 60.482–9. </w:t>
            </w:r>
          </w:p>
          <w:p w14:paraId="6A74BF3D" w14:textId="77777777" w:rsidR="00124AB6" w:rsidRPr="000A5D3A" w:rsidRDefault="00124AB6" w:rsidP="004E3BFD">
            <w:pPr>
              <w:rPr>
                <w:bCs/>
              </w:rPr>
            </w:pPr>
          </w:p>
          <w:p w14:paraId="1BD96499" w14:textId="77777777" w:rsidR="00124AB6" w:rsidRPr="000A5D3A" w:rsidRDefault="00124AB6" w:rsidP="004E3BFD">
            <w:pPr>
              <w:rPr>
                <w:bCs/>
              </w:rPr>
            </w:pPr>
            <w:r>
              <w:rPr>
                <w:bCs/>
              </w:rPr>
              <w:t>(c)(</w:t>
            </w:r>
            <w:r w:rsidRPr="000A5D3A">
              <w:rPr>
                <w:bCs/>
              </w:rPr>
              <w:t xml:space="preserve">2) The first attempt at repair shall be made no later than 5 calendar days after each leak is detected. </w:t>
            </w:r>
          </w:p>
          <w:p w14:paraId="7DF50876" w14:textId="77777777" w:rsidR="00124AB6" w:rsidRPr="000A5D3A" w:rsidRDefault="00124AB6" w:rsidP="004E3BFD">
            <w:pPr>
              <w:rPr>
                <w:bCs/>
              </w:rPr>
            </w:pPr>
          </w:p>
          <w:p w14:paraId="3C5290A0" w14:textId="77777777" w:rsidR="00124AB6" w:rsidRPr="001B6EC4" w:rsidRDefault="00124AB6" w:rsidP="004E3BFD">
            <w:pPr>
              <w:rPr>
                <w:b/>
              </w:rPr>
            </w:pPr>
            <w:r w:rsidRPr="000A5D3A">
              <w:rPr>
                <w:bCs/>
              </w:rPr>
              <w:t>(d) First attempts at repair include, but are not limited to, the best practices described under §§ 60.482–2(c)(2) and 60.482–7(e).</w:t>
            </w:r>
          </w:p>
        </w:tc>
      </w:tr>
      <w:tr w:rsidR="00124AB6" w:rsidRPr="001B6EC4" w14:paraId="430E4F87"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7" w:type="dxa"/>
          </w:tcPr>
          <w:p w14:paraId="30FEC148" w14:textId="77777777" w:rsidR="00124AB6" w:rsidRPr="000A5D3A" w:rsidRDefault="00124AB6" w:rsidP="004E3BFD">
            <w:pPr>
              <w:pStyle w:val="BNum"/>
              <w:rPr>
                <w:bCs/>
              </w:rPr>
            </w:pPr>
          </w:p>
        </w:tc>
        <w:tc>
          <w:tcPr>
            <w:tcW w:w="9433" w:type="dxa"/>
          </w:tcPr>
          <w:p w14:paraId="3849B768" w14:textId="77777777" w:rsidR="00124AB6" w:rsidRPr="001B6EC4" w:rsidRDefault="00124AB6" w:rsidP="004E3BFD">
            <w:r w:rsidRPr="001B6EC4">
              <w:rPr>
                <w:b/>
              </w:rPr>
              <w:t>Emission Unit ID:</w:t>
            </w:r>
            <w:r>
              <w:t xml:space="preserve"> 06, 07</w:t>
            </w:r>
          </w:p>
          <w:p w14:paraId="7F0DD8DC" w14:textId="77777777" w:rsidR="00124AB6" w:rsidRDefault="00124AB6" w:rsidP="004E3BFD">
            <w:r w:rsidRPr="009A00D8">
              <w:rPr>
                <w:b/>
              </w:rPr>
              <w:t>Equipment ID:</w:t>
            </w:r>
            <w:r w:rsidRPr="009A00D8">
              <w:t xml:space="preserve"> </w:t>
            </w:r>
            <w:r w:rsidRPr="00A04999">
              <w:t>R-6, R-7</w:t>
            </w:r>
            <w:r>
              <w:t xml:space="preserve">, R-11, R-12 </w:t>
            </w:r>
          </w:p>
          <w:p w14:paraId="51456615" w14:textId="77777777" w:rsidR="00124AB6" w:rsidRDefault="00124AB6" w:rsidP="004E3BFD">
            <w:r w:rsidRPr="009A00D8">
              <w:rPr>
                <w:b/>
              </w:rPr>
              <w:t>Control Device ID:</w:t>
            </w:r>
            <w:r w:rsidRPr="009A00D8">
              <w:t xml:space="preserve"> </w:t>
            </w:r>
            <w:r>
              <w:t>NP-1</w:t>
            </w:r>
          </w:p>
          <w:p w14:paraId="6E6A1EB3" w14:textId="77777777" w:rsidR="00124AB6" w:rsidRDefault="00124AB6" w:rsidP="004E3BFD">
            <w:pPr>
              <w:rPr>
                <w:b/>
              </w:rPr>
            </w:pPr>
          </w:p>
          <w:p w14:paraId="7828A884" w14:textId="77777777" w:rsidR="00124AB6" w:rsidRPr="000A5D3A" w:rsidRDefault="00124AB6" w:rsidP="004E3BFD">
            <w:pPr>
              <w:rPr>
                <w:bCs/>
              </w:rPr>
            </w:pPr>
            <w:r>
              <w:rPr>
                <w:bCs/>
              </w:rPr>
              <w:t>40CFR</w:t>
            </w:r>
            <w:r w:rsidRPr="000A5D3A">
              <w:rPr>
                <w:bCs/>
              </w:rPr>
              <w:t>60.482-9 Standards: Delay of repair.</w:t>
            </w:r>
          </w:p>
          <w:p w14:paraId="4AD5DAF2" w14:textId="77777777" w:rsidR="00124AB6" w:rsidRPr="000A5D3A" w:rsidRDefault="00124AB6" w:rsidP="004E3BFD">
            <w:pPr>
              <w:rPr>
                <w:bCs/>
              </w:rPr>
            </w:pPr>
          </w:p>
          <w:p w14:paraId="093D4DA9" w14:textId="77777777" w:rsidR="00124AB6" w:rsidRPr="000A5D3A" w:rsidRDefault="00124AB6" w:rsidP="004E3BFD">
            <w:pPr>
              <w:rPr>
                <w:bCs/>
              </w:rPr>
            </w:pPr>
            <w:r w:rsidRPr="000A5D3A">
              <w:rPr>
                <w:bCs/>
              </w:rPr>
              <w:t xml:space="preserve">(a) Delay of repair of equipment for which leaks have been detected will be allowed if repair within 15 days is technically infeasible without a process unit shutdown. Repair of this equipment shall occur before the end of the next process unit shutdown. Monitoring to verify repair must occur within 15 days after startup of the process unit. </w:t>
            </w:r>
          </w:p>
          <w:p w14:paraId="0FD8F469" w14:textId="77777777" w:rsidR="00124AB6" w:rsidRPr="000A5D3A" w:rsidRDefault="00124AB6" w:rsidP="004E3BFD">
            <w:pPr>
              <w:rPr>
                <w:bCs/>
              </w:rPr>
            </w:pPr>
          </w:p>
          <w:p w14:paraId="11251379" w14:textId="77777777" w:rsidR="00124AB6" w:rsidRPr="000A5D3A" w:rsidRDefault="00124AB6" w:rsidP="004E3BFD">
            <w:pPr>
              <w:rPr>
                <w:bCs/>
              </w:rPr>
            </w:pPr>
            <w:r w:rsidRPr="000A5D3A">
              <w:rPr>
                <w:bCs/>
              </w:rPr>
              <w:t xml:space="preserve">(b) Delay of repair of equipment will be allowed for equipment which is isolated from the </w:t>
            </w:r>
            <w:proofErr w:type="gramStart"/>
            <w:r w:rsidRPr="000A5D3A">
              <w:rPr>
                <w:bCs/>
              </w:rPr>
              <w:t>process</w:t>
            </w:r>
            <w:proofErr w:type="gramEnd"/>
            <w:r w:rsidRPr="000A5D3A">
              <w:rPr>
                <w:bCs/>
              </w:rPr>
              <w:t xml:space="preserve"> and which does not remain in VOC service. </w:t>
            </w:r>
          </w:p>
          <w:p w14:paraId="5668CCB1" w14:textId="77777777" w:rsidR="00124AB6" w:rsidRPr="000A5D3A" w:rsidRDefault="00124AB6" w:rsidP="004E3BFD">
            <w:pPr>
              <w:rPr>
                <w:bCs/>
              </w:rPr>
            </w:pPr>
          </w:p>
          <w:p w14:paraId="0D8183F0" w14:textId="77777777" w:rsidR="00124AB6" w:rsidRPr="000A5D3A" w:rsidRDefault="00124AB6" w:rsidP="004E3BFD">
            <w:pPr>
              <w:rPr>
                <w:bCs/>
              </w:rPr>
            </w:pPr>
            <w:r w:rsidRPr="000A5D3A">
              <w:rPr>
                <w:bCs/>
              </w:rPr>
              <w:t xml:space="preserve">(c) Delay of repair for valves will be allowed if: </w:t>
            </w:r>
          </w:p>
          <w:p w14:paraId="3CAF354D" w14:textId="77777777" w:rsidR="00124AB6" w:rsidRPr="000A5D3A" w:rsidRDefault="00124AB6" w:rsidP="004E3BFD">
            <w:pPr>
              <w:rPr>
                <w:bCs/>
              </w:rPr>
            </w:pPr>
          </w:p>
          <w:p w14:paraId="289C9DC5" w14:textId="77777777" w:rsidR="00124AB6" w:rsidRPr="000A5D3A" w:rsidRDefault="00124AB6" w:rsidP="004E3BFD">
            <w:pPr>
              <w:rPr>
                <w:bCs/>
              </w:rPr>
            </w:pPr>
            <w:r>
              <w:rPr>
                <w:bCs/>
              </w:rPr>
              <w:t>(c)</w:t>
            </w:r>
            <w:r w:rsidRPr="000A5D3A">
              <w:rPr>
                <w:bCs/>
              </w:rPr>
              <w:t xml:space="preserve">(1) The owner or operator demonstrates that emissions of purged material resulting from immediate repair are greater than the fugitive emissions likely to result from delay of repair, and </w:t>
            </w:r>
          </w:p>
          <w:p w14:paraId="1B5D5D65" w14:textId="77777777" w:rsidR="00124AB6" w:rsidRPr="000A5D3A" w:rsidRDefault="00124AB6" w:rsidP="004E3BFD">
            <w:pPr>
              <w:rPr>
                <w:bCs/>
              </w:rPr>
            </w:pPr>
          </w:p>
          <w:p w14:paraId="67D4A276" w14:textId="77777777" w:rsidR="00124AB6" w:rsidRPr="000A5D3A" w:rsidRDefault="00124AB6" w:rsidP="004E3BFD">
            <w:pPr>
              <w:rPr>
                <w:bCs/>
              </w:rPr>
            </w:pPr>
            <w:r>
              <w:rPr>
                <w:bCs/>
              </w:rPr>
              <w:t>(c)</w:t>
            </w:r>
            <w:r w:rsidRPr="000A5D3A">
              <w:rPr>
                <w:bCs/>
              </w:rPr>
              <w:t xml:space="preserve">(2) When repair procedures are </w:t>
            </w:r>
            <w:proofErr w:type="gramStart"/>
            <w:r w:rsidRPr="000A5D3A">
              <w:rPr>
                <w:bCs/>
              </w:rPr>
              <w:t>effected</w:t>
            </w:r>
            <w:proofErr w:type="gramEnd"/>
            <w:r w:rsidRPr="000A5D3A">
              <w:rPr>
                <w:bCs/>
              </w:rPr>
              <w:t xml:space="preserve">, the purged material is collected and destroyed or recovered in a control device complying with § 60.482–10. </w:t>
            </w:r>
          </w:p>
          <w:p w14:paraId="6369809A" w14:textId="77777777" w:rsidR="00124AB6" w:rsidRPr="000A5D3A" w:rsidRDefault="00124AB6" w:rsidP="004E3BFD">
            <w:pPr>
              <w:rPr>
                <w:bCs/>
              </w:rPr>
            </w:pPr>
          </w:p>
          <w:p w14:paraId="617777D3" w14:textId="77777777" w:rsidR="00124AB6" w:rsidRPr="000A5D3A" w:rsidRDefault="00124AB6" w:rsidP="004E3BFD">
            <w:pPr>
              <w:rPr>
                <w:bCs/>
              </w:rPr>
            </w:pPr>
            <w:r w:rsidRPr="000A5D3A">
              <w:rPr>
                <w:bCs/>
              </w:rPr>
              <w:t xml:space="preserve">(d) Delay of repair for pumps will be allowed if: </w:t>
            </w:r>
          </w:p>
          <w:p w14:paraId="3F3CB85D" w14:textId="77777777" w:rsidR="00124AB6" w:rsidRPr="000A5D3A" w:rsidRDefault="00124AB6" w:rsidP="004E3BFD">
            <w:pPr>
              <w:rPr>
                <w:bCs/>
              </w:rPr>
            </w:pPr>
          </w:p>
          <w:p w14:paraId="1779920B" w14:textId="77777777" w:rsidR="00124AB6" w:rsidRPr="000A5D3A" w:rsidRDefault="00124AB6" w:rsidP="004E3BFD">
            <w:pPr>
              <w:rPr>
                <w:bCs/>
              </w:rPr>
            </w:pPr>
            <w:r>
              <w:rPr>
                <w:bCs/>
              </w:rPr>
              <w:t>(d)</w:t>
            </w:r>
            <w:r w:rsidRPr="000A5D3A">
              <w:rPr>
                <w:bCs/>
              </w:rPr>
              <w:t xml:space="preserve">(1) Repair requires the use of a dual mechanical seal system that includes a barrier fluid system, and </w:t>
            </w:r>
          </w:p>
          <w:p w14:paraId="2DE463B3" w14:textId="77777777" w:rsidR="00124AB6" w:rsidRPr="000A5D3A" w:rsidRDefault="00124AB6" w:rsidP="004E3BFD">
            <w:pPr>
              <w:rPr>
                <w:bCs/>
              </w:rPr>
            </w:pPr>
          </w:p>
          <w:p w14:paraId="2DD18A3E" w14:textId="77777777" w:rsidR="00124AB6" w:rsidRPr="000A5D3A" w:rsidRDefault="00124AB6" w:rsidP="004E3BFD">
            <w:pPr>
              <w:rPr>
                <w:bCs/>
              </w:rPr>
            </w:pPr>
            <w:r>
              <w:rPr>
                <w:bCs/>
              </w:rPr>
              <w:t>(d)</w:t>
            </w:r>
            <w:r w:rsidRPr="000A5D3A">
              <w:rPr>
                <w:bCs/>
              </w:rPr>
              <w:t xml:space="preserve">(2) Repair is completed as soon as practicable, but not later than 6 months after the leak was detected. </w:t>
            </w:r>
          </w:p>
          <w:p w14:paraId="5AB1398C" w14:textId="77777777" w:rsidR="00124AB6" w:rsidRPr="000A5D3A" w:rsidRDefault="00124AB6" w:rsidP="004E3BFD">
            <w:pPr>
              <w:rPr>
                <w:bCs/>
              </w:rPr>
            </w:pPr>
          </w:p>
          <w:p w14:paraId="5BF9A592" w14:textId="77777777" w:rsidR="00124AB6" w:rsidRPr="000A5D3A" w:rsidRDefault="00124AB6" w:rsidP="004E3BFD">
            <w:pPr>
              <w:rPr>
                <w:bCs/>
              </w:rPr>
            </w:pPr>
            <w:r w:rsidRPr="000A5D3A">
              <w:rPr>
                <w:bCs/>
              </w:rPr>
              <w:t xml:space="preserve">(e) Delay of repair beyond a process unit shutdown will be allowed for a valve, if valve assembly replacement is necessary during the process unit shutdown, valve assembly supplies have been depleted, and valve assembly supplies had been sufficiently stocked before the supplies were depleted. Delay of repair beyond the next process unit shutdown will not be allowed unless the next process unit shutdown occurs sooner than 6 months after the first process unit shutdown. </w:t>
            </w:r>
          </w:p>
          <w:p w14:paraId="1351B998" w14:textId="77777777" w:rsidR="00124AB6" w:rsidRPr="000A5D3A" w:rsidRDefault="00124AB6" w:rsidP="004E3BFD">
            <w:pPr>
              <w:rPr>
                <w:bCs/>
              </w:rPr>
            </w:pPr>
          </w:p>
          <w:p w14:paraId="4149B0BE" w14:textId="77777777" w:rsidR="00124AB6" w:rsidRPr="001B6EC4" w:rsidRDefault="00124AB6" w:rsidP="004E3BFD">
            <w:pPr>
              <w:rPr>
                <w:b/>
              </w:rPr>
            </w:pPr>
            <w:r w:rsidRPr="000A5D3A">
              <w:rPr>
                <w:bCs/>
              </w:rPr>
              <w:t xml:space="preserve">(f) When delay of repair is allowed for a leaking pump or valve that remains in service, the pump or valve may </w:t>
            </w:r>
            <w:proofErr w:type="gramStart"/>
            <w:r w:rsidRPr="000A5D3A">
              <w:rPr>
                <w:bCs/>
              </w:rPr>
              <w:t>be considered to be</w:t>
            </w:r>
            <w:proofErr w:type="gramEnd"/>
            <w:r w:rsidRPr="000A5D3A">
              <w:rPr>
                <w:bCs/>
              </w:rPr>
              <w:t xml:space="preserve"> repaired and no longer subject to delay of repair requirements if two consecutive monthly monitoring instrument readings are below the leak definition.</w:t>
            </w:r>
          </w:p>
        </w:tc>
      </w:tr>
      <w:tr w:rsidR="00124AB6" w:rsidRPr="000A5D3A" w14:paraId="441DE085"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val="0"/>
          <w:trHeight w:val="432"/>
        </w:trPr>
        <w:tc>
          <w:tcPr>
            <w:tcW w:w="1367" w:type="dxa"/>
          </w:tcPr>
          <w:p w14:paraId="170DB41B" w14:textId="77777777" w:rsidR="00124AB6" w:rsidRPr="000A5D3A" w:rsidRDefault="00124AB6" w:rsidP="004E3BFD">
            <w:pPr>
              <w:pStyle w:val="BNum"/>
              <w:rPr>
                <w:bCs/>
              </w:rPr>
            </w:pPr>
          </w:p>
        </w:tc>
        <w:tc>
          <w:tcPr>
            <w:tcW w:w="9433" w:type="dxa"/>
          </w:tcPr>
          <w:p w14:paraId="03C31CEB" w14:textId="77777777" w:rsidR="00124AB6" w:rsidRPr="001B6EC4" w:rsidRDefault="00124AB6" w:rsidP="004E3BFD">
            <w:r w:rsidRPr="001B6EC4">
              <w:rPr>
                <w:b/>
              </w:rPr>
              <w:t>Emission Unit ID:</w:t>
            </w:r>
            <w:r>
              <w:t xml:space="preserve"> 06, 07</w:t>
            </w:r>
          </w:p>
          <w:p w14:paraId="6F39242E" w14:textId="77777777" w:rsidR="00124AB6" w:rsidRDefault="00124AB6" w:rsidP="004E3BFD">
            <w:r w:rsidRPr="009A00D8">
              <w:rPr>
                <w:b/>
              </w:rPr>
              <w:t>Equipment ID:</w:t>
            </w:r>
            <w:r w:rsidRPr="009A00D8">
              <w:t xml:space="preserve"> </w:t>
            </w:r>
            <w:r w:rsidRPr="00A04999">
              <w:t>R-6, R-7</w:t>
            </w:r>
            <w:r>
              <w:t xml:space="preserve">, R-11, R-12 </w:t>
            </w:r>
          </w:p>
          <w:p w14:paraId="7E2DFD7B" w14:textId="77777777" w:rsidR="00124AB6" w:rsidRDefault="00124AB6" w:rsidP="004E3BFD">
            <w:r w:rsidRPr="009A00D8">
              <w:rPr>
                <w:b/>
              </w:rPr>
              <w:t>Control Device ID:</w:t>
            </w:r>
            <w:r w:rsidRPr="009A00D8">
              <w:t xml:space="preserve"> </w:t>
            </w:r>
            <w:r>
              <w:t>NP-1</w:t>
            </w:r>
          </w:p>
          <w:p w14:paraId="456252CA" w14:textId="77777777" w:rsidR="00124AB6" w:rsidRDefault="00124AB6" w:rsidP="004E3BFD">
            <w:pPr>
              <w:rPr>
                <w:bCs/>
              </w:rPr>
            </w:pPr>
          </w:p>
          <w:p w14:paraId="680EFA01" w14:textId="77777777" w:rsidR="00124AB6" w:rsidRPr="000A5D3A" w:rsidRDefault="00124AB6" w:rsidP="004E3BFD">
            <w:pPr>
              <w:rPr>
                <w:bCs/>
              </w:rPr>
            </w:pPr>
            <w:r>
              <w:rPr>
                <w:bCs/>
              </w:rPr>
              <w:t>40CFR</w:t>
            </w:r>
            <w:r w:rsidRPr="000A5D3A">
              <w:rPr>
                <w:bCs/>
              </w:rPr>
              <w:t>60.485 Test methods and procedures.</w:t>
            </w:r>
          </w:p>
          <w:p w14:paraId="2199E469" w14:textId="77777777" w:rsidR="00124AB6" w:rsidRPr="000A5D3A" w:rsidRDefault="00124AB6" w:rsidP="004E3BFD">
            <w:pPr>
              <w:rPr>
                <w:bCs/>
              </w:rPr>
            </w:pPr>
          </w:p>
          <w:p w14:paraId="27DC6723" w14:textId="77777777" w:rsidR="00124AB6" w:rsidRPr="000A5D3A" w:rsidRDefault="00124AB6" w:rsidP="004E3BFD">
            <w:pPr>
              <w:rPr>
                <w:bCs/>
              </w:rPr>
            </w:pPr>
            <w:r w:rsidRPr="000A5D3A">
              <w:rPr>
                <w:bCs/>
              </w:rPr>
              <w:t xml:space="preserve">(a) In conducting the performance tests required in § 60.8, the owner or operator shall use as reference methods and procedures the test methods in appendix A of this part or other methods and procedures as specified in this section, except as provided in § 60.8(b). </w:t>
            </w:r>
          </w:p>
          <w:p w14:paraId="4D6D7F22" w14:textId="77777777" w:rsidR="00124AB6" w:rsidRPr="000A5D3A" w:rsidRDefault="00124AB6" w:rsidP="004E3BFD">
            <w:pPr>
              <w:rPr>
                <w:bCs/>
              </w:rPr>
            </w:pPr>
          </w:p>
          <w:p w14:paraId="7CB317E2" w14:textId="77777777" w:rsidR="00124AB6" w:rsidRPr="000A5D3A" w:rsidRDefault="00124AB6" w:rsidP="004E3BFD">
            <w:pPr>
              <w:rPr>
                <w:bCs/>
              </w:rPr>
            </w:pPr>
            <w:r w:rsidRPr="000A5D3A">
              <w:rPr>
                <w:bCs/>
              </w:rPr>
              <w:t xml:space="preserve">(b) The owner or operator shall determine compliance with the standards in §§ 60.482–1 through 60.482–10, 60.483, and 60.484 as follows: </w:t>
            </w:r>
          </w:p>
          <w:p w14:paraId="7DA845D0" w14:textId="77777777" w:rsidR="00124AB6" w:rsidRPr="000A5D3A" w:rsidRDefault="00124AB6" w:rsidP="004E3BFD">
            <w:pPr>
              <w:rPr>
                <w:bCs/>
              </w:rPr>
            </w:pPr>
          </w:p>
          <w:p w14:paraId="3B8B4190" w14:textId="77777777" w:rsidR="00124AB6" w:rsidRPr="000A5D3A" w:rsidRDefault="00124AB6" w:rsidP="004E3BFD">
            <w:pPr>
              <w:rPr>
                <w:bCs/>
              </w:rPr>
            </w:pPr>
            <w:r>
              <w:rPr>
                <w:bCs/>
              </w:rPr>
              <w:t>(b)</w:t>
            </w:r>
            <w:r w:rsidRPr="000A5D3A">
              <w:rPr>
                <w:bCs/>
              </w:rPr>
              <w:t xml:space="preserve">(1) Method 21 shall be used to determine the presence of leaking sources. The instrument shall be calibrated before use each day of its use by the procedures specified in Method 21. The following calibration gases shall be used: </w:t>
            </w:r>
          </w:p>
          <w:p w14:paraId="685EF4AC" w14:textId="77777777" w:rsidR="00124AB6" w:rsidRPr="000A5D3A" w:rsidRDefault="00124AB6" w:rsidP="004E3BFD">
            <w:pPr>
              <w:rPr>
                <w:bCs/>
              </w:rPr>
            </w:pPr>
          </w:p>
          <w:p w14:paraId="1DDD4FA4" w14:textId="77777777" w:rsidR="00124AB6" w:rsidRPr="000A5D3A" w:rsidRDefault="00124AB6" w:rsidP="004E3BFD">
            <w:pPr>
              <w:rPr>
                <w:bCs/>
              </w:rPr>
            </w:pPr>
            <w:r>
              <w:rPr>
                <w:bCs/>
              </w:rPr>
              <w:t>(b)(1)</w:t>
            </w:r>
            <w:r w:rsidRPr="000A5D3A">
              <w:rPr>
                <w:bCs/>
              </w:rPr>
              <w:t>(</w:t>
            </w:r>
            <w:proofErr w:type="spellStart"/>
            <w:r w:rsidRPr="000A5D3A">
              <w:rPr>
                <w:bCs/>
              </w:rPr>
              <w:t>i</w:t>
            </w:r>
            <w:proofErr w:type="spellEnd"/>
            <w:r w:rsidRPr="000A5D3A">
              <w:rPr>
                <w:bCs/>
              </w:rPr>
              <w:t xml:space="preserve">) Zero air (less than 10 ppm of hydrocarbon in air); and </w:t>
            </w:r>
          </w:p>
          <w:p w14:paraId="4E45024C" w14:textId="77777777" w:rsidR="00124AB6" w:rsidRPr="000A5D3A" w:rsidRDefault="00124AB6" w:rsidP="004E3BFD">
            <w:pPr>
              <w:rPr>
                <w:bCs/>
              </w:rPr>
            </w:pPr>
          </w:p>
          <w:p w14:paraId="4875EE88" w14:textId="77777777" w:rsidR="00124AB6" w:rsidRPr="000A5D3A" w:rsidRDefault="00124AB6" w:rsidP="004E3BFD">
            <w:pPr>
              <w:rPr>
                <w:bCs/>
              </w:rPr>
            </w:pPr>
            <w:r>
              <w:rPr>
                <w:bCs/>
              </w:rPr>
              <w:t>(b)(1)</w:t>
            </w:r>
            <w:r w:rsidRPr="000A5D3A">
              <w:rPr>
                <w:bCs/>
              </w:rPr>
              <w:t xml:space="preserve">(ii) A mixture of methane or n-hexane and air at a concentration of about, but less than, 10,000 ppm methane or n-hexane. </w:t>
            </w:r>
          </w:p>
          <w:p w14:paraId="6F4CB7D6" w14:textId="77777777" w:rsidR="00124AB6" w:rsidRPr="000A5D3A" w:rsidRDefault="00124AB6" w:rsidP="004E3BFD">
            <w:pPr>
              <w:rPr>
                <w:bCs/>
              </w:rPr>
            </w:pPr>
          </w:p>
          <w:p w14:paraId="6D35842D" w14:textId="77777777" w:rsidR="00124AB6" w:rsidRPr="000A5D3A" w:rsidRDefault="00124AB6" w:rsidP="004E3BFD">
            <w:pPr>
              <w:rPr>
                <w:bCs/>
              </w:rPr>
            </w:pPr>
            <w:r w:rsidRPr="000A5D3A">
              <w:rPr>
                <w:bCs/>
              </w:rPr>
              <w:t>(c) The owner or operator shall determine compliance with the no detectable emission standards in §§ 60.482–2(e), 60.482–3(</w:t>
            </w:r>
            <w:proofErr w:type="spellStart"/>
            <w:r w:rsidRPr="000A5D3A">
              <w:rPr>
                <w:bCs/>
              </w:rPr>
              <w:t>i</w:t>
            </w:r>
            <w:proofErr w:type="spellEnd"/>
            <w:r w:rsidRPr="000A5D3A">
              <w:rPr>
                <w:bCs/>
              </w:rPr>
              <w:t xml:space="preserve">), 60.482–4, 60.482–7(f), and 60.482–10(e) as follows: </w:t>
            </w:r>
          </w:p>
          <w:p w14:paraId="391CA0DE" w14:textId="77777777" w:rsidR="00124AB6" w:rsidRPr="000A5D3A" w:rsidRDefault="00124AB6" w:rsidP="004E3BFD">
            <w:pPr>
              <w:rPr>
                <w:bCs/>
              </w:rPr>
            </w:pPr>
          </w:p>
          <w:p w14:paraId="1A543B7E" w14:textId="77777777" w:rsidR="00124AB6" w:rsidRPr="000A5D3A" w:rsidRDefault="00124AB6" w:rsidP="004E3BFD">
            <w:pPr>
              <w:rPr>
                <w:bCs/>
              </w:rPr>
            </w:pPr>
            <w:r>
              <w:rPr>
                <w:bCs/>
              </w:rPr>
              <w:t>(c)</w:t>
            </w:r>
            <w:r w:rsidRPr="000A5D3A">
              <w:rPr>
                <w:bCs/>
              </w:rPr>
              <w:t xml:space="preserve">(1) The requirements of paragraph (b) shall apply. </w:t>
            </w:r>
          </w:p>
          <w:p w14:paraId="2C7B1842" w14:textId="77777777" w:rsidR="00124AB6" w:rsidRPr="000A5D3A" w:rsidRDefault="00124AB6" w:rsidP="004E3BFD">
            <w:pPr>
              <w:rPr>
                <w:bCs/>
              </w:rPr>
            </w:pPr>
          </w:p>
          <w:p w14:paraId="095E5A65" w14:textId="77777777" w:rsidR="00124AB6" w:rsidRPr="000A5D3A" w:rsidRDefault="00124AB6" w:rsidP="004E3BFD">
            <w:pPr>
              <w:rPr>
                <w:bCs/>
              </w:rPr>
            </w:pPr>
            <w:r>
              <w:rPr>
                <w:bCs/>
              </w:rPr>
              <w:t>(c)</w:t>
            </w:r>
            <w:r w:rsidRPr="000A5D3A">
              <w:rPr>
                <w:bCs/>
              </w:rPr>
              <w:t xml:space="preserve">(2) Method 21 shall be used to determine the background level. All potential leak interfaces shall be traversed as close to the interface as possible. The arithmetic difference between the maximum concentration indicated by the instrument and the background level is compared with 500 ppm for determining compliance. </w:t>
            </w:r>
          </w:p>
          <w:p w14:paraId="03BE93EF" w14:textId="77777777" w:rsidR="00124AB6" w:rsidRPr="000A5D3A" w:rsidRDefault="00124AB6" w:rsidP="004E3BFD">
            <w:pPr>
              <w:rPr>
                <w:bCs/>
              </w:rPr>
            </w:pPr>
          </w:p>
          <w:p w14:paraId="413DF6FD" w14:textId="77777777" w:rsidR="00124AB6" w:rsidRPr="000A5D3A" w:rsidRDefault="00124AB6" w:rsidP="004E3BFD">
            <w:pPr>
              <w:rPr>
                <w:bCs/>
              </w:rPr>
            </w:pPr>
            <w:r w:rsidRPr="000A5D3A">
              <w:rPr>
                <w:bCs/>
              </w:rPr>
              <w:t xml:space="preserve">(d) The owner or operator shall test each piece of equipment unless he demonstrates that a process unit is not in VOC service, i.e., that the VOC content would never be reasonably expected to exceed 10 percent by weight. For purposes of this demonstration, the following methods and procedures shall be used: </w:t>
            </w:r>
          </w:p>
          <w:p w14:paraId="01392679" w14:textId="77777777" w:rsidR="00124AB6" w:rsidRPr="000A5D3A" w:rsidRDefault="00124AB6" w:rsidP="004E3BFD">
            <w:pPr>
              <w:rPr>
                <w:bCs/>
              </w:rPr>
            </w:pPr>
          </w:p>
          <w:p w14:paraId="0885AC47" w14:textId="77777777" w:rsidR="00124AB6" w:rsidRPr="000A5D3A" w:rsidRDefault="00124AB6" w:rsidP="004E3BFD">
            <w:pPr>
              <w:rPr>
                <w:bCs/>
              </w:rPr>
            </w:pPr>
            <w:r>
              <w:rPr>
                <w:bCs/>
              </w:rPr>
              <w:t>(d)</w:t>
            </w:r>
            <w:r w:rsidRPr="000A5D3A">
              <w:rPr>
                <w:bCs/>
              </w:rPr>
              <w:t xml:space="preserve">(1) Procedures that conform to the general methods in ASTM E260–73, 91, or 96, E168–67, 77, or 92, E169–63, 77, or 93 (incorporated by reference—see §60.17) shall be used to determine the percent VOC content in the process fluid that is contained in or contacts a piece of equipment. </w:t>
            </w:r>
          </w:p>
          <w:p w14:paraId="0B2EDBBE" w14:textId="77777777" w:rsidR="00124AB6" w:rsidRPr="000A5D3A" w:rsidRDefault="00124AB6" w:rsidP="004E3BFD">
            <w:pPr>
              <w:rPr>
                <w:bCs/>
              </w:rPr>
            </w:pPr>
          </w:p>
          <w:p w14:paraId="1FB0ACA1" w14:textId="77777777" w:rsidR="00124AB6" w:rsidRPr="000A5D3A" w:rsidRDefault="00124AB6" w:rsidP="004E3BFD">
            <w:pPr>
              <w:rPr>
                <w:bCs/>
              </w:rPr>
            </w:pPr>
            <w:r>
              <w:rPr>
                <w:bCs/>
              </w:rPr>
              <w:t>(d)</w:t>
            </w:r>
            <w:r w:rsidRPr="000A5D3A">
              <w:rPr>
                <w:bCs/>
              </w:rPr>
              <w:t xml:space="preserve">(2) Organic compounds that are considered by the Administrator to have negligible photochemical reactivity may be excluded from the total quantity of organic compounds in determining the VOC content of the process fluid. </w:t>
            </w:r>
          </w:p>
          <w:p w14:paraId="57DB58D8" w14:textId="77777777" w:rsidR="00124AB6" w:rsidRPr="000A5D3A" w:rsidRDefault="00124AB6" w:rsidP="004E3BFD">
            <w:pPr>
              <w:rPr>
                <w:bCs/>
              </w:rPr>
            </w:pPr>
          </w:p>
          <w:p w14:paraId="14EC2915" w14:textId="77777777" w:rsidR="00124AB6" w:rsidRPr="000A5D3A" w:rsidRDefault="00124AB6" w:rsidP="004E3BFD">
            <w:pPr>
              <w:rPr>
                <w:bCs/>
              </w:rPr>
            </w:pPr>
            <w:r>
              <w:rPr>
                <w:bCs/>
              </w:rPr>
              <w:t>(d)(</w:t>
            </w:r>
            <w:r w:rsidRPr="000A5D3A">
              <w:rPr>
                <w:bCs/>
              </w:rPr>
              <w:t xml:space="preserve">3) Engineering judgment may be used to estimate the VOC content, if a piece of equipment had not been shown previously to be in service. If the Administrator disagrees with the judgment, paragraphs (d) (1) and (2) of this section shall be used to resolve the disagreement. </w:t>
            </w:r>
          </w:p>
          <w:p w14:paraId="42F0B4E3" w14:textId="77777777" w:rsidR="00124AB6" w:rsidRPr="000A5D3A" w:rsidRDefault="00124AB6" w:rsidP="004E3BFD">
            <w:pPr>
              <w:rPr>
                <w:bCs/>
              </w:rPr>
            </w:pPr>
          </w:p>
          <w:p w14:paraId="27585364" w14:textId="77777777" w:rsidR="00124AB6" w:rsidRPr="000A5D3A" w:rsidRDefault="00124AB6" w:rsidP="004E3BFD">
            <w:pPr>
              <w:rPr>
                <w:bCs/>
              </w:rPr>
            </w:pPr>
            <w:r w:rsidRPr="000A5D3A">
              <w:rPr>
                <w:bCs/>
              </w:rPr>
              <w:t xml:space="preserve">(e) The owner or operator shall demonstrate that a piece of equipment is in light liquid service by showing that all the following conditions apply: </w:t>
            </w:r>
          </w:p>
          <w:p w14:paraId="0283DE87" w14:textId="77777777" w:rsidR="00124AB6" w:rsidRPr="000A5D3A" w:rsidRDefault="00124AB6" w:rsidP="004E3BFD">
            <w:pPr>
              <w:rPr>
                <w:bCs/>
              </w:rPr>
            </w:pPr>
          </w:p>
          <w:p w14:paraId="17FC8131" w14:textId="77777777" w:rsidR="00124AB6" w:rsidRPr="000A5D3A" w:rsidRDefault="00124AB6" w:rsidP="004E3BFD">
            <w:pPr>
              <w:rPr>
                <w:bCs/>
              </w:rPr>
            </w:pPr>
            <w:r>
              <w:rPr>
                <w:bCs/>
              </w:rPr>
              <w:t>(e)</w:t>
            </w:r>
            <w:r w:rsidRPr="000A5D3A">
              <w:rPr>
                <w:bCs/>
              </w:rPr>
              <w:t>(1) The vapor pressure of one or more of the organic components is greater than 0.3 kPa at 20 °C (1.2 in. H</w:t>
            </w:r>
            <w:r w:rsidRPr="000A5D3A">
              <w:rPr>
                <w:bCs/>
                <w:vertAlign w:val="subscript"/>
              </w:rPr>
              <w:t>2</w:t>
            </w:r>
            <w:r w:rsidRPr="000A5D3A">
              <w:rPr>
                <w:bCs/>
              </w:rPr>
              <w:t xml:space="preserve">O at 68 °F). Standard reference texts or ASTM D2879–83, 96, or 97 (incorporated by reference—see § 60.17) shall be used to determine the vapor pressures. </w:t>
            </w:r>
          </w:p>
          <w:p w14:paraId="4CF4E55B" w14:textId="77777777" w:rsidR="00124AB6" w:rsidRPr="000A5D3A" w:rsidRDefault="00124AB6" w:rsidP="004E3BFD">
            <w:pPr>
              <w:rPr>
                <w:bCs/>
              </w:rPr>
            </w:pPr>
          </w:p>
          <w:p w14:paraId="6A0FB982" w14:textId="77777777" w:rsidR="00124AB6" w:rsidRPr="000A5D3A" w:rsidRDefault="00124AB6" w:rsidP="004E3BFD">
            <w:pPr>
              <w:rPr>
                <w:bCs/>
              </w:rPr>
            </w:pPr>
            <w:r>
              <w:rPr>
                <w:bCs/>
              </w:rPr>
              <w:t>(e)</w:t>
            </w:r>
            <w:r w:rsidRPr="000A5D3A">
              <w:rPr>
                <w:bCs/>
              </w:rPr>
              <w:t xml:space="preserve">(2) The total concentration of the pure organic components having a vapor pressure greater than 0.3 kPa at 20 °C (1.2 in. H2O at 68 °F) is equal to or greater than 20 percent by weight. </w:t>
            </w:r>
          </w:p>
          <w:p w14:paraId="784CAE2E" w14:textId="77777777" w:rsidR="00124AB6" w:rsidRPr="000A5D3A" w:rsidRDefault="00124AB6" w:rsidP="004E3BFD">
            <w:pPr>
              <w:rPr>
                <w:bCs/>
              </w:rPr>
            </w:pPr>
          </w:p>
          <w:p w14:paraId="30C30184" w14:textId="77777777" w:rsidR="00124AB6" w:rsidRPr="000A5D3A" w:rsidRDefault="00124AB6" w:rsidP="004E3BFD">
            <w:pPr>
              <w:rPr>
                <w:bCs/>
              </w:rPr>
            </w:pPr>
            <w:r>
              <w:rPr>
                <w:bCs/>
              </w:rPr>
              <w:t>(e)</w:t>
            </w:r>
            <w:r w:rsidRPr="000A5D3A">
              <w:rPr>
                <w:bCs/>
              </w:rPr>
              <w:t>(3) The fluid is a liquid at operating conditions.</w:t>
            </w:r>
          </w:p>
        </w:tc>
      </w:tr>
      <w:tr w:rsidR="00124AB6" w:rsidRPr="000A5D3A" w14:paraId="4873E7A3"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val="0"/>
          <w:trHeight w:val="432"/>
        </w:trPr>
        <w:tc>
          <w:tcPr>
            <w:tcW w:w="1367" w:type="dxa"/>
          </w:tcPr>
          <w:p w14:paraId="493B37AA" w14:textId="77777777" w:rsidR="00124AB6" w:rsidRPr="000A5D3A" w:rsidRDefault="00124AB6" w:rsidP="004E3BFD">
            <w:pPr>
              <w:pStyle w:val="BNum"/>
              <w:rPr>
                <w:bCs/>
              </w:rPr>
            </w:pPr>
          </w:p>
        </w:tc>
        <w:tc>
          <w:tcPr>
            <w:tcW w:w="9433" w:type="dxa"/>
          </w:tcPr>
          <w:p w14:paraId="7FD35D6E" w14:textId="77777777" w:rsidR="00124AB6" w:rsidRPr="001B6EC4" w:rsidRDefault="00124AB6" w:rsidP="004E3BFD">
            <w:r w:rsidRPr="001B6EC4">
              <w:rPr>
                <w:b/>
              </w:rPr>
              <w:t>Emission Unit ID:</w:t>
            </w:r>
            <w:r>
              <w:t xml:space="preserve"> 06, 07</w:t>
            </w:r>
          </w:p>
          <w:p w14:paraId="6AB43BA5" w14:textId="77777777" w:rsidR="00124AB6" w:rsidRDefault="00124AB6" w:rsidP="004E3BFD">
            <w:r w:rsidRPr="009A00D8">
              <w:rPr>
                <w:b/>
              </w:rPr>
              <w:t>Equipment ID:</w:t>
            </w:r>
            <w:r w:rsidRPr="009A00D8">
              <w:t xml:space="preserve"> </w:t>
            </w:r>
            <w:r w:rsidRPr="00A04999">
              <w:t>R-6, R-7</w:t>
            </w:r>
            <w:r>
              <w:t xml:space="preserve">, R-11, R-12 </w:t>
            </w:r>
          </w:p>
          <w:p w14:paraId="1F611E5B" w14:textId="77777777" w:rsidR="00124AB6" w:rsidRDefault="00124AB6" w:rsidP="004E3BFD">
            <w:r w:rsidRPr="009A00D8">
              <w:rPr>
                <w:b/>
              </w:rPr>
              <w:t>Control Device ID:</w:t>
            </w:r>
            <w:r w:rsidRPr="009A00D8">
              <w:t xml:space="preserve"> </w:t>
            </w:r>
            <w:r>
              <w:t>NP-1</w:t>
            </w:r>
          </w:p>
          <w:p w14:paraId="6BD654BC" w14:textId="77777777" w:rsidR="00124AB6" w:rsidRPr="000A5D3A" w:rsidRDefault="00124AB6" w:rsidP="004E3BFD">
            <w:pPr>
              <w:rPr>
                <w:bCs/>
              </w:rPr>
            </w:pPr>
          </w:p>
          <w:p w14:paraId="187D9BAC" w14:textId="77777777" w:rsidR="00124AB6" w:rsidRPr="000A5D3A" w:rsidRDefault="00124AB6" w:rsidP="004E3BFD">
            <w:pPr>
              <w:rPr>
                <w:bCs/>
              </w:rPr>
            </w:pPr>
            <w:r>
              <w:rPr>
                <w:bCs/>
              </w:rPr>
              <w:t>40CFR</w:t>
            </w:r>
            <w:r w:rsidRPr="000A5D3A">
              <w:rPr>
                <w:bCs/>
              </w:rPr>
              <w:t>60.486 Recordkeeping requirements.</w:t>
            </w:r>
          </w:p>
          <w:p w14:paraId="25C9D434" w14:textId="77777777" w:rsidR="00124AB6" w:rsidRPr="000A5D3A" w:rsidRDefault="00124AB6" w:rsidP="004E3BFD">
            <w:pPr>
              <w:rPr>
                <w:bCs/>
              </w:rPr>
            </w:pPr>
          </w:p>
          <w:p w14:paraId="4ADE83A4" w14:textId="77777777" w:rsidR="00124AB6" w:rsidRPr="000A5D3A" w:rsidRDefault="00124AB6" w:rsidP="004E3BFD">
            <w:pPr>
              <w:rPr>
                <w:bCs/>
              </w:rPr>
            </w:pPr>
            <w:r w:rsidRPr="000A5D3A">
              <w:rPr>
                <w:bCs/>
              </w:rPr>
              <w:t xml:space="preserve">(a)(1) Each owner or operator subject to the provisions of this subpart shall comply with the recordkeeping requirements of this section. </w:t>
            </w:r>
          </w:p>
          <w:p w14:paraId="556CFF9F" w14:textId="77777777" w:rsidR="00124AB6" w:rsidRPr="000A5D3A" w:rsidRDefault="00124AB6" w:rsidP="004E3BFD">
            <w:pPr>
              <w:rPr>
                <w:bCs/>
              </w:rPr>
            </w:pPr>
          </w:p>
          <w:p w14:paraId="519756D2" w14:textId="77777777" w:rsidR="00124AB6" w:rsidRPr="000A5D3A" w:rsidRDefault="00124AB6" w:rsidP="004E3BFD">
            <w:pPr>
              <w:rPr>
                <w:bCs/>
              </w:rPr>
            </w:pPr>
            <w:r>
              <w:rPr>
                <w:bCs/>
              </w:rPr>
              <w:t>(a)</w:t>
            </w:r>
            <w:r w:rsidRPr="000A5D3A">
              <w:rPr>
                <w:bCs/>
              </w:rPr>
              <w:t xml:space="preserve">(2) An owner or operator of more than one affected facility subject to the provisions of this subpart may comply with the recordkeeping requirements for these facilities in one recordkeeping system if the system identifies each record by each facility. </w:t>
            </w:r>
          </w:p>
          <w:p w14:paraId="35EA8AE2" w14:textId="77777777" w:rsidR="00124AB6" w:rsidRPr="000A5D3A" w:rsidRDefault="00124AB6" w:rsidP="004E3BFD">
            <w:pPr>
              <w:rPr>
                <w:bCs/>
              </w:rPr>
            </w:pPr>
          </w:p>
          <w:p w14:paraId="01DEDCB8" w14:textId="77777777" w:rsidR="00124AB6" w:rsidRPr="000A5D3A" w:rsidRDefault="00124AB6" w:rsidP="004E3BFD">
            <w:pPr>
              <w:rPr>
                <w:bCs/>
              </w:rPr>
            </w:pPr>
            <w:r w:rsidRPr="000A5D3A">
              <w:rPr>
                <w:bCs/>
              </w:rPr>
              <w:t xml:space="preserve">(b) When each leak is detected as specified in §§ 60.482–2, 60.482–3, 60.482–7, 60.482–8, and 60.483–2, the following requirements apply: </w:t>
            </w:r>
          </w:p>
          <w:p w14:paraId="5DC61F70" w14:textId="77777777" w:rsidR="00124AB6" w:rsidRPr="000A5D3A" w:rsidRDefault="00124AB6" w:rsidP="004E3BFD">
            <w:pPr>
              <w:rPr>
                <w:bCs/>
              </w:rPr>
            </w:pPr>
          </w:p>
          <w:p w14:paraId="14B0E60E" w14:textId="77777777" w:rsidR="00124AB6" w:rsidRPr="000A5D3A" w:rsidRDefault="00124AB6" w:rsidP="004E3BFD">
            <w:pPr>
              <w:rPr>
                <w:bCs/>
              </w:rPr>
            </w:pPr>
            <w:r>
              <w:rPr>
                <w:bCs/>
              </w:rPr>
              <w:t>(b)</w:t>
            </w:r>
            <w:r w:rsidRPr="000A5D3A">
              <w:rPr>
                <w:bCs/>
              </w:rPr>
              <w:t xml:space="preserve">(1) A weatherproof and readily visible identification, marked with the equipment identification number, shall be attached to the leaking equipment. </w:t>
            </w:r>
          </w:p>
          <w:p w14:paraId="617673D0" w14:textId="77777777" w:rsidR="00124AB6" w:rsidRPr="000A5D3A" w:rsidRDefault="00124AB6" w:rsidP="004E3BFD">
            <w:pPr>
              <w:rPr>
                <w:bCs/>
              </w:rPr>
            </w:pPr>
          </w:p>
          <w:p w14:paraId="1845CC67" w14:textId="77777777" w:rsidR="00124AB6" w:rsidRPr="000A5D3A" w:rsidRDefault="00124AB6" w:rsidP="004E3BFD">
            <w:pPr>
              <w:rPr>
                <w:bCs/>
              </w:rPr>
            </w:pPr>
            <w:r>
              <w:rPr>
                <w:bCs/>
              </w:rPr>
              <w:t>(b)</w:t>
            </w:r>
            <w:r w:rsidRPr="000A5D3A">
              <w:rPr>
                <w:bCs/>
              </w:rPr>
              <w:t xml:space="preserve">(2) The identification on a valve may be removed after it has been monitored for 2 successive months as specified in § 60.482–7(c) and no leak has been detected during those 2 months. </w:t>
            </w:r>
          </w:p>
          <w:p w14:paraId="48BF5D17" w14:textId="77777777" w:rsidR="00124AB6" w:rsidRPr="000A5D3A" w:rsidRDefault="00124AB6" w:rsidP="004E3BFD">
            <w:pPr>
              <w:rPr>
                <w:bCs/>
              </w:rPr>
            </w:pPr>
          </w:p>
          <w:p w14:paraId="706314BE" w14:textId="77777777" w:rsidR="00124AB6" w:rsidRPr="000A5D3A" w:rsidRDefault="00124AB6" w:rsidP="004E3BFD">
            <w:pPr>
              <w:rPr>
                <w:bCs/>
              </w:rPr>
            </w:pPr>
            <w:r>
              <w:rPr>
                <w:bCs/>
              </w:rPr>
              <w:t>(b)</w:t>
            </w:r>
            <w:r w:rsidRPr="000A5D3A">
              <w:rPr>
                <w:bCs/>
              </w:rPr>
              <w:t xml:space="preserve">(3) The identification on equipment except on a valve, may be removed after it has been repaired. </w:t>
            </w:r>
          </w:p>
          <w:p w14:paraId="241FB19D" w14:textId="77777777" w:rsidR="00124AB6" w:rsidRPr="000A5D3A" w:rsidRDefault="00124AB6" w:rsidP="004E3BFD">
            <w:pPr>
              <w:rPr>
                <w:bCs/>
              </w:rPr>
            </w:pPr>
          </w:p>
          <w:p w14:paraId="6EED9FC9" w14:textId="77777777" w:rsidR="00124AB6" w:rsidRPr="000A5D3A" w:rsidRDefault="00124AB6" w:rsidP="004E3BFD">
            <w:pPr>
              <w:rPr>
                <w:bCs/>
              </w:rPr>
            </w:pPr>
            <w:r w:rsidRPr="000A5D3A">
              <w:rPr>
                <w:bCs/>
              </w:rPr>
              <w:t xml:space="preserve">(c) When each leak is detected as specified in §§ 60.482–2, 60.482–3, 60.482–7, 60.482–8, and 60.483–2, the following information shall be recorded in a log and shall be kept for 2 years in a readily accessible location: </w:t>
            </w:r>
          </w:p>
          <w:p w14:paraId="2D17D45D" w14:textId="77777777" w:rsidR="00124AB6" w:rsidRPr="000A5D3A" w:rsidRDefault="00124AB6" w:rsidP="004E3BFD">
            <w:pPr>
              <w:rPr>
                <w:bCs/>
              </w:rPr>
            </w:pPr>
          </w:p>
          <w:p w14:paraId="063AAE75" w14:textId="77777777" w:rsidR="00124AB6" w:rsidRPr="000A5D3A" w:rsidRDefault="00124AB6" w:rsidP="004E3BFD">
            <w:pPr>
              <w:rPr>
                <w:bCs/>
              </w:rPr>
            </w:pPr>
            <w:r>
              <w:rPr>
                <w:bCs/>
              </w:rPr>
              <w:t>(c)</w:t>
            </w:r>
            <w:r w:rsidRPr="000A5D3A">
              <w:rPr>
                <w:bCs/>
              </w:rPr>
              <w:t xml:space="preserve">(1) The instrument and operator identification numbers and the equipment identification number. </w:t>
            </w:r>
          </w:p>
          <w:p w14:paraId="14437A99" w14:textId="77777777" w:rsidR="00124AB6" w:rsidRPr="000A5D3A" w:rsidRDefault="00124AB6" w:rsidP="004E3BFD">
            <w:pPr>
              <w:rPr>
                <w:bCs/>
              </w:rPr>
            </w:pPr>
            <w:r>
              <w:rPr>
                <w:bCs/>
              </w:rPr>
              <w:t>(c)</w:t>
            </w:r>
            <w:r w:rsidRPr="000A5D3A">
              <w:rPr>
                <w:bCs/>
              </w:rPr>
              <w:t xml:space="preserve">(2) The date the leak was detected and the dates of each attempt to repair the leak. </w:t>
            </w:r>
          </w:p>
          <w:p w14:paraId="7BC30CFB" w14:textId="77777777" w:rsidR="00124AB6" w:rsidRPr="000A5D3A" w:rsidRDefault="00124AB6" w:rsidP="004E3BFD">
            <w:pPr>
              <w:rPr>
                <w:bCs/>
              </w:rPr>
            </w:pPr>
            <w:r>
              <w:rPr>
                <w:bCs/>
              </w:rPr>
              <w:t>(c)</w:t>
            </w:r>
            <w:r w:rsidRPr="000A5D3A">
              <w:rPr>
                <w:bCs/>
              </w:rPr>
              <w:t xml:space="preserve">(3) Repair methods applied in each attempt to repair the leak. </w:t>
            </w:r>
          </w:p>
          <w:p w14:paraId="04D5EB61" w14:textId="77777777" w:rsidR="00124AB6" w:rsidRPr="000A5D3A" w:rsidRDefault="00124AB6" w:rsidP="004E3BFD">
            <w:pPr>
              <w:rPr>
                <w:bCs/>
              </w:rPr>
            </w:pPr>
          </w:p>
          <w:p w14:paraId="1DB394D3" w14:textId="77777777" w:rsidR="00124AB6" w:rsidRPr="000A5D3A" w:rsidRDefault="00124AB6" w:rsidP="004E3BFD">
            <w:pPr>
              <w:rPr>
                <w:bCs/>
              </w:rPr>
            </w:pPr>
            <w:r>
              <w:rPr>
                <w:bCs/>
              </w:rPr>
              <w:t>(c)</w:t>
            </w:r>
            <w:r w:rsidRPr="000A5D3A">
              <w:rPr>
                <w:bCs/>
              </w:rPr>
              <w:t xml:space="preserve">(4) “Above 10,000” if the maximum instrument reading measured by the methods specified in § 60.485(a) after each repair attempt is equal to or greater than 10,000 ppm. </w:t>
            </w:r>
          </w:p>
          <w:p w14:paraId="0D61190E" w14:textId="77777777" w:rsidR="00124AB6" w:rsidRPr="000A5D3A" w:rsidRDefault="00124AB6" w:rsidP="004E3BFD">
            <w:pPr>
              <w:rPr>
                <w:bCs/>
              </w:rPr>
            </w:pPr>
          </w:p>
          <w:p w14:paraId="610ADC9D" w14:textId="77777777" w:rsidR="00124AB6" w:rsidRPr="000A5D3A" w:rsidRDefault="00124AB6" w:rsidP="004E3BFD">
            <w:pPr>
              <w:rPr>
                <w:bCs/>
              </w:rPr>
            </w:pPr>
            <w:r>
              <w:rPr>
                <w:bCs/>
              </w:rPr>
              <w:t>(c)</w:t>
            </w:r>
            <w:r w:rsidRPr="000A5D3A">
              <w:rPr>
                <w:bCs/>
              </w:rPr>
              <w:t xml:space="preserve">(5) “Repair delayed” and the reason for the delay if a leak is not repaired within 15 calendar days after discovery of the leak. </w:t>
            </w:r>
          </w:p>
          <w:p w14:paraId="78BE6B84" w14:textId="77777777" w:rsidR="00124AB6" w:rsidRPr="000A5D3A" w:rsidRDefault="00124AB6" w:rsidP="004E3BFD">
            <w:pPr>
              <w:rPr>
                <w:bCs/>
              </w:rPr>
            </w:pPr>
          </w:p>
          <w:p w14:paraId="3C2FAA27" w14:textId="77777777" w:rsidR="00124AB6" w:rsidRPr="000A5D3A" w:rsidRDefault="00124AB6" w:rsidP="004E3BFD">
            <w:pPr>
              <w:rPr>
                <w:bCs/>
              </w:rPr>
            </w:pPr>
            <w:r>
              <w:rPr>
                <w:bCs/>
              </w:rPr>
              <w:t>(c)</w:t>
            </w:r>
            <w:r w:rsidRPr="000A5D3A">
              <w:rPr>
                <w:bCs/>
              </w:rPr>
              <w:t xml:space="preserve">(6) The signature of the owner or operator (or designate) whose decision it was that repair could not be </w:t>
            </w:r>
            <w:proofErr w:type="gramStart"/>
            <w:r w:rsidRPr="000A5D3A">
              <w:rPr>
                <w:bCs/>
              </w:rPr>
              <w:t>effected</w:t>
            </w:r>
            <w:proofErr w:type="gramEnd"/>
            <w:r w:rsidRPr="000A5D3A">
              <w:rPr>
                <w:bCs/>
              </w:rPr>
              <w:t xml:space="preserve"> without a process shutdown. </w:t>
            </w:r>
          </w:p>
          <w:p w14:paraId="0B9F761C" w14:textId="77777777" w:rsidR="00124AB6" w:rsidRPr="000A5D3A" w:rsidRDefault="00124AB6" w:rsidP="004E3BFD">
            <w:pPr>
              <w:rPr>
                <w:bCs/>
              </w:rPr>
            </w:pPr>
          </w:p>
          <w:p w14:paraId="7F82BEC6" w14:textId="77777777" w:rsidR="00124AB6" w:rsidRPr="000A5D3A" w:rsidRDefault="00124AB6" w:rsidP="004E3BFD">
            <w:pPr>
              <w:rPr>
                <w:bCs/>
              </w:rPr>
            </w:pPr>
            <w:r>
              <w:rPr>
                <w:bCs/>
              </w:rPr>
              <w:t>(c)</w:t>
            </w:r>
            <w:r w:rsidRPr="000A5D3A">
              <w:rPr>
                <w:bCs/>
              </w:rPr>
              <w:t xml:space="preserve">(7) The expected date of successful repair of the leak if a leak is not repaired within 15 days. </w:t>
            </w:r>
          </w:p>
          <w:p w14:paraId="55DDB162" w14:textId="77777777" w:rsidR="00124AB6" w:rsidRPr="000A5D3A" w:rsidRDefault="00124AB6" w:rsidP="004E3BFD">
            <w:pPr>
              <w:rPr>
                <w:bCs/>
              </w:rPr>
            </w:pPr>
            <w:r>
              <w:rPr>
                <w:bCs/>
              </w:rPr>
              <w:t>(c)</w:t>
            </w:r>
            <w:r w:rsidRPr="000A5D3A">
              <w:rPr>
                <w:bCs/>
              </w:rPr>
              <w:t xml:space="preserve">(8) Dates of process unit shutdowns that occur while the equipment is unrepaired. </w:t>
            </w:r>
          </w:p>
          <w:p w14:paraId="34EAD565" w14:textId="77777777" w:rsidR="00124AB6" w:rsidRDefault="00124AB6" w:rsidP="004E3BFD">
            <w:pPr>
              <w:rPr>
                <w:bCs/>
              </w:rPr>
            </w:pPr>
            <w:r>
              <w:rPr>
                <w:bCs/>
              </w:rPr>
              <w:t>(c)</w:t>
            </w:r>
            <w:r w:rsidRPr="000A5D3A">
              <w:rPr>
                <w:bCs/>
              </w:rPr>
              <w:t>(9) The date of successful repair of the leak.</w:t>
            </w:r>
          </w:p>
          <w:p w14:paraId="30094089" w14:textId="77777777" w:rsidR="00124AB6" w:rsidRDefault="00124AB6" w:rsidP="004E3BFD">
            <w:pPr>
              <w:rPr>
                <w:bCs/>
              </w:rPr>
            </w:pPr>
          </w:p>
          <w:p w14:paraId="6DFD8E20" w14:textId="77777777" w:rsidR="00124AB6" w:rsidRPr="000A5D3A" w:rsidRDefault="00124AB6" w:rsidP="004E3BFD">
            <w:pPr>
              <w:rPr>
                <w:bCs/>
              </w:rPr>
            </w:pPr>
            <w:r w:rsidRPr="000A5D3A">
              <w:rPr>
                <w:bCs/>
              </w:rPr>
              <w:t xml:space="preserve">(e) The following information pertaining to all equipment subject to the requirements in §§ 60.482–1 to 60.482–10 shall be recorded in a log that is kept in a readily accessible location: </w:t>
            </w:r>
          </w:p>
          <w:p w14:paraId="334250F8" w14:textId="77777777" w:rsidR="00124AB6" w:rsidRPr="000A5D3A" w:rsidRDefault="00124AB6" w:rsidP="004E3BFD">
            <w:pPr>
              <w:rPr>
                <w:bCs/>
              </w:rPr>
            </w:pPr>
          </w:p>
          <w:p w14:paraId="122910F0" w14:textId="77777777" w:rsidR="00124AB6" w:rsidRPr="000A5D3A" w:rsidRDefault="00124AB6" w:rsidP="004E3BFD">
            <w:pPr>
              <w:rPr>
                <w:bCs/>
              </w:rPr>
            </w:pPr>
            <w:r>
              <w:rPr>
                <w:bCs/>
              </w:rPr>
              <w:t>(e)</w:t>
            </w:r>
            <w:r w:rsidRPr="000A5D3A">
              <w:rPr>
                <w:bCs/>
              </w:rPr>
              <w:t xml:space="preserve">(1) A list of identification numbers for equipment subject to the requirements of this subpart. </w:t>
            </w:r>
          </w:p>
          <w:p w14:paraId="4C7B8EAB" w14:textId="77777777" w:rsidR="00124AB6" w:rsidRPr="000A5D3A" w:rsidRDefault="00124AB6" w:rsidP="004E3BFD">
            <w:pPr>
              <w:rPr>
                <w:bCs/>
              </w:rPr>
            </w:pPr>
          </w:p>
          <w:p w14:paraId="3B1D1AE6" w14:textId="77777777" w:rsidR="00124AB6" w:rsidRPr="000A5D3A" w:rsidRDefault="00124AB6" w:rsidP="004E3BFD">
            <w:pPr>
              <w:rPr>
                <w:bCs/>
              </w:rPr>
            </w:pPr>
            <w:r>
              <w:rPr>
                <w:bCs/>
              </w:rPr>
              <w:t>(e)</w:t>
            </w:r>
            <w:r w:rsidRPr="000A5D3A">
              <w:rPr>
                <w:bCs/>
              </w:rPr>
              <w:t>(2)(</w:t>
            </w:r>
            <w:proofErr w:type="spellStart"/>
            <w:r w:rsidRPr="000A5D3A">
              <w:rPr>
                <w:bCs/>
              </w:rPr>
              <w:t>i</w:t>
            </w:r>
            <w:proofErr w:type="spellEnd"/>
            <w:r w:rsidRPr="000A5D3A">
              <w:rPr>
                <w:bCs/>
              </w:rPr>
              <w:t>) A list of identification numbers for equipment that are designated for no detectable emissions under the provisions of §§ 60.482–2(e), 60.482–3(</w:t>
            </w:r>
            <w:proofErr w:type="spellStart"/>
            <w:r w:rsidRPr="000A5D3A">
              <w:rPr>
                <w:bCs/>
              </w:rPr>
              <w:t>i</w:t>
            </w:r>
            <w:proofErr w:type="spellEnd"/>
            <w:r w:rsidRPr="000A5D3A">
              <w:rPr>
                <w:bCs/>
              </w:rPr>
              <w:t xml:space="preserve">) and 60.482–7(f). </w:t>
            </w:r>
          </w:p>
          <w:p w14:paraId="669DCF28" w14:textId="77777777" w:rsidR="00124AB6" w:rsidRPr="000A5D3A" w:rsidRDefault="00124AB6" w:rsidP="004E3BFD">
            <w:pPr>
              <w:rPr>
                <w:bCs/>
              </w:rPr>
            </w:pPr>
          </w:p>
          <w:p w14:paraId="4F21170F" w14:textId="77777777" w:rsidR="00124AB6" w:rsidRPr="000A5D3A" w:rsidRDefault="00124AB6" w:rsidP="004E3BFD">
            <w:pPr>
              <w:rPr>
                <w:bCs/>
              </w:rPr>
            </w:pPr>
            <w:r>
              <w:rPr>
                <w:bCs/>
              </w:rPr>
              <w:t>(e)(2)</w:t>
            </w:r>
            <w:r w:rsidRPr="000A5D3A">
              <w:rPr>
                <w:bCs/>
              </w:rPr>
              <w:t>(ii) The designation of equipment as subject to the requirements of § 60.482–2(e), § 60.482–3(</w:t>
            </w:r>
            <w:proofErr w:type="spellStart"/>
            <w:r w:rsidRPr="000A5D3A">
              <w:rPr>
                <w:bCs/>
              </w:rPr>
              <w:t>i</w:t>
            </w:r>
            <w:proofErr w:type="spellEnd"/>
            <w:r w:rsidRPr="000A5D3A">
              <w:rPr>
                <w:bCs/>
              </w:rPr>
              <w:t xml:space="preserve">), or § 60.482–7(f) shall be signed by the owner or operator. Alternatively, the owner or operator may establish a mechanism with their permitting authority that satisfies this requirement. </w:t>
            </w:r>
          </w:p>
          <w:p w14:paraId="437E7902" w14:textId="77777777" w:rsidR="00124AB6" w:rsidRPr="000A5D3A" w:rsidRDefault="00124AB6" w:rsidP="004E3BFD">
            <w:pPr>
              <w:rPr>
                <w:bCs/>
              </w:rPr>
            </w:pPr>
          </w:p>
          <w:p w14:paraId="65F52468" w14:textId="77777777" w:rsidR="00124AB6" w:rsidRPr="000A5D3A" w:rsidRDefault="00124AB6" w:rsidP="004E3BFD">
            <w:pPr>
              <w:rPr>
                <w:bCs/>
              </w:rPr>
            </w:pPr>
            <w:r>
              <w:rPr>
                <w:bCs/>
              </w:rPr>
              <w:t>(e)</w:t>
            </w:r>
            <w:r w:rsidRPr="000A5D3A">
              <w:rPr>
                <w:bCs/>
              </w:rPr>
              <w:t xml:space="preserve">(3) A list of equipment identification numbers for pressure relief devices required to comply with § 60.482–4. </w:t>
            </w:r>
          </w:p>
          <w:p w14:paraId="08828C17" w14:textId="77777777" w:rsidR="00124AB6" w:rsidRPr="000A5D3A" w:rsidRDefault="00124AB6" w:rsidP="004E3BFD">
            <w:pPr>
              <w:rPr>
                <w:bCs/>
              </w:rPr>
            </w:pPr>
          </w:p>
          <w:p w14:paraId="13450DD3" w14:textId="77777777" w:rsidR="00124AB6" w:rsidRPr="000A5D3A" w:rsidRDefault="00124AB6" w:rsidP="004E3BFD">
            <w:pPr>
              <w:rPr>
                <w:bCs/>
              </w:rPr>
            </w:pPr>
            <w:r>
              <w:rPr>
                <w:bCs/>
              </w:rPr>
              <w:t>(e)</w:t>
            </w:r>
            <w:r w:rsidRPr="000A5D3A">
              <w:rPr>
                <w:bCs/>
              </w:rPr>
              <w:t>(4)(</w:t>
            </w:r>
            <w:proofErr w:type="spellStart"/>
            <w:r w:rsidRPr="000A5D3A">
              <w:rPr>
                <w:bCs/>
              </w:rPr>
              <w:t>i</w:t>
            </w:r>
            <w:proofErr w:type="spellEnd"/>
            <w:r w:rsidRPr="000A5D3A">
              <w:rPr>
                <w:bCs/>
              </w:rPr>
              <w:t>) The dates of each compliance test as required in §§ 60.482–2(e), 60.482–3(</w:t>
            </w:r>
            <w:proofErr w:type="spellStart"/>
            <w:r w:rsidRPr="000A5D3A">
              <w:rPr>
                <w:bCs/>
              </w:rPr>
              <w:t>i</w:t>
            </w:r>
            <w:proofErr w:type="spellEnd"/>
            <w:r w:rsidRPr="000A5D3A">
              <w:rPr>
                <w:bCs/>
              </w:rPr>
              <w:t xml:space="preserve">), 60.482–4, and 60.482–7(f). </w:t>
            </w:r>
          </w:p>
          <w:p w14:paraId="5B30055B" w14:textId="77777777" w:rsidR="00124AB6" w:rsidRPr="000A5D3A" w:rsidRDefault="00124AB6" w:rsidP="004E3BFD">
            <w:pPr>
              <w:rPr>
                <w:bCs/>
              </w:rPr>
            </w:pPr>
          </w:p>
          <w:p w14:paraId="5C4A6C9E" w14:textId="77777777" w:rsidR="00124AB6" w:rsidRPr="000A5D3A" w:rsidRDefault="00124AB6" w:rsidP="004E3BFD">
            <w:pPr>
              <w:rPr>
                <w:bCs/>
              </w:rPr>
            </w:pPr>
            <w:r>
              <w:rPr>
                <w:bCs/>
              </w:rPr>
              <w:t>(e)(4)</w:t>
            </w:r>
            <w:r w:rsidRPr="000A5D3A">
              <w:rPr>
                <w:bCs/>
              </w:rPr>
              <w:t xml:space="preserve">(ii) The background level measured during each compliance test. </w:t>
            </w:r>
          </w:p>
          <w:p w14:paraId="2E35CD34" w14:textId="77777777" w:rsidR="00124AB6" w:rsidRPr="000A5D3A" w:rsidRDefault="00124AB6" w:rsidP="004E3BFD">
            <w:pPr>
              <w:rPr>
                <w:bCs/>
              </w:rPr>
            </w:pPr>
          </w:p>
          <w:p w14:paraId="610E1BA1" w14:textId="77777777" w:rsidR="00124AB6" w:rsidRPr="000A5D3A" w:rsidRDefault="00124AB6" w:rsidP="004E3BFD">
            <w:pPr>
              <w:rPr>
                <w:bCs/>
              </w:rPr>
            </w:pPr>
            <w:r>
              <w:rPr>
                <w:bCs/>
              </w:rPr>
              <w:t>(e)(4)</w:t>
            </w:r>
            <w:r w:rsidRPr="000A5D3A">
              <w:rPr>
                <w:bCs/>
              </w:rPr>
              <w:t xml:space="preserve">(iii) The maximum instrument reading measured at the equipment during each compliance test. </w:t>
            </w:r>
          </w:p>
          <w:p w14:paraId="7546E439" w14:textId="77777777" w:rsidR="00124AB6" w:rsidRPr="000A5D3A" w:rsidRDefault="00124AB6" w:rsidP="004E3BFD">
            <w:pPr>
              <w:rPr>
                <w:bCs/>
              </w:rPr>
            </w:pPr>
          </w:p>
          <w:p w14:paraId="3BAE5EC3" w14:textId="77777777" w:rsidR="00124AB6" w:rsidRPr="000A5D3A" w:rsidRDefault="00124AB6" w:rsidP="004E3BFD">
            <w:pPr>
              <w:rPr>
                <w:bCs/>
              </w:rPr>
            </w:pPr>
            <w:r>
              <w:rPr>
                <w:bCs/>
              </w:rPr>
              <w:t>(e)</w:t>
            </w:r>
            <w:r w:rsidRPr="000A5D3A">
              <w:rPr>
                <w:bCs/>
              </w:rPr>
              <w:t xml:space="preserve">(5) A list of identification numbers for equipment in vacuum service. </w:t>
            </w:r>
          </w:p>
          <w:p w14:paraId="2B7622A7" w14:textId="77777777" w:rsidR="00124AB6" w:rsidRPr="000A5D3A" w:rsidRDefault="00124AB6" w:rsidP="004E3BFD">
            <w:pPr>
              <w:rPr>
                <w:bCs/>
              </w:rPr>
            </w:pPr>
          </w:p>
          <w:p w14:paraId="6E1C22E7" w14:textId="77777777" w:rsidR="00124AB6" w:rsidRPr="000A5D3A" w:rsidRDefault="00124AB6" w:rsidP="004E3BFD">
            <w:pPr>
              <w:rPr>
                <w:bCs/>
              </w:rPr>
            </w:pPr>
            <w:r>
              <w:rPr>
                <w:bCs/>
              </w:rPr>
              <w:t>(e)</w:t>
            </w:r>
            <w:r w:rsidRPr="000A5D3A">
              <w:rPr>
                <w:bCs/>
              </w:rPr>
              <w:t xml:space="preserve">(6) A list of identification numbers for equipment that the owner or operator designates as operating in VOC service less than 300 </w:t>
            </w:r>
            <w:proofErr w:type="spellStart"/>
            <w:r w:rsidRPr="000A5D3A">
              <w:rPr>
                <w:bCs/>
              </w:rPr>
              <w:t>hr</w:t>
            </w:r>
            <w:proofErr w:type="spellEnd"/>
            <w:r w:rsidRPr="000A5D3A">
              <w:rPr>
                <w:bCs/>
              </w:rPr>
              <w:t>/</w:t>
            </w:r>
            <w:proofErr w:type="spellStart"/>
            <w:r w:rsidRPr="000A5D3A">
              <w:rPr>
                <w:bCs/>
              </w:rPr>
              <w:t>yr</w:t>
            </w:r>
            <w:proofErr w:type="spellEnd"/>
            <w:r w:rsidRPr="000A5D3A">
              <w:rPr>
                <w:bCs/>
              </w:rPr>
              <w:t xml:space="preserve"> in accordance with § 60.482–1(e), a description of the conditions under which the equipment is in VOC service, and rationale supporting the designation that it is in VOC service less than 300 </w:t>
            </w:r>
            <w:proofErr w:type="spellStart"/>
            <w:r w:rsidRPr="000A5D3A">
              <w:rPr>
                <w:bCs/>
              </w:rPr>
              <w:t>hr</w:t>
            </w:r>
            <w:proofErr w:type="spellEnd"/>
            <w:r w:rsidRPr="000A5D3A">
              <w:rPr>
                <w:bCs/>
              </w:rPr>
              <w:t>/yr.</w:t>
            </w:r>
          </w:p>
        </w:tc>
      </w:tr>
      <w:tr w:rsidR="00124AB6" w:rsidRPr="000A5D3A" w14:paraId="1CC07BDE"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val="0"/>
          <w:trHeight w:val="432"/>
        </w:trPr>
        <w:tc>
          <w:tcPr>
            <w:tcW w:w="1367" w:type="dxa"/>
          </w:tcPr>
          <w:p w14:paraId="218A2B76" w14:textId="77777777" w:rsidR="00124AB6" w:rsidRPr="000A5D3A" w:rsidRDefault="00124AB6" w:rsidP="004E3BFD">
            <w:pPr>
              <w:pStyle w:val="BNum"/>
              <w:rPr>
                <w:bCs/>
              </w:rPr>
            </w:pPr>
          </w:p>
        </w:tc>
        <w:tc>
          <w:tcPr>
            <w:tcW w:w="9433" w:type="dxa"/>
          </w:tcPr>
          <w:p w14:paraId="4CB22023" w14:textId="77777777" w:rsidR="00124AB6" w:rsidRPr="001B6EC4" w:rsidRDefault="00124AB6" w:rsidP="004E3BFD">
            <w:r w:rsidRPr="001B6EC4">
              <w:rPr>
                <w:b/>
              </w:rPr>
              <w:t>Emission Unit ID:</w:t>
            </w:r>
            <w:r>
              <w:t xml:space="preserve"> 06, 07</w:t>
            </w:r>
          </w:p>
          <w:p w14:paraId="6887C97C" w14:textId="77777777" w:rsidR="00124AB6" w:rsidRDefault="00124AB6" w:rsidP="004E3BFD">
            <w:r w:rsidRPr="009A00D8">
              <w:rPr>
                <w:b/>
              </w:rPr>
              <w:t>Equipment ID:</w:t>
            </w:r>
            <w:r w:rsidRPr="009A00D8">
              <w:t xml:space="preserve"> </w:t>
            </w:r>
            <w:r w:rsidRPr="00A04999">
              <w:t>R-6, R-7</w:t>
            </w:r>
            <w:r>
              <w:t xml:space="preserve">, R-11, R-12 </w:t>
            </w:r>
          </w:p>
          <w:p w14:paraId="3C499408" w14:textId="77777777" w:rsidR="00124AB6" w:rsidRDefault="00124AB6" w:rsidP="004E3BFD">
            <w:r w:rsidRPr="009A00D8">
              <w:rPr>
                <w:b/>
              </w:rPr>
              <w:t>Control Device ID:</w:t>
            </w:r>
            <w:r w:rsidRPr="009A00D8">
              <w:t xml:space="preserve"> </w:t>
            </w:r>
            <w:r>
              <w:t>NP-1</w:t>
            </w:r>
          </w:p>
          <w:p w14:paraId="6DC0C5A7" w14:textId="77777777" w:rsidR="00124AB6" w:rsidRDefault="00124AB6" w:rsidP="004E3BFD">
            <w:pPr>
              <w:rPr>
                <w:bCs/>
              </w:rPr>
            </w:pPr>
          </w:p>
          <w:p w14:paraId="176B9434" w14:textId="77777777" w:rsidR="00124AB6" w:rsidRPr="000A5D3A" w:rsidRDefault="00124AB6" w:rsidP="004E3BFD">
            <w:pPr>
              <w:rPr>
                <w:bCs/>
              </w:rPr>
            </w:pPr>
            <w:r>
              <w:rPr>
                <w:bCs/>
              </w:rPr>
              <w:t>40CFR</w:t>
            </w:r>
            <w:r w:rsidRPr="000A5D3A">
              <w:rPr>
                <w:bCs/>
              </w:rPr>
              <w:t>60.487 Reporting requirements.</w:t>
            </w:r>
          </w:p>
          <w:p w14:paraId="15213E2C" w14:textId="77777777" w:rsidR="00124AB6" w:rsidRPr="000A5D3A" w:rsidRDefault="00124AB6" w:rsidP="004E3BFD">
            <w:pPr>
              <w:rPr>
                <w:bCs/>
              </w:rPr>
            </w:pPr>
          </w:p>
          <w:p w14:paraId="375AE910" w14:textId="77777777" w:rsidR="00124AB6" w:rsidRPr="000A5D3A" w:rsidRDefault="00124AB6" w:rsidP="004E3BFD">
            <w:pPr>
              <w:rPr>
                <w:bCs/>
              </w:rPr>
            </w:pPr>
            <w:r w:rsidRPr="000A5D3A">
              <w:rPr>
                <w:bCs/>
              </w:rPr>
              <w:t xml:space="preserve">(a) Each owner or operator subject to the provisions of this subpart shall submit semiannual reports to the Administrator beginning six months after the initial startup date. </w:t>
            </w:r>
          </w:p>
          <w:p w14:paraId="35ABE4CD" w14:textId="77777777" w:rsidR="00124AB6" w:rsidRPr="000A5D3A" w:rsidRDefault="00124AB6" w:rsidP="004E3BFD">
            <w:pPr>
              <w:rPr>
                <w:bCs/>
              </w:rPr>
            </w:pPr>
          </w:p>
          <w:p w14:paraId="1E756C15" w14:textId="77777777" w:rsidR="00124AB6" w:rsidRPr="000A5D3A" w:rsidRDefault="00124AB6" w:rsidP="004E3BFD">
            <w:pPr>
              <w:rPr>
                <w:bCs/>
              </w:rPr>
            </w:pPr>
            <w:r w:rsidRPr="000A5D3A">
              <w:rPr>
                <w:bCs/>
              </w:rPr>
              <w:t xml:space="preserve">(b) The initial semiannual report to the Administrator shall include the following information: </w:t>
            </w:r>
          </w:p>
          <w:p w14:paraId="19C032C7" w14:textId="77777777" w:rsidR="00124AB6" w:rsidRPr="000A5D3A" w:rsidRDefault="00124AB6" w:rsidP="004E3BFD">
            <w:pPr>
              <w:rPr>
                <w:bCs/>
              </w:rPr>
            </w:pPr>
          </w:p>
          <w:p w14:paraId="7D68CB44" w14:textId="77777777" w:rsidR="00124AB6" w:rsidRPr="000A5D3A" w:rsidRDefault="00124AB6" w:rsidP="004E3BFD">
            <w:pPr>
              <w:rPr>
                <w:bCs/>
              </w:rPr>
            </w:pPr>
            <w:r>
              <w:rPr>
                <w:bCs/>
              </w:rPr>
              <w:t>(b)</w:t>
            </w:r>
            <w:r w:rsidRPr="000A5D3A">
              <w:rPr>
                <w:bCs/>
              </w:rPr>
              <w:t xml:space="preserve">(1) Process unit identification. </w:t>
            </w:r>
          </w:p>
          <w:p w14:paraId="384ADAC7" w14:textId="77777777" w:rsidR="00124AB6" w:rsidRPr="000A5D3A" w:rsidRDefault="00124AB6" w:rsidP="004E3BFD">
            <w:pPr>
              <w:rPr>
                <w:bCs/>
              </w:rPr>
            </w:pPr>
          </w:p>
          <w:p w14:paraId="2AB7CD80" w14:textId="77777777" w:rsidR="00124AB6" w:rsidRPr="000A5D3A" w:rsidRDefault="00124AB6" w:rsidP="004E3BFD">
            <w:pPr>
              <w:rPr>
                <w:bCs/>
              </w:rPr>
            </w:pPr>
            <w:r>
              <w:rPr>
                <w:bCs/>
              </w:rPr>
              <w:t>(b)</w:t>
            </w:r>
            <w:r w:rsidRPr="000A5D3A">
              <w:rPr>
                <w:bCs/>
              </w:rPr>
              <w:t xml:space="preserve">(2) Number of valves subject to the requirements of § 60.482–7, excluding those valves designated for no detectable emissions under the provisions of § 60.482–7(f). </w:t>
            </w:r>
          </w:p>
          <w:p w14:paraId="68536CBB" w14:textId="77777777" w:rsidR="00124AB6" w:rsidRPr="000A5D3A" w:rsidRDefault="00124AB6" w:rsidP="004E3BFD">
            <w:pPr>
              <w:rPr>
                <w:bCs/>
              </w:rPr>
            </w:pPr>
          </w:p>
          <w:p w14:paraId="637F3BD7" w14:textId="77777777" w:rsidR="00124AB6" w:rsidRPr="000A5D3A" w:rsidRDefault="00124AB6" w:rsidP="004E3BFD">
            <w:pPr>
              <w:rPr>
                <w:bCs/>
              </w:rPr>
            </w:pPr>
            <w:r>
              <w:rPr>
                <w:bCs/>
              </w:rPr>
              <w:t>(b)</w:t>
            </w:r>
            <w:r w:rsidRPr="000A5D3A">
              <w:rPr>
                <w:bCs/>
              </w:rPr>
              <w:t xml:space="preserve">(3) Number of pumps subject to the requirements of § 60.482–2, excluding those pumps designated for no detectable emissions under the provisions of § 60.482–2(e) and those pumps complying with § 60.482–2(f). </w:t>
            </w:r>
          </w:p>
          <w:p w14:paraId="23279541" w14:textId="77777777" w:rsidR="00124AB6" w:rsidRPr="000A5D3A" w:rsidRDefault="00124AB6" w:rsidP="004E3BFD">
            <w:pPr>
              <w:rPr>
                <w:bCs/>
              </w:rPr>
            </w:pPr>
          </w:p>
          <w:p w14:paraId="4095928A" w14:textId="77777777" w:rsidR="00124AB6" w:rsidRPr="000A5D3A" w:rsidRDefault="00124AB6" w:rsidP="004E3BFD">
            <w:pPr>
              <w:rPr>
                <w:bCs/>
              </w:rPr>
            </w:pPr>
            <w:r>
              <w:rPr>
                <w:bCs/>
              </w:rPr>
              <w:t>(b)</w:t>
            </w:r>
            <w:r w:rsidRPr="000A5D3A">
              <w:rPr>
                <w:bCs/>
              </w:rPr>
              <w:t>(4) Number of compressors subject to the requirements of § 60.482–3, excluding those compressors designated for no detectable emissions under the provisions of § 60.482–3(</w:t>
            </w:r>
            <w:proofErr w:type="spellStart"/>
            <w:r w:rsidRPr="000A5D3A">
              <w:rPr>
                <w:bCs/>
              </w:rPr>
              <w:t>i</w:t>
            </w:r>
            <w:proofErr w:type="spellEnd"/>
            <w:r w:rsidRPr="000A5D3A">
              <w:rPr>
                <w:bCs/>
              </w:rPr>
              <w:t xml:space="preserve">) and those compressors complying with § 60.482–3(h). </w:t>
            </w:r>
          </w:p>
          <w:p w14:paraId="45238D40" w14:textId="77777777" w:rsidR="00124AB6" w:rsidRPr="000A5D3A" w:rsidRDefault="00124AB6" w:rsidP="004E3BFD">
            <w:pPr>
              <w:rPr>
                <w:bCs/>
              </w:rPr>
            </w:pPr>
          </w:p>
          <w:p w14:paraId="7FEEB746" w14:textId="77777777" w:rsidR="00124AB6" w:rsidRPr="000A5D3A" w:rsidRDefault="00124AB6" w:rsidP="004E3BFD">
            <w:pPr>
              <w:rPr>
                <w:bCs/>
              </w:rPr>
            </w:pPr>
            <w:r w:rsidRPr="000A5D3A">
              <w:rPr>
                <w:bCs/>
              </w:rPr>
              <w:t xml:space="preserve">(c) All semiannual reports to the Administrator shall include the following information, summarized from the information in § 60.486: </w:t>
            </w:r>
          </w:p>
          <w:p w14:paraId="03F9EF45" w14:textId="77777777" w:rsidR="00124AB6" w:rsidRPr="000A5D3A" w:rsidRDefault="00124AB6" w:rsidP="004E3BFD">
            <w:pPr>
              <w:rPr>
                <w:bCs/>
              </w:rPr>
            </w:pPr>
          </w:p>
          <w:p w14:paraId="265CE0D7" w14:textId="77777777" w:rsidR="00124AB6" w:rsidRPr="000A5D3A" w:rsidRDefault="00124AB6" w:rsidP="004E3BFD">
            <w:pPr>
              <w:rPr>
                <w:bCs/>
              </w:rPr>
            </w:pPr>
            <w:r>
              <w:rPr>
                <w:bCs/>
              </w:rPr>
              <w:t>(c)</w:t>
            </w:r>
            <w:r w:rsidRPr="000A5D3A">
              <w:rPr>
                <w:bCs/>
              </w:rPr>
              <w:t xml:space="preserve">(1) Process unit identification. </w:t>
            </w:r>
          </w:p>
          <w:p w14:paraId="542A697A" w14:textId="77777777" w:rsidR="00124AB6" w:rsidRPr="000A5D3A" w:rsidRDefault="00124AB6" w:rsidP="004E3BFD">
            <w:pPr>
              <w:rPr>
                <w:bCs/>
              </w:rPr>
            </w:pPr>
            <w:r>
              <w:rPr>
                <w:bCs/>
              </w:rPr>
              <w:t>(c)</w:t>
            </w:r>
            <w:r w:rsidRPr="000A5D3A">
              <w:rPr>
                <w:bCs/>
              </w:rPr>
              <w:t xml:space="preserve">(2) For each month during the semiannual reporting period, </w:t>
            </w:r>
          </w:p>
          <w:p w14:paraId="7A1D5132" w14:textId="77777777" w:rsidR="00124AB6" w:rsidRPr="000A5D3A" w:rsidRDefault="00124AB6" w:rsidP="004E3BFD">
            <w:pPr>
              <w:rPr>
                <w:bCs/>
              </w:rPr>
            </w:pPr>
          </w:p>
          <w:p w14:paraId="51C0F03C" w14:textId="77777777" w:rsidR="00124AB6" w:rsidRPr="000A5D3A" w:rsidRDefault="00124AB6" w:rsidP="004E3BFD">
            <w:pPr>
              <w:rPr>
                <w:bCs/>
              </w:rPr>
            </w:pPr>
            <w:r>
              <w:rPr>
                <w:bCs/>
              </w:rPr>
              <w:t>(c)(2)</w:t>
            </w:r>
            <w:r w:rsidRPr="000A5D3A">
              <w:rPr>
                <w:bCs/>
              </w:rPr>
              <w:t>(</w:t>
            </w:r>
            <w:proofErr w:type="spellStart"/>
            <w:r w:rsidRPr="000A5D3A">
              <w:rPr>
                <w:bCs/>
              </w:rPr>
              <w:t>i</w:t>
            </w:r>
            <w:proofErr w:type="spellEnd"/>
            <w:r w:rsidRPr="000A5D3A">
              <w:rPr>
                <w:bCs/>
              </w:rPr>
              <w:t xml:space="preserve">) Number of valves for which leaks were detected as described in § 60.482–7(b) or § 60.483–2, </w:t>
            </w:r>
          </w:p>
          <w:p w14:paraId="71CD1E69" w14:textId="77777777" w:rsidR="00124AB6" w:rsidRPr="000A5D3A" w:rsidRDefault="00124AB6" w:rsidP="004E3BFD">
            <w:pPr>
              <w:rPr>
                <w:bCs/>
              </w:rPr>
            </w:pPr>
          </w:p>
          <w:p w14:paraId="6514A292" w14:textId="77777777" w:rsidR="00124AB6" w:rsidRPr="000A5D3A" w:rsidRDefault="00124AB6" w:rsidP="004E3BFD">
            <w:pPr>
              <w:rPr>
                <w:bCs/>
              </w:rPr>
            </w:pPr>
            <w:r>
              <w:rPr>
                <w:bCs/>
              </w:rPr>
              <w:t>(c)(2)</w:t>
            </w:r>
            <w:r w:rsidRPr="000A5D3A">
              <w:rPr>
                <w:bCs/>
              </w:rPr>
              <w:t xml:space="preserve">(ii) Number of valves for which leaks were not repaired as required in § 60.482–7(d)(1), </w:t>
            </w:r>
          </w:p>
          <w:p w14:paraId="63ADA1C4" w14:textId="77777777" w:rsidR="00124AB6" w:rsidRPr="000A5D3A" w:rsidRDefault="00124AB6" w:rsidP="004E3BFD">
            <w:pPr>
              <w:rPr>
                <w:bCs/>
              </w:rPr>
            </w:pPr>
          </w:p>
          <w:p w14:paraId="1723B72B" w14:textId="77777777" w:rsidR="00124AB6" w:rsidRPr="000A5D3A" w:rsidRDefault="00124AB6" w:rsidP="004E3BFD">
            <w:pPr>
              <w:rPr>
                <w:bCs/>
              </w:rPr>
            </w:pPr>
            <w:r>
              <w:rPr>
                <w:bCs/>
              </w:rPr>
              <w:t>(c)(2)</w:t>
            </w:r>
            <w:r w:rsidRPr="000A5D3A">
              <w:rPr>
                <w:bCs/>
              </w:rPr>
              <w:t xml:space="preserve">(iii) Number of pumps for which leaks were detected as described in § 60.482–2(b), (d)(4)(ii)(A) or </w:t>
            </w:r>
            <w:r>
              <w:rPr>
                <w:bCs/>
              </w:rPr>
              <w:t>(d)(4)(ii)</w:t>
            </w:r>
            <w:r w:rsidRPr="000A5D3A">
              <w:rPr>
                <w:bCs/>
              </w:rPr>
              <w:t xml:space="preserve">(B), or (d)(5)(iii), </w:t>
            </w:r>
          </w:p>
          <w:p w14:paraId="5036B3BA" w14:textId="77777777" w:rsidR="00124AB6" w:rsidRPr="000A5D3A" w:rsidRDefault="00124AB6" w:rsidP="004E3BFD">
            <w:pPr>
              <w:rPr>
                <w:b/>
              </w:rPr>
            </w:pPr>
          </w:p>
          <w:p w14:paraId="5D99CEDE" w14:textId="77777777" w:rsidR="00124AB6" w:rsidRPr="000A5D3A" w:rsidRDefault="00124AB6" w:rsidP="004E3BFD">
            <w:pPr>
              <w:rPr>
                <w:bCs/>
              </w:rPr>
            </w:pPr>
            <w:r>
              <w:rPr>
                <w:bCs/>
              </w:rPr>
              <w:t>(c)(2)</w:t>
            </w:r>
            <w:r w:rsidRPr="000A5D3A">
              <w:rPr>
                <w:bCs/>
              </w:rPr>
              <w:t xml:space="preserve">(iv) Number of pumps for which leaks were not repaired as required in § 60.482–2(c)(1) and (d)(6), </w:t>
            </w:r>
          </w:p>
          <w:p w14:paraId="70A214DB" w14:textId="77777777" w:rsidR="00124AB6" w:rsidRPr="000A5D3A" w:rsidRDefault="00124AB6" w:rsidP="004E3BFD">
            <w:pPr>
              <w:rPr>
                <w:bCs/>
              </w:rPr>
            </w:pPr>
            <w:r>
              <w:rPr>
                <w:bCs/>
              </w:rPr>
              <w:t>(c)(2)</w:t>
            </w:r>
            <w:r w:rsidRPr="000A5D3A">
              <w:rPr>
                <w:bCs/>
              </w:rPr>
              <w:t xml:space="preserve">(v) Number of compressors for which leaks were detected as described in § 60.482–3(f), </w:t>
            </w:r>
          </w:p>
          <w:p w14:paraId="1506F937" w14:textId="77777777" w:rsidR="00124AB6" w:rsidRDefault="00124AB6" w:rsidP="004E3BFD">
            <w:pPr>
              <w:rPr>
                <w:bCs/>
              </w:rPr>
            </w:pPr>
          </w:p>
          <w:p w14:paraId="47937CEF" w14:textId="77777777" w:rsidR="00124AB6" w:rsidRPr="000A5D3A" w:rsidRDefault="00124AB6" w:rsidP="004E3BFD">
            <w:pPr>
              <w:rPr>
                <w:bCs/>
              </w:rPr>
            </w:pPr>
            <w:r>
              <w:rPr>
                <w:bCs/>
              </w:rPr>
              <w:t>(c)(2)</w:t>
            </w:r>
            <w:r w:rsidRPr="000A5D3A">
              <w:rPr>
                <w:bCs/>
              </w:rPr>
              <w:t xml:space="preserve">(vi) Number of compressors for which leaks were not repaired as required in § 60.482–3(g)(1), and </w:t>
            </w:r>
          </w:p>
          <w:p w14:paraId="002CC162" w14:textId="77777777" w:rsidR="00124AB6" w:rsidRPr="000A5D3A" w:rsidRDefault="00124AB6" w:rsidP="004E3BFD">
            <w:pPr>
              <w:rPr>
                <w:bCs/>
              </w:rPr>
            </w:pPr>
          </w:p>
          <w:p w14:paraId="500376EF" w14:textId="77777777" w:rsidR="00124AB6" w:rsidRPr="000A5D3A" w:rsidRDefault="00124AB6" w:rsidP="004E3BFD">
            <w:pPr>
              <w:rPr>
                <w:bCs/>
              </w:rPr>
            </w:pPr>
            <w:r>
              <w:rPr>
                <w:bCs/>
              </w:rPr>
              <w:t>(c)(2)</w:t>
            </w:r>
            <w:r w:rsidRPr="000A5D3A">
              <w:rPr>
                <w:bCs/>
              </w:rPr>
              <w:t xml:space="preserve">(vii) The facts that explain each delay of repair and, where appropriate, why a process unit shutdown was technically infeasible. </w:t>
            </w:r>
          </w:p>
          <w:p w14:paraId="2FF6A0B8" w14:textId="77777777" w:rsidR="00124AB6" w:rsidRPr="000A5D3A" w:rsidRDefault="00124AB6" w:rsidP="004E3BFD">
            <w:pPr>
              <w:rPr>
                <w:bCs/>
              </w:rPr>
            </w:pPr>
          </w:p>
          <w:p w14:paraId="2380784E" w14:textId="77777777" w:rsidR="00124AB6" w:rsidRPr="000A5D3A" w:rsidRDefault="00124AB6" w:rsidP="004E3BFD">
            <w:pPr>
              <w:rPr>
                <w:bCs/>
              </w:rPr>
            </w:pPr>
            <w:r>
              <w:rPr>
                <w:bCs/>
              </w:rPr>
              <w:t>(c)</w:t>
            </w:r>
            <w:r w:rsidRPr="000A5D3A">
              <w:rPr>
                <w:bCs/>
              </w:rPr>
              <w:t xml:space="preserve">(3) Dates of process unit shutdowns which occurred within the semiannual reporting period. </w:t>
            </w:r>
          </w:p>
          <w:p w14:paraId="12940A6D" w14:textId="77777777" w:rsidR="00124AB6" w:rsidRPr="000A5D3A" w:rsidRDefault="00124AB6" w:rsidP="004E3BFD">
            <w:pPr>
              <w:rPr>
                <w:bCs/>
              </w:rPr>
            </w:pPr>
          </w:p>
          <w:p w14:paraId="5460B304" w14:textId="77777777" w:rsidR="00124AB6" w:rsidRPr="000A5D3A" w:rsidRDefault="00124AB6" w:rsidP="004E3BFD">
            <w:pPr>
              <w:rPr>
                <w:bCs/>
              </w:rPr>
            </w:pPr>
            <w:r>
              <w:rPr>
                <w:bCs/>
              </w:rPr>
              <w:t>(c)</w:t>
            </w:r>
            <w:r w:rsidRPr="000A5D3A">
              <w:rPr>
                <w:bCs/>
              </w:rPr>
              <w:t>(4) Revisions to items reported according to paragraph (b) if changes have occurred since the initial report or subsequent revisions to the initial report.</w:t>
            </w:r>
          </w:p>
        </w:tc>
      </w:tr>
      <w:tr w:rsidR="00124AB6" w:rsidRPr="0048352A" w14:paraId="0717FE02"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val="0"/>
          <w:trHeight w:val="432"/>
        </w:trPr>
        <w:tc>
          <w:tcPr>
            <w:tcW w:w="1367" w:type="dxa"/>
          </w:tcPr>
          <w:p w14:paraId="1F5CBE34" w14:textId="77777777" w:rsidR="00124AB6" w:rsidRPr="000A5D3A" w:rsidRDefault="00124AB6" w:rsidP="004E3BFD">
            <w:pPr>
              <w:pStyle w:val="BNum"/>
              <w:rPr>
                <w:bCs/>
              </w:rPr>
            </w:pPr>
          </w:p>
        </w:tc>
        <w:tc>
          <w:tcPr>
            <w:tcW w:w="9433" w:type="dxa"/>
          </w:tcPr>
          <w:p w14:paraId="43F9A077" w14:textId="77777777" w:rsidR="00124AB6" w:rsidRPr="001B6EC4" w:rsidRDefault="00124AB6" w:rsidP="004E3BFD">
            <w:r w:rsidRPr="001B6EC4">
              <w:rPr>
                <w:b/>
              </w:rPr>
              <w:t>Emission Unit ID:</w:t>
            </w:r>
            <w:r>
              <w:t xml:space="preserve"> All</w:t>
            </w:r>
          </w:p>
          <w:p w14:paraId="5A8DCB52" w14:textId="77777777" w:rsidR="00124AB6" w:rsidRDefault="00124AB6" w:rsidP="004E3BFD">
            <w:r w:rsidRPr="009A00D8">
              <w:rPr>
                <w:b/>
              </w:rPr>
              <w:t>Equipment ID:</w:t>
            </w:r>
            <w:r w:rsidRPr="009A00D8">
              <w:t xml:space="preserve"> </w:t>
            </w:r>
            <w:r>
              <w:t>All</w:t>
            </w:r>
          </w:p>
          <w:p w14:paraId="0CBDFDAE" w14:textId="77777777" w:rsidR="00124AB6" w:rsidRDefault="00124AB6" w:rsidP="004E3BFD">
            <w:r w:rsidRPr="009A00D8">
              <w:rPr>
                <w:b/>
              </w:rPr>
              <w:t>Control Device ID:</w:t>
            </w:r>
            <w:r w:rsidRPr="009A00D8">
              <w:t xml:space="preserve"> </w:t>
            </w:r>
            <w:r>
              <w:t>All</w:t>
            </w:r>
          </w:p>
          <w:p w14:paraId="6FB9BD79" w14:textId="77777777" w:rsidR="00124AB6" w:rsidRDefault="00124AB6" w:rsidP="004E3BFD">
            <w:pPr>
              <w:rPr>
                <w:rFonts w:eastAsia="Open Sans"/>
                <w:color w:val="FF0000"/>
              </w:rPr>
            </w:pPr>
          </w:p>
          <w:p w14:paraId="43A6ACD0" w14:textId="77777777" w:rsidR="00124AB6" w:rsidRPr="000A5D3A" w:rsidRDefault="00124AB6" w:rsidP="004E3BFD">
            <w:pPr>
              <w:rPr>
                <w:rFonts w:eastAsia="Open Sans"/>
              </w:rPr>
            </w:pPr>
            <w:r w:rsidRPr="000A5D3A">
              <w:rPr>
                <w:rFonts w:eastAsia="Open Sans"/>
              </w:rPr>
              <w:t xml:space="preserve">(S.C. Regulation 61-62.1, Section II(E)) This facility has established federally enforceable </w:t>
            </w:r>
            <w:sdt>
              <w:sdtPr>
                <w:rPr>
                  <w:rFonts w:eastAsia="Open Sans"/>
                  <w:szCs w:val="20"/>
                </w:rPr>
                <w:id w:val="2114310753"/>
                <w:placeholder>
                  <w:docPart w:val="B0C795F36ED64F398537C7716C78E564"/>
                </w:placeholder>
                <w:dropDownList>
                  <w:listItem w:value="Choose an item."/>
                  <w:listItem w:displayText="operating" w:value="operating"/>
                  <w:listItem w:displayText="emissions" w:value="emissions"/>
                </w:dropDownList>
              </w:sdtPr>
              <w:sdtEndPr/>
              <w:sdtContent>
                <w:r w:rsidRPr="000A5D3A">
                  <w:rPr>
                    <w:rFonts w:eastAsia="Open Sans"/>
                    <w:szCs w:val="20"/>
                  </w:rPr>
                  <w:t>emissions</w:t>
                </w:r>
              </w:sdtContent>
            </w:sdt>
            <w:r w:rsidRPr="000A5D3A">
              <w:rPr>
                <w:rFonts w:eastAsia="Open Sans"/>
              </w:rPr>
              <w:t xml:space="preserve"> limitations to limit its potential to emit to less than 100.0 tons per year VOC </w:t>
            </w:r>
            <w:proofErr w:type="gramStart"/>
            <w:r w:rsidRPr="000A5D3A">
              <w:rPr>
                <w:rFonts w:eastAsia="Open Sans"/>
              </w:rPr>
              <w:t>emissions,  10.0</w:t>
            </w:r>
            <w:proofErr w:type="gramEnd"/>
            <w:r w:rsidRPr="000A5D3A">
              <w:rPr>
                <w:rFonts w:eastAsia="Open Sans"/>
              </w:rPr>
              <w:t xml:space="preserve"> tons per year for any single HAP emission and 25.0 tons per year for any combination of HAP emissions to avoid PSD, and MACT.</w:t>
            </w:r>
          </w:p>
          <w:p w14:paraId="6C408A17" w14:textId="77777777" w:rsidR="00124AB6" w:rsidRDefault="00124AB6" w:rsidP="004E3BFD">
            <w:pPr>
              <w:rPr>
                <w:b/>
              </w:rPr>
            </w:pPr>
          </w:p>
          <w:p w14:paraId="02FE8F18" w14:textId="77777777" w:rsidR="00124AB6" w:rsidRDefault="00124AB6" w:rsidP="004E3BFD">
            <w:pPr>
              <w:autoSpaceDE/>
              <w:autoSpaceDN/>
              <w:adjustRightInd/>
              <w:rPr>
                <w:rFonts w:eastAsia="Open Sans"/>
                <w:szCs w:val="20"/>
              </w:rPr>
            </w:pPr>
            <w:r w:rsidRPr="000A5D3A">
              <w:rPr>
                <w:rFonts w:eastAsia="Open Sans"/>
                <w:szCs w:val="20"/>
              </w:rPr>
              <w:t xml:space="preserve">The owner or operator shall maintain records of all volatile organic compounds (VOC) and hazardous air pollutants (HAP). These records shall include the total amount of each material used, the VOC content in percent by weight of each material, the HAP content in percent by weight of each material, and any other records necessary to determine VOC and HAP emissions. VOC, individual </w:t>
            </w:r>
            <w:proofErr w:type="gramStart"/>
            <w:r w:rsidRPr="000A5D3A">
              <w:rPr>
                <w:rFonts w:eastAsia="Open Sans"/>
                <w:szCs w:val="20"/>
              </w:rPr>
              <w:t>HAP</w:t>
            </w:r>
            <w:proofErr w:type="gramEnd"/>
            <w:r w:rsidRPr="000A5D3A">
              <w:rPr>
                <w:rFonts w:eastAsia="Open Sans"/>
                <w:szCs w:val="20"/>
              </w:rPr>
              <w:t xml:space="preserve"> and total HAP emissions shall be calculated monthly, and a twelve-month rolling sum shall be calculated monthly. Facility-wide emission totals must include emissions from </w:t>
            </w:r>
            <w:sdt>
              <w:sdtPr>
                <w:rPr>
                  <w:rFonts w:eastAsia="Open Sans"/>
                  <w:szCs w:val="20"/>
                </w:rPr>
                <w:id w:val="242765716"/>
                <w:placeholder>
                  <w:docPart w:val="70EE5334F5CD4AD48399D4BC388B31B1"/>
                </w:placeholder>
                <w:showingPlcHdr/>
                <w:dropDownList>
                  <w:listItem w:value="Choose an item."/>
                  <w:listItem w:displayText="insignificant" w:value="insignificant"/>
                  <w:listItem w:displayText="exempt" w:value="exempt"/>
                </w:dropDownList>
              </w:sdtPr>
              <w:sdtEndPr/>
              <w:sdtContent>
                <w:r w:rsidRPr="000A5D3A">
                  <w:rPr>
                    <w:rFonts w:eastAsiaTheme="minorHAnsi"/>
                  </w:rPr>
                  <w:t>Choose an item.</w:t>
                </w:r>
              </w:sdtContent>
            </w:sdt>
            <w:r w:rsidRPr="000A5D3A">
              <w:rPr>
                <w:rFonts w:eastAsia="Open Sans"/>
                <w:szCs w:val="20"/>
              </w:rPr>
              <w:t xml:space="preserve"> activities. Emissions from malfunctions are required to be quantified and included in the calculations. The twelve-month rolling sum shall be less than 100.0 tons for VOC, 10.0 tons for each individual HAP, and 25.0 tons for total HAPs. Reports of the calculated values and the twelve-month rolling sum, calculated for each month in the reporting period, shall be submitted </w:t>
            </w:r>
            <w:sdt>
              <w:sdtPr>
                <w:rPr>
                  <w:rFonts w:eastAsia="Open Sans"/>
                  <w:szCs w:val="20"/>
                </w:rPr>
                <w:id w:val="-1662618899"/>
                <w:placeholder>
                  <w:docPart w:val="70EE5334F5CD4AD48399D4BC388B31B1"/>
                </w:placeholder>
                <w:dropDownList>
                  <w:listItem w:value="Choose an item."/>
                  <w:listItem w:displayText="annually" w:value="annually"/>
                  <w:listItem w:displayText="semiannually" w:value="semiannually"/>
                </w:dropDownList>
              </w:sdtPr>
              <w:sdtEndPr/>
              <w:sdtContent>
                <w:r w:rsidRPr="000A5D3A">
                  <w:rPr>
                    <w:rFonts w:eastAsia="Open Sans"/>
                    <w:szCs w:val="20"/>
                  </w:rPr>
                  <w:t>semiannually</w:t>
                </w:r>
              </w:sdtContent>
            </w:sdt>
            <w:r w:rsidRPr="000A5D3A">
              <w:rPr>
                <w:rFonts w:eastAsia="Open Sans"/>
                <w:szCs w:val="20"/>
              </w:rPr>
              <w:t>.</w:t>
            </w:r>
          </w:p>
          <w:p w14:paraId="7AC42D35" w14:textId="77777777" w:rsidR="00124AB6" w:rsidRDefault="00124AB6" w:rsidP="004E3BFD">
            <w:pPr>
              <w:autoSpaceDE/>
              <w:autoSpaceDN/>
              <w:adjustRightInd/>
              <w:rPr>
                <w:rFonts w:eastAsia="Open Sans"/>
                <w:szCs w:val="20"/>
              </w:rPr>
            </w:pPr>
          </w:p>
          <w:p w14:paraId="530751E0" w14:textId="77777777" w:rsidR="00124AB6" w:rsidRDefault="00124AB6" w:rsidP="004E3BFD">
            <w:pPr>
              <w:autoSpaceDE/>
              <w:autoSpaceDN/>
              <w:adjustRightInd/>
              <w:rPr>
                <w:bCs/>
              </w:rPr>
            </w:pPr>
            <w:r w:rsidRPr="0048352A">
              <w:rPr>
                <w:bCs/>
              </w:rPr>
              <w:t>The algorithms, explaining the method used to determine emission rates, are provided below.  The results of these algorithms are used to calculate the monthly and twelve-month rolling sum. Subsequent submittals of the algorithm are required within 30 days of the change if the basis for emissions is modified or the Department requests additional information.</w:t>
            </w:r>
          </w:p>
          <w:p w14:paraId="5ADCE673" w14:textId="77777777" w:rsidR="00124AB6" w:rsidRDefault="00124AB6" w:rsidP="004E3BFD">
            <w:pPr>
              <w:autoSpaceDE/>
              <w:autoSpaceDN/>
              <w:adjustRightInd/>
              <w:rPr>
                <w:bCs/>
              </w:rPr>
            </w:pPr>
          </w:p>
          <w:p w14:paraId="6781AF14" w14:textId="77777777" w:rsidR="00124AB6" w:rsidRPr="0048352A" w:rsidRDefault="00124AB6" w:rsidP="004E3BFD">
            <w:pPr>
              <w:autoSpaceDE/>
              <w:autoSpaceDN/>
              <w:adjustRightInd/>
              <w:rPr>
                <w:b/>
                <w:u w:val="single"/>
              </w:rPr>
            </w:pPr>
            <w:r w:rsidRPr="0048352A">
              <w:rPr>
                <w:b/>
                <w:u w:val="single"/>
              </w:rPr>
              <w:t>Fugitive Emissions from Components</w:t>
            </w:r>
          </w:p>
          <w:p w14:paraId="75268248" w14:textId="77777777" w:rsidR="00124AB6" w:rsidRPr="0048352A" w:rsidRDefault="00124AB6" w:rsidP="004E3BFD">
            <w:pPr>
              <w:pStyle w:val="BodyText"/>
              <w:jc w:val="both"/>
              <w:rPr>
                <w:rFonts w:ascii="Open Sans" w:hAnsi="Open Sans" w:cs="Open Sans"/>
                <w:sz w:val="20"/>
              </w:rPr>
            </w:pPr>
            <w:r>
              <w:rPr>
                <w:rFonts w:ascii="Open Sans" w:hAnsi="Open Sans" w:cs="Open Sans"/>
                <w:sz w:val="20"/>
              </w:rPr>
              <w:t>E</w:t>
            </w:r>
            <w:r w:rsidRPr="0048352A">
              <w:rPr>
                <w:rFonts w:ascii="Open Sans" w:hAnsi="Open Sans" w:cs="Open Sans"/>
                <w:sz w:val="20"/>
              </w:rPr>
              <w:t xml:space="preserve">mission rates for all components </w:t>
            </w:r>
            <w:r>
              <w:rPr>
                <w:rFonts w:ascii="Open Sans" w:hAnsi="Open Sans" w:cs="Open Sans"/>
                <w:sz w:val="20"/>
              </w:rPr>
              <w:t>are</w:t>
            </w:r>
            <w:r w:rsidRPr="0048352A">
              <w:rPr>
                <w:rFonts w:ascii="Open Sans" w:hAnsi="Open Sans" w:cs="Open Sans"/>
                <w:sz w:val="20"/>
              </w:rPr>
              <w:t xml:space="preserve"> calculated by multiplying the applicable component emission rate by the total number of components in service for each pollutant. Emissions in tons per year (</w:t>
            </w:r>
            <w:proofErr w:type="spellStart"/>
            <w:r w:rsidRPr="0048352A">
              <w:rPr>
                <w:rFonts w:ascii="Open Sans" w:hAnsi="Open Sans" w:cs="Open Sans"/>
                <w:sz w:val="20"/>
              </w:rPr>
              <w:t>tpy</w:t>
            </w:r>
            <w:proofErr w:type="spellEnd"/>
            <w:r w:rsidRPr="0048352A">
              <w:rPr>
                <w:rFonts w:ascii="Open Sans" w:hAnsi="Open Sans" w:cs="Open Sans"/>
                <w:sz w:val="20"/>
              </w:rPr>
              <w:t xml:space="preserve">) </w:t>
            </w:r>
            <w:r>
              <w:rPr>
                <w:rFonts w:ascii="Open Sans" w:hAnsi="Open Sans" w:cs="Open Sans"/>
                <w:sz w:val="20"/>
              </w:rPr>
              <w:t>are</w:t>
            </w:r>
            <w:r w:rsidRPr="0048352A">
              <w:rPr>
                <w:rFonts w:ascii="Open Sans" w:hAnsi="Open Sans" w:cs="Open Sans"/>
                <w:sz w:val="20"/>
              </w:rPr>
              <w:t xml:space="preserve"> calculated by multiplying the hourly emission rate in pounds by 8,760 </w:t>
            </w:r>
            <w:proofErr w:type="spellStart"/>
            <w:r w:rsidRPr="0048352A">
              <w:rPr>
                <w:rFonts w:ascii="Open Sans" w:hAnsi="Open Sans" w:cs="Open Sans"/>
                <w:sz w:val="20"/>
              </w:rPr>
              <w:t>hr</w:t>
            </w:r>
            <w:proofErr w:type="spellEnd"/>
            <w:r w:rsidRPr="0048352A">
              <w:rPr>
                <w:rFonts w:ascii="Open Sans" w:hAnsi="Open Sans" w:cs="Open Sans"/>
                <w:sz w:val="20"/>
              </w:rPr>
              <w:t>/</w:t>
            </w:r>
            <w:proofErr w:type="spellStart"/>
            <w:r w:rsidRPr="0048352A">
              <w:rPr>
                <w:rFonts w:ascii="Open Sans" w:hAnsi="Open Sans" w:cs="Open Sans"/>
                <w:sz w:val="20"/>
              </w:rPr>
              <w:t>yr</w:t>
            </w:r>
            <w:proofErr w:type="spellEnd"/>
            <w:r w:rsidRPr="0048352A">
              <w:rPr>
                <w:rFonts w:ascii="Open Sans" w:hAnsi="Open Sans" w:cs="Open Sans"/>
                <w:sz w:val="20"/>
              </w:rPr>
              <w:t xml:space="preserve"> and dividing by 2,000</w:t>
            </w:r>
            <w:r>
              <w:rPr>
                <w:rFonts w:ascii="Open Sans" w:hAnsi="Open Sans" w:cs="Open Sans"/>
                <w:sz w:val="20"/>
              </w:rPr>
              <w:t xml:space="preserve"> </w:t>
            </w:r>
            <w:proofErr w:type="spellStart"/>
            <w:r w:rsidRPr="0048352A">
              <w:rPr>
                <w:rFonts w:ascii="Open Sans" w:hAnsi="Open Sans" w:cs="Open Sans"/>
                <w:sz w:val="20"/>
              </w:rPr>
              <w:t>lb</w:t>
            </w:r>
            <w:proofErr w:type="spellEnd"/>
            <w:r w:rsidRPr="0048352A">
              <w:rPr>
                <w:rFonts w:ascii="Open Sans" w:hAnsi="Open Sans" w:cs="Open Sans"/>
                <w:sz w:val="20"/>
              </w:rPr>
              <w:t xml:space="preserve">/ton. </w:t>
            </w:r>
          </w:p>
          <w:p w14:paraId="6160F333" w14:textId="77777777" w:rsidR="00124AB6" w:rsidRPr="0048352A" w:rsidRDefault="00124AB6" w:rsidP="004E3BFD">
            <w:pPr>
              <w:autoSpaceDE/>
              <w:autoSpaceDN/>
              <w:adjustRightInd/>
              <w:rPr>
                <w:bCs/>
              </w:rPr>
            </w:pPr>
          </w:p>
          <w:p w14:paraId="5F5ECCDC" w14:textId="77777777" w:rsidR="00124AB6" w:rsidRPr="0048352A" w:rsidRDefault="00124AB6" w:rsidP="004E3BFD">
            <w:pPr>
              <w:autoSpaceDE/>
              <w:autoSpaceDN/>
              <w:adjustRightInd/>
              <w:rPr>
                <w:b/>
                <w:u w:val="single"/>
              </w:rPr>
            </w:pPr>
            <w:r w:rsidRPr="0048352A">
              <w:rPr>
                <w:b/>
                <w:u w:val="single"/>
              </w:rPr>
              <w:t>Reactor Emissions</w:t>
            </w:r>
          </w:p>
          <w:p w14:paraId="52E5EBE3" w14:textId="77777777" w:rsidR="00124AB6" w:rsidRDefault="00124AB6" w:rsidP="004E3BFD">
            <w:pPr>
              <w:autoSpaceDE/>
              <w:autoSpaceDN/>
              <w:adjustRightInd/>
              <w:rPr>
                <w:bCs/>
              </w:rPr>
            </w:pPr>
          </w:p>
          <w:p w14:paraId="599746BE" w14:textId="77777777" w:rsidR="00124AB6" w:rsidRPr="002274B7" w:rsidRDefault="00124AB6" w:rsidP="004E3BFD">
            <w:pPr>
              <w:autoSpaceDE/>
              <w:autoSpaceDN/>
              <w:adjustRightInd/>
              <w:spacing w:line="260" w:lineRule="atLeast"/>
              <w:contextualSpacing/>
              <w:rPr>
                <w:rFonts w:cs="Open Sans"/>
                <w:szCs w:val="20"/>
              </w:rPr>
            </w:pPr>
            <w:r w:rsidRPr="002274B7">
              <w:rPr>
                <w:rFonts w:cs="Open Sans"/>
                <w:szCs w:val="20"/>
              </w:rPr>
              <w:t>Batch reactor emissions are estimated from the displacement of vapor when a process vessel is filled with raw material. Vapor displacement calculations depend on the amount of material in the liquid phase and the temperature dependent vapor pressure. This method conservatively assumes that all VOC and HAP present in the gas phase are emitted. The formula used to calculate the pounds of pollutant emitted per batch from each piece of batch process equipment is as follows:</w:t>
            </w:r>
          </w:p>
          <w:p w14:paraId="1B81DAB7" w14:textId="77777777" w:rsidR="00124AB6" w:rsidRPr="0048352A" w:rsidRDefault="00124AB6" w:rsidP="004E3BFD">
            <w:pPr>
              <w:autoSpaceDE/>
              <w:autoSpaceDN/>
              <w:adjustRightInd/>
              <w:spacing w:line="260" w:lineRule="atLeast"/>
              <w:contextualSpacing/>
              <w:rPr>
                <w:rFonts w:cs="Open Sans"/>
                <w:i/>
                <w:sz w:val="21"/>
                <w:szCs w:val="20"/>
                <w:u w:val="single"/>
              </w:rPr>
            </w:pPr>
          </w:p>
          <w:p w14:paraId="5FB06357" w14:textId="77777777" w:rsidR="00124AB6" w:rsidRPr="002274B7" w:rsidRDefault="00124AB6" w:rsidP="004E3BFD">
            <w:pPr>
              <w:autoSpaceDE/>
              <w:autoSpaceDN/>
              <w:adjustRightInd/>
              <w:spacing w:line="260" w:lineRule="atLeast"/>
              <w:contextualSpacing/>
              <w:rPr>
                <w:rFonts w:cs="Open Sans"/>
                <w:b/>
                <w:bCs/>
                <w:iCs/>
                <w:szCs w:val="20"/>
              </w:rPr>
            </w:pPr>
            <w:r w:rsidRPr="002274B7">
              <w:rPr>
                <w:rFonts w:cs="Open Sans"/>
                <w:b/>
                <w:bCs/>
                <w:iCs/>
                <w:szCs w:val="20"/>
                <w:u w:val="single"/>
              </w:rPr>
              <w:t>Batch Process Vent Emission Factor Calculation</w:t>
            </w:r>
            <w:r w:rsidRPr="002274B7">
              <w:rPr>
                <w:rFonts w:cs="Open Sans"/>
                <w:b/>
                <w:bCs/>
                <w:iCs/>
                <w:szCs w:val="20"/>
              </w:rPr>
              <w:t>:</w:t>
            </w:r>
          </w:p>
          <w:p w14:paraId="0CDFD7AD" w14:textId="77777777" w:rsidR="00124AB6" w:rsidRPr="0048352A" w:rsidRDefault="00124AB6" w:rsidP="004E3BFD">
            <w:pPr>
              <w:autoSpaceDE/>
              <w:autoSpaceDN/>
              <w:adjustRightInd/>
              <w:spacing w:line="260" w:lineRule="atLeast"/>
              <w:contextualSpacing/>
              <w:jc w:val="left"/>
              <w:rPr>
                <w:rFonts w:ascii="Tahoma" w:hAnsi="Tahoma"/>
                <w:sz w:val="21"/>
                <w:szCs w:val="20"/>
              </w:rPr>
            </w:pPr>
          </w:p>
          <w:p w14:paraId="0261BDE0" w14:textId="77777777" w:rsidR="00124AB6" w:rsidRPr="0048352A" w:rsidRDefault="00124AB6" w:rsidP="004E3BFD">
            <w:pPr>
              <w:autoSpaceDE/>
              <w:autoSpaceDN/>
              <w:adjustRightInd/>
              <w:spacing w:line="260" w:lineRule="atLeast"/>
              <w:contextualSpacing/>
              <w:jc w:val="center"/>
              <w:rPr>
                <w:rFonts w:cs="Open Sans"/>
                <w:szCs w:val="20"/>
              </w:rPr>
            </w:pPr>
            <w:bookmarkStart w:id="0" w:name="OLE_LINK2"/>
            <w:bookmarkStart w:id="1" w:name="OLE_LINK3"/>
            <m:oMathPara>
              <m:oMathParaPr>
                <m:jc m:val="left"/>
              </m:oMathParaPr>
              <m:oMath>
                <m:r>
                  <m:rPr>
                    <m:nor/>
                  </m:rPr>
                  <w:rPr>
                    <w:rFonts w:cs="Open Sans"/>
                    <w:szCs w:val="20"/>
                  </w:rPr>
                  <m:t xml:space="preserve">Batch Emission Factor </m:t>
                </m:r>
                <m:d>
                  <m:dPr>
                    <m:ctrlPr>
                      <w:rPr>
                        <w:rFonts w:ascii="Cambria Math" w:hAnsi="Cambria Math" w:cs="Open Sans"/>
                        <w:szCs w:val="20"/>
                      </w:rPr>
                    </m:ctrlPr>
                  </m:dPr>
                  <m:e>
                    <m:f>
                      <m:fPr>
                        <m:ctrlPr>
                          <w:rPr>
                            <w:rFonts w:ascii="Cambria Math" w:hAnsi="Cambria Math" w:cs="Open Sans"/>
                            <w:i/>
                            <w:szCs w:val="20"/>
                          </w:rPr>
                        </m:ctrlPr>
                      </m:fPr>
                      <m:num>
                        <m:r>
                          <w:rPr>
                            <w:rFonts w:ascii="Cambria Math" w:hAnsi="Cambria Math" w:cs="Open Sans"/>
                            <w:szCs w:val="20"/>
                          </w:rPr>
                          <m:t>lb</m:t>
                        </m:r>
                      </m:num>
                      <m:den>
                        <m:r>
                          <w:rPr>
                            <w:rFonts w:ascii="Cambria Math" w:hAnsi="Cambria Math" w:cs="Open Sans"/>
                            <w:szCs w:val="20"/>
                          </w:rPr>
                          <m:t>batch</m:t>
                        </m:r>
                      </m:den>
                    </m:f>
                  </m:e>
                </m:d>
                <m:r>
                  <m:rPr>
                    <m:nor/>
                  </m:rPr>
                  <w:rPr>
                    <w:rFonts w:cs="Open Sans"/>
                    <w:szCs w:val="20"/>
                  </w:rPr>
                  <m:t xml:space="preserve"> = </m:t>
                </m:r>
                <m:f>
                  <m:fPr>
                    <m:ctrlPr>
                      <w:rPr>
                        <w:rFonts w:ascii="Cambria Math" w:hAnsi="Cambria Math" w:cs="Open Sans"/>
                        <w:szCs w:val="20"/>
                      </w:rPr>
                    </m:ctrlPr>
                  </m:fPr>
                  <m:num>
                    <m:r>
                      <m:rPr>
                        <m:nor/>
                      </m:rPr>
                      <w:rPr>
                        <w:rFonts w:cs="Open Sans"/>
                        <w:szCs w:val="20"/>
                      </w:rPr>
                      <m:t xml:space="preserve">MW </m:t>
                    </m:r>
                    <m:d>
                      <m:dPr>
                        <m:ctrlPr>
                          <w:rPr>
                            <w:rFonts w:ascii="Cambria Math" w:hAnsi="Cambria Math" w:cs="Open Sans"/>
                            <w:szCs w:val="20"/>
                          </w:rPr>
                        </m:ctrlPr>
                      </m:dPr>
                      <m:e>
                        <m:f>
                          <m:fPr>
                            <m:ctrlPr>
                              <w:rPr>
                                <w:rFonts w:ascii="Cambria Math" w:hAnsi="Cambria Math" w:cs="Open Sans"/>
                                <w:szCs w:val="20"/>
                              </w:rPr>
                            </m:ctrlPr>
                          </m:fPr>
                          <m:num>
                            <m:r>
                              <m:rPr>
                                <m:nor/>
                              </m:rPr>
                              <w:rPr>
                                <w:rFonts w:cs="Open Sans"/>
                                <w:szCs w:val="20"/>
                              </w:rPr>
                              <m:t>g</m:t>
                            </m:r>
                          </m:num>
                          <m:den>
                            <m:r>
                              <m:rPr>
                                <m:nor/>
                              </m:rPr>
                              <w:rPr>
                                <w:rFonts w:cs="Open Sans"/>
                                <w:szCs w:val="20"/>
                              </w:rPr>
                              <m:t>mol</m:t>
                            </m:r>
                          </m:den>
                        </m:f>
                      </m:e>
                    </m:d>
                    <m:r>
                      <m:rPr>
                        <m:nor/>
                      </m:rPr>
                      <w:rPr>
                        <w:rFonts w:cs="Open Sans"/>
                        <w:szCs w:val="20"/>
                      </w:rPr>
                      <m:t xml:space="preserve"> × P </m:t>
                    </m:r>
                    <m:d>
                      <m:dPr>
                        <m:ctrlPr>
                          <w:rPr>
                            <w:rFonts w:ascii="Cambria Math" w:hAnsi="Cambria Math" w:cs="Open Sans"/>
                            <w:szCs w:val="20"/>
                          </w:rPr>
                        </m:ctrlPr>
                      </m:dPr>
                      <m:e>
                        <m:r>
                          <m:rPr>
                            <m:nor/>
                          </m:rPr>
                          <w:rPr>
                            <w:rFonts w:cs="Open Sans"/>
                            <w:szCs w:val="20"/>
                          </w:rPr>
                          <m:t>atm</m:t>
                        </m:r>
                      </m:e>
                    </m:d>
                    <m:r>
                      <m:rPr>
                        <m:nor/>
                      </m:rPr>
                      <w:rPr>
                        <w:rFonts w:cs="Open Sans"/>
                        <w:szCs w:val="20"/>
                      </w:rPr>
                      <m:t xml:space="preserve"> × Mass </m:t>
                    </m:r>
                    <m:d>
                      <m:dPr>
                        <m:ctrlPr>
                          <w:rPr>
                            <w:rFonts w:ascii="Cambria Math" w:hAnsi="Cambria Math" w:cs="Open Sans"/>
                            <w:szCs w:val="20"/>
                          </w:rPr>
                        </m:ctrlPr>
                      </m:dPr>
                      <m:e>
                        <m:r>
                          <m:rPr>
                            <m:nor/>
                          </m:rPr>
                          <w:rPr>
                            <w:rFonts w:cs="Open Sans"/>
                            <w:szCs w:val="20"/>
                          </w:rPr>
                          <m:t>lb</m:t>
                        </m:r>
                      </m:e>
                    </m:d>
                    <m:r>
                      <m:rPr>
                        <m:nor/>
                      </m:rPr>
                      <w:rPr>
                        <w:rFonts w:cs="Open Sans"/>
                        <w:szCs w:val="20"/>
                      </w:rPr>
                      <m:t xml:space="preserve"> × 3.785 </m:t>
                    </m:r>
                    <m:f>
                      <m:fPr>
                        <m:ctrlPr>
                          <w:rPr>
                            <w:rFonts w:ascii="Cambria Math" w:hAnsi="Cambria Math" w:cs="Open Sans"/>
                            <w:szCs w:val="20"/>
                          </w:rPr>
                        </m:ctrlPr>
                      </m:fPr>
                      <m:num>
                        <m:r>
                          <m:rPr>
                            <m:nor/>
                          </m:rPr>
                          <w:rPr>
                            <w:rFonts w:cs="Open Sans"/>
                            <w:szCs w:val="20"/>
                          </w:rPr>
                          <m:t>liter</m:t>
                        </m:r>
                      </m:num>
                      <m:den>
                        <m:r>
                          <m:rPr>
                            <m:nor/>
                          </m:rPr>
                          <w:rPr>
                            <w:rFonts w:cs="Open Sans"/>
                            <w:szCs w:val="20"/>
                          </w:rPr>
                          <m:t>gal</m:t>
                        </m:r>
                      </m:den>
                    </m:f>
                  </m:num>
                  <m:den>
                    <m:r>
                      <m:rPr>
                        <m:nor/>
                      </m:rPr>
                      <w:rPr>
                        <w:rFonts w:cs="Open Sans"/>
                        <w:szCs w:val="20"/>
                      </w:rPr>
                      <m:t xml:space="preserve">Density </m:t>
                    </m:r>
                    <m:d>
                      <m:dPr>
                        <m:ctrlPr>
                          <w:rPr>
                            <w:rFonts w:ascii="Cambria Math" w:hAnsi="Cambria Math" w:cs="Open Sans"/>
                            <w:szCs w:val="20"/>
                          </w:rPr>
                        </m:ctrlPr>
                      </m:dPr>
                      <m:e>
                        <m:f>
                          <m:fPr>
                            <m:ctrlPr>
                              <w:rPr>
                                <w:rFonts w:ascii="Cambria Math" w:hAnsi="Cambria Math" w:cs="Open Sans"/>
                                <w:szCs w:val="20"/>
                              </w:rPr>
                            </m:ctrlPr>
                          </m:fPr>
                          <m:num>
                            <m:r>
                              <m:rPr>
                                <m:sty m:val="p"/>
                              </m:rPr>
                              <w:rPr>
                                <w:rFonts w:ascii="Cambria Math" w:hAnsi="Cambria Math" w:cs="Open Sans"/>
                                <w:szCs w:val="20"/>
                              </w:rPr>
                              <m:t>lb</m:t>
                            </m:r>
                          </m:num>
                          <m:den>
                            <m:r>
                              <m:rPr>
                                <m:nor/>
                              </m:rPr>
                              <w:rPr>
                                <w:rFonts w:cs="Open Sans"/>
                                <w:szCs w:val="20"/>
                              </w:rPr>
                              <m:t>gal</m:t>
                            </m:r>
                          </m:den>
                        </m:f>
                      </m:e>
                    </m:d>
                    <m:r>
                      <m:rPr>
                        <m:nor/>
                      </m:rPr>
                      <w:rPr>
                        <w:rFonts w:cs="Open Sans"/>
                        <w:szCs w:val="20"/>
                      </w:rPr>
                      <m:t xml:space="preserve"> × 0.08206 </m:t>
                    </m:r>
                    <m:f>
                      <m:fPr>
                        <m:ctrlPr>
                          <w:rPr>
                            <w:rFonts w:ascii="Cambria Math" w:hAnsi="Cambria Math" w:cs="Open Sans"/>
                            <w:szCs w:val="20"/>
                          </w:rPr>
                        </m:ctrlPr>
                      </m:fPr>
                      <m:num>
                        <m:r>
                          <m:rPr>
                            <m:nor/>
                          </m:rPr>
                          <w:rPr>
                            <w:rFonts w:cs="Open Sans"/>
                            <w:szCs w:val="20"/>
                          </w:rPr>
                          <m:t>L-atm</m:t>
                        </m:r>
                      </m:num>
                      <m:den>
                        <m:r>
                          <m:rPr>
                            <m:nor/>
                          </m:rPr>
                          <w:rPr>
                            <w:rFonts w:cs="Open Sans"/>
                            <w:szCs w:val="20"/>
                          </w:rPr>
                          <m:t>mole-Kelvin</m:t>
                        </m:r>
                      </m:den>
                    </m:f>
                    <m:r>
                      <m:rPr>
                        <m:nor/>
                      </m:rPr>
                      <w:rPr>
                        <w:rFonts w:cs="Open Sans"/>
                        <w:szCs w:val="20"/>
                      </w:rPr>
                      <m:t xml:space="preserve"> × T </m:t>
                    </m:r>
                    <m:d>
                      <m:dPr>
                        <m:ctrlPr>
                          <w:rPr>
                            <w:rFonts w:ascii="Cambria Math" w:hAnsi="Cambria Math" w:cs="Open Sans"/>
                            <w:szCs w:val="20"/>
                          </w:rPr>
                        </m:ctrlPr>
                      </m:dPr>
                      <m:e>
                        <m:r>
                          <m:rPr>
                            <m:nor/>
                          </m:rPr>
                          <w:rPr>
                            <w:rFonts w:cs="Open Sans"/>
                            <w:szCs w:val="20"/>
                          </w:rPr>
                          <m:t>Kelvin</m:t>
                        </m:r>
                      </m:e>
                    </m:d>
                    <m:r>
                      <m:rPr>
                        <m:nor/>
                      </m:rPr>
                      <w:rPr>
                        <w:rFonts w:cs="Open Sans"/>
                        <w:szCs w:val="20"/>
                      </w:rPr>
                      <m:t xml:space="preserve"> × 454 </m:t>
                    </m:r>
                    <m:f>
                      <m:fPr>
                        <m:ctrlPr>
                          <w:rPr>
                            <w:rFonts w:ascii="Cambria Math" w:hAnsi="Cambria Math" w:cs="Open Sans"/>
                            <w:i/>
                            <w:szCs w:val="20"/>
                          </w:rPr>
                        </m:ctrlPr>
                      </m:fPr>
                      <m:num>
                        <m:r>
                          <m:rPr>
                            <m:sty m:val="p"/>
                          </m:rPr>
                          <w:rPr>
                            <w:rFonts w:ascii="Cambria Math" w:hAnsi="Cambria Math" w:cs="Open Sans"/>
                            <w:szCs w:val="20"/>
                          </w:rPr>
                          <m:t>g</m:t>
                        </m:r>
                      </m:num>
                      <m:den>
                        <m:r>
                          <m:rPr>
                            <m:sty m:val="p"/>
                          </m:rPr>
                          <w:rPr>
                            <w:rFonts w:ascii="Cambria Math" w:hAnsi="Cambria Math" w:cs="Open Sans"/>
                            <w:szCs w:val="20"/>
                          </w:rPr>
                          <m:t>lb</m:t>
                        </m:r>
                      </m:den>
                    </m:f>
                  </m:den>
                </m:f>
              </m:oMath>
            </m:oMathPara>
            <w:bookmarkEnd w:id="0"/>
            <w:bookmarkEnd w:id="1"/>
          </w:p>
          <w:p w14:paraId="7ABDEC6D" w14:textId="77777777" w:rsidR="00124AB6" w:rsidRPr="0048352A" w:rsidRDefault="00124AB6" w:rsidP="004E3BFD">
            <w:pPr>
              <w:autoSpaceDE/>
              <w:autoSpaceDN/>
              <w:adjustRightInd/>
              <w:spacing w:line="260" w:lineRule="atLeast"/>
              <w:contextualSpacing/>
              <w:jc w:val="center"/>
              <w:rPr>
                <w:rFonts w:ascii="Tahoma" w:hAnsi="Tahoma"/>
                <w:sz w:val="21"/>
                <w:szCs w:val="21"/>
              </w:rPr>
            </w:pPr>
          </w:p>
          <w:p w14:paraId="6323F853" w14:textId="77777777" w:rsidR="00124AB6" w:rsidRDefault="00124AB6" w:rsidP="004E3BFD">
            <w:pPr>
              <w:autoSpaceDE/>
              <w:autoSpaceDN/>
              <w:adjustRightInd/>
              <w:spacing w:line="260" w:lineRule="atLeast"/>
              <w:rPr>
                <w:rFonts w:ascii="Tahoma" w:hAnsi="Tahoma"/>
                <w:sz w:val="21"/>
                <w:szCs w:val="20"/>
              </w:rPr>
            </w:pPr>
            <w:r>
              <w:rPr>
                <w:rFonts w:cs="Open Sans"/>
                <w:szCs w:val="20"/>
              </w:rPr>
              <w:t>A</w:t>
            </w:r>
            <w:r w:rsidRPr="0048352A">
              <w:rPr>
                <w:rFonts w:cs="Open Sans"/>
                <w:szCs w:val="20"/>
              </w:rPr>
              <w:t xml:space="preserve">nnual emissions are calculated based on the batches produced in a year. Control efficiencies of the scrubber are applied as appropriate to the </w:t>
            </w:r>
            <w:proofErr w:type="spellStart"/>
            <w:r w:rsidRPr="0048352A">
              <w:rPr>
                <w:rFonts w:cs="Open Sans"/>
                <w:szCs w:val="20"/>
              </w:rPr>
              <w:t>lb</w:t>
            </w:r>
            <w:proofErr w:type="spellEnd"/>
            <w:r w:rsidRPr="0048352A">
              <w:rPr>
                <w:rFonts w:cs="Open Sans"/>
                <w:szCs w:val="20"/>
              </w:rPr>
              <w:t>/batch emission factors to estimate worst-case controlled emission factors</w:t>
            </w:r>
            <w:r w:rsidRPr="0048352A">
              <w:rPr>
                <w:rFonts w:ascii="Tahoma" w:hAnsi="Tahoma"/>
                <w:sz w:val="21"/>
                <w:szCs w:val="20"/>
              </w:rPr>
              <w:t>.</w:t>
            </w:r>
          </w:p>
          <w:p w14:paraId="75FA7A1E" w14:textId="77777777" w:rsidR="0046529F" w:rsidRDefault="0046529F" w:rsidP="004E3BFD">
            <w:pPr>
              <w:autoSpaceDE/>
              <w:autoSpaceDN/>
              <w:adjustRightInd/>
              <w:spacing w:line="260" w:lineRule="atLeast"/>
              <w:rPr>
                <w:rFonts w:ascii="Tahoma" w:hAnsi="Tahoma"/>
                <w:sz w:val="21"/>
                <w:szCs w:val="20"/>
              </w:rPr>
            </w:pPr>
          </w:p>
          <w:p w14:paraId="252BB54E" w14:textId="77777777" w:rsidR="0046529F" w:rsidRPr="0046529F" w:rsidRDefault="0046529F" w:rsidP="004E3BFD">
            <w:pPr>
              <w:autoSpaceDE/>
              <w:autoSpaceDN/>
              <w:adjustRightInd/>
              <w:spacing w:line="260" w:lineRule="atLeast"/>
              <w:rPr>
                <w:rFonts w:ascii="Tahoma" w:hAnsi="Tahoma"/>
                <w:b/>
                <w:bCs/>
                <w:sz w:val="21"/>
                <w:szCs w:val="20"/>
                <w:u w:val="single"/>
              </w:rPr>
            </w:pPr>
            <w:r w:rsidRPr="0046529F">
              <w:rPr>
                <w:b/>
                <w:bCs/>
                <w:u w:val="single"/>
              </w:rPr>
              <w:t>Boiler Emissions</w:t>
            </w:r>
          </w:p>
          <w:p w14:paraId="18D7341A" w14:textId="77777777" w:rsidR="0046529F" w:rsidRDefault="0046529F" w:rsidP="004E3BFD">
            <w:pPr>
              <w:autoSpaceDE/>
              <w:autoSpaceDN/>
              <w:adjustRightInd/>
              <w:spacing w:line="260" w:lineRule="atLeast"/>
              <w:rPr>
                <w:rFonts w:ascii="Tahoma" w:hAnsi="Tahoma"/>
                <w:sz w:val="21"/>
                <w:szCs w:val="20"/>
              </w:rPr>
            </w:pPr>
          </w:p>
          <w:p w14:paraId="12F676DB" w14:textId="77777777" w:rsidR="0046529F" w:rsidRPr="0046529F" w:rsidRDefault="0046529F" w:rsidP="004E3BFD">
            <w:pPr>
              <w:autoSpaceDE/>
              <w:autoSpaceDN/>
              <w:adjustRightInd/>
              <w:spacing w:line="260" w:lineRule="atLeast"/>
              <w:rPr>
                <w:rFonts w:ascii="Tahoma" w:hAnsi="Tahoma"/>
                <w:sz w:val="21"/>
                <w:szCs w:val="20"/>
                <w:u w:val="single"/>
              </w:rPr>
            </w:pPr>
            <w:r w:rsidRPr="0046529F">
              <w:rPr>
                <w:u w:val="single"/>
              </w:rPr>
              <w:t>Natural Gas</w:t>
            </w:r>
          </w:p>
          <w:p w14:paraId="143A65E2" w14:textId="77777777" w:rsidR="0046529F" w:rsidRDefault="0046529F" w:rsidP="004E3BFD">
            <w:pPr>
              <w:autoSpaceDE/>
              <w:autoSpaceDN/>
              <w:adjustRightInd/>
              <w:spacing w:line="260" w:lineRule="atLeast"/>
              <w:rPr>
                <w:rFonts w:ascii="Tahoma" w:hAnsi="Tahoma"/>
                <w:sz w:val="21"/>
                <w:szCs w:val="20"/>
              </w:rPr>
            </w:pPr>
          </w:p>
          <w:p w14:paraId="1F635D08" w14:textId="77777777" w:rsidR="0046529F" w:rsidRPr="0046529F" w:rsidRDefault="0046529F" w:rsidP="0046529F">
            <w:pPr>
              <w:autoSpaceDE/>
              <w:autoSpaceDN/>
              <w:adjustRightInd/>
              <w:spacing w:line="260" w:lineRule="atLeast"/>
              <w:rPr>
                <w:bCs/>
              </w:rPr>
            </w:pPr>
            <w:r w:rsidRPr="0046529F">
              <w:rPr>
                <w:bCs/>
              </w:rPr>
              <w:t xml:space="preserve">Emissions </w:t>
            </w:r>
            <w:r>
              <w:rPr>
                <w:rFonts w:ascii="Nirmala UI" w:hAnsi="Nirmala UI" w:cs="Nirmala UI"/>
                <w:bCs/>
              </w:rPr>
              <w:t xml:space="preserve">(ton/month) = </w:t>
            </w:r>
            <w:r>
              <w:t>Natural Gas Usage (</w:t>
            </w:r>
            <w:proofErr w:type="spellStart"/>
            <w:r>
              <w:t>MMscf</w:t>
            </w:r>
            <w:proofErr w:type="spellEnd"/>
            <w:r>
              <w:t xml:space="preserve">/month) x Natural Gas Emission Factor </w:t>
            </w:r>
            <w:r>
              <w:rPr>
                <w:rFonts w:ascii="Ebrima" w:hAnsi="Ebrima" w:cs="Ebrima"/>
              </w:rPr>
              <w:t>(</w:t>
            </w:r>
            <w:proofErr w:type="spellStart"/>
            <w:r>
              <w:rPr>
                <w:rFonts w:ascii="Ebrima" w:hAnsi="Ebrima" w:cs="Ebrima"/>
              </w:rPr>
              <w:t>lb</w:t>
            </w:r>
            <w:proofErr w:type="spellEnd"/>
            <w:r>
              <w:rPr>
                <w:rFonts w:ascii="Ebrima" w:hAnsi="Ebrima" w:cs="Ebrima"/>
              </w:rPr>
              <w:t>/</w:t>
            </w:r>
            <w:proofErr w:type="spellStart"/>
            <w:r>
              <w:t>MMscf</w:t>
            </w:r>
            <w:proofErr w:type="spellEnd"/>
            <w:r>
              <w:t xml:space="preserve">) x 1 ton/2,000 </w:t>
            </w:r>
            <w:proofErr w:type="spellStart"/>
            <w:r>
              <w:t>lb</w:t>
            </w:r>
            <w:proofErr w:type="spellEnd"/>
          </w:p>
          <w:p w14:paraId="41F4ABC9" w14:textId="77777777" w:rsidR="0046529F" w:rsidRDefault="0046529F" w:rsidP="004E3BFD">
            <w:pPr>
              <w:autoSpaceDE/>
              <w:autoSpaceDN/>
              <w:adjustRightInd/>
              <w:spacing w:line="260" w:lineRule="atLeast"/>
              <w:rPr>
                <w:bCs/>
              </w:rPr>
            </w:pPr>
          </w:p>
          <w:p w14:paraId="626F1A7B" w14:textId="77777777" w:rsidR="0046529F" w:rsidRDefault="0046529F" w:rsidP="0046529F">
            <w:pPr>
              <w:autoSpaceDE/>
              <w:autoSpaceDN/>
              <w:adjustRightInd/>
              <w:spacing w:line="260" w:lineRule="atLeast"/>
              <w:rPr>
                <w:bCs/>
              </w:rPr>
            </w:pPr>
            <w:r w:rsidRPr="0046529F">
              <w:rPr>
                <w:bCs/>
              </w:rPr>
              <w:t>Natural gas emission factors are taken from AP-42, Section 1.4 – Natural Gas Combustion</w:t>
            </w:r>
            <w:r>
              <w:rPr>
                <w:bCs/>
              </w:rPr>
              <w:t xml:space="preserve"> </w:t>
            </w:r>
          </w:p>
          <w:p w14:paraId="5B57C011" w14:textId="77777777" w:rsidR="0046529F" w:rsidRDefault="0046529F" w:rsidP="004E3BFD">
            <w:pPr>
              <w:autoSpaceDE/>
              <w:autoSpaceDN/>
              <w:adjustRightInd/>
              <w:spacing w:line="260" w:lineRule="atLeast"/>
              <w:rPr>
                <w:bCs/>
              </w:rPr>
            </w:pPr>
          </w:p>
          <w:p w14:paraId="50702EC8" w14:textId="77777777" w:rsidR="0046529F" w:rsidRPr="0046529F" w:rsidRDefault="0046529F" w:rsidP="004E3BFD">
            <w:pPr>
              <w:autoSpaceDE/>
              <w:autoSpaceDN/>
              <w:adjustRightInd/>
              <w:spacing w:line="260" w:lineRule="atLeast"/>
              <w:rPr>
                <w:bCs/>
                <w:u w:val="single"/>
              </w:rPr>
            </w:pPr>
            <w:r w:rsidRPr="0046529F">
              <w:rPr>
                <w:u w:val="single"/>
              </w:rPr>
              <w:t>Fuel Oil</w:t>
            </w:r>
          </w:p>
          <w:p w14:paraId="7ABF89FE" w14:textId="77777777" w:rsidR="0046529F" w:rsidRDefault="0046529F" w:rsidP="004E3BFD">
            <w:pPr>
              <w:autoSpaceDE/>
              <w:autoSpaceDN/>
              <w:adjustRightInd/>
              <w:spacing w:line="260" w:lineRule="atLeast"/>
              <w:rPr>
                <w:bCs/>
              </w:rPr>
            </w:pPr>
          </w:p>
          <w:p w14:paraId="211DBF39" w14:textId="77777777" w:rsidR="0016061C" w:rsidRPr="0046529F" w:rsidRDefault="0016061C" w:rsidP="0016061C">
            <w:pPr>
              <w:autoSpaceDE/>
              <w:autoSpaceDN/>
              <w:adjustRightInd/>
              <w:spacing w:line="260" w:lineRule="atLeast"/>
              <w:rPr>
                <w:bCs/>
              </w:rPr>
            </w:pPr>
            <w:r w:rsidRPr="0046529F">
              <w:rPr>
                <w:bCs/>
              </w:rPr>
              <w:t xml:space="preserve">Emissions </w:t>
            </w:r>
            <w:r>
              <w:rPr>
                <w:rFonts w:ascii="Nirmala UI" w:hAnsi="Nirmala UI" w:cs="Nirmala UI"/>
                <w:bCs/>
              </w:rPr>
              <w:t xml:space="preserve">(ton/month) = </w:t>
            </w:r>
            <w:r>
              <w:t xml:space="preserve">Fuel </w:t>
            </w:r>
            <w:proofErr w:type="spellStart"/>
            <w:r>
              <w:t>OIl</w:t>
            </w:r>
            <w:proofErr w:type="spellEnd"/>
            <w:r>
              <w:t xml:space="preserve"> Usage (</w:t>
            </w:r>
            <w:proofErr w:type="spellStart"/>
            <w:r>
              <w:t>Mgal</w:t>
            </w:r>
            <w:proofErr w:type="spellEnd"/>
            <w:r>
              <w:t xml:space="preserve">/month) x Fuel Oil Emission Factor </w:t>
            </w:r>
            <w:r>
              <w:rPr>
                <w:rFonts w:ascii="Ebrima" w:hAnsi="Ebrima" w:cs="Ebrima"/>
              </w:rPr>
              <w:t>(</w:t>
            </w:r>
            <w:proofErr w:type="spellStart"/>
            <w:r>
              <w:rPr>
                <w:rFonts w:ascii="Ebrima" w:hAnsi="Ebrima" w:cs="Ebrima"/>
              </w:rPr>
              <w:t>lb</w:t>
            </w:r>
            <w:proofErr w:type="spellEnd"/>
            <w:r>
              <w:rPr>
                <w:rFonts w:ascii="Ebrima" w:hAnsi="Ebrima" w:cs="Ebrima"/>
              </w:rPr>
              <w:t>/</w:t>
            </w:r>
            <w:proofErr w:type="spellStart"/>
            <w:r>
              <w:t>Mgal</w:t>
            </w:r>
            <w:proofErr w:type="spellEnd"/>
            <w:r>
              <w:t xml:space="preserve">) x 1 ton/2,000 </w:t>
            </w:r>
            <w:proofErr w:type="spellStart"/>
            <w:r>
              <w:t>lb</w:t>
            </w:r>
            <w:proofErr w:type="spellEnd"/>
          </w:p>
          <w:p w14:paraId="0D3DC18E" w14:textId="77777777" w:rsidR="0046529F" w:rsidRDefault="0046529F" w:rsidP="004E3BFD">
            <w:pPr>
              <w:autoSpaceDE/>
              <w:autoSpaceDN/>
              <w:adjustRightInd/>
              <w:spacing w:line="260" w:lineRule="atLeast"/>
              <w:rPr>
                <w:bCs/>
              </w:rPr>
            </w:pPr>
          </w:p>
          <w:p w14:paraId="153721E1" w14:textId="77777777" w:rsidR="0016061C" w:rsidRDefault="0016061C" w:rsidP="0016061C">
            <w:pPr>
              <w:autoSpaceDE/>
              <w:autoSpaceDN/>
              <w:adjustRightInd/>
              <w:spacing w:line="260" w:lineRule="atLeast"/>
              <w:rPr>
                <w:bCs/>
              </w:rPr>
            </w:pPr>
            <w:r>
              <w:rPr>
                <w:bCs/>
              </w:rPr>
              <w:t>Fuel Oil</w:t>
            </w:r>
            <w:r w:rsidRPr="0046529F">
              <w:rPr>
                <w:bCs/>
              </w:rPr>
              <w:t xml:space="preserve"> emission factors are taken from AP-42, Section 1.</w:t>
            </w:r>
            <w:r>
              <w:rPr>
                <w:bCs/>
              </w:rPr>
              <w:t>3</w:t>
            </w:r>
            <w:r w:rsidRPr="0046529F">
              <w:rPr>
                <w:bCs/>
              </w:rPr>
              <w:t xml:space="preserve"> – </w:t>
            </w:r>
            <w:r>
              <w:rPr>
                <w:bCs/>
              </w:rPr>
              <w:t>Fuel Oil</w:t>
            </w:r>
            <w:r w:rsidRPr="0046529F">
              <w:rPr>
                <w:bCs/>
              </w:rPr>
              <w:t xml:space="preserve"> Combustion</w:t>
            </w:r>
            <w:r>
              <w:rPr>
                <w:bCs/>
              </w:rPr>
              <w:t xml:space="preserve"> </w:t>
            </w:r>
          </w:p>
          <w:p w14:paraId="7F1B7E8A" w14:textId="77777777" w:rsidR="0016061C" w:rsidRDefault="0016061C" w:rsidP="0016061C">
            <w:pPr>
              <w:autoSpaceDE/>
              <w:autoSpaceDN/>
              <w:adjustRightInd/>
              <w:spacing w:line="260" w:lineRule="atLeast"/>
              <w:rPr>
                <w:bCs/>
              </w:rPr>
            </w:pPr>
          </w:p>
          <w:p w14:paraId="5CD2711D" w14:textId="77777777" w:rsidR="0016061C" w:rsidRPr="0016061C" w:rsidRDefault="0016061C" w:rsidP="0016061C">
            <w:pPr>
              <w:autoSpaceDE/>
              <w:autoSpaceDN/>
              <w:adjustRightInd/>
              <w:spacing w:line="260" w:lineRule="atLeast"/>
              <w:rPr>
                <w:b/>
                <w:u w:val="single"/>
              </w:rPr>
            </w:pPr>
            <w:r w:rsidRPr="0016061C">
              <w:rPr>
                <w:b/>
                <w:u w:val="single"/>
              </w:rPr>
              <w:t>Storage Tank Emissions</w:t>
            </w:r>
          </w:p>
          <w:p w14:paraId="104A3E7A" w14:textId="77777777" w:rsidR="0016061C" w:rsidRDefault="0016061C" w:rsidP="0016061C">
            <w:r>
              <w:t xml:space="preserve">The storage tank farms at the White Stone facility consist of numerous raw material and finished product storage tanks. The storage tanks may store either raw material or product; any tank storing a HAP as raw material or product is specifically denoted as such. Ethylene oxide and propylene oxide are stored separately from the rest of the facility due to hazards associated with these chemicals. </w:t>
            </w:r>
          </w:p>
          <w:p w14:paraId="0B4B991A" w14:textId="77777777" w:rsidR="0016061C" w:rsidRDefault="0016061C" w:rsidP="0016061C"/>
          <w:p w14:paraId="6E3D388F" w14:textId="77777777" w:rsidR="0016061C" w:rsidRDefault="0016061C" w:rsidP="0016061C">
            <w:r>
              <w:t xml:space="preserve">Emissions from the storage tanks are calculated using the TANKS program developed by U.S. EPA to estimate air emissions from organic liquids in storage tanks. TANKS allows users to enter specific information about a storage tank (dimensions, construction, paint condition, etc.), the tank contents (chemical components and liquid temperature), and the location of the tank (nearest city, ambient temperature, etc.), to generate an air emissions report. Report features include estimates of monthly, annual, or partial year emissions for each chemical or mixture of chemicals stored in the tank. In theory, storage tank emissions result from the diurnal heating and cooling of the tank contents (“breathing losses”) in addition to the losses associated with tank turnovers (“working losses”). </w:t>
            </w:r>
          </w:p>
          <w:p w14:paraId="3DAFB60B" w14:textId="77777777" w:rsidR="0016061C" w:rsidRDefault="0016061C" w:rsidP="0016061C"/>
          <w:p w14:paraId="18E793A6" w14:textId="77777777" w:rsidR="0046529F" w:rsidRPr="0048352A" w:rsidRDefault="0016061C" w:rsidP="005D3B4B">
            <w:pPr>
              <w:rPr>
                <w:bCs/>
              </w:rPr>
            </w:pPr>
            <w:r>
              <w:t>In the algorithm, potential emissions from storage tanks are used instead of actuals. Potential emissions from storage tanks are based on the worst-case from storage of raw materials and storage of products. Although it is no longer used at the facility, acrylic acid is used as a proxy for the worst-case raw material. Since emissions from the worst-case product are higher than those from the worst-case raw material, volatile organic compound (VOC) emissions from storage tanks are calculated using worst-case product emissions.</w:t>
            </w:r>
          </w:p>
        </w:tc>
      </w:tr>
      <w:tr w:rsidR="00124AB6" w:rsidRPr="001B6EC4" w14:paraId="5CED8381"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7" w:type="dxa"/>
          </w:tcPr>
          <w:p w14:paraId="3E7836C4" w14:textId="77777777" w:rsidR="00124AB6" w:rsidRPr="000A5D3A" w:rsidRDefault="00124AB6" w:rsidP="004E3BFD">
            <w:pPr>
              <w:pStyle w:val="BNum"/>
              <w:rPr>
                <w:bCs/>
              </w:rPr>
            </w:pPr>
          </w:p>
        </w:tc>
        <w:tc>
          <w:tcPr>
            <w:tcW w:w="9433" w:type="dxa"/>
          </w:tcPr>
          <w:p w14:paraId="24D9E535" w14:textId="77777777" w:rsidR="00124AB6" w:rsidRPr="001B6EC4" w:rsidRDefault="00124AB6" w:rsidP="004E3BFD">
            <w:r w:rsidRPr="001B6EC4">
              <w:rPr>
                <w:b/>
              </w:rPr>
              <w:t>Emission Unit ID:</w:t>
            </w:r>
            <w:r>
              <w:t xml:space="preserve"> 18</w:t>
            </w:r>
          </w:p>
          <w:p w14:paraId="563ADA39" w14:textId="77777777" w:rsidR="00124AB6" w:rsidRDefault="00124AB6" w:rsidP="004E3BFD">
            <w:r w:rsidRPr="009A00D8">
              <w:rPr>
                <w:b/>
              </w:rPr>
              <w:t>Equipment ID:</w:t>
            </w:r>
            <w:r w:rsidRPr="009A00D8">
              <w:t xml:space="preserve"> </w:t>
            </w:r>
            <w:r>
              <w:t>All</w:t>
            </w:r>
          </w:p>
          <w:p w14:paraId="2AD2B0D9" w14:textId="77777777" w:rsidR="00124AB6" w:rsidRDefault="00124AB6" w:rsidP="004E3BFD">
            <w:r w:rsidRPr="009A00D8">
              <w:rPr>
                <w:b/>
              </w:rPr>
              <w:t>Control Device ID:</w:t>
            </w:r>
            <w:r w:rsidRPr="009A00D8">
              <w:t xml:space="preserve"> </w:t>
            </w:r>
            <w:r>
              <w:t>TO-1</w:t>
            </w:r>
          </w:p>
          <w:p w14:paraId="6FD73D23" w14:textId="77777777" w:rsidR="00124AB6" w:rsidRDefault="00124AB6" w:rsidP="004E3BFD">
            <w:pPr>
              <w:rPr>
                <w:rFonts w:eastAsia="Open Sans" w:cs="Open Sans"/>
                <w:szCs w:val="20"/>
              </w:rPr>
            </w:pPr>
          </w:p>
          <w:p w14:paraId="2F514C6B" w14:textId="77777777" w:rsidR="00124AB6" w:rsidRPr="001B6EC4" w:rsidRDefault="00124AB6" w:rsidP="004E3BFD">
            <w:pPr>
              <w:rPr>
                <w:b/>
              </w:rPr>
            </w:pPr>
            <w:r>
              <w:rPr>
                <w:rFonts w:eastAsia="Open Sans" w:cs="Open Sans"/>
                <w:szCs w:val="20"/>
              </w:rPr>
              <w:t>This</w:t>
            </w:r>
            <w:r w:rsidRPr="008B6A8A">
              <w:rPr>
                <w:rFonts w:eastAsia="Open Sans" w:cs="Open Sans"/>
                <w:szCs w:val="20"/>
              </w:rPr>
              <w:t xml:space="preserve"> source </w:t>
            </w:r>
            <w:r>
              <w:rPr>
                <w:rFonts w:eastAsia="Open Sans" w:cs="Open Sans"/>
                <w:szCs w:val="20"/>
              </w:rPr>
              <w:t>is</w:t>
            </w:r>
            <w:r w:rsidRPr="008B6A8A">
              <w:rPr>
                <w:rFonts w:eastAsia="Open Sans" w:cs="Open Sans"/>
                <w:szCs w:val="20"/>
              </w:rPr>
              <w:t xml:space="preserve"> subject to New Source Performance Standards (NSPS), 40CFR60 Subpart A (General Provisions) and </w:t>
            </w:r>
            <w:r>
              <w:t xml:space="preserve">Subpart </w:t>
            </w:r>
            <w:proofErr w:type="spellStart"/>
            <w:r>
              <w:t>Kb</w:t>
            </w:r>
            <w:proofErr w:type="spellEnd"/>
            <w:r>
              <w:t xml:space="preserve"> (Standards of Performance for Volatile Organic Liquid Storage Vessels (Including Petroleum Liquid Storage Vessels) for Which Construction, Reconstruction, or Modification Commenced After July 23, 1984) </w:t>
            </w:r>
            <w:r w:rsidRPr="008B6A8A">
              <w:rPr>
                <w:rFonts w:eastAsia="Open Sans" w:cs="Open Sans"/>
                <w:szCs w:val="20"/>
              </w:rPr>
              <w:t xml:space="preserve">and S.C. Regulation 61-62.60 Subparts A and Subpart </w:t>
            </w:r>
            <w:proofErr w:type="spellStart"/>
            <w:r>
              <w:rPr>
                <w:rFonts w:eastAsia="Open Sans" w:cs="Open Sans"/>
                <w:szCs w:val="20"/>
              </w:rPr>
              <w:t>Kb</w:t>
            </w:r>
            <w:proofErr w:type="spellEnd"/>
            <w:r w:rsidRPr="008B6A8A">
              <w:rPr>
                <w:rFonts w:eastAsia="Open Sans" w:cs="Open Sans"/>
                <w:szCs w:val="20"/>
              </w:rPr>
              <w:t xml:space="preserve"> as applicable. These sources shall comply with all applicable requirements of Subparts A and </w:t>
            </w:r>
            <w:proofErr w:type="spellStart"/>
            <w:r>
              <w:rPr>
                <w:rFonts w:eastAsia="Open Sans" w:cs="Open Sans"/>
                <w:szCs w:val="20"/>
              </w:rPr>
              <w:t>Kb</w:t>
            </w:r>
            <w:proofErr w:type="spellEnd"/>
            <w:r w:rsidRPr="008B6A8A">
              <w:rPr>
                <w:rFonts w:eastAsia="Open Sans" w:cs="Open Sans"/>
                <w:szCs w:val="20"/>
              </w:rPr>
              <w:t>.</w:t>
            </w:r>
          </w:p>
        </w:tc>
      </w:tr>
      <w:tr w:rsidR="00124AB6" w:rsidRPr="000A5D3A" w14:paraId="1283899E"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7" w:type="dxa"/>
          </w:tcPr>
          <w:p w14:paraId="1EDAD584" w14:textId="77777777" w:rsidR="00124AB6" w:rsidRPr="000A5D3A" w:rsidRDefault="00124AB6" w:rsidP="004E3BFD">
            <w:pPr>
              <w:pStyle w:val="BNum"/>
              <w:rPr>
                <w:bCs/>
              </w:rPr>
            </w:pPr>
          </w:p>
        </w:tc>
        <w:tc>
          <w:tcPr>
            <w:tcW w:w="9433" w:type="dxa"/>
          </w:tcPr>
          <w:p w14:paraId="4C3DE0C6" w14:textId="77777777" w:rsidR="00124AB6" w:rsidRPr="001B6EC4" w:rsidRDefault="00124AB6" w:rsidP="004E3BFD">
            <w:r w:rsidRPr="001B6EC4">
              <w:rPr>
                <w:b/>
              </w:rPr>
              <w:t>Emission Unit ID:</w:t>
            </w:r>
            <w:r>
              <w:t xml:space="preserve"> 18</w:t>
            </w:r>
          </w:p>
          <w:p w14:paraId="7CE4F221" w14:textId="77777777" w:rsidR="00124AB6" w:rsidRDefault="00124AB6" w:rsidP="004E3BFD">
            <w:r w:rsidRPr="009A00D8">
              <w:rPr>
                <w:b/>
              </w:rPr>
              <w:t>Equipment ID:</w:t>
            </w:r>
            <w:r w:rsidRPr="009A00D8">
              <w:t xml:space="preserve"> </w:t>
            </w:r>
            <w:r w:rsidRPr="008E3872">
              <w:rPr>
                <w:szCs w:val="20"/>
              </w:rPr>
              <w:t>T-415</w:t>
            </w:r>
          </w:p>
          <w:p w14:paraId="7629D2E6" w14:textId="77777777" w:rsidR="00124AB6" w:rsidRDefault="00124AB6" w:rsidP="004E3BFD">
            <w:r w:rsidRPr="009A00D8">
              <w:rPr>
                <w:b/>
              </w:rPr>
              <w:t>Control Device ID:</w:t>
            </w:r>
            <w:r w:rsidRPr="009A00D8">
              <w:t xml:space="preserve"> </w:t>
            </w:r>
            <w:r>
              <w:t>TO-1</w:t>
            </w:r>
          </w:p>
          <w:p w14:paraId="3D8CA596" w14:textId="77777777" w:rsidR="00124AB6" w:rsidRDefault="00124AB6" w:rsidP="004E3BFD">
            <w:pPr>
              <w:rPr>
                <w:bCs/>
              </w:rPr>
            </w:pPr>
          </w:p>
          <w:p w14:paraId="57B931D9" w14:textId="77777777" w:rsidR="00124AB6" w:rsidRPr="000A5D3A" w:rsidRDefault="00124AB6" w:rsidP="004E3BFD">
            <w:pPr>
              <w:rPr>
                <w:bCs/>
              </w:rPr>
            </w:pPr>
            <w:r>
              <w:rPr>
                <w:bCs/>
              </w:rPr>
              <w:t>40CFR</w:t>
            </w:r>
            <w:r w:rsidRPr="000A5D3A">
              <w:rPr>
                <w:bCs/>
              </w:rPr>
              <w:t>60.110b Applicability and designation of affected facility.</w:t>
            </w:r>
          </w:p>
          <w:p w14:paraId="76BA412C" w14:textId="77777777" w:rsidR="00124AB6" w:rsidRPr="000A5D3A" w:rsidRDefault="00124AB6" w:rsidP="004E3BFD">
            <w:pPr>
              <w:rPr>
                <w:bCs/>
              </w:rPr>
            </w:pPr>
          </w:p>
          <w:p w14:paraId="6263320A" w14:textId="77777777" w:rsidR="00124AB6" w:rsidRPr="000A5D3A" w:rsidRDefault="00124AB6" w:rsidP="00124AB6">
            <w:pPr>
              <w:rPr>
                <w:bCs/>
              </w:rPr>
            </w:pPr>
            <w:r w:rsidRPr="000A5D3A">
              <w:rPr>
                <w:bCs/>
              </w:rPr>
              <w:t>(a) Except as provided in paragraph (b) of this section, the affected facility to which this subpart applies is each storage vessel with a capacity greater than or equal to 75 cubic meters (m</w:t>
            </w:r>
            <w:r w:rsidRPr="000A5D3A">
              <w:rPr>
                <w:bCs/>
                <w:vertAlign w:val="superscript"/>
              </w:rPr>
              <w:t>3</w:t>
            </w:r>
            <w:r w:rsidRPr="000A5D3A">
              <w:rPr>
                <w:bCs/>
              </w:rPr>
              <w:t>) that is used to store volatile organic liquids (VOL) for which construction, reconstruction, or modification is commenced after July 23, 1984.</w:t>
            </w:r>
          </w:p>
        </w:tc>
      </w:tr>
      <w:tr w:rsidR="00124AB6" w:rsidRPr="000A5D3A" w14:paraId="29E6F30A"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7" w:type="dxa"/>
          </w:tcPr>
          <w:p w14:paraId="5B434006" w14:textId="77777777" w:rsidR="00124AB6" w:rsidRPr="000A5D3A" w:rsidRDefault="00124AB6" w:rsidP="004E3BFD">
            <w:pPr>
              <w:pStyle w:val="BNum"/>
              <w:rPr>
                <w:bCs/>
              </w:rPr>
            </w:pPr>
          </w:p>
        </w:tc>
        <w:tc>
          <w:tcPr>
            <w:tcW w:w="9433" w:type="dxa"/>
          </w:tcPr>
          <w:p w14:paraId="3DFC06EA" w14:textId="77777777" w:rsidR="00124AB6" w:rsidRPr="001B6EC4" w:rsidRDefault="00124AB6" w:rsidP="004E3BFD">
            <w:r w:rsidRPr="001B6EC4">
              <w:rPr>
                <w:b/>
              </w:rPr>
              <w:t>Emission Unit ID:</w:t>
            </w:r>
            <w:r>
              <w:t xml:space="preserve"> 18</w:t>
            </w:r>
          </w:p>
          <w:p w14:paraId="08A20598" w14:textId="77777777" w:rsidR="00124AB6" w:rsidRDefault="00124AB6" w:rsidP="004E3BFD">
            <w:r w:rsidRPr="009A00D8">
              <w:rPr>
                <w:b/>
              </w:rPr>
              <w:t>Equipment ID:</w:t>
            </w:r>
            <w:r w:rsidRPr="009A00D8">
              <w:t xml:space="preserve"> </w:t>
            </w:r>
            <w:r w:rsidRPr="008E3872">
              <w:rPr>
                <w:szCs w:val="20"/>
              </w:rPr>
              <w:t>T-415</w:t>
            </w:r>
          </w:p>
          <w:p w14:paraId="4ABD4FBE" w14:textId="77777777" w:rsidR="00124AB6" w:rsidRDefault="00124AB6" w:rsidP="004E3BFD">
            <w:r w:rsidRPr="009A00D8">
              <w:rPr>
                <w:b/>
              </w:rPr>
              <w:t>Control Device ID:</w:t>
            </w:r>
            <w:r w:rsidRPr="009A00D8">
              <w:t xml:space="preserve"> </w:t>
            </w:r>
            <w:r>
              <w:t>TO-1</w:t>
            </w:r>
          </w:p>
          <w:p w14:paraId="5BA8F65A" w14:textId="77777777" w:rsidR="00124AB6" w:rsidRDefault="00124AB6" w:rsidP="004E3BFD"/>
          <w:p w14:paraId="7BFFBBB9" w14:textId="77777777" w:rsidR="00124AB6" w:rsidRDefault="00124AB6" w:rsidP="004E3BFD">
            <w:r>
              <w:t>40CFR60.112b Standard for volatile organic compounds (VOC)</w:t>
            </w:r>
          </w:p>
          <w:p w14:paraId="1CD1B107" w14:textId="77777777" w:rsidR="00124AB6" w:rsidRDefault="00124AB6" w:rsidP="004E3BFD">
            <w:pPr>
              <w:rPr>
                <w:rStyle w:val="paren"/>
              </w:rPr>
            </w:pPr>
          </w:p>
          <w:p w14:paraId="33812718" w14:textId="77777777" w:rsidR="00124AB6" w:rsidRDefault="00124AB6" w:rsidP="004E3BFD">
            <w:r>
              <w:rPr>
                <w:rStyle w:val="paren"/>
              </w:rPr>
              <w:t>(</w:t>
            </w:r>
            <w:r>
              <w:rPr>
                <w:rStyle w:val="paragraph-hierarchy"/>
              </w:rPr>
              <w:t>a</w:t>
            </w:r>
            <w:r>
              <w:rPr>
                <w:rStyle w:val="paren"/>
              </w:rPr>
              <w:t>)</w:t>
            </w:r>
            <w:r>
              <w:t xml:space="preserve"> The owner or operator of each storage vessel either with a design capacity greater than or equal to 151 m</w:t>
            </w:r>
            <w:r>
              <w:rPr>
                <w:vertAlign w:val="superscript"/>
              </w:rPr>
              <w:t>3</w:t>
            </w:r>
            <w:r>
              <w:t xml:space="preserve"> containing a VOL that, as stored, has a maximum true vapor pressure equal to or greater than 5.2 kPa but less than 76.6 kPa or with a design capacity greater than or equal to 75 m</w:t>
            </w:r>
            <w:r>
              <w:rPr>
                <w:vertAlign w:val="superscript"/>
              </w:rPr>
              <w:t>3</w:t>
            </w:r>
            <w:r>
              <w:t xml:space="preserve"> but less than 151 m</w:t>
            </w:r>
            <w:r>
              <w:rPr>
                <w:vertAlign w:val="superscript"/>
              </w:rPr>
              <w:t>3</w:t>
            </w:r>
            <w:r>
              <w:t xml:space="preserve"> containing a VOL that, as stored, has a maximum true vapor pressure equal to or greater than 27.6 kPa but less than 76.6 kPa, shall equip each storage vessel with one of the following:</w:t>
            </w:r>
          </w:p>
          <w:p w14:paraId="7CC59D7B" w14:textId="77777777" w:rsidR="00124AB6" w:rsidRDefault="00124AB6" w:rsidP="004E3BFD"/>
          <w:p w14:paraId="443768C0" w14:textId="77777777" w:rsidR="00124AB6" w:rsidRDefault="00124AB6" w:rsidP="004E3BFD">
            <w:r>
              <w:t xml:space="preserve">(a)(3) A closed vent system and control device meeting the following specifications: </w:t>
            </w:r>
          </w:p>
          <w:p w14:paraId="1CBA6B57" w14:textId="77777777" w:rsidR="00124AB6" w:rsidRDefault="00124AB6" w:rsidP="004E3BFD"/>
          <w:p w14:paraId="36B49710" w14:textId="77777777" w:rsidR="00124AB6" w:rsidRDefault="00124AB6" w:rsidP="004E3BFD">
            <w:r>
              <w:t>(a)(3)(</w:t>
            </w:r>
            <w:proofErr w:type="spellStart"/>
            <w:r>
              <w:t>i</w:t>
            </w:r>
            <w:proofErr w:type="spellEnd"/>
            <w:r>
              <w:t xml:space="preserve">) The closed vent system shall be designed to collect all VOC vapors and gases discharged from the storage vessel and operated with no detectable emissions as indicated by an instrument reading of less than 500 ppm above background and visual inspections, as determined in part 60, subpart VV, § 60.485(b). </w:t>
            </w:r>
          </w:p>
          <w:p w14:paraId="49140BF7" w14:textId="77777777" w:rsidR="00124AB6" w:rsidRDefault="00124AB6" w:rsidP="004E3BFD"/>
          <w:p w14:paraId="211BE3B1" w14:textId="77777777" w:rsidR="00124AB6" w:rsidRDefault="00124AB6" w:rsidP="004E3BFD">
            <w:r>
              <w:t>(a)(3)(ii) The control device shall be designed and operated to reduce inlet VOC emissions by 95 percent or greater. If a flare is used as the control device, it shall meet the specifications described in the general control device requirements (§ 60.18) of the General Provisions.</w:t>
            </w:r>
          </w:p>
          <w:p w14:paraId="45FAB26D" w14:textId="77777777" w:rsidR="00124AB6" w:rsidRDefault="00124AB6" w:rsidP="004E3BFD"/>
          <w:p w14:paraId="3D9BD11F" w14:textId="77777777" w:rsidR="00124AB6" w:rsidRDefault="00124AB6" w:rsidP="004E3BFD">
            <w:pPr>
              <w:rPr>
                <w:bCs/>
              </w:rPr>
            </w:pPr>
          </w:p>
          <w:p w14:paraId="1DB25DB8" w14:textId="77777777" w:rsidR="00124AB6" w:rsidRPr="000A5D3A" w:rsidRDefault="00124AB6" w:rsidP="004E3BFD">
            <w:pPr>
              <w:rPr>
                <w:bCs/>
              </w:rPr>
            </w:pPr>
            <w:r w:rsidRPr="000A5D3A">
              <w:rPr>
                <w:bCs/>
              </w:rPr>
              <w:t>(b) The owner or operator of each storage vessel with a design capacity greater than or equal to 75 m</w:t>
            </w:r>
            <w:r w:rsidRPr="000A5D3A">
              <w:rPr>
                <w:bCs/>
                <w:vertAlign w:val="superscript"/>
              </w:rPr>
              <w:t>3</w:t>
            </w:r>
            <w:r w:rsidRPr="000A5D3A">
              <w:rPr>
                <w:bCs/>
              </w:rPr>
              <w:t xml:space="preserve"> which contains a VOL that, as stored, has a maximum true vapor pressure greater than or equal to 76.6 kPa shall equip each storage vessel with one of the following: </w:t>
            </w:r>
          </w:p>
          <w:p w14:paraId="5EC20BF2" w14:textId="77777777" w:rsidR="00124AB6" w:rsidRDefault="00124AB6" w:rsidP="004E3BFD">
            <w:pPr>
              <w:rPr>
                <w:bCs/>
              </w:rPr>
            </w:pPr>
          </w:p>
          <w:p w14:paraId="55513448" w14:textId="77777777" w:rsidR="00124AB6" w:rsidRPr="000A5D3A" w:rsidRDefault="00124AB6" w:rsidP="004E3BFD">
            <w:pPr>
              <w:rPr>
                <w:bCs/>
              </w:rPr>
            </w:pPr>
            <w:r>
              <w:rPr>
                <w:bCs/>
              </w:rPr>
              <w:t>(b)</w:t>
            </w:r>
            <w:r w:rsidRPr="000A5D3A">
              <w:rPr>
                <w:bCs/>
              </w:rPr>
              <w:t xml:space="preserve">(1) A closed vent system and control device as specified in §60.112b(a)(3). </w:t>
            </w:r>
          </w:p>
          <w:p w14:paraId="274F812E" w14:textId="77777777" w:rsidR="00124AB6" w:rsidRDefault="00124AB6" w:rsidP="004E3BFD">
            <w:pPr>
              <w:rPr>
                <w:bCs/>
              </w:rPr>
            </w:pPr>
          </w:p>
          <w:p w14:paraId="301B7F14" w14:textId="77777777" w:rsidR="00124AB6" w:rsidRPr="000A5D3A" w:rsidRDefault="00124AB6" w:rsidP="004E3BFD">
            <w:pPr>
              <w:rPr>
                <w:bCs/>
              </w:rPr>
            </w:pPr>
            <w:r>
              <w:rPr>
                <w:bCs/>
              </w:rPr>
              <w:t>(b)</w:t>
            </w:r>
            <w:r w:rsidRPr="000A5D3A">
              <w:rPr>
                <w:bCs/>
              </w:rPr>
              <w:t>(2) A system equivalent to that described in paragraph (b)(1) as provided in §60.114b of this subpart.</w:t>
            </w:r>
          </w:p>
        </w:tc>
      </w:tr>
      <w:tr w:rsidR="00124AB6" w:rsidRPr="000A5D3A" w14:paraId="52825FF3"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7" w:type="dxa"/>
          </w:tcPr>
          <w:p w14:paraId="1C069922" w14:textId="77777777" w:rsidR="00124AB6" w:rsidRPr="000A5D3A" w:rsidRDefault="00124AB6" w:rsidP="004E3BFD">
            <w:pPr>
              <w:pStyle w:val="BNum"/>
              <w:rPr>
                <w:bCs/>
              </w:rPr>
            </w:pPr>
          </w:p>
        </w:tc>
        <w:tc>
          <w:tcPr>
            <w:tcW w:w="9433" w:type="dxa"/>
          </w:tcPr>
          <w:p w14:paraId="442D604E" w14:textId="77777777" w:rsidR="00124AB6" w:rsidRPr="001B6EC4" w:rsidRDefault="00124AB6" w:rsidP="004E3BFD">
            <w:r w:rsidRPr="001B6EC4">
              <w:rPr>
                <w:b/>
              </w:rPr>
              <w:t>Emission Unit ID:</w:t>
            </w:r>
            <w:r>
              <w:t xml:space="preserve"> 18</w:t>
            </w:r>
          </w:p>
          <w:p w14:paraId="1BD45798" w14:textId="77777777" w:rsidR="00124AB6" w:rsidRDefault="00124AB6" w:rsidP="004E3BFD">
            <w:r w:rsidRPr="009A00D8">
              <w:rPr>
                <w:b/>
              </w:rPr>
              <w:t>Equipment ID:</w:t>
            </w:r>
            <w:r w:rsidRPr="009A00D8">
              <w:t xml:space="preserve"> </w:t>
            </w:r>
            <w:r w:rsidRPr="008E3872">
              <w:rPr>
                <w:szCs w:val="20"/>
              </w:rPr>
              <w:t>T-415</w:t>
            </w:r>
          </w:p>
          <w:p w14:paraId="3C313218" w14:textId="77777777" w:rsidR="00124AB6" w:rsidRDefault="00124AB6" w:rsidP="004E3BFD">
            <w:r w:rsidRPr="009A00D8">
              <w:rPr>
                <w:b/>
              </w:rPr>
              <w:t>Control Device ID:</w:t>
            </w:r>
            <w:r w:rsidRPr="009A00D8">
              <w:t xml:space="preserve"> </w:t>
            </w:r>
            <w:r>
              <w:t>TO-1</w:t>
            </w:r>
          </w:p>
          <w:p w14:paraId="465B8E52" w14:textId="77777777" w:rsidR="00124AB6" w:rsidRDefault="00124AB6" w:rsidP="004E3BFD">
            <w:pPr>
              <w:rPr>
                <w:bCs/>
              </w:rPr>
            </w:pPr>
          </w:p>
          <w:p w14:paraId="416FC431" w14:textId="77777777" w:rsidR="00124AB6" w:rsidRDefault="00124AB6" w:rsidP="004E3BFD">
            <w:r>
              <w:t>40CFR60.113b Testing and procedures.</w:t>
            </w:r>
          </w:p>
          <w:p w14:paraId="77C674EC" w14:textId="77777777" w:rsidR="00124AB6" w:rsidRDefault="00124AB6" w:rsidP="004E3BFD"/>
          <w:p w14:paraId="13807BDF" w14:textId="77777777" w:rsidR="00124AB6" w:rsidRPr="000A5D3A" w:rsidRDefault="00124AB6" w:rsidP="004E3BFD">
            <w:pPr>
              <w:rPr>
                <w:bCs/>
              </w:rPr>
            </w:pPr>
            <w:r w:rsidRPr="000A5D3A">
              <w:rPr>
                <w:bCs/>
              </w:rPr>
              <w:t xml:space="preserve">(c) The owner or operator of each source that is equipped with a closed vent system and control device as required in § 60.112b (a)(3) or (b)(2) (other than a flare) is exempt from § 60.8 of the General Provisions and shall meet the following requirements. </w:t>
            </w:r>
          </w:p>
          <w:p w14:paraId="431CD07C" w14:textId="77777777" w:rsidR="00124AB6" w:rsidRPr="000A5D3A" w:rsidRDefault="00124AB6" w:rsidP="004E3BFD">
            <w:pPr>
              <w:rPr>
                <w:bCs/>
              </w:rPr>
            </w:pPr>
          </w:p>
          <w:p w14:paraId="437700E9" w14:textId="77777777" w:rsidR="00124AB6" w:rsidRPr="000A5D3A" w:rsidRDefault="00124AB6" w:rsidP="004E3BFD">
            <w:pPr>
              <w:rPr>
                <w:bCs/>
              </w:rPr>
            </w:pPr>
            <w:r>
              <w:rPr>
                <w:bCs/>
              </w:rPr>
              <w:t>(c)</w:t>
            </w:r>
            <w:r w:rsidRPr="000A5D3A">
              <w:rPr>
                <w:bCs/>
              </w:rPr>
              <w:t xml:space="preserve">(1) Submit for approval by the Administrator as an attachment to the notification required by § 60.7(a)(1) or, if the facility is exempt from § 60.7(a)(1), as an attachment to the notification required by § 60.7(a)(2), an operating plan containing the information listed below. </w:t>
            </w:r>
          </w:p>
          <w:p w14:paraId="476AB8A5" w14:textId="77777777" w:rsidR="00124AB6" w:rsidRPr="000A5D3A" w:rsidRDefault="00124AB6" w:rsidP="004E3BFD">
            <w:pPr>
              <w:rPr>
                <w:bCs/>
              </w:rPr>
            </w:pPr>
          </w:p>
          <w:p w14:paraId="643A6F26" w14:textId="77777777" w:rsidR="00124AB6" w:rsidRPr="000A5D3A" w:rsidRDefault="00124AB6" w:rsidP="004E3BFD">
            <w:pPr>
              <w:rPr>
                <w:bCs/>
              </w:rPr>
            </w:pPr>
            <w:r>
              <w:rPr>
                <w:bCs/>
              </w:rPr>
              <w:t>(c)(1)</w:t>
            </w:r>
            <w:r w:rsidRPr="000A5D3A">
              <w:rPr>
                <w:bCs/>
              </w:rPr>
              <w:t>(</w:t>
            </w:r>
            <w:proofErr w:type="spellStart"/>
            <w:r w:rsidRPr="000A5D3A">
              <w:rPr>
                <w:bCs/>
              </w:rPr>
              <w:t>i</w:t>
            </w:r>
            <w:proofErr w:type="spellEnd"/>
            <w:r w:rsidRPr="000A5D3A">
              <w:rPr>
                <w:bCs/>
              </w:rPr>
              <w:t xml:space="preserve">) Documentation demonstrating that the control device will achieve the required control efficiency during maximum loading conditions. This documentation is to include a description of the gas stream which enters the control device, including flow and VOC content under varying liquid level conditions (dynamic and static) and manufacturer's design specifications for the control device. If the control device or the closed vent capture system receives vapors, gases, or liquids other than fuels from sources that are not designated sources under this subpart, the efficiency demonstration is to include consideration of all vapors, gases, and liquids received by the closed vent capture system and control device. If an enclosed combustion device with a minimum residence time of 0.75 seconds and a minimum temperature of 816 °C is used to meet the 95 percent requirement, documentation that those conditions will exist is sufficient to meet the requirements of this paragraph. </w:t>
            </w:r>
          </w:p>
          <w:p w14:paraId="30C70382" w14:textId="77777777" w:rsidR="00124AB6" w:rsidRPr="000A5D3A" w:rsidRDefault="00124AB6" w:rsidP="004E3BFD">
            <w:pPr>
              <w:rPr>
                <w:bCs/>
              </w:rPr>
            </w:pPr>
          </w:p>
          <w:p w14:paraId="5DDE71FC" w14:textId="77777777" w:rsidR="00124AB6" w:rsidRPr="000A5D3A" w:rsidRDefault="00124AB6" w:rsidP="004E3BFD">
            <w:pPr>
              <w:rPr>
                <w:bCs/>
              </w:rPr>
            </w:pPr>
            <w:r>
              <w:rPr>
                <w:bCs/>
              </w:rPr>
              <w:t>(c)(1)</w:t>
            </w:r>
            <w:r w:rsidRPr="000A5D3A">
              <w:rPr>
                <w:bCs/>
              </w:rPr>
              <w:t xml:space="preserve">(ii) A description of the parameter or parameters to be monitored to ensure that the control device will be operated in conformance with its design and an explanation of the criteria used for selection of that parameter (or parameters). </w:t>
            </w:r>
          </w:p>
          <w:p w14:paraId="39C7AFA2" w14:textId="77777777" w:rsidR="00124AB6" w:rsidRPr="000A5D3A" w:rsidRDefault="00124AB6" w:rsidP="004E3BFD">
            <w:pPr>
              <w:rPr>
                <w:bCs/>
              </w:rPr>
            </w:pPr>
          </w:p>
          <w:p w14:paraId="3CA9A096" w14:textId="77777777" w:rsidR="00124AB6" w:rsidRPr="000A5D3A" w:rsidRDefault="00124AB6" w:rsidP="004E3BFD">
            <w:pPr>
              <w:rPr>
                <w:bCs/>
              </w:rPr>
            </w:pPr>
            <w:r>
              <w:rPr>
                <w:bCs/>
              </w:rPr>
              <w:t>(c)</w:t>
            </w:r>
            <w:r w:rsidRPr="000A5D3A">
              <w:rPr>
                <w:bCs/>
              </w:rPr>
              <w:t xml:space="preserve">(2) Operate the closed vent system and control device and monitor the parameters of the closed vent system and control device in accordance with the operating plan submitted to the Administrator in accordance with paragraph (c)(1) of this </w:t>
            </w:r>
            <w:proofErr w:type="gramStart"/>
            <w:r w:rsidRPr="000A5D3A">
              <w:rPr>
                <w:bCs/>
              </w:rPr>
              <w:t>section, unless</w:t>
            </w:r>
            <w:proofErr w:type="gramEnd"/>
            <w:r w:rsidRPr="000A5D3A">
              <w:rPr>
                <w:bCs/>
              </w:rPr>
              <w:t xml:space="preserve"> the plan was modified by the Administrator during the review process. In this case, the modified plan applies.</w:t>
            </w:r>
          </w:p>
        </w:tc>
      </w:tr>
      <w:tr w:rsidR="00124AB6" w:rsidRPr="000A5D3A" w14:paraId="4E15E233"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7" w:type="dxa"/>
          </w:tcPr>
          <w:p w14:paraId="6EA7D5BA" w14:textId="77777777" w:rsidR="00124AB6" w:rsidRPr="000A5D3A" w:rsidRDefault="00124AB6" w:rsidP="004E3BFD">
            <w:pPr>
              <w:pStyle w:val="BNum"/>
              <w:rPr>
                <w:bCs/>
              </w:rPr>
            </w:pPr>
          </w:p>
        </w:tc>
        <w:tc>
          <w:tcPr>
            <w:tcW w:w="9433" w:type="dxa"/>
          </w:tcPr>
          <w:p w14:paraId="37BF225A" w14:textId="77777777" w:rsidR="00124AB6" w:rsidRPr="001B6EC4" w:rsidRDefault="00124AB6" w:rsidP="004E3BFD">
            <w:r w:rsidRPr="001B6EC4">
              <w:rPr>
                <w:b/>
              </w:rPr>
              <w:t>Emission Unit ID:</w:t>
            </w:r>
            <w:r>
              <w:t xml:space="preserve"> 18</w:t>
            </w:r>
          </w:p>
          <w:p w14:paraId="3A95B22F" w14:textId="77777777" w:rsidR="00124AB6" w:rsidRDefault="00124AB6" w:rsidP="004E3BFD">
            <w:r w:rsidRPr="009A00D8">
              <w:rPr>
                <w:b/>
              </w:rPr>
              <w:t>Equipment ID:</w:t>
            </w:r>
            <w:r w:rsidRPr="009A00D8">
              <w:t xml:space="preserve"> </w:t>
            </w:r>
            <w:r w:rsidRPr="008E3872">
              <w:rPr>
                <w:szCs w:val="20"/>
              </w:rPr>
              <w:t>T-415</w:t>
            </w:r>
          </w:p>
          <w:p w14:paraId="1BE18699" w14:textId="77777777" w:rsidR="00124AB6" w:rsidRDefault="00124AB6" w:rsidP="004E3BFD">
            <w:r w:rsidRPr="009A00D8">
              <w:rPr>
                <w:b/>
              </w:rPr>
              <w:t>Control Device ID:</w:t>
            </w:r>
            <w:r w:rsidRPr="009A00D8">
              <w:t xml:space="preserve"> </w:t>
            </w:r>
            <w:r>
              <w:t>TO-1</w:t>
            </w:r>
          </w:p>
          <w:p w14:paraId="35F56709" w14:textId="77777777" w:rsidR="00124AB6" w:rsidRDefault="00124AB6" w:rsidP="004E3BFD"/>
          <w:p w14:paraId="227E9ABD" w14:textId="77777777" w:rsidR="00124AB6" w:rsidRDefault="00124AB6" w:rsidP="004E3BFD">
            <w:r>
              <w:t xml:space="preserve">40CFR60.115b Reporting and recordkeeping </w:t>
            </w:r>
            <w:proofErr w:type="gramStart"/>
            <w:r>
              <w:t>requirements</w:t>
            </w:r>
            <w:proofErr w:type="gramEnd"/>
          </w:p>
          <w:p w14:paraId="6E030FA9" w14:textId="77777777" w:rsidR="00124AB6" w:rsidRDefault="00124AB6" w:rsidP="004E3BFD">
            <w:pPr>
              <w:rPr>
                <w:bCs/>
              </w:rPr>
            </w:pPr>
          </w:p>
          <w:p w14:paraId="067CBFC8" w14:textId="77777777" w:rsidR="00124AB6" w:rsidRDefault="00124AB6" w:rsidP="004E3BFD">
            <w:r w:rsidRPr="000A5D3A">
              <w:t xml:space="preserve">The owner or operator of each storage vessel as specified in §60.112b(a) shall keep records and furnish reports as required by paragraphs (a), (b), or (c) of this section depending upon the control equipment installed to meet the requirements of § 60.112b. The owner or operator shall keep copies of all reports and records required by this section, except for the record required by (c)(1), for at least 2 years. The record required by (c)(1) will be kept for the life of the control </w:t>
            </w:r>
            <w:proofErr w:type="gramStart"/>
            <w:r w:rsidRPr="000A5D3A">
              <w:t>equipment</w:t>
            </w:r>
            <w:proofErr w:type="gramEnd"/>
          </w:p>
          <w:p w14:paraId="7AD61905" w14:textId="77777777" w:rsidR="00124AB6" w:rsidRDefault="00124AB6" w:rsidP="004E3BFD">
            <w:pPr>
              <w:rPr>
                <w:bCs/>
              </w:rPr>
            </w:pPr>
          </w:p>
          <w:p w14:paraId="028ACBF5" w14:textId="77777777" w:rsidR="00124AB6" w:rsidRPr="000A5D3A" w:rsidRDefault="00124AB6" w:rsidP="004E3BFD">
            <w:pPr>
              <w:rPr>
                <w:bCs/>
              </w:rPr>
            </w:pPr>
            <w:r w:rsidRPr="000A5D3A">
              <w:rPr>
                <w:bCs/>
              </w:rPr>
              <w:t xml:space="preserve">(c) After installing control equipment in accordance with § 60.112b (a)(3) or (b)(1) (closed vent system and control device other than a flare), the owner or operator shall keep the following records. </w:t>
            </w:r>
          </w:p>
          <w:p w14:paraId="21BF224A" w14:textId="77777777" w:rsidR="00124AB6" w:rsidRPr="000A5D3A" w:rsidRDefault="00124AB6" w:rsidP="004E3BFD">
            <w:pPr>
              <w:rPr>
                <w:bCs/>
              </w:rPr>
            </w:pPr>
          </w:p>
          <w:p w14:paraId="3C9331C6" w14:textId="77777777" w:rsidR="00124AB6" w:rsidRPr="000A5D3A" w:rsidRDefault="00124AB6" w:rsidP="004E3BFD">
            <w:pPr>
              <w:rPr>
                <w:bCs/>
              </w:rPr>
            </w:pPr>
            <w:r>
              <w:rPr>
                <w:bCs/>
              </w:rPr>
              <w:t>(c)</w:t>
            </w:r>
            <w:r w:rsidRPr="000A5D3A">
              <w:rPr>
                <w:bCs/>
              </w:rPr>
              <w:t xml:space="preserve">(1) A copy of the operating plan. </w:t>
            </w:r>
          </w:p>
          <w:p w14:paraId="75E94EF2" w14:textId="77777777" w:rsidR="00124AB6" w:rsidRPr="000A5D3A" w:rsidRDefault="00124AB6" w:rsidP="004E3BFD">
            <w:pPr>
              <w:rPr>
                <w:bCs/>
              </w:rPr>
            </w:pPr>
          </w:p>
          <w:p w14:paraId="128687D6" w14:textId="77777777" w:rsidR="00124AB6" w:rsidRPr="000A5D3A" w:rsidRDefault="00124AB6" w:rsidP="004E3BFD">
            <w:pPr>
              <w:rPr>
                <w:bCs/>
              </w:rPr>
            </w:pPr>
            <w:r>
              <w:rPr>
                <w:bCs/>
              </w:rPr>
              <w:t>(c)</w:t>
            </w:r>
            <w:r w:rsidRPr="000A5D3A">
              <w:rPr>
                <w:bCs/>
              </w:rPr>
              <w:t>(2) A record of the measured values of the parameters monitored in accordance with § 60.113b(c)(2).</w:t>
            </w:r>
          </w:p>
        </w:tc>
      </w:tr>
      <w:tr w:rsidR="00124AB6" w:rsidRPr="000A5D3A" w14:paraId="77A377A5"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7" w:type="dxa"/>
          </w:tcPr>
          <w:p w14:paraId="3893A6FA" w14:textId="77777777" w:rsidR="00124AB6" w:rsidRPr="000A5D3A" w:rsidRDefault="00124AB6" w:rsidP="004E3BFD">
            <w:pPr>
              <w:pStyle w:val="BNum"/>
              <w:rPr>
                <w:bCs/>
              </w:rPr>
            </w:pPr>
          </w:p>
        </w:tc>
        <w:tc>
          <w:tcPr>
            <w:tcW w:w="9433" w:type="dxa"/>
          </w:tcPr>
          <w:p w14:paraId="1379A69B" w14:textId="77777777" w:rsidR="00124AB6" w:rsidRPr="001B6EC4" w:rsidRDefault="00124AB6" w:rsidP="004E3BFD">
            <w:r w:rsidRPr="001B6EC4">
              <w:rPr>
                <w:b/>
              </w:rPr>
              <w:t>Emission Unit ID:</w:t>
            </w:r>
            <w:r>
              <w:t xml:space="preserve"> 18</w:t>
            </w:r>
          </w:p>
          <w:p w14:paraId="3CF93D5C" w14:textId="77777777" w:rsidR="00124AB6" w:rsidRDefault="00124AB6" w:rsidP="004E3BFD">
            <w:r w:rsidRPr="009A00D8">
              <w:rPr>
                <w:b/>
              </w:rPr>
              <w:t>Equipment ID:</w:t>
            </w:r>
            <w:r w:rsidRPr="009A00D8">
              <w:t xml:space="preserve"> </w:t>
            </w:r>
            <w:r w:rsidRPr="008E3872">
              <w:rPr>
                <w:szCs w:val="20"/>
              </w:rPr>
              <w:t>T-415</w:t>
            </w:r>
          </w:p>
          <w:p w14:paraId="40B3BCFA" w14:textId="77777777" w:rsidR="00124AB6" w:rsidRDefault="00124AB6" w:rsidP="004E3BFD">
            <w:r w:rsidRPr="009A00D8">
              <w:rPr>
                <w:b/>
              </w:rPr>
              <w:t>Control Device ID:</w:t>
            </w:r>
            <w:r w:rsidRPr="009A00D8">
              <w:t xml:space="preserve"> </w:t>
            </w:r>
            <w:r>
              <w:t>TO-1</w:t>
            </w:r>
          </w:p>
          <w:p w14:paraId="4A659265" w14:textId="77777777" w:rsidR="00124AB6" w:rsidRDefault="00124AB6" w:rsidP="004E3BFD"/>
          <w:p w14:paraId="35AE02C9" w14:textId="77777777" w:rsidR="00124AB6" w:rsidRDefault="00124AB6" w:rsidP="004E3BFD">
            <w:r>
              <w:t xml:space="preserve">40CFR60.116b Monitoring of </w:t>
            </w:r>
            <w:proofErr w:type="gramStart"/>
            <w:r>
              <w:t>operations</w:t>
            </w:r>
            <w:proofErr w:type="gramEnd"/>
          </w:p>
          <w:p w14:paraId="6FADA78B" w14:textId="77777777" w:rsidR="00124AB6" w:rsidRDefault="00124AB6" w:rsidP="004E3BFD"/>
          <w:p w14:paraId="7401671E" w14:textId="77777777" w:rsidR="00124AB6" w:rsidRPr="000A5D3A" w:rsidRDefault="00124AB6" w:rsidP="004E3BFD">
            <w:pPr>
              <w:rPr>
                <w:bCs/>
              </w:rPr>
            </w:pPr>
            <w:r>
              <w:rPr>
                <w:bCs/>
              </w:rPr>
              <w:t>(a</w:t>
            </w:r>
            <w:r w:rsidRPr="000A5D3A">
              <w:rPr>
                <w:bCs/>
              </w:rPr>
              <w:t xml:space="preserve">) The owner or operator shall keep copies of all records required by this section, except for the record required by paragraph (b) of this section, for at least 2 years. The record required by paragraph (b) of this section will be kept for the life of the source. </w:t>
            </w:r>
          </w:p>
          <w:p w14:paraId="74DDF231" w14:textId="77777777" w:rsidR="00124AB6" w:rsidRPr="000A5D3A" w:rsidRDefault="00124AB6" w:rsidP="004E3BFD">
            <w:pPr>
              <w:rPr>
                <w:bCs/>
              </w:rPr>
            </w:pPr>
          </w:p>
          <w:p w14:paraId="01A12B3B" w14:textId="77777777" w:rsidR="00124AB6" w:rsidRDefault="00124AB6" w:rsidP="004E3BFD">
            <w:pPr>
              <w:rPr>
                <w:bCs/>
              </w:rPr>
            </w:pPr>
            <w:r w:rsidRPr="000A5D3A">
              <w:rPr>
                <w:bCs/>
              </w:rPr>
              <w:t>(b) The owner or operator of each storage vessel as specified in § 60.110b(a) shall keep readily accessible records showing the dimension of the storage vessel and an analysis showing the capacity of the storage vessel.</w:t>
            </w:r>
          </w:p>
          <w:p w14:paraId="1F04196D" w14:textId="77777777" w:rsidR="00124AB6" w:rsidRDefault="00124AB6" w:rsidP="004E3BFD">
            <w:pPr>
              <w:rPr>
                <w:bCs/>
              </w:rPr>
            </w:pPr>
          </w:p>
          <w:p w14:paraId="7B503DC4" w14:textId="77777777" w:rsidR="00124AB6" w:rsidRPr="000A5D3A" w:rsidRDefault="00124AB6" w:rsidP="004E3BFD">
            <w:pPr>
              <w:rPr>
                <w:bCs/>
              </w:rPr>
            </w:pPr>
            <w:r w:rsidRPr="000A5D3A">
              <w:rPr>
                <w:bCs/>
              </w:rPr>
              <w:t xml:space="preserve">(e) Available data on the storage temperature may be used to determine the maximum true vapor pressure as determined below. </w:t>
            </w:r>
          </w:p>
          <w:p w14:paraId="505E855F" w14:textId="77777777" w:rsidR="00124AB6" w:rsidRPr="000A5D3A" w:rsidRDefault="00124AB6" w:rsidP="004E3BFD">
            <w:pPr>
              <w:rPr>
                <w:bCs/>
              </w:rPr>
            </w:pPr>
          </w:p>
          <w:p w14:paraId="552F64CD" w14:textId="77777777" w:rsidR="00124AB6" w:rsidRPr="000A5D3A" w:rsidRDefault="00124AB6" w:rsidP="004E3BFD">
            <w:pPr>
              <w:rPr>
                <w:bCs/>
              </w:rPr>
            </w:pPr>
            <w:r>
              <w:rPr>
                <w:bCs/>
              </w:rPr>
              <w:t>(e)</w:t>
            </w:r>
            <w:r w:rsidRPr="000A5D3A">
              <w:rPr>
                <w:bCs/>
              </w:rPr>
              <w:t xml:space="preserve">(1) For vessels operated above or below ambient temperatures, the maximum true vapor pressure is calculated based upon the highest expected calendar-month average of the storage temperature. For vessels operated at ambient temperatures, the maximum true vapor pressure is calculated based upon the maximum local monthly average ambient temperature as reported by the National Weather Service. </w:t>
            </w:r>
          </w:p>
          <w:p w14:paraId="163AFDC4" w14:textId="77777777" w:rsidR="00124AB6" w:rsidRPr="000A5D3A" w:rsidRDefault="00124AB6" w:rsidP="004E3BFD">
            <w:pPr>
              <w:rPr>
                <w:bCs/>
              </w:rPr>
            </w:pPr>
            <w:r w:rsidRPr="000A5D3A">
              <w:rPr>
                <w:bCs/>
              </w:rPr>
              <w:t xml:space="preserve"> </w:t>
            </w:r>
          </w:p>
          <w:p w14:paraId="70261441" w14:textId="77777777" w:rsidR="00124AB6" w:rsidRPr="000A5D3A" w:rsidRDefault="00124AB6" w:rsidP="004E3BFD">
            <w:pPr>
              <w:rPr>
                <w:bCs/>
              </w:rPr>
            </w:pPr>
            <w:r>
              <w:rPr>
                <w:bCs/>
              </w:rPr>
              <w:t>(e)</w:t>
            </w:r>
            <w:r w:rsidRPr="000A5D3A">
              <w:rPr>
                <w:bCs/>
              </w:rPr>
              <w:t xml:space="preserve">(3) For other liquids, the vapor pressure: </w:t>
            </w:r>
          </w:p>
          <w:p w14:paraId="7FE3E976" w14:textId="77777777" w:rsidR="00124AB6" w:rsidRPr="000A5D3A" w:rsidRDefault="00124AB6" w:rsidP="004E3BFD">
            <w:pPr>
              <w:rPr>
                <w:bCs/>
              </w:rPr>
            </w:pPr>
          </w:p>
          <w:p w14:paraId="65804AC7" w14:textId="77777777" w:rsidR="00124AB6" w:rsidRPr="000A5D3A" w:rsidRDefault="00124AB6" w:rsidP="004E3BFD">
            <w:pPr>
              <w:rPr>
                <w:bCs/>
              </w:rPr>
            </w:pPr>
            <w:r>
              <w:rPr>
                <w:bCs/>
              </w:rPr>
              <w:t>(e)(3)</w:t>
            </w:r>
            <w:r w:rsidRPr="000A5D3A">
              <w:rPr>
                <w:bCs/>
              </w:rPr>
              <w:t>(</w:t>
            </w:r>
            <w:proofErr w:type="spellStart"/>
            <w:r w:rsidRPr="000A5D3A">
              <w:rPr>
                <w:bCs/>
              </w:rPr>
              <w:t>i</w:t>
            </w:r>
            <w:proofErr w:type="spellEnd"/>
            <w:r w:rsidRPr="000A5D3A">
              <w:rPr>
                <w:bCs/>
              </w:rPr>
              <w:t xml:space="preserve">) May be obtained from standard reference texts, or </w:t>
            </w:r>
          </w:p>
          <w:p w14:paraId="05C19853" w14:textId="77777777" w:rsidR="00124AB6" w:rsidRPr="000A5D3A" w:rsidRDefault="00124AB6" w:rsidP="004E3BFD">
            <w:pPr>
              <w:rPr>
                <w:bCs/>
              </w:rPr>
            </w:pPr>
            <w:r>
              <w:rPr>
                <w:bCs/>
              </w:rPr>
              <w:t>(e)(3)</w:t>
            </w:r>
            <w:r w:rsidRPr="000A5D3A">
              <w:rPr>
                <w:bCs/>
              </w:rPr>
              <w:t xml:space="preserve">(ii) Determined by ASTM D2879–83, 96, or 97 (incorporated by reference—see § 60.17); or </w:t>
            </w:r>
          </w:p>
          <w:p w14:paraId="6EFD6E6F" w14:textId="77777777" w:rsidR="00124AB6" w:rsidRPr="000A5D3A" w:rsidRDefault="00124AB6" w:rsidP="004E3BFD">
            <w:pPr>
              <w:rPr>
                <w:bCs/>
              </w:rPr>
            </w:pPr>
            <w:r>
              <w:rPr>
                <w:bCs/>
              </w:rPr>
              <w:t>(e)(3)</w:t>
            </w:r>
            <w:r w:rsidRPr="000A5D3A">
              <w:rPr>
                <w:bCs/>
              </w:rPr>
              <w:t xml:space="preserve">(iii) Measured by an appropriate method approved by the Administrator; or </w:t>
            </w:r>
          </w:p>
          <w:p w14:paraId="0B8280B4" w14:textId="77777777" w:rsidR="00124AB6" w:rsidRPr="000A5D3A" w:rsidRDefault="00124AB6" w:rsidP="004E3BFD">
            <w:pPr>
              <w:rPr>
                <w:bCs/>
              </w:rPr>
            </w:pPr>
            <w:r>
              <w:rPr>
                <w:bCs/>
              </w:rPr>
              <w:t>(e)(3)</w:t>
            </w:r>
            <w:r w:rsidRPr="000A5D3A">
              <w:rPr>
                <w:bCs/>
              </w:rPr>
              <w:t xml:space="preserve">(iv) Calculated by an appropriate method approved by the Administrator. </w:t>
            </w:r>
          </w:p>
          <w:p w14:paraId="28902DEB" w14:textId="77777777" w:rsidR="00124AB6" w:rsidRPr="000A5D3A" w:rsidRDefault="00124AB6" w:rsidP="004E3BFD">
            <w:pPr>
              <w:rPr>
                <w:bCs/>
              </w:rPr>
            </w:pPr>
          </w:p>
          <w:p w14:paraId="3E3E5083" w14:textId="77777777" w:rsidR="00124AB6" w:rsidRPr="000A5D3A" w:rsidRDefault="00124AB6" w:rsidP="004E3BFD">
            <w:pPr>
              <w:rPr>
                <w:bCs/>
              </w:rPr>
            </w:pPr>
            <w:r>
              <w:rPr>
                <w:bCs/>
              </w:rPr>
              <w:t xml:space="preserve">(g) </w:t>
            </w:r>
            <w:r w:rsidRPr="000A5D3A">
              <w:rPr>
                <w:bCs/>
              </w:rPr>
              <w:t>The owner or operator of each vessel equipped with a closed vent system and control device meeting the specification of § 60.112b or with emissions reductions equipment as specified in 40 CFR 65.42(b)(4), (b)(5), (b)(6), or (c) is exempt from the requirements of paragraphs (c) and (d) of this section.</w:t>
            </w:r>
          </w:p>
        </w:tc>
      </w:tr>
      <w:tr w:rsidR="00124AB6" w:rsidRPr="001B6EC4" w14:paraId="269C61F3"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7" w:type="dxa"/>
          </w:tcPr>
          <w:p w14:paraId="5531EEC6" w14:textId="77777777" w:rsidR="00124AB6" w:rsidRPr="000A5D3A" w:rsidRDefault="00124AB6" w:rsidP="004E3BFD">
            <w:pPr>
              <w:pStyle w:val="BNum"/>
              <w:rPr>
                <w:bCs/>
              </w:rPr>
            </w:pPr>
          </w:p>
        </w:tc>
        <w:tc>
          <w:tcPr>
            <w:tcW w:w="9433" w:type="dxa"/>
          </w:tcPr>
          <w:p w14:paraId="77A20941" w14:textId="77777777" w:rsidR="00124AB6" w:rsidRPr="001B6EC4" w:rsidRDefault="00124AB6" w:rsidP="004E3BFD">
            <w:r w:rsidRPr="001B6EC4">
              <w:rPr>
                <w:b/>
              </w:rPr>
              <w:t>Emission Unit ID:</w:t>
            </w:r>
            <w:r>
              <w:t xml:space="preserve"> 14, 18</w:t>
            </w:r>
          </w:p>
          <w:p w14:paraId="1E49EEF6" w14:textId="77777777" w:rsidR="00124AB6" w:rsidRDefault="00124AB6" w:rsidP="004E3BFD">
            <w:r w:rsidRPr="009A00D8">
              <w:rPr>
                <w:b/>
              </w:rPr>
              <w:t>Equipment ID:</w:t>
            </w:r>
            <w:r w:rsidRPr="009A00D8">
              <w:t xml:space="preserve"> </w:t>
            </w:r>
            <w:r>
              <w:t>All</w:t>
            </w:r>
          </w:p>
          <w:p w14:paraId="15612006" w14:textId="77777777" w:rsidR="00124AB6" w:rsidRDefault="00124AB6" w:rsidP="004E3BFD">
            <w:r w:rsidRPr="009A00D8">
              <w:rPr>
                <w:b/>
              </w:rPr>
              <w:t>Control Device ID:</w:t>
            </w:r>
            <w:r w:rsidRPr="009A00D8">
              <w:t xml:space="preserve"> </w:t>
            </w:r>
            <w:r>
              <w:t>TO-1</w:t>
            </w:r>
          </w:p>
          <w:p w14:paraId="4A1632B0" w14:textId="77777777" w:rsidR="00124AB6" w:rsidRDefault="00124AB6" w:rsidP="004E3BFD"/>
          <w:p w14:paraId="50A35FBB" w14:textId="77777777" w:rsidR="00124AB6" w:rsidRPr="001B6EC4" w:rsidRDefault="00124AB6" w:rsidP="004E3BFD">
            <w:pPr>
              <w:rPr>
                <w:b/>
              </w:rPr>
            </w:pPr>
            <w:r w:rsidRPr="00C20C52">
              <w:t>(40</w:t>
            </w:r>
            <w:smartTag w:uri="urn:schemas-microsoft-com:office:smarttags" w:element="stockticker">
              <w:r w:rsidRPr="00C20C52">
                <w:t>CFR</w:t>
              </w:r>
            </w:smartTag>
            <w:r w:rsidRPr="00C20C52">
              <w:t>63.988(c) and 40</w:t>
            </w:r>
            <w:smartTag w:uri="urn:schemas-microsoft-com:office:smarttags" w:element="stockticker">
              <w:r w:rsidRPr="00C20C52">
                <w:t>CFR</w:t>
              </w:r>
            </w:smartTag>
            <w:r w:rsidRPr="00C20C52">
              <w:t>63.988(c)(1)) A temperature monitoring device capable of providing a continuous record shall be installed in the fire box of the Thermal Oxidizer or in the ductwork immediately downstream of the fire box in a position before any substantial heat exchange occurs. Monitoring results shall be recorded as specified in 40</w:t>
            </w:r>
            <w:smartTag w:uri="urn:schemas-microsoft-com:office:smarttags" w:element="stockticker">
              <w:r w:rsidRPr="00C20C52">
                <w:t>CFR</w:t>
              </w:r>
            </w:smartTag>
            <w:r w:rsidRPr="00C20C52">
              <w:t>63.998(b) and 40</w:t>
            </w:r>
            <w:smartTag w:uri="urn:schemas-microsoft-com:office:smarttags" w:element="stockticker">
              <w:r w:rsidRPr="00C20C52">
                <w:t>CFR</w:t>
              </w:r>
            </w:smartTag>
            <w:r w:rsidRPr="00C20C52">
              <w:t>63.998(c) as applicable. The owner/operator shall also comply with the applicable general requirements for monitoring and continuous parameter monitoring systems contained in the referencing subpart and 40</w:t>
            </w:r>
            <w:smartTag w:uri="urn:schemas-microsoft-com:office:smarttags" w:element="stockticker">
              <w:r w:rsidRPr="00C20C52">
                <w:t>CFR</w:t>
              </w:r>
            </w:smartTag>
            <w:r w:rsidRPr="00C20C52">
              <w:t>63.996</w:t>
            </w:r>
            <w:r>
              <w:t>.</w:t>
            </w:r>
          </w:p>
        </w:tc>
      </w:tr>
      <w:tr w:rsidR="00124AB6" w:rsidRPr="001B6EC4" w14:paraId="0A169909"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7" w:type="dxa"/>
          </w:tcPr>
          <w:p w14:paraId="58667906" w14:textId="77777777" w:rsidR="00124AB6" w:rsidRPr="000A5D3A" w:rsidRDefault="00124AB6" w:rsidP="004E3BFD">
            <w:pPr>
              <w:pStyle w:val="BNum"/>
              <w:rPr>
                <w:bCs/>
              </w:rPr>
            </w:pPr>
          </w:p>
        </w:tc>
        <w:tc>
          <w:tcPr>
            <w:tcW w:w="9433" w:type="dxa"/>
          </w:tcPr>
          <w:p w14:paraId="6E3DBB89" w14:textId="77777777" w:rsidR="00124AB6" w:rsidRPr="001B6EC4" w:rsidRDefault="00124AB6" w:rsidP="004E3BFD">
            <w:r w:rsidRPr="001B6EC4">
              <w:rPr>
                <w:b/>
              </w:rPr>
              <w:t>Emission Unit ID:</w:t>
            </w:r>
            <w:r>
              <w:t xml:space="preserve"> </w:t>
            </w:r>
            <w:r w:rsidRPr="00DE6178">
              <w:t>06, 07</w:t>
            </w:r>
          </w:p>
          <w:p w14:paraId="5150673C" w14:textId="77777777" w:rsidR="00124AB6" w:rsidRDefault="00124AB6" w:rsidP="004E3BFD">
            <w:r w:rsidRPr="009A00D8">
              <w:rPr>
                <w:b/>
              </w:rPr>
              <w:t>Equipment ID:</w:t>
            </w:r>
            <w:r w:rsidRPr="009A00D8">
              <w:t xml:space="preserve"> </w:t>
            </w:r>
            <w:r>
              <w:t>All</w:t>
            </w:r>
          </w:p>
          <w:p w14:paraId="14955B5D" w14:textId="77777777" w:rsidR="00124AB6" w:rsidRDefault="00124AB6" w:rsidP="004E3BFD">
            <w:r w:rsidRPr="009A00D8">
              <w:rPr>
                <w:b/>
              </w:rPr>
              <w:t>Control Device ID:</w:t>
            </w:r>
            <w:r w:rsidRPr="009A00D8">
              <w:t xml:space="preserve"> </w:t>
            </w:r>
            <w:r>
              <w:t>NP-1</w:t>
            </w:r>
          </w:p>
          <w:p w14:paraId="40DECE36" w14:textId="77777777" w:rsidR="00124AB6" w:rsidRDefault="00124AB6" w:rsidP="004E3BFD"/>
          <w:p w14:paraId="3E99B5C6" w14:textId="77777777" w:rsidR="00124AB6" w:rsidRPr="00086EC1" w:rsidRDefault="00124AB6" w:rsidP="004E3BFD">
            <w:r w:rsidRPr="00086EC1">
              <w:t xml:space="preserve">The owner/operator shall </w:t>
            </w:r>
            <w:r>
              <w:t xml:space="preserve">conduct daily </w:t>
            </w:r>
            <w:r w:rsidRPr="00086EC1">
              <w:t xml:space="preserve">glycol solution strength (% water) and pH </w:t>
            </w:r>
            <w:r>
              <w:t>analyses</w:t>
            </w:r>
            <w:r w:rsidRPr="00086EC1">
              <w:t xml:space="preserve"> on </w:t>
            </w:r>
            <w:r>
              <w:t>the</w:t>
            </w:r>
            <w:r w:rsidRPr="00086EC1">
              <w:t xml:space="preserve"> scrubber. Each monitored parameter shall be recorded daily during source operation. Operation and maintenance checks shall be made on at least a weekly basis. The scrubber shall be in place and operational whenever processes controlled by it are running, except during periods of scrubber malfunction or mechanical failure.</w:t>
            </w:r>
          </w:p>
          <w:p w14:paraId="29DF43B3" w14:textId="77777777" w:rsidR="00124AB6" w:rsidRPr="00086EC1" w:rsidRDefault="00124AB6" w:rsidP="004E3BFD"/>
          <w:p w14:paraId="7534EA8A" w14:textId="77777777" w:rsidR="00124AB6" w:rsidRPr="001B6EC4" w:rsidRDefault="00124AB6" w:rsidP="004E3BFD">
            <w:pPr>
              <w:rPr>
                <w:b/>
              </w:rPr>
            </w:pPr>
            <w:r>
              <w:t>A maximum o</w:t>
            </w:r>
            <w:r w:rsidRPr="00086EC1">
              <w:t xml:space="preserve">perational </w:t>
            </w:r>
            <w:r>
              <w:t>pH and glycol solution strength have</w:t>
            </w:r>
            <w:r w:rsidRPr="00086EC1">
              <w:t xml:space="preserve"> been established to ensure proper operation of the </w:t>
            </w:r>
            <w:r>
              <w:t>scrubber</w:t>
            </w:r>
            <w:r w:rsidRPr="00086EC1">
              <w:t xml:space="preserve">. These </w:t>
            </w:r>
            <w:r>
              <w:t>maximum operating values</w:t>
            </w:r>
            <w:r w:rsidRPr="00086EC1">
              <w:t xml:space="preserve"> for the monitored parameters were derived from stack test data, vendor certification, and/or operational history and visual inspections, which demonstrate the proper operation of the equipment. The facility shall maintain the established </w:t>
            </w:r>
            <w:r>
              <w:t xml:space="preserve">maximums </w:t>
            </w:r>
            <w:r w:rsidRPr="00086EC1">
              <w:t xml:space="preserve">and supporting documentation for these monitored parameters. </w:t>
            </w:r>
            <w:r>
              <w:t>Maximum o</w:t>
            </w:r>
            <w:r w:rsidRPr="00086EC1">
              <w:t xml:space="preserve">perating </w:t>
            </w:r>
            <w:r>
              <w:t>values</w:t>
            </w:r>
            <w:r w:rsidRPr="00086EC1">
              <w:t xml:space="preserve"> may be updated following submittal to the Director of Engineering Services.</w:t>
            </w:r>
          </w:p>
        </w:tc>
      </w:tr>
      <w:tr w:rsidR="00124AB6" w:rsidRPr="001B6EC4" w14:paraId="21E9D39F"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7" w:type="dxa"/>
          </w:tcPr>
          <w:p w14:paraId="1FF9AD23" w14:textId="77777777" w:rsidR="00124AB6" w:rsidRPr="000A5D3A" w:rsidRDefault="00124AB6" w:rsidP="004E3BFD">
            <w:pPr>
              <w:pStyle w:val="BNum"/>
              <w:rPr>
                <w:bCs/>
              </w:rPr>
            </w:pPr>
          </w:p>
        </w:tc>
        <w:tc>
          <w:tcPr>
            <w:tcW w:w="9433" w:type="dxa"/>
          </w:tcPr>
          <w:p w14:paraId="4873DA67" w14:textId="77777777" w:rsidR="00124AB6" w:rsidRPr="001B6EC4" w:rsidRDefault="00124AB6" w:rsidP="004E3BFD">
            <w:r w:rsidRPr="001B6EC4">
              <w:rPr>
                <w:b/>
              </w:rPr>
              <w:t>Emission Unit ID:</w:t>
            </w:r>
            <w:r>
              <w:t xml:space="preserve"> All</w:t>
            </w:r>
          </w:p>
          <w:p w14:paraId="1F8E6E39" w14:textId="77777777" w:rsidR="00124AB6" w:rsidRDefault="00124AB6" w:rsidP="004E3BFD">
            <w:r w:rsidRPr="009A00D8">
              <w:rPr>
                <w:b/>
              </w:rPr>
              <w:t>Equipment ID:</w:t>
            </w:r>
            <w:r w:rsidRPr="009A00D8">
              <w:t xml:space="preserve"> </w:t>
            </w:r>
            <w:r>
              <w:t>All</w:t>
            </w:r>
          </w:p>
          <w:p w14:paraId="36273B27" w14:textId="77777777" w:rsidR="00124AB6" w:rsidRDefault="00124AB6" w:rsidP="004E3BFD">
            <w:r w:rsidRPr="009A00D8">
              <w:rPr>
                <w:b/>
              </w:rPr>
              <w:t>Control Device ID:</w:t>
            </w:r>
            <w:r>
              <w:rPr>
                <w:b/>
              </w:rPr>
              <w:t xml:space="preserve"> </w:t>
            </w:r>
            <w:r w:rsidRPr="009C4298">
              <w:rPr>
                <w:bCs/>
              </w:rPr>
              <w:t>All</w:t>
            </w:r>
            <w:r w:rsidRPr="009A00D8">
              <w:t xml:space="preserve"> </w:t>
            </w:r>
          </w:p>
          <w:p w14:paraId="1A1514B9" w14:textId="77777777" w:rsidR="00124AB6" w:rsidRDefault="00124AB6" w:rsidP="004E3BFD">
            <w:pPr>
              <w:rPr>
                <w:rFonts w:eastAsia="Open Sans"/>
                <w:szCs w:val="20"/>
              </w:rPr>
            </w:pPr>
          </w:p>
          <w:p w14:paraId="35C8B09C" w14:textId="77777777" w:rsidR="00124AB6" w:rsidRPr="001E3C78" w:rsidRDefault="00124AB6" w:rsidP="004E3BFD">
            <w:pPr>
              <w:rPr>
                <w:rFonts w:eastAsia="Open Sans"/>
                <w:szCs w:val="20"/>
              </w:rPr>
            </w:pPr>
            <w:r w:rsidRPr="001E3C78">
              <w:rPr>
                <w:rFonts w:eastAsia="Open Sans"/>
                <w:szCs w:val="20"/>
              </w:rPr>
              <w:t>It has been determined that this facility is subject to S.C. Regulation 61-62.68, Chemical Accident Prevention Provisions, due to in-process storage or use of a regulated substance in quantities above the specified threshold; therefore, the following must be completed:</w:t>
            </w:r>
          </w:p>
          <w:p w14:paraId="6F2C1B5F" w14:textId="77777777" w:rsidR="00124AB6" w:rsidRPr="001E3C78" w:rsidRDefault="00124AB6" w:rsidP="004E3BFD">
            <w:pPr>
              <w:tabs>
                <w:tab w:val="num" w:pos="468"/>
              </w:tabs>
              <w:ind w:left="468" w:hanging="468"/>
              <w:rPr>
                <w:rFonts w:eastAsia="Open Sans"/>
                <w:szCs w:val="20"/>
              </w:rPr>
            </w:pPr>
          </w:p>
          <w:p w14:paraId="0A230F64" w14:textId="77777777" w:rsidR="00124AB6" w:rsidRPr="001E3C78" w:rsidRDefault="00124AB6" w:rsidP="004E3BFD">
            <w:pPr>
              <w:numPr>
                <w:ilvl w:val="0"/>
                <w:numId w:val="23"/>
              </w:numPr>
              <w:tabs>
                <w:tab w:val="clear" w:pos="1080"/>
                <w:tab w:val="num" w:pos="468"/>
              </w:tabs>
              <w:autoSpaceDE/>
              <w:autoSpaceDN/>
              <w:adjustRightInd/>
              <w:ind w:left="468" w:hanging="468"/>
              <w:rPr>
                <w:szCs w:val="20"/>
              </w:rPr>
            </w:pPr>
            <w:r w:rsidRPr="001E3C78">
              <w:rPr>
                <w:rFonts w:eastAsia="Open Sans"/>
                <w:szCs w:val="20"/>
              </w:rPr>
              <w:t>Submittal of subsequent revisions/corrections/updates of the RMP in accordance with S.C. Regulation 61-62.68.190 and 68.195.</w:t>
            </w:r>
          </w:p>
          <w:p w14:paraId="7E1216D0" w14:textId="77777777" w:rsidR="00124AB6" w:rsidRPr="001E3C78" w:rsidRDefault="00124AB6" w:rsidP="004E3BFD">
            <w:pPr>
              <w:tabs>
                <w:tab w:val="num" w:pos="468"/>
              </w:tabs>
              <w:ind w:left="468" w:hanging="468"/>
              <w:rPr>
                <w:rFonts w:eastAsia="Open Sans"/>
                <w:szCs w:val="20"/>
              </w:rPr>
            </w:pPr>
          </w:p>
          <w:p w14:paraId="17021F34" w14:textId="77777777" w:rsidR="00124AB6" w:rsidRPr="001E3C78" w:rsidRDefault="00124AB6" w:rsidP="004E3BFD">
            <w:pPr>
              <w:numPr>
                <w:ilvl w:val="0"/>
                <w:numId w:val="23"/>
              </w:numPr>
              <w:tabs>
                <w:tab w:val="clear" w:pos="1080"/>
                <w:tab w:val="num" w:pos="468"/>
              </w:tabs>
              <w:autoSpaceDE/>
              <w:autoSpaceDN/>
              <w:adjustRightInd/>
              <w:ind w:left="468" w:hanging="468"/>
              <w:rPr>
                <w:szCs w:val="20"/>
              </w:rPr>
            </w:pPr>
            <w:r w:rsidRPr="001E3C78">
              <w:rPr>
                <w:rFonts w:eastAsia="Open Sans"/>
                <w:szCs w:val="20"/>
              </w:rPr>
              <w:t>For Program 1 processes, the owner/operator shall submit along with the RMP the certification statement provided in Section 68.12(b)(4). For all other covered processes, the owner/operator shall submit along with the RMP a single certification that, to the best of the signer’s knowledge, information, and belief formed after reasonable inquiry, the information submitted is true, accurate, and complete.</w:t>
            </w:r>
          </w:p>
          <w:p w14:paraId="4773C842" w14:textId="77777777" w:rsidR="00124AB6" w:rsidRPr="001E3C78" w:rsidRDefault="00124AB6" w:rsidP="004E3BFD">
            <w:pPr>
              <w:rPr>
                <w:rFonts w:eastAsia="Open Sans"/>
                <w:szCs w:val="20"/>
              </w:rPr>
            </w:pPr>
          </w:p>
          <w:p w14:paraId="3FD678EC" w14:textId="77777777" w:rsidR="00124AB6" w:rsidRPr="001B6EC4" w:rsidRDefault="00124AB6" w:rsidP="004E3BFD">
            <w:pPr>
              <w:rPr>
                <w:b/>
              </w:rPr>
            </w:pPr>
            <w:r w:rsidRPr="001E3C78">
              <w:rPr>
                <w:rFonts w:eastAsia="Open Sans"/>
                <w:szCs w:val="20"/>
              </w:rPr>
              <w:t>If it is determined by the implementing agency (or other delegated authority) that additional relevant information is needed, this facility will be required to submit the information in a timely manner.</w:t>
            </w:r>
          </w:p>
        </w:tc>
      </w:tr>
      <w:tr w:rsidR="00124AB6" w:rsidRPr="001B6EC4" w14:paraId="72FB0B4F"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7" w:type="dxa"/>
          </w:tcPr>
          <w:p w14:paraId="22684518" w14:textId="77777777" w:rsidR="00124AB6" w:rsidRPr="000A5D3A" w:rsidRDefault="00124AB6" w:rsidP="004E3BFD">
            <w:pPr>
              <w:pStyle w:val="BNum"/>
              <w:rPr>
                <w:bCs/>
              </w:rPr>
            </w:pPr>
          </w:p>
        </w:tc>
        <w:tc>
          <w:tcPr>
            <w:tcW w:w="9433" w:type="dxa"/>
          </w:tcPr>
          <w:p w14:paraId="152F6464" w14:textId="77777777" w:rsidR="00124AB6" w:rsidRPr="001B6EC4" w:rsidRDefault="00124AB6" w:rsidP="004E3BFD">
            <w:r w:rsidRPr="001B6EC4">
              <w:rPr>
                <w:b/>
              </w:rPr>
              <w:t>Emission Unit ID:</w:t>
            </w:r>
            <w:r>
              <w:rPr>
                <w:b/>
              </w:rPr>
              <w:t xml:space="preserve"> </w:t>
            </w:r>
            <w:r w:rsidRPr="00F61457">
              <w:rPr>
                <w:bCs/>
              </w:rPr>
              <w:t>06, 07</w:t>
            </w:r>
          </w:p>
          <w:p w14:paraId="562B0C6B" w14:textId="77777777" w:rsidR="00124AB6" w:rsidRDefault="00124AB6" w:rsidP="004E3BFD">
            <w:r w:rsidRPr="009A00D8">
              <w:rPr>
                <w:b/>
              </w:rPr>
              <w:t>Equipment ID:</w:t>
            </w:r>
            <w:r w:rsidRPr="009A00D8">
              <w:t xml:space="preserve"> </w:t>
            </w:r>
            <w:r>
              <w:t xml:space="preserve">R-2, R-4, R-8 </w:t>
            </w:r>
          </w:p>
          <w:p w14:paraId="4C8858A3" w14:textId="77777777" w:rsidR="00124AB6" w:rsidRDefault="00124AB6" w:rsidP="004E3BFD">
            <w:r w:rsidRPr="009A00D8">
              <w:rPr>
                <w:b/>
              </w:rPr>
              <w:t>Control Device ID:</w:t>
            </w:r>
            <w:r>
              <w:rPr>
                <w:b/>
              </w:rPr>
              <w:t xml:space="preserve"> </w:t>
            </w:r>
            <w:r>
              <w:rPr>
                <w:bCs/>
              </w:rPr>
              <w:t>NP-1</w:t>
            </w:r>
            <w:r w:rsidRPr="009A00D8">
              <w:t xml:space="preserve"> </w:t>
            </w:r>
          </w:p>
          <w:p w14:paraId="25BD310B" w14:textId="77777777" w:rsidR="00124AB6" w:rsidRDefault="00124AB6" w:rsidP="004E3BFD">
            <w:pPr>
              <w:rPr>
                <w:rFonts w:eastAsia="Open Sans" w:cs="Open Sans"/>
                <w:szCs w:val="20"/>
              </w:rPr>
            </w:pPr>
          </w:p>
          <w:p w14:paraId="660F45F1" w14:textId="77777777" w:rsidR="00124AB6" w:rsidRPr="001B6EC4" w:rsidRDefault="00124AB6" w:rsidP="004E3BFD">
            <w:pPr>
              <w:rPr>
                <w:b/>
              </w:rPr>
            </w:pPr>
            <w:r w:rsidRPr="008B6A8A">
              <w:rPr>
                <w:rFonts w:eastAsia="Open Sans" w:cs="Open Sans"/>
                <w:szCs w:val="20"/>
              </w:rPr>
              <w:t xml:space="preserve">These sources are subject to New Source Performance Standards (NSPS), 40CFR60 Subpart A (General Provisions) and Subpart </w:t>
            </w:r>
            <w:proofErr w:type="spellStart"/>
            <w:r w:rsidRPr="008B6A8A">
              <w:rPr>
                <w:rFonts w:eastAsia="Open Sans" w:cs="Open Sans"/>
                <w:szCs w:val="20"/>
              </w:rPr>
              <w:t>VVa</w:t>
            </w:r>
            <w:proofErr w:type="spellEnd"/>
            <w:r w:rsidRPr="008B6A8A">
              <w:rPr>
                <w:rFonts w:eastAsia="Open Sans" w:cs="Open Sans"/>
                <w:szCs w:val="20"/>
              </w:rPr>
              <w:t xml:space="preserve"> </w:t>
            </w:r>
            <w:r w:rsidRPr="008B6A8A">
              <w:t>(Standards of Performance for Equipment Leaks of VOC in the Synthetic Organic Chemicals Manufacturing Industry for which Construction, Reconstruction, or Modification Commenced after November 7, 2006)</w:t>
            </w:r>
            <w:r w:rsidRPr="008B6A8A">
              <w:rPr>
                <w:rFonts w:eastAsia="Open Sans" w:cs="Open Sans"/>
                <w:szCs w:val="20"/>
              </w:rPr>
              <w:t xml:space="preserve">, and S.C. Regulation 61-62.60 Subparts A and Subpart </w:t>
            </w:r>
            <w:proofErr w:type="spellStart"/>
            <w:r w:rsidRPr="008B6A8A">
              <w:rPr>
                <w:rFonts w:eastAsia="Open Sans" w:cs="Open Sans"/>
                <w:szCs w:val="20"/>
              </w:rPr>
              <w:t>VVa</w:t>
            </w:r>
            <w:proofErr w:type="spellEnd"/>
            <w:r w:rsidRPr="008B6A8A">
              <w:rPr>
                <w:rFonts w:eastAsia="Open Sans" w:cs="Open Sans"/>
                <w:szCs w:val="20"/>
              </w:rPr>
              <w:t xml:space="preserve">, as applicable. These sources shall comply with all applicable requirements of Subparts A and </w:t>
            </w:r>
            <w:proofErr w:type="spellStart"/>
            <w:r w:rsidRPr="008B6A8A">
              <w:rPr>
                <w:rFonts w:eastAsia="Open Sans" w:cs="Open Sans"/>
                <w:szCs w:val="20"/>
              </w:rPr>
              <w:t>VVa</w:t>
            </w:r>
            <w:proofErr w:type="spellEnd"/>
            <w:r w:rsidRPr="008B6A8A">
              <w:rPr>
                <w:rFonts w:eastAsia="Open Sans" w:cs="Open Sans"/>
                <w:szCs w:val="20"/>
              </w:rPr>
              <w:t>.</w:t>
            </w:r>
          </w:p>
        </w:tc>
      </w:tr>
      <w:tr w:rsidR="00124AB6" w:rsidRPr="001B6EC4" w14:paraId="0D999CF9"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7" w:type="dxa"/>
          </w:tcPr>
          <w:p w14:paraId="23EDD0F5" w14:textId="77777777" w:rsidR="00124AB6" w:rsidRPr="000A5D3A" w:rsidRDefault="00124AB6" w:rsidP="004E3BFD">
            <w:pPr>
              <w:pStyle w:val="BNum"/>
              <w:rPr>
                <w:bCs/>
              </w:rPr>
            </w:pPr>
          </w:p>
        </w:tc>
        <w:tc>
          <w:tcPr>
            <w:tcW w:w="9433" w:type="dxa"/>
          </w:tcPr>
          <w:p w14:paraId="75761933" w14:textId="77777777" w:rsidR="00124AB6" w:rsidRPr="001B6EC4" w:rsidRDefault="00124AB6" w:rsidP="004E3BFD">
            <w:r w:rsidRPr="001B6EC4">
              <w:rPr>
                <w:b/>
              </w:rPr>
              <w:t>Emission Unit ID:</w:t>
            </w:r>
            <w:r>
              <w:rPr>
                <w:b/>
              </w:rPr>
              <w:t xml:space="preserve"> </w:t>
            </w:r>
            <w:r w:rsidRPr="00F61457">
              <w:rPr>
                <w:bCs/>
              </w:rPr>
              <w:t>06, 07</w:t>
            </w:r>
          </w:p>
          <w:p w14:paraId="4EB19D55" w14:textId="77777777" w:rsidR="00124AB6" w:rsidRDefault="00124AB6" w:rsidP="004E3BFD">
            <w:r w:rsidRPr="009A00D8">
              <w:rPr>
                <w:b/>
              </w:rPr>
              <w:t>Equipment ID:</w:t>
            </w:r>
            <w:r w:rsidRPr="009A00D8">
              <w:t xml:space="preserve"> </w:t>
            </w:r>
            <w:r>
              <w:t xml:space="preserve">R-2, R-4, R-8 </w:t>
            </w:r>
          </w:p>
          <w:p w14:paraId="0EED9DA0" w14:textId="77777777" w:rsidR="00124AB6" w:rsidRDefault="00124AB6" w:rsidP="004E3BFD">
            <w:r w:rsidRPr="009A00D8">
              <w:rPr>
                <w:b/>
              </w:rPr>
              <w:t>Control Device ID:</w:t>
            </w:r>
            <w:r>
              <w:rPr>
                <w:b/>
              </w:rPr>
              <w:t xml:space="preserve"> </w:t>
            </w:r>
            <w:r>
              <w:rPr>
                <w:bCs/>
              </w:rPr>
              <w:t>NP-1</w:t>
            </w:r>
            <w:r w:rsidRPr="009A00D8">
              <w:t xml:space="preserve"> </w:t>
            </w:r>
          </w:p>
          <w:p w14:paraId="4CC4AB23" w14:textId="77777777" w:rsidR="00124AB6" w:rsidRDefault="00124AB6" w:rsidP="004E3BFD">
            <w:pPr>
              <w:rPr>
                <w:b/>
              </w:rPr>
            </w:pPr>
          </w:p>
          <w:p w14:paraId="2FE63768" w14:textId="77777777" w:rsidR="00124AB6" w:rsidRPr="000A5D3A" w:rsidRDefault="00124AB6" w:rsidP="004E3BFD">
            <w:pPr>
              <w:rPr>
                <w:bCs/>
              </w:rPr>
            </w:pPr>
            <w:r>
              <w:rPr>
                <w:bCs/>
              </w:rPr>
              <w:t>40CFR</w:t>
            </w:r>
            <w:r w:rsidRPr="000A5D3A">
              <w:rPr>
                <w:bCs/>
              </w:rPr>
              <w:t>60.480a Applicability and designation of affected facility.</w:t>
            </w:r>
          </w:p>
          <w:p w14:paraId="2DE85485" w14:textId="77777777" w:rsidR="00124AB6" w:rsidRPr="000A5D3A" w:rsidRDefault="00124AB6" w:rsidP="004E3BFD">
            <w:pPr>
              <w:rPr>
                <w:bCs/>
              </w:rPr>
            </w:pPr>
          </w:p>
          <w:p w14:paraId="44FF2D96" w14:textId="77777777" w:rsidR="00124AB6" w:rsidRPr="000A5D3A" w:rsidRDefault="00124AB6" w:rsidP="004E3BFD">
            <w:pPr>
              <w:rPr>
                <w:bCs/>
              </w:rPr>
            </w:pPr>
            <w:r w:rsidRPr="000A5D3A">
              <w:rPr>
                <w:bCs/>
              </w:rPr>
              <w:t>(a)</w:t>
            </w:r>
            <w:r>
              <w:rPr>
                <w:bCs/>
              </w:rPr>
              <w:t>(1) T</w:t>
            </w:r>
            <w:r w:rsidRPr="000A5D3A">
              <w:rPr>
                <w:bCs/>
              </w:rPr>
              <w:t xml:space="preserve">he provisions of this subpart apply to affected facilities in the synthetic organic chemicals manufacturing industry. </w:t>
            </w:r>
          </w:p>
          <w:p w14:paraId="0C84A0F9" w14:textId="77777777" w:rsidR="00124AB6" w:rsidRPr="000A5D3A" w:rsidRDefault="00124AB6" w:rsidP="004E3BFD">
            <w:pPr>
              <w:rPr>
                <w:bCs/>
              </w:rPr>
            </w:pPr>
          </w:p>
          <w:p w14:paraId="57201CE3" w14:textId="77777777" w:rsidR="00124AB6" w:rsidRPr="000A5D3A" w:rsidRDefault="00124AB6" w:rsidP="004E3BFD">
            <w:pPr>
              <w:rPr>
                <w:bCs/>
              </w:rPr>
            </w:pPr>
            <w:r>
              <w:rPr>
                <w:bCs/>
              </w:rPr>
              <w:t>(a)</w:t>
            </w:r>
            <w:r w:rsidRPr="000A5D3A">
              <w:rPr>
                <w:bCs/>
              </w:rPr>
              <w:t xml:space="preserve">(2) The group of all equipment (defined in § 60.481a) within a process unit is an affected facility. </w:t>
            </w:r>
          </w:p>
          <w:p w14:paraId="060125A8" w14:textId="77777777" w:rsidR="00124AB6" w:rsidRPr="000A5D3A" w:rsidRDefault="00124AB6" w:rsidP="004E3BFD">
            <w:pPr>
              <w:rPr>
                <w:bCs/>
              </w:rPr>
            </w:pPr>
          </w:p>
          <w:p w14:paraId="750E54CD" w14:textId="77777777" w:rsidR="00124AB6" w:rsidRPr="000A5D3A" w:rsidRDefault="00124AB6" w:rsidP="004E3BFD">
            <w:pPr>
              <w:rPr>
                <w:bCs/>
              </w:rPr>
            </w:pPr>
            <w:r w:rsidRPr="000A5D3A">
              <w:rPr>
                <w:bCs/>
              </w:rPr>
              <w:t xml:space="preserve">(b) Any affected facility under paragraph (a) of this section that commences construction, reconstruction, or modification after November 7, 2006, shall be subject to the requirements of this subpart. </w:t>
            </w:r>
          </w:p>
          <w:p w14:paraId="41D83435" w14:textId="77777777" w:rsidR="00124AB6" w:rsidRPr="000A5D3A" w:rsidRDefault="00124AB6" w:rsidP="004E3BFD">
            <w:pPr>
              <w:rPr>
                <w:bCs/>
              </w:rPr>
            </w:pPr>
          </w:p>
          <w:p w14:paraId="1E57B949" w14:textId="77777777" w:rsidR="00124AB6" w:rsidRDefault="00124AB6" w:rsidP="004E3BFD">
            <w:pPr>
              <w:rPr>
                <w:bCs/>
              </w:rPr>
            </w:pPr>
            <w:r w:rsidRPr="000A5D3A">
              <w:rPr>
                <w:bCs/>
              </w:rPr>
              <w:t>(c) Addition or replacement of equipment for the purpose of process improvement which is accomplished without a capital expenditure shall not by itself be considered a modification under this subpart.</w:t>
            </w:r>
          </w:p>
          <w:p w14:paraId="266BEBCE" w14:textId="77777777" w:rsidR="00124AB6" w:rsidRDefault="00124AB6" w:rsidP="004E3BFD">
            <w:pPr>
              <w:rPr>
                <w:bCs/>
              </w:rPr>
            </w:pPr>
          </w:p>
          <w:p w14:paraId="1541FFDA" w14:textId="77777777" w:rsidR="00124AB6" w:rsidRPr="000A5D3A" w:rsidRDefault="00124AB6" w:rsidP="004E3BFD">
            <w:pPr>
              <w:rPr>
                <w:bCs/>
              </w:rPr>
            </w:pPr>
            <w:r>
              <w:rPr>
                <w:bCs/>
              </w:rPr>
              <w:t>(f)</w:t>
            </w:r>
            <w:r w:rsidRPr="000A5D3A">
              <w:rPr>
                <w:bCs/>
              </w:rPr>
              <w:t xml:space="preserve">(2) Owners or operators are not required to comply with the requirements in this paragraph until EPA takes final action to require compliance and publishes a document in the Federal Register. </w:t>
            </w:r>
          </w:p>
          <w:p w14:paraId="200102A6" w14:textId="77777777" w:rsidR="00124AB6" w:rsidRPr="000A5D3A" w:rsidRDefault="00124AB6" w:rsidP="004E3BFD">
            <w:pPr>
              <w:rPr>
                <w:bCs/>
              </w:rPr>
            </w:pPr>
          </w:p>
          <w:p w14:paraId="61CF5379" w14:textId="77777777" w:rsidR="00124AB6" w:rsidRPr="000A5D3A" w:rsidRDefault="00124AB6" w:rsidP="004E3BFD">
            <w:pPr>
              <w:rPr>
                <w:bCs/>
              </w:rPr>
            </w:pPr>
            <w:r>
              <w:rPr>
                <w:bCs/>
              </w:rPr>
              <w:t>(f)(2)</w:t>
            </w:r>
            <w:r w:rsidRPr="000A5D3A">
              <w:rPr>
                <w:bCs/>
              </w:rPr>
              <w:t>(</w:t>
            </w:r>
            <w:proofErr w:type="spellStart"/>
            <w:r w:rsidRPr="000A5D3A">
              <w:rPr>
                <w:bCs/>
              </w:rPr>
              <w:t>i</w:t>
            </w:r>
            <w:proofErr w:type="spellEnd"/>
            <w:r w:rsidRPr="000A5D3A">
              <w:rPr>
                <w:bCs/>
              </w:rPr>
              <w:t xml:space="preserve">) The definition of “process unit” in §60.481a of this subpart. While the definition of “process unit” is stayed, owners or operators should use the following definition: </w:t>
            </w:r>
          </w:p>
          <w:p w14:paraId="69C2397F" w14:textId="77777777" w:rsidR="00124AB6" w:rsidRPr="000A5D3A" w:rsidRDefault="00124AB6" w:rsidP="004E3BFD">
            <w:pPr>
              <w:rPr>
                <w:bCs/>
              </w:rPr>
            </w:pPr>
          </w:p>
          <w:p w14:paraId="5B24B698" w14:textId="77777777" w:rsidR="00124AB6" w:rsidRPr="000A5D3A" w:rsidRDefault="00124AB6" w:rsidP="004E3BFD">
            <w:pPr>
              <w:rPr>
                <w:bCs/>
              </w:rPr>
            </w:pPr>
            <w:r w:rsidRPr="000A5D3A">
              <w:rPr>
                <w:bCs/>
              </w:rPr>
              <w:t xml:space="preserve">Process unit means components assembled to produce, as intermediate or final products, one or more of the chemicals listed in § 60.489 of this part. A process unit can operate independently if supplied with sufficient feed or raw materials and sufficient storage facilities for the product. </w:t>
            </w:r>
          </w:p>
          <w:p w14:paraId="2A7DCFEB" w14:textId="77777777" w:rsidR="00124AB6" w:rsidRPr="000A5D3A" w:rsidRDefault="00124AB6" w:rsidP="004E3BFD">
            <w:pPr>
              <w:rPr>
                <w:bCs/>
              </w:rPr>
            </w:pPr>
          </w:p>
          <w:p w14:paraId="379E3706" w14:textId="77777777" w:rsidR="00124AB6" w:rsidRPr="000A5D3A" w:rsidRDefault="00124AB6" w:rsidP="004E3BFD">
            <w:pPr>
              <w:rPr>
                <w:bCs/>
              </w:rPr>
            </w:pPr>
            <w:r>
              <w:rPr>
                <w:bCs/>
              </w:rPr>
              <w:t>(f)(2)</w:t>
            </w:r>
            <w:r w:rsidRPr="000A5D3A">
              <w:rPr>
                <w:bCs/>
              </w:rPr>
              <w:t xml:space="preserve">(ii) The method of allocation of shared storage vessels in § 60.482–1a(g) of this subpart. </w:t>
            </w:r>
          </w:p>
          <w:p w14:paraId="4BB1B40D" w14:textId="77777777" w:rsidR="00124AB6" w:rsidRPr="000A5D3A" w:rsidRDefault="00124AB6" w:rsidP="004E3BFD">
            <w:pPr>
              <w:rPr>
                <w:bCs/>
              </w:rPr>
            </w:pPr>
          </w:p>
          <w:p w14:paraId="7B552C83" w14:textId="77777777" w:rsidR="00124AB6" w:rsidRPr="001B6EC4" w:rsidRDefault="00124AB6" w:rsidP="004E3BFD">
            <w:pPr>
              <w:rPr>
                <w:b/>
              </w:rPr>
            </w:pPr>
            <w:r>
              <w:rPr>
                <w:bCs/>
              </w:rPr>
              <w:t>(f)(2)</w:t>
            </w:r>
            <w:r w:rsidRPr="000A5D3A">
              <w:rPr>
                <w:bCs/>
              </w:rPr>
              <w:t>(iii) The standards for connectors in gas/vapor service and in light liquid service in § 60.482–11a of this subpart.</w:t>
            </w:r>
          </w:p>
        </w:tc>
      </w:tr>
      <w:tr w:rsidR="00124AB6" w:rsidRPr="000A5D3A" w14:paraId="4599E228"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val="0"/>
          <w:trHeight w:val="432"/>
        </w:trPr>
        <w:tc>
          <w:tcPr>
            <w:tcW w:w="1367" w:type="dxa"/>
          </w:tcPr>
          <w:p w14:paraId="5927A7D7" w14:textId="77777777" w:rsidR="00124AB6" w:rsidRPr="000A5D3A" w:rsidRDefault="00124AB6" w:rsidP="004E3BFD">
            <w:pPr>
              <w:pStyle w:val="BNum"/>
              <w:rPr>
                <w:bCs/>
              </w:rPr>
            </w:pPr>
          </w:p>
        </w:tc>
        <w:tc>
          <w:tcPr>
            <w:tcW w:w="9433" w:type="dxa"/>
          </w:tcPr>
          <w:p w14:paraId="615EC376" w14:textId="77777777" w:rsidR="00124AB6" w:rsidRPr="001B6EC4" w:rsidRDefault="00124AB6" w:rsidP="004E3BFD">
            <w:r w:rsidRPr="001B6EC4">
              <w:rPr>
                <w:b/>
              </w:rPr>
              <w:t>Emission Unit ID:</w:t>
            </w:r>
            <w:r>
              <w:rPr>
                <w:b/>
              </w:rPr>
              <w:t xml:space="preserve"> </w:t>
            </w:r>
            <w:r w:rsidRPr="00F61457">
              <w:rPr>
                <w:bCs/>
              </w:rPr>
              <w:t>06, 07</w:t>
            </w:r>
          </w:p>
          <w:p w14:paraId="0B7D7657" w14:textId="77777777" w:rsidR="00124AB6" w:rsidRDefault="00124AB6" w:rsidP="004E3BFD">
            <w:r w:rsidRPr="009A00D8">
              <w:rPr>
                <w:b/>
              </w:rPr>
              <w:t>Equipment ID:</w:t>
            </w:r>
            <w:r w:rsidRPr="009A00D8">
              <w:t xml:space="preserve"> </w:t>
            </w:r>
            <w:r>
              <w:t xml:space="preserve">R-2, R-4, R-8 </w:t>
            </w:r>
          </w:p>
          <w:p w14:paraId="67318D5E" w14:textId="77777777" w:rsidR="00124AB6" w:rsidRDefault="00124AB6" w:rsidP="004E3BFD">
            <w:r w:rsidRPr="009A00D8">
              <w:rPr>
                <w:b/>
              </w:rPr>
              <w:t>Control Device ID:</w:t>
            </w:r>
            <w:r>
              <w:rPr>
                <w:b/>
              </w:rPr>
              <w:t xml:space="preserve"> </w:t>
            </w:r>
            <w:r>
              <w:rPr>
                <w:bCs/>
              </w:rPr>
              <w:t>NP-1</w:t>
            </w:r>
            <w:r w:rsidRPr="009A00D8">
              <w:t xml:space="preserve"> </w:t>
            </w:r>
          </w:p>
          <w:p w14:paraId="73093DF7" w14:textId="77777777" w:rsidR="00124AB6" w:rsidRDefault="00124AB6" w:rsidP="004E3BFD"/>
          <w:p w14:paraId="449B1F5F" w14:textId="77777777" w:rsidR="00124AB6" w:rsidRDefault="00124AB6" w:rsidP="004E3BFD">
            <w:r>
              <w:t>40CFR60.482-1a Standards: General.</w:t>
            </w:r>
          </w:p>
          <w:p w14:paraId="0E0F560F" w14:textId="77777777" w:rsidR="00124AB6" w:rsidRDefault="00124AB6" w:rsidP="004E3BFD">
            <w:pPr>
              <w:rPr>
                <w:b/>
              </w:rPr>
            </w:pPr>
          </w:p>
          <w:p w14:paraId="7D65290E" w14:textId="77777777" w:rsidR="00124AB6" w:rsidRPr="000A5D3A" w:rsidRDefault="00124AB6" w:rsidP="004E3BFD">
            <w:pPr>
              <w:rPr>
                <w:bCs/>
              </w:rPr>
            </w:pPr>
            <w:r w:rsidRPr="000A5D3A">
              <w:rPr>
                <w:bCs/>
              </w:rPr>
              <w:t xml:space="preserve">(a) Each owner or operator subject to the provisions of this subpart shall demonstrate compliance with the requirements of §§ 60.482–1a through 60.482–10a or § 60.480a(e) for all equipment within 180 days of initial startup. </w:t>
            </w:r>
          </w:p>
          <w:p w14:paraId="2CE4F35A" w14:textId="77777777" w:rsidR="00124AB6" w:rsidRPr="000A5D3A" w:rsidRDefault="00124AB6" w:rsidP="004E3BFD">
            <w:pPr>
              <w:rPr>
                <w:bCs/>
              </w:rPr>
            </w:pPr>
          </w:p>
          <w:p w14:paraId="66588182" w14:textId="77777777" w:rsidR="00124AB6" w:rsidRDefault="00124AB6" w:rsidP="004E3BFD">
            <w:pPr>
              <w:rPr>
                <w:bCs/>
              </w:rPr>
            </w:pPr>
            <w:r w:rsidRPr="000A5D3A">
              <w:rPr>
                <w:bCs/>
              </w:rPr>
              <w:t>(b) Compliance with §§ 60.482–1a to 60.482–10a will be determined by review of records and reports, review of performance test results, and inspection using the methods and procedures specified in § 60.485a.</w:t>
            </w:r>
          </w:p>
          <w:p w14:paraId="6C6D52CF" w14:textId="77777777" w:rsidR="00124AB6" w:rsidRDefault="00124AB6" w:rsidP="004E3BFD">
            <w:pPr>
              <w:rPr>
                <w:bCs/>
              </w:rPr>
            </w:pPr>
          </w:p>
          <w:p w14:paraId="390EAF55" w14:textId="77777777" w:rsidR="00124AB6" w:rsidRPr="000A5D3A" w:rsidRDefault="00124AB6" w:rsidP="004E3BFD">
            <w:pPr>
              <w:rPr>
                <w:bCs/>
              </w:rPr>
            </w:pPr>
            <w:r w:rsidRPr="000A5D3A">
              <w:rPr>
                <w:bCs/>
              </w:rPr>
              <w:t xml:space="preserve">(d) Equipment that is in vacuum service is excluded from the requirements of §§ 60.482–2a through 60.482–10a if it is identified as required in § 60.486a(e)(5). </w:t>
            </w:r>
          </w:p>
          <w:p w14:paraId="03692B85" w14:textId="77777777" w:rsidR="00124AB6" w:rsidRPr="000A5D3A" w:rsidRDefault="00124AB6" w:rsidP="004E3BFD">
            <w:pPr>
              <w:rPr>
                <w:bCs/>
              </w:rPr>
            </w:pPr>
          </w:p>
          <w:p w14:paraId="74B74669" w14:textId="77777777" w:rsidR="00124AB6" w:rsidRPr="000A5D3A" w:rsidRDefault="00124AB6" w:rsidP="004E3BFD">
            <w:pPr>
              <w:rPr>
                <w:bCs/>
              </w:rPr>
            </w:pPr>
            <w:r w:rsidRPr="000A5D3A">
              <w:rPr>
                <w:bCs/>
              </w:rPr>
              <w:t xml:space="preserve">(e) Equipment that an owner or operator designates as being in VOC service less than 300 </w:t>
            </w:r>
            <w:proofErr w:type="spellStart"/>
            <w:r w:rsidRPr="000A5D3A">
              <w:rPr>
                <w:bCs/>
              </w:rPr>
              <w:t>hr</w:t>
            </w:r>
            <w:proofErr w:type="spellEnd"/>
            <w:r w:rsidRPr="000A5D3A">
              <w:rPr>
                <w:bCs/>
              </w:rPr>
              <w:t>/</w:t>
            </w:r>
            <w:proofErr w:type="spellStart"/>
            <w:r w:rsidRPr="000A5D3A">
              <w:rPr>
                <w:bCs/>
              </w:rPr>
              <w:t>yr</w:t>
            </w:r>
            <w:proofErr w:type="spellEnd"/>
            <w:r w:rsidRPr="000A5D3A">
              <w:rPr>
                <w:bCs/>
              </w:rPr>
              <w:t xml:space="preserve"> is excluded from the requirements of §§ 60.482–2a through 60.482–11a if it is identified as required in §60.486a(e)(6) and it meets any of the conditions specified in paragraphs (e)(1) through (3) of this section. </w:t>
            </w:r>
          </w:p>
          <w:p w14:paraId="361513B8" w14:textId="77777777" w:rsidR="00124AB6" w:rsidRPr="000A5D3A" w:rsidRDefault="00124AB6" w:rsidP="004E3BFD">
            <w:pPr>
              <w:rPr>
                <w:bCs/>
              </w:rPr>
            </w:pPr>
          </w:p>
          <w:p w14:paraId="61A25122" w14:textId="77777777" w:rsidR="00124AB6" w:rsidRPr="000A5D3A" w:rsidRDefault="00124AB6" w:rsidP="004E3BFD">
            <w:pPr>
              <w:rPr>
                <w:bCs/>
              </w:rPr>
            </w:pPr>
            <w:r>
              <w:rPr>
                <w:bCs/>
              </w:rPr>
              <w:t>(e)</w:t>
            </w:r>
            <w:r w:rsidRPr="000A5D3A">
              <w:rPr>
                <w:bCs/>
              </w:rPr>
              <w:t xml:space="preserve">(1) The equipment is in VOC service only during startup and shutdown, excluding startup and shutdown between batches of the same campaign for a batch process. </w:t>
            </w:r>
          </w:p>
          <w:p w14:paraId="2B0F76A5" w14:textId="77777777" w:rsidR="00124AB6" w:rsidRPr="000A5D3A" w:rsidRDefault="00124AB6" w:rsidP="004E3BFD">
            <w:pPr>
              <w:rPr>
                <w:bCs/>
              </w:rPr>
            </w:pPr>
          </w:p>
          <w:p w14:paraId="0B4763FF" w14:textId="77777777" w:rsidR="00124AB6" w:rsidRPr="000A5D3A" w:rsidRDefault="00124AB6" w:rsidP="004E3BFD">
            <w:pPr>
              <w:rPr>
                <w:bCs/>
              </w:rPr>
            </w:pPr>
            <w:r>
              <w:rPr>
                <w:bCs/>
              </w:rPr>
              <w:t>(e)</w:t>
            </w:r>
            <w:r w:rsidRPr="000A5D3A">
              <w:rPr>
                <w:bCs/>
              </w:rPr>
              <w:t xml:space="preserve">(2) The equipment is in VOC service only during process malfunctions or other emergencies. </w:t>
            </w:r>
          </w:p>
          <w:p w14:paraId="4CD3EF20" w14:textId="77777777" w:rsidR="00124AB6" w:rsidRPr="000A5D3A" w:rsidRDefault="00124AB6" w:rsidP="004E3BFD">
            <w:pPr>
              <w:rPr>
                <w:bCs/>
              </w:rPr>
            </w:pPr>
          </w:p>
          <w:p w14:paraId="79896F05" w14:textId="77777777" w:rsidR="00124AB6" w:rsidRDefault="00124AB6" w:rsidP="004E3BFD">
            <w:pPr>
              <w:rPr>
                <w:bCs/>
              </w:rPr>
            </w:pPr>
            <w:r>
              <w:rPr>
                <w:bCs/>
              </w:rPr>
              <w:t>(e)</w:t>
            </w:r>
            <w:r w:rsidRPr="000A5D3A">
              <w:rPr>
                <w:bCs/>
              </w:rPr>
              <w:t>(3) The equipment is backup equipment that is in VOC service only when the primary equipment is out of service.</w:t>
            </w:r>
          </w:p>
          <w:p w14:paraId="28750F33" w14:textId="77777777" w:rsidR="00124AB6" w:rsidRDefault="00124AB6" w:rsidP="004E3BFD">
            <w:pPr>
              <w:rPr>
                <w:bCs/>
              </w:rPr>
            </w:pPr>
          </w:p>
          <w:p w14:paraId="2DD4DF16" w14:textId="77777777" w:rsidR="00124AB6" w:rsidRDefault="00124AB6" w:rsidP="004E3BFD">
            <w:r>
              <w:t>(f)(1) If a dedicated batch process unit operates less than 365 days during a year, an owner or operator may monitor to detect leaks from pumps and valves at the frequency specified in the following table instead of monitoring as specified in §§ 60.482–2, 60.482–7, and 60.483–2:</w:t>
            </w:r>
          </w:p>
          <w:p w14:paraId="5A7F1460" w14:textId="77777777" w:rsidR="00124AB6" w:rsidRDefault="00124AB6" w:rsidP="004E3BFD"/>
          <w:tbl>
            <w:tblPr>
              <w:tblStyle w:val="TableGrid"/>
              <w:tblW w:w="0" w:type="auto"/>
              <w:tblLook w:val="04A0" w:firstRow="1" w:lastRow="0" w:firstColumn="1" w:lastColumn="0" w:noHBand="0" w:noVBand="1"/>
            </w:tblPr>
            <w:tblGrid>
              <w:gridCol w:w="2317"/>
              <w:gridCol w:w="2316"/>
              <w:gridCol w:w="2322"/>
              <w:gridCol w:w="2324"/>
            </w:tblGrid>
            <w:tr w:rsidR="00124AB6" w:rsidRPr="00A6103B" w14:paraId="11BCE869" w14:textId="77777777" w:rsidTr="004E3BFD">
              <w:trPr>
                <w:trHeight w:val="432"/>
              </w:trPr>
              <w:tc>
                <w:tcPr>
                  <w:tcW w:w="2337" w:type="dxa"/>
                  <w:vMerge w:val="restart"/>
                  <w:shd w:val="pct12" w:color="auto" w:fill="auto"/>
                </w:tcPr>
                <w:p w14:paraId="583D885B" w14:textId="77777777" w:rsidR="00124AB6" w:rsidRPr="00A6103B" w:rsidRDefault="00124AB6" w:rsidP="004E3BFD">
                  <w:pPr>
                    <w:rPr>
                      <w:b/>
                      <w:bCs/>
                    </w:rPr>
                  </w:pPr>
                  <w:r w:rsidRPr="00A6103B">
                    <w:rPr>
                      <w:b/>
                      <w:bCs/>
                    </w:rPr>
                    <w:t>Operating time (percent of hours during year)</w:t>
                  </w:r>
                </w:p>
              </w:tc>
              <w:tc>
                <w:tcPr>
                  <w:tcW w:w="7013" w:type="dxa"/>
                  <w:gridSpan w:val="3"/>
                  <w:shd w:val="pct12" w:color="auto" w:fill="auto"/>
                </w:tcPr>
                <w:p w14:paraId="4BA4F0F6" w14:textId="77777777" w:rsidR="00124AB6" w:rsidRPr="00A6103B" w:rsidRDefault="00124AB6" w:rsidP="004E3BFD">
                  <w:pPr>
                    <w:jc w:val="center"/>
                    <w:rPr>
                      <w:b/>
                      <w:bCs/>
                    </w:rPr>
                  </w:pPr>
                  <w:r w:rsidRPr="00A6103B">
                    <w:rPr>
                      <w:b/>
                      <w:bCs/>
                    </w:rPr>
                    <w:t>Equivalent monitoring frequency time in use</w:t>
                  </w:r>
                </w:p>
              </w:tc>
            </w:tr>
            <w:tr w:rsidR="00124AB6" w:rsidRPr="00A6103B" w14:paraId="24731B93" w14:textId="77777777" w:rsidTr="004E3BFD">
              <w:trPr>
                <w:trHeight w:val="432"/>
              </w:trPr>
              <w:tc>
                <w:tcPr>
                  <w:tcW w:w="2337" w:type="dxa"/>
                  <w:vMerge/>
                  <w:shd w:val="pct12" w:color="auto" w:fill="auto"/>
                </w:tcPr>
                <w:p w14:paraId="172CABDC" w14:textId="77777777" w:rsidR="00124AB6" w:rsidRPr="00A6103B" w:rsidRDefault="00124AB6" w:rsidP="004E3BFD">
                  <w:pPr>
                    <w:jc w:val="center"/>
                    <w:rPr>
                      <w:b/>
                      <w:bCs/>
                    </w:rPr>
                  </w:pPr>
                </w:p>
              </w:tc>
              <w:tc>
                <w:tcPr>
                  <w:tcW w:w="2337" w:type="dxa"/>
                  <w:shd w:val="pct12" w:color="auto" w:fill="auto"/>
                </w:tcPr>
                <w:p w14:paraId="27C9D4BD" w14:textId="77777777" w:rsidR="00124AB6" w:rsidRPr="00A6103B" w:rsidRDefault="00124AB6" w:rsidP="004E3BFD">
                  <w:pPr>
                    <w:jc w:val="center"/>
                    <w:rPr>
                      <w:b/>
                      <w:bCs/>
                    </w:rPr>
                  </w:pPr>
                  <w:r w:rsidRPr="00A6103B">
                    <w:rPr>
                      <w:b/>
                      <w:bCs/>
                    </w:rPr>
                    <w:t>Monthly</w:t>
                  </w:r>
                </w:p>
              </w:tc>
              <w:tc>
                <w:tcPr>
                  <w:tcW w:w="2338" w:type="dxa"/>
                  <w:shd w:val="pct12" w:color="auto" w:fill="auto"/>
                </w:tcPr>
                <w:p w14:paraId="04F32AE2" w14:textId="77777777" w:rsidR="00124AB6" w:rsidRPr="00A6103B" w:rsidRDefault="00124AB6" w:rsidP="004E3BFD">
                  <w:pPr>
                    <w:jc w:val="center"/>
                    <w:rPr>
                      <w:b/>
                      <w:bCs/>
                    </w:rPr>
                  </w:pPr>
                  <w:r w:rsidRPr="00A6103B">
                    <w:rPr>
                      <w:b/>
                      <w:bCs/>
                    </w:rPr>
                    <w:t>Quarterly</w:t>
                  </w:r>
                </w:p>
              </w:tc>
              <w:tc>
                <w:tcPr>
                  <w:tcW w:w="2338" w:type="dxa"/>
                  <w:shd w:val="pct12" w:color="auto" w:fill="auto"/>
                </w:tcPr>
                <w:p w14:paraId="7FC0D9DE" w14:textId="77777777" w:rsidR="00124AB6" w:rsidRPr="00A6103B" w:rsidRDefault="00124AB6" w:rsidP="004E3BFD">
                  <w:pPr>
                    <w:jc w:val="center"/>
                    <w:rPr>
                      <w:b/>
                      <w:bCs/>
                    </w:rPr>
                  </w:pPr>
                  <w:r w:rsidRPr="00A6103B">
                    <w:rPr>
                      <w:b/>
                      <w:bCs/>
                    </w:rPr>
                    <w:t>Semiannually</w:t>
                  </w:r>
                </w:p>
              </w:tc>
            </w:tr>
            <w:tr w:rsidR="00124AB6" w14:paraId="7A118130" w14:textId="77777777" w:rsidTr="004E3BFD">
              <w:trPr>
                <w:trHeight w:val="432"/>
              </w:trPr>
              <w:tc>
                <w:tcPr>
                  <w:tcW w:w="2337" w:type="dxa"/>
                </w:tcPr>
                <w:p w14:paraId="6EF5AF0A" w14:textId="77777777" w:rsidR="00124AB6" w:rsidRDefault="00124AB6" w:rsidP="004E3BFD">
                  <w:pPr>
                    <w:jc w:val="center"/>
                  </w:pPr>
                  <w:r>
                    <w:t>0 to &lt;50</w:t>
                  </w:r>
                </w:p>
              </w:tc>
              <w:tc>
                <w:tcPr>
                  <w:tcW w:w="2337" w:type="dxa"/>
                </w:tcPr>
                <w:p w14:paraId="62490E43" w14:textId="77777777" w:rsidR="00124AB6" w:rsidRDefault="00124AB6" w:rsidP="004E3BFD">
                  <w:pPr>
                    <w:jc w:val="center"/>
                  </w:pPr>
                  <w:r>
                    <w:t>Quarterly</w:t>
                  </w:r>
                </w:p>
              </w:tc>
              <w:tc>
                <w:tcPr>
                  <w:tcW w:w="2338" w:type="dxa"/>
                </w:tcPr>
                <w:p w14:paraId="27B51574" w14:textId="77777777" w:rsidR="00124AB6" w:rsidRDefault="00124AB6" w:rsidP="004E3BFD">
                  <w:pPr>
                    <w:jc w:val="center"/>
                  </w:pPr>
                  <w:r>
                    <w:t>Annually</w:t>
                  </w:r>
                </w:p>
              </w:tc>
              <w:tc>
                <w:tcPr>
                  <w:tcW w:w="2338" w:type="dxa"/>
                </w:tcPr>
                <w:p w14:paraId="6904D94E" w14:textId="77777777" w:rsidR="00124AB6" w:rsidRDefault="00124AB6" w:rsidP="004E3BFD">
                  <w:pPr>
                    <w:jc w:val="center"/>
                  </w:pPr>
                  <w:r>
                    <w:t>Annually</w:t>
                  </w:r>
                </w:p>
              </w:tc>
            </w:tr>
            <w:tr w:rsidR="00124AB6" w14:paraId="244C84EF" w14:textId="77777777" w:rsidTr="004E3BFD">
              <w:trPr>
                <w:trHeight w:val="432"/>
              </w:trPr>
              <w:tc>
                <w:tcPr>
                  <w:tcW w:w="2337" w:type="dxa"/>
                </w:tcPr>
                <w:p w14:paraId="0C96184F" w14:textId="77777777" w:rsidR="00124AB6" w:rsidRDefault="00124AB6" w:rsidP="004E3BFD">
                  <w:pPr>
                    <w:jc w:val="center"/>
                  </w:pPr>
                  <w:r>
                    <w:t>25 to &lt;50</w:t>
                  </w:r>
                </w:p>
              </w:tc>
              <w:tc>
                <w:tcPr>
                  <w:tcW w:w="2337" w:type="dxa"/>
                </w:tcPr>
                <w:p w14:paraId="752F4A90" w14:textId="77777777" w:rsidR="00124AB6" w:rsidRDefault="00124AB6" w:rsidP="004E3BFD">
                  <w:pPr>
                    <w:jc w:val="center"/>
                  </w:pPr>
                  <w:r>
                    <w:t>Quarterly</w:t>
                  </w:r>
                </w:p>
              </w:tc>
              <w:tc>
                <w:tcPr>
                  <w:tcW w:w="2338" w:type="dxa"/>
                </w:tcPr>
                <w:p w14:paraId="324C7B89" w14:textId="77777777" w:rsidR="00124AB6" w:rsidRDefault="00124AB6" w:rsidP="004E3BFD">
                  <w:pPr>
                    <w:jc w:val="center"/>
                  </w:pPr>
                  <w:r>
                    <w:t>Semiannually</w:t>
                  </w:r>
                </w:p>
              </w:tc>
              <w:tc>
                <w:tcPr>
                  <w:tcW w:w="2338" w:type="dxa"/>
                </w:tcPr>
                <w:p w14:paraId="3B2C0F1C" w14:textId="77777777" w:rsidR="00124AB6" w:rsidRDefault="00124AB6" w:rsidP="004E3BFD">
                  <w:pPr>
                    <w:jc w:val="center"/>
                  </w:pPr>
                  <w:r>
                    <w:t>Annually</w:t>
                  </w:r>
                </w:p>
              </w:tc>
            </w:tr>
            <w:tr w:rsidR="00124AB6" w14:paraId="140C6465" w14:textId="77777777" w:rsidTr="004E3BFD">
              <w:trPr>
                <w:trHeight w:val="432"/>
              </w:trPr>
              <w:tc>
                <w:tcPr>
                  <w:tcW w:w="2337" w:type="dxa"/>
                </w:tcPr>
                <w:p w14:paraId="26947D8C" w14:textId="77777777" w:rsidR="00124AB6" w:rsidRDefault="00124AB6" w:rsidP="004E3BFD">
                  <w:pPr>
                    <w:jc w:val="center"/>
                  </w:pPr>
                  <w:r>
                    <w:t>50 to &lt;75</w:t>
                  </w:r>
                </w:p>
              </w:tc>
              <w:tc>
                <w:tcPr>
                  <w:tcW w:w="2337" w:type="dxa"/>
                </w:tcPr>
                <w:p w14:paraId="29A12A98" w14:textId="77777777" w:rsidR="00124AB6" w:rsidRDefault="00124AB6" w:rsidP="004E3BFD">
                  <w:pPr>
                    <w:jc w:val="center"/>
                  </w:pPr>
                  <w:r>
                    <w:t>Bimonthly</w:t>
                  </w:r>
                </w:p>
              </w:tc>
              <w:tc>
                <w:tcPr>
                  <w:tcW w:w="2338" w:type="dxa"/>
                </w:tcPr>
                <w:p w14:paraId="26EBCEAE" w14:textId="77777777" w:rsidR="00124AB6" w:rsidRDefault="00124AB6" w:rsidP="004E3BFD">
                  <w:pPr>
                    <w:jc w:val="center"/>
                  </w:pPr>
                  <w:r>
                    <w:t>Three Quarters</w:t>
                  </w:r>
                </w:p>
              </w:tc>
              <w:tc>
                <w:tcPr>
                  <w:tcW w:w="2338" w:type="dxa"/>
                </w:tcPr>
                <w:p w14:paraId="3F64AB4C" w14:textId="77777777" w:rsidR="00124AB6" w:rsidRDefault="00124AB6" w:rsidP="004E3BFD">
                  <w:pPr>
                    <w:jc w:val="center"/>
                  </w:pPr>
                  <w:r>
                    <w:t>Semiannually</w:t>
                  </w:r>
                </w:p>
              </w:tc>
            </w:tr>
            <w:tr w:rsidR="00124AB6" w14:paraId="0433B38E" w14:textId="77777777" w:rsidTr="004E3BFD">
              <w:trPr>
                <w:trHeight w:val="432"/>
              </w:trPr>
              <w:tc>
                <w:tcPr>
                  <w:tcW w:w="2337" w:type="dxa"/>
                </w:tcPr>
                <w:p w14:paraId="3A742BBE" w14:textId="77777777" w:rsidR="00124AB6" w:rsidRDefault="00124AB6" w:rsidP="004E3BFD">
                  <w:pPr>
                    <w:jc w:val="center"/>
                  </w:pPr>
                  <w:r>
                    <w:t>75 to 100</w:t>
                  </w:r>
                </w:p>
              </w:tc>
              <w:tc>
                <w:tcPr>
                  <w:tcW w:w="2337" w:type="dxa"/>
                </w:tcPr>
                <w:p w14:paraId="15BEE294" w14:textId="77777777" w:rsidR="00124AB6" w:rsidRDefault="00124AB6" w:rsidP="004E3BFD">
                  <w:pPr>
                    <w:jc w:val="center"/>
                  </w:pPr>
                  <w:r>
                    <w:t>Monthly</w:t>
                  </w:r>
                </w:p>
              </w:tc>
              <w:tc>
                <w:tcPr>
                  <w:tcW w:w="2338" w:type="dxa"/>
                </w:tcPr>
                <w:p w14:paraId="57071757" w14:textId="77777777" w:rsidR="00124AB6" w:rsidRDefault="00124AB6" w:rsidP="004E3BFD">
                  <w:pPr>
                    <w:jc w:val="center"/>
                  </w:pPr>
                  <w:r>
                    <w:t>Quarterly</w:t>
                  </w:r>
                </w:p>
              </w:tc>
              <w:tc>
                <w:tcPr>
                  <w:tcW w:w="2338" w:type="dxa"/>
                </w:tcPr>
                <w:p w14:paraId="46173AB3" w14:textId="77777777" w:rsidR="00124AB6" w:rsidRDefault="00124AB6" w:rsidP="004E3BFD">
                  <w:pPr>
                    <w:jc w:val="center"/>
                  </w:pPr>
                  <w:r>
                    <w:t>Semiannually</w:t>
                  </w:r>
                </w:p>
              </w:tc>
            </w:tr>
          </w:tbl>
          <w:p w14:paraId="4E7C0FD9" w14:textId="77777777" w:rsidR="00124AB6" w:rsidRDefault="00124AB6" w:rsidP="004E3BFD"/>
          <w:p w14:paraId="0878D9B1" w14:textId="77777777" w:rsidR="00124AB6" w:rsidRDefault="00124AB6" w:rsidP="004E3BFD">
            <w:r>
              <w:t xml:space="preserve">(f)(2) Pumps and valves that are shared among two or more batch process units that are subject to this subpart may be monitored at the frequencies specified in paragraph (f)(1) of this section, provided the operating time of all such process units is considered. </w:t>
            </w:r>
          </w:p>
          <w:p w14:paraId="1F441752" w14:textId="77777777" w:rsidR="00124AB6" w:rsidRDefault="00124AB6" w:rsidP="004E3BFD"/>
          <w:p w14:paraId="123F6B3A" w14:textId="77777777" w:rsidR="00124AB6" w:rsidRDefault="00124AB6" w:rsidP="004E3BFD">
            <w:r>
              <w:t>(f)(3) The monitoring frequencies specified in paragraph (f)(1) of this section are not requirements for monitoring at specific intervals and can be adjusted to accommodate process operations. An owner or operator may monitor at any time during the specified monitoring period (e.g., month, quarter, year), provided the monitoring is conducted at a reasonable interval after completion of the last monitoring campaign. Reasonable intervals are defined in paragraphs (f)(3)(</w:t>
            </w:r>
            <w:proofErr w:type="spellStart"/>
            <w:r>
              <w:t>i</w:t>
            </w:r>
            <w:proofErr w:type="spellEnd"/>
            <w:r>
              <w:t xml:space="preserve">) through (iv) of this section. </w:t>
            </w:r>
          </w:p>
          <w:p w14:paraId="260139A8" w14:textId="77777777" w:rsidR="00124AB6" w:rsidRDefault="00124AB6" w:rsidP="004E3BFD"/>
          <w:p w14:paraId="180DB49B" w14:textId="77777777" w:rsidR="00124AB6" w:rsidRDefault="00124AB6" w:rsidP="004E3BFD">
            <w:r>
              <w:t>(f)(3)(</w:t>
            </w:r>
            <w:proofErr w:type="spellStart"/>
            <w:r>
              <w:t>i</w:t>
            </w:r>
            <w:proofErr w:type="spellEnd"/>
            <w:r>
              <w:t xml:space="preserve">) When monitoring is conducted quarterly, monitoring events must be separated by at least 30 calendar days. </w:t>
            </w:r>
          </w:p>
          <w:p w14:paraId="60D6583A" w14:textId="77777777" w:rsidR="00124AB6" w:rsidRDefault="00124AB6" w:rsidP="004E3BFD"/>
          <w:p w14:paraId="1A039292" w14:textId="77777777" w:rsidR="00124AB6" w:rsidRDefault="00124AB6" w:rsidP="004E3BFD">
            <w:r>
              <w:t xml:space="preserve">(f)(3)(ii) When monitoring is conducted semiannually (i.e., once every 2 quarters), monitoring events must be separated by at least 60 calendar days. </w:t>
            </w:r>
          </w:p>
          <w:p w14:paraId="161ABB4A" w14:textId="77777777" w:rsidR="00124AB6" w:rsidRDefault="00124AB6" w:rsidP="004E3BFD"/>
          <w:p w14:paraId="1A8FCDF7" w14:textId="77777777" w:rsidR="00124AB6" w:rsidRDefault="00124AB6" w:rsidP="004E3BFD">
            <w:r>
              <w:t xml:space="preserve">(f)(3)(iii) When monitoring is conducted in 3 quarters per year, monitoring events must be separated by at least 90 calendar days. </w:t>
            </w:r>
          </w:p>
          <w:p w14:paraId="19DD4C88" w14:textId="77777777" w:rsidR="00124AB6" w:rsidRDefault="00124AB6" w:rsidP="004E3BFD"/>
          <w:p w14:paraId="59CDC20A" w14:textId="77777777" w:rsidR="00124AB6" w:rsidRPr="000A5D3A" w:rsidRDefault="00124AB6" w:rsidP="004E3BFD">
            <w:pPr>
              <w:rPr>
                <w:bCs/>
              </w:rPr>
            </w:pPr>
            <w:r>
              <w:t>(f)(3)(iv) When monitoring is conducted annually, monitoring events must be separated by at least 120 calendar days.</w:t>
            </w:r>
          </w:p>
        </w:tc>
      </w:tr>
      <w:tr w:rsidR="00124AB6" w:rsidRPr="001B6EC4" w14:paraId="07345EAF"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val="0"/>
          <w:trHeight w:val="432"/>
        </w:trPr>
        <w:tc>
          <w:tcPr>
            <w:tcW w:w="1367" w:type="dxa"/>
          </w:tcPr>
          <w:p w14:paraId="3B860148" w14:textId="77777777" w:rsidR="00124AB6" w:rsidRPr="000A5D3A" w:rsidRDefault="00124AB6" w:rsidP="004E3BFD">
            <w:pPr>
              <w:pStyle w:val="BNum"/>
              <w:rPr>
                <w:bCs/>
              </w:rPr>
            </w:pPr>
          </w:p>
        </w:tc>
        <w:tc>
          <w:tcPr>
            <w:tcW w:w="9433" w:type="dxa"/>
          </w:tcPr>
          <w:p w14:paraId="1EEBFE73" w14:textId="77777777" w:rsidR="00124AB6" w:rsidRPr="001B6EC4" w:rsidRDefault="00124AB6" w:rsidP="004E3BFD">
            <w:r w:rsidRPr="001B6EC4">
              <w:rPr>
                <w:b/>
              </w:rPr>
              <w:t>Emission Unit ID:</w:t>
            </w:r>
            <w:r>
              <w:rPr>
                <w:b/>
              </w:rPr>
              <w:t xml:space="preserve"> </w:t>
            </w:r>
            <w:r w:rsidRPr="00F61457">
              <w:rPr>
                <w:bCs/>
              </w:rPr>
              <w:t>06, 07</w:t>
            </w:r>
          </w:p>
          <w:p w14:paraId="5E8D4CB4" w14:textId="77777777" w:rsidR="00124AB6" w:rsidRDefault="00124AB6" w:rsidP="004E3BFD">
            <w:r w:rsidRPr="009A00D8">
              <w:rPr>
                <w:b/>
              </w:rPr>
              <w:t>Equipment ID:</w:t>
            </w:r>
            <w:r w:rsidRPr="009A00D8">
              <w:t xml:space="preserve"> </w:t>
            </w:r>
            <w:r>
              <w:t xml:space="preserve">R-2, R-4, R-8 </w:t>
            </w:r>
          </w:p>
          <w:p w14:paraId="6DC487CE" w14:textId="77777777" w:rsidR="00124AB6" w:rsidRDefault="00124AB6" w:rsidP="004E3BFD">
            <w:r w:rsidRPr="009A00D8">
              <w:rPr>
                <w:b/>
              </w:rPr>
              <w:t>Control Device ID:</w:t>
            </w:r>
            <w:r>
              <w:rPr>
                <w:b/>
              </w:rPr>
              <w:t xml:space="preserve"> </w:t>
            </w:r>
            <w:r>
              <w:rPr>
                <w:bCs/>
              </w:rPr>
              <w:t>NP-1</w:t>
            </w:r>
            <w:r w:rsidRPr="009A00D8">
              <w:t xml:space="preserve"> </w:t>
            </w:r>
          </w:p>
          <w:p w14:paraId="279AD1B0" w14:textId="77777777" w:rsidR="00124AB6" w:rsidRDefault="00124AB6" w:rsidP="004E3BFD"/>
          <w:p w14:paraId="796B1D7B" w14:textId="77777777" w:rsidR="00124AB6" w:rsidRDefault="00124AB6" w:rsidP="004E3BFD">
            <w:r>
              <w:t>40CFR60.482-2a Standards: Pumps in light liquid service.</w:t>
            </w:r>
          </w:p>
          <w:p w14:paraId="1D570201" w14:textId="77777777" w:rsidR="00124AB6" w:rsidRDefault="00124AB6" w:rsidP="004E3BFD">
            <w:pPr>
              <w:rPr>
                <w:b/>
              </w:rPr>
            </w:pPr>
          </w:p>
          <w:p w14:paraId="2DF49FD4" w14:textId="77777777" w:rsidR="00124AB6" w:rsidRPr="000F1E33" w:rsidRDefault="00124AB6" w:rsidP="004E3BFD">
            <w:pPr>
              <w:rPr>
                <w:bCs/>
              </w:rPr>
            </w:pPr>
            <w:r w:rsidRPr="000F1E33">
              <w:rPr>
                <w:bCs/>
              </w:rPr>
              <w:t xml:space="preserve">(a)(1) Each pump in light liquid service shall be monitored monthly to detect leaks by the methods specified in §60.485a(b), except as provided in § 60.482–1a(c) and (f) and paragraphs (d), (e), and (f) of this section. A pump that begins operation in light liquid service after the initial startup date for the process unit must be monitored for the first time within 30 days after the end of its startup period, except for a pump that replaces a leaking pump and except as provided in § 60.482–1a(c) and paragraphs (d), (e), and (f) of this section. </w:t>
            </w:r>
          </w:p>
          <w:p w14:paraId="1CA45C16" w14:textId="77777777" w:rsidR="00124AB6" w:rsidRPr="000F1E33" w:rsidRDefault="00124AB6" w:rsidP="004E3BFD">
            <w:pPr>
              <w:rPr>
                <w:bCs/>
              </w:rPr>
            </w:pPr>
          </w:p>
          <w:p w14:paraId="686D8A30" w14:textId="77777777" w:rsidR="00124AB6" w:rsidRPr="000F1E33" w:rsidRDefault="00124AB6" w:rsidP="004E3BFD">
            <w:pPr>
              <w:rPr>
                <w:bCs/>
              </w:rPr>
            </w:pPr>
            <w:r>
              <w:rPr>
                <w:bCs/>
              </w:rPr>
              <w:t>(a)</w:t>
            </w:r>
            <w:r w:rsidRPr="000F1E33">
              <w:rPr>
                <w:bCs/>
              </w:rPr>
              <w:t xml:space="preserve">(2) Each pump in light liquid service shall be checked by visual inspection each calendar week for indications of liquids dripping from the pump seal, except as provided in § 60.482–1a(f). </w:t>
            </w:r>
          </w:p>
          <w:p w14:paraId="4D5B373E" w14:textId="77777777" w:rsidR="00124AB6" w:rsidRPr="000F1E33" w:rsidRDefault="00124AB6" w:rsidP="004E3BFD">
            <w:pPr>
              <w:rPr>
                <w:bCs/>
              </w:rPr>
            </w:pPr>
          </w:p>
          <w:p w14:paraId="3F631D44" w14:textId="77777777" w:rsidR="00124AB6" w:rsidRPr="000F1E33" w:rsidRDefault="00124AB6" w:rsidP="004E3BFD">
            <w:pPr>
              <w:rPr>
                <w:bCs/>
              </w:rPr>
            </w:pPr>
            <w:r w:rsidRPr="000F1E33">
              <w:rPr>
                <w:bCs/>
              </w:rPr>
              <w:t>(b)(1) The instrument reading that defines a leak is specified in paragraphs (b)(1)(</w:t>
            </w:r>
            <w:proofErr w:type="spellStart"/>
            <w:r w:rsidRPr="000F1E33">
              <w:rPr>
                <w:bCs/>
              </w:rPr>
              <w:t>i</w:t>
            </w:r>
            <w:proofErr w:type="spellEnd"/>
            <w:r w:rsidRPr="000F1E33">
              <w:rPr>
                <w:bCs/>
              </w:rPr>
              <w:t xml:space="preserve">) and (ii) of this section. </w:t>
            </w:r>
          </w:p>
          <w:p w14:paraId="58668814" w14:textId="77777777" w:rsidR="00124AB6" w:rsidRPr="000F1E33" w:rsidRDefault="00124AB6" w:rsidP="004E3BFD">
            <w:pPr>
              <w:rPr>
                <w:b/>
              </w:rPr>
            </w:pPr>
          </w:p>
          <w:p w14:paraId="707F40F4" w14:textId="77777777" w:rsidR="00124AB6" w:rsidRPr="000F1E33" w:rsidRDefault="00124AB6" w:rsidP="004E3BFD">
            <w:pPr>
              <w:rPr>
                <w:bCs/>
              </w:rPr>
            </w:pPr>
            <w:r>
              <w:rPr>
                <w:bCs/>
              </w:rPr>
              <w:t>(b)(1)</w:t>
            </w:r>
            <w:r w:rsidRPr="000F1E33">
              <w:rPr>
                <w:bCs/>
              </w:rPr>
              <w:t>(</w:t>
            </w:r>
            <w:proofErr w:type="spellStart"/>
            <w:r w:rsidRPr="000F1E33">
              <w:rPr>
                <w:bCs/>
              </w:rPr>
              <w:t>i</w:t>
            </w:r>
            <w:proofErr w:type="spellEnd"/>
            <w:r w:rsidRPr="000F1E33">
              <w:rPr>
                <w:bCs/>
              </w:rPr>
              <w:t xml:space="preserve">) 5,000 parts per million (ppm) or greater for pumps handling polymerizing </w:t>
            </w:r>
            <w:proofErr w:type="gramStart"/>
            <w:r w:rsidRPr="000F1E33">
              <w:rPr>
                <w:bCs/>
              </w:rPr>
              <w:t>monomers;</w:t>
            </w:r>
            <w:proofErr w:type="gramEnd"/>
            <w:r w:rsidRPr="000F1E33">
              <w:rPr>
                <w:bCs/>
              </w:rPr>
              <w:t xml:space="preserve"> </w:t>
            </w:r>
          </w:p>
          <w:p w14:paraId="5CEBBABD" w14:textId="77777777" w:rsidR="00124AB6" w:rsidRPr="000F1E33" w:rsidRDefault="00124AB6" w:rsidP="004E3BFD">
            <w:pPr>
              <w:rPr>
                <w:bCs/>
              </w:rPr>
            </w:pPr>
            <w:r>
              <w:rPr>
                <w:bCs/>
              </w:rPr>
              <w:t>(b)(1)</w:t>
            </w:r>
            <w:r w:rsidRPr="000F1E33">
              <w:rPr>
                <w:bCs/>
              </w:rPr>
              <w:t xml:space="preserve">(ii) 2,000 ppm or greater for all other pumps. </w:t>
            </w:r>
          </w:p>
          <w:p w14:paraId="5A67C64A" w14:textId="77777777" w:rsidR="00124AB6" w:rsidRPr="000F1E33" w:rsidRDefault="00124AB6" w:rsidP="004E3BFD">
            <w:pPr>
              <w:rPr>
                <w:bCs/>
              </w:rPr>
            </w:pPr>
          </w:p>
          <w:p w14:paraId="5A2EF8B8" w14:textId="77777777" w:rsidR="00124AB6" w:rsidRPr="000F1E33" w:rsidRDefault="00124AB6" w:rsidP="004E3BFD">
            <w:pPr>
              <w:rPr>
                <w:bCs/>
              </w:rPr>
            </w:pPr>
            <w:r>
              <w:rPr>
                <w:bCs/>
              </w:rPr>
              <w:t>(b)</w:t>
            </w:r>
            <w:r w:rsidRPr="000F1E33">
              <w:rPr>
                <w:bCs/>
              </w:rPr>
              <w:t>(2) If there are indications of liquids dripping from the pump seal, the owner or operator shall follow the procedure specified in either paragraph (b)(2)(</w:t>
            </w:r>
            <w:proofErr w:type="spellStart"/>
            <w:r w:rsidRPr="000F1E33">
              <w:rPr>
                <w:bCs/>
              </w:rPr>
              <w:t>i</w:t>
            </w:r>
            <w:proofErr w:type="spellEnd"/>
            <w:r w:rsidRPr="000F1E33">
              <w:rPr>
                <w:bCs/>
              </w:rPr>
              <w:t>) or (ii) of this section. This requirement does not apply to a pump that was monitored after a previous weekly inspection and the instrument reading was less than the concentration specified in paragraph (b)(1)(</w:t>
            </w:r>
            <w:proofErr w:type="spellStart"/>
            <w:r w:rsidRPr="000F1E33">
              <w:rPr>
                <w:bCs/>
              </w:rPr>
              <w:t>i</w:t>
            </w:r>
            <w:proofErr w:type="spellEnd"/>
            <w:r w:rsidRPr="000F1E33">
              <w:rPr>
                <w:bCs/>
              </w:rPr>
              <w:t xml:space="preserve">) or (ii) of this section, whichever is applicable. </w:t>
            </w:r>
          </w:p>
          <w:p w14:paraId="5708A400" w14:textId="77777777" w:rsidR="00124AB6" w:rsidRPr="000F1E33" w:rsidRDefault="00124AB6" w:rsidP="004E3BFD">
            <w:pPr>
              <w:rPr>
                <w:bCs/>
              </w:rPr>
            </w:pPr>
          </w:p>
          <w:p w14:paraId="01888931" w14:textId="77777777" w:rsidR="00124AB6" w:rsidRPr="000F1E33" w:rsidRDefault="00124AB6" w:rsidP="004E3BFD">
            <w:pPr>
              <w:rPr>
                <w:bCs/>
              </w:rPr>
            </w:pPr>
            <w:r>
              <w:rPr>
                <w:bCs/>
              </w:rPr>
              <w:t>(b)(2)</w:t>
            </w:r>
            <w:r w:rsidRPr="000F1E33">
              <w:rPr>
                <w:bCs/>
              </w:rPr>
              <w:t>(</w:t>
            </w:r>
            <w:proofErr w:type="spellStart"/>
            <w:r w:rsidRPr="000F1E33">
              <w:rPr>
                <w:bCs/>
              </w:rPr>
              <w:t>i</w:t>
            </w:r>
            <w:proofErr w:type="spellEnd"/>
            <w:r w:rsidRPr="000F1E33">
              <w:rPr>
                <w:bCs/>
              </w:rPr>
              <w:t>) Monitor the pump within 5 days as specified in § 60.485a(b). A leak is detected if the instrument reading measured during monitoring indicates a leak as specified in paragraph (b)(1)(</w:t>
            </w:r>
            <w:proofErr w:type="spellStart"/>
            <w:r w:rsidRPr="000F1E33">
              <w:rPr>
                <w:bCs/>
              </w:rPr>
              <w:t>i</w:t>
            </w:r>
            <w:proofErr w:type="spellEnd"/>
            <w:r w:rsidRPr="000F1E33">
              <w:rPr>
                <w:bCs/>
              </w:rPr>
              <w:t xml:space="preserve">) or (ii) of this section, whichever is applicable. The leak shall be repaired using the procedures in paragraph (c) of this section. </w:t>
            </w:r>
          </w:p>
          <w:p w14:paraId="6E03D392" w14:textId="77777777" w:rsidR="00124AB6" w:rsidRPr="000F1E33" w:rsidRDefault="00124AB6" w:rsidP="004E3BFD">
            <w:pPr>
              <w:rPr>
                <w:bCs/>
              </w:rPr>
            </w:pPr>
          </w:p>
          <w:p w14:paraId="23D87FC7" w14:textId="77777777" w:rsidR="00124AB6" w:rsidRPr="000F1E33" w:rsidRDefault="00124AB6" w:rsidP="004E3BFD">
            <w:pPr>
              <w:rPr>
                <w:bCs/>
              </w:rPr>
            </w:pPr>
            <w:r>
              <w:rPr>
                <w:bCs/>
              </w:rPr>
              <w:t>(b)(2)</w:t>
            </w:r>
            <w:r w:rsidRPr="000F1E33">
              <w:rPr>
                <w:bCs/>
              </w:rPr>
              <w:t xml:space="preserve">(ii) Designate the visual indications of liquids dripping as a </w:t>
            </w:r>
            <w:proofErr w:type="gramStart"/>
            <w:r w:rsidRPr="000F1E33">
              <w:rPr>
                <w:bCs/>
              </w:rPr>
              <w:t>leak, and</w:t>
            </w:r>
            <w:proofErr w:type="gramEnd"/>
            <w:r w:rsidRPr="000F1E33">
              <w:rPr>
                <w:bCs/>
              </w:rPr>
              <w:t xml:space="preserve"> repair the leak using either the procedures in paragraph (c) of this section or by eliminating the visual indications of liquids dripping. </w:t>
            </w:r>
          </w:p>
          <w:p w14:paraId="43AABE59" w14:textId="77777777" w:rsidR="00124AB6" w:rsidRPr="000F1E33" w:rsidRDefault="00124AB6" w:rsidP="004E3BFD">
            <w:pPr>
              <w:rPr>
                <w:bCs/>
              </w:rPr>
            </w:pPr>
          </w:p>
          <w:p w14:paraId="085539FF" w14:textId="77777777" w:rsidR="00124AB6" w:rsidRPr="000F1E33" w:rsidRDefault="00124AB6" w:rsidP="004E3BFD">
            <w:pPr>
              <w:rPr>
                <w:bCs/>
              </w:rPr>
            </w:pPr>
            <w:r w:rsidRPr="000F1E33">
              <w:rPr>
                <w:bCs/>
              </w:rPr>
              <w:t xml:space="preserve">(c)(1) When a leak is detected, it shall be repaired as soon as practicable, but not later than 15 calendar days after it is detected, except as provided in § 60.482–9a. </w:t>
            </w:r>
          </w:p>
          <w:p w14:paraId="489EA10F" w14:textId="77777777" w:rsidR="00124AB6" w:rsidRPr="000F1E33" w:rsidRDefault="00124AB6" w:rsidP="004E3BFD">
            <w:pPr>
              <w:rPr>
                <w:bCs/>
              </w:rPr>
            </w:pPr>
          </w:p>
          <w:p w14:paraId="0895A9D9" w14:textId="77777777" w:rsidR="00124AB6" w:rsidRPr="000F1E33" w:rsidRDefault="00124AB6" w:rsidP="004E3BFD">
            <w:pPr>
              <w:rPr>
                <w:bCs/>
              </w:rPr>
            </w:pPr>
            <w:r>
              <w:rPr>
                <w:bCs/>
              </w:rPr>
              <w:t>(c)</w:t>
            </w:r>
            <w:r w:rsidRPr="000F1E33">
              <w:rPr>
                <w:bCs/>
              </w:rPr>
              <w:t>(2) A first attempt at repair shall be made no later than 5 calendar days after each leak is detected. First attempts at repair include, but are not limited to, the practices described in paragraphs (c)(2)(</w:t>
            </w:r>
            <w:proofErr w:type="spellStart"/>
            <w:r w:rsidRPr="000F1E33">
              <w:rPr>
                <w:bCs/>
              </w:rPr>
              <w:t>i</w:t>
            </w:r>
            <w:proofErr w:type="spellEnd"/>
            <w:r w:rsidRPr="000F1E33">
              <w:rPr>
                <w:bCs/>
              </w:rPr>
              <w:t xml:space="preserve">) and (ii) of this section, where practicable. </w:t>
            </w:r>
          </w:p>
          <w:p w14:paraId="70A1A4CC" w14:textId="77777777" w:rsidR="00124AB6" w:rsidRPr="000F1E33" w:rsidRDefault="00124AB6" w:rsidP="004E3BFD">
            <w:pPr>
              <w:rPr>
                <w:bCs/>
              </w:rPr>
            </w:pPr>
          </w:p>
          <w:p w14:paraId="043C2471" w14:textId="77777777" w:rsidR="00124AB6" w:rsidRPr="000F1E33" w:rsidRDefault="00124AB6" w:rsidP="004E3BFD">
            <w:pPr>
              <w:rPr>
                <w:bCs/>
              </w:rPr>
            </w:pPr>
            <w:r>
              <w:rPr>
                <w:bCs/>
              </w:rPr>
              <w:t>(c)(2)</w:t>
            </w:r>
            <w:r w:rsidRPr="000F1E33">
              <w:rPr>
                <w:bCs/>
              </w:rPr>
              <w:t>(</w:t>
            </w:r>
            <w:proofErr w:type="spellStart"/>
            <w:r w:rsidRPr="000F1E33">
              <w:rPr>
                <w:bCs/>
              </w:rPr>
              <w:t>i</w:t>
            </w:r>
            <w:proofErr w:type="spellEnd"/>
            <w:r w:rsidRPr="000F1E33">
              <w:rPr>
                <w:bCs/>
              </w:rPr>
              <w:t xml:space="preserve">) Tightening the packing gland </w:t>
            </w:r>
            <w:proofErr w:type="gramStart"/>
            <w:r w:rsidRPr="000F1E33">
              <w:rPr>
                <w:bCs/>
              </w:rPr>
              <w:t>nuts;</w:t>
            </w:r>
            <w:proofErr w:type="gramEnd"/>
            <w:r w:rsidRPr="000F1E33">
              <w:rPr>
                <w:bCs/>
              </w:rPr>
              <w:t xml:space="preserve"> </w:t>
            </w:r>
          </w:p>
          <w:p w14:paraId="124EC01F" w14:textId="77777777" w:rsidR="00124AB6" w:rsidRPr="000F1E33" w:rsidRDefault="00124AB6" w:rsidP="004E3BFD">
            <w:pPr>
              <w:rPr>
                <w:bCs/>
              </w:rPr>
            </w:pPr>
            <w:r>
              <w:rPr>
                <w:bCs/>
              </w:rPr>
              <w:t>(c)(2)</w:t>
            </w:r>
            <w:r w:rsidRPr="000F1E33">
              <w:rPr>
                <w:bCs/>
              </w:rPr>
              <w:t xml:space="preserve">(ii) Ensuring that the seal flush is operating at design pressure and temperature. </w:t>
            </w:r>
          </w:p>
          <w:p w14:paraId="722D1A29" w14:textId="77777777" w:rsidR="00124AB6" w:rsidRPr="000F1E33" w:rsidRDefault="00124AB6" w:rsidP="004E3BFD">
            <w:pPr>
              <w:rPr>
                <w:bCs/>
              </w:rPr>
            </w:pPr>
          </w:p>
          <w:p w14:paraId="475179E0" w14:textId="77777777" w:rsidR="00124AB6" w:rsidRPr="000F1E33" w:rsidRDefault="00124AB6" w:rsidP="004E3BFD">
            <w:pPr>
              <w:rPr>
                <w:bCs/>
              </w:rPr>
            </w:pPr>
            <w:r w:rsidRPr="000F1E33">
              <w:rPr>
                <w:bCs/>
              </w:rPr>
              <w:t xml:space="preserve">(d) Each pump equipped with a dual mechanical seal system that includes a barrier fluid system is exempt from the requirements of paragraph (a) of this section, provided the requirements specified in paragraphs (d)(1) through (6) of this section are met. </w:t>
            </w:r>
          </w:p>
          <w:p w14:paraId="1BBD5E45" w14:textId="77777777" w:rsidR="00124AB6" w:rsidRPr="000F1E33" w:rsidRDefault="00124AB6" w:rsidP="004E3BFD">
            <w:pPr>
              <w:rPr>
                <w:bCs/>
              </w:rPr>
            </w:pPr>
          </w:p>
          <w:p w14:paraId="4AD63304" w14:textId="77777777" w:rsidR="00124AB6" w:rsidRPr="000F1E33" w:rsidRDefault="00124AB6" w:rsidP="004E3BFD">
            <w:pPr>
              <w:rPr>
                <w:bCs/>
              </w:rPr>
            </w:pPr>
            <w:r>
              <w:rPr>
                <w:bCs/>
              </w:rPr>
              <w:t>(d)</w:t>
            </w:r>
            <w:r w:rsidRPr="000F1E33">
              <w:rPr>
                <w:bCs/>
              </w:rPr>
              <w:t xml:space="preserve">(1) Each dual mechanical seal system is: </w:t>
            </w:r>
          </w:p>
          <w:p w14:paraId="166FF1E7" w14:textId="77777777" w:rsidR="00124AB6" w:rsidRPr="000F1E33" w:rsidRDefault="00124AB6" w:rsidP="004E3BFD">
            <w:pPr>
              <w:rPr>
                <w:bCs/>
              </w:rPr>
            </w:pPr>
          </w:p>
          <w:p w14:paraId="5F9FEF67" w14:textId="77777777" w:rsidR="00124AB6" w:rsidRPr="000F1E33" w:rsidRDefault="00124AB6" w:rsidP="004E3BFD">
            <w:pPr>
              <w:rPr>
                <w:bCs/>
              </w:rPr>
            </w:pPr>
            <w:r>
              <w:rPr>
                <w:bCs/>
              </w:rPr>
              <w:t>(d)(1)</w:t>
            </w:r>
            <w:r w:rsidRPr="000F1E33">
              <w:rPr>
                <w:bCs/>
              </w:rPr>
              <w:t>(</w:t>
            </w:r>
            <w:proofErr w:type="spellStart"/>
            <w:r w:rsidRPr="000F1E33">
              <w:rPr>
                <w:bCs/>
              </w:rPr>
              <w:t>i</w:t>
            </w:r>
            <w:proofErr w:type="spellEnd"/>
            <w:r w:rsidRPr="000F1E33">
              <w:rPr>
                <w:bCs/>
              </w:rPr>
              <w:t xml:space="preserve">) Operated with the barrier fluid at a pressure that </w:t>
            </w:r>
            <w:proofErr w:type="gramStart"/>
            <w:r w:rsidRPr="000F1E33">
              <w:rPr>
                <w:bCs/>
              </w:rPr>
              <w:t>is at all times</w:t>
            </w:r>
            <w:proofErr w:type="gramEnd"/>
            <w:r w:rsidRPr="000F1E33">
              <w:rPr>
                <w:bCs/>
              </w:rPr>
              <w:t xml:space="preserve"> greater than the pump stuffing box pressure; or </w:t>
            </w:r>
          </w:p>
          <w:p w14:paraId="15B01D02" w14:textId="77777777" w:rsidR="00124AB6" w:rsidRPr="000F1E33" w:rsidRDefault="00124AB6" w:rsidP="004E3BFD">
            <w:pPr>
              <w:rPr>
                <w:bCs/>
              </w:rPr>
            </w:pPr>
          </w:p>
          <w:p w14:paraId="2055A05B" w14:textId="77777777" w:rsidR="00124AB6" w:rsidRPr="000F1E33" w:rsidRDefault="00124AB6" w:rsidP="004E3BFD">
            <w:pPr>
              <w:rPr>
                <w:bCs/>
              </w:rPr>
            </w:pPr>
            <w:r>
              <w:rPr>
                <w:bCs/>
              </w:rPr>
              <w:t>(d)(1)</w:t>
            </w:r>
            <w:r w:rsidRPr="000F1E33">
              <w:rPr>
                <w:bCs/>
              </w:rPr>
              <w:t xml:space="preserve">(ii) Equipped with a barrier fluid degassing reservoir that is routed to a process or fuel gas system or connected by a closed vent system to a control device that complies with the requirements of § 60.482–10a; or </w:t>
            </w:r>
          </w:p>
          <w:p w14:paraId="0FF5999B" w14:textId="77777777" w:rsidR="00124AB6" w:rsidRPr="000F1E33" w:rsidRDefault="00124AB6" w:rsidP="004E3BFD">
            <w:pPr>
              <w:rPr>
                <w:bCs/>
              </w:rPr>
            </w:pPr>
          </w:p>
          <w:p w14:paraId="5C127AEA" w14:textId="77777777" w:rsidR="00124AB6" w:rsidRPr="000F1E33" w:rsidRDefault="00124AB6" w:rsidP="004E3BFD">
            <w:pPr>
              <w:rPr>
                <w:bCs/>
              </w:rPr>
            </w:pPr>
            <w:r>
              <w:rPr>
                <w:bCs/>
              </w:rPr>
              <w:t>(d)(1)</w:t>
            </w:r>
            <w:r w:rsidRPr="000F1E33">
              <w:rPr>
                <w:bCs/>
              </w:rPr>
              <w:t xml:space="preserve">(iii) Equipped with a system that purges the barrier fluid into a process stream with zero VOC emissions to the atmosphere. </w:t>
            </w:r>
          </w:p>
          <w:p w14:paraId="4C025845" w14:textId="77777777" w:rsidR="00124AB6" w:rsidRPr="000F1E33" w:rsidRDefault="00124AB6" w:rsidP="004E3BFD">
            <w:pPr>
              <w:rPr>
                <w:bCs/>
              </w:rPr>
            </w:pPr>
          </w:p>
          <w:p w14:paraId="1101332C" w14:textId="77777777" w:rsidR="00124AB6" w:rsidRPr="000F1E33" w:rsidRDefault="00124AB6" w:rsidP="004E3BFD">
            <w:pPr>
              <w:rPr>
                <w:bCs/>
              </w:rPr>
            </w:pPr>
            <w:r>
              <w:rPr>
                <w:bCs/>
              </w:rPr>
              <w:t>(d)</w:t>
            </w:r>
            <w:r w:rsidRPr="000F1E33">
              <w:rPr>
                <w:bCs/>
              </w:rPr>
              <w:t xml:space="preserve">(2) The barrier fluid system is in heavy liquid service or is not in VOC service. </w:t>
            </w:r>
          </w:p>
          <w:p w14:paraId="7614EC3C" w14:textId="77777777" w:rsidR="00124AB6" w:rsidRPr="000F1E33" w:rsidRDefault="00124AB6" w:rsidP="004E3BFD">
            <w:pPr>
              <w:rPr>
                <w:bCs/>
              </w:rPr>
            </w:pPr>
          </w:p>
          <w:p w14:paraId="1BB79E0E" w14:textId="77777777" w:rsidR="00124AB6" w:rsidRPr="000F1E33" w:rsidRDefault="00124AB6" w:rsidP="004E3BFD">
            <w:pPr>
              <w:rPr>
                <w:bCs/>
              </w:rPr>
            </w:pPr>
            <w:r>
              <w:rPr>
                <w:bCs/>
              </w:rPr>
              <w:t>(d)</w:t>
            </w:r>
            <w:r w:rsidRPr="000F1E33">
              <w:rPr>
                <w:bCs/>
              </w:rPr>
              <w:t xml:space="preserve">(3) Each barrier fluid system is equipped with a sensor that will detect failure of the seal system, the barrier fluid system, or both. </w:t>
            </w:r>
          </w:p>
          <w:p w14:paraId="6E37340F" w14:textId="77777777" w:rsidR="00124AB6" w:rsidRPr="000F1E33" w:rsidRDefault="00124AB6" w:rsidP="004E3BFD">
            <w:pPr>
              <w:rPr>
                <w:bCs/>
              </w:rPr>
            </w:pPr>
          </w:p>
          <w:p w14:paraId="56D50D66" w14:textId="77777777" w:rsidR="00124AB6" w:rsidRPr="000F1E33" w:rsidRDefault="00124AB6" w:rsidP="004E3BFD">
            <w:pPr>
              <w:rPr>
                <w:bCs/>
              </w:rPr>
            </w:pPr>
            <w:r>
              <w:rPr>
                <w:bCs/>
              </w:rPr>
              <w:t>(d)</w:t>
            </w:r>
            <w:r w:rsidRPr="000F1E33">
              <w:rPr>
                <w:bCs/>
              </w:rPr>
              <w:t>(4)(</w:t>
            </w:r>
            <w:proofErr w:type="spellStart"/>
            <w:r w:rsidRPr="000F1E33">
              <w:rPr>
                <w:bCs/>
              </w:rPr>
              <w:t>i</w:t>
            </w:r>
            <w:proofErr w:type="spellEnd"/>
            <w:r w:rsidRPr="000F1E33">
              <w:rPr>
                <w:bCs/>
              </w:rPr>
              <w:t xml:space="preserve">) Each pump is checked by visual inspection, each calendar week, for indications of liquids dripping from the pump seals. </w:t>
            </w:r>
          </w:p>
          <w:p w14:paraId="466FD5E6" w14:textId="77777777" w:rsidR="00124AB6" w:rsidRPr="000F1E33" w:rsidRDefault="00124AB6" w:rsidP="004E3BFD">
            <w:pPr>
              <w:rPr>
                <w:bCs/>
              </w:rPr>
            </w:pPr>
          </w:p>
          <w:p w14:paraId="4B6DBC35" w14:textId="77777777" w:rsidR="00124AB6" w:rsidRPr="000F1E33" w:rsidRDefault="00124AB6" w:rsidP="004E3BFD">
            <w:pPr>
              <w:rPr>
                <w:bCs/>
              </w:rPr>
            </w:pPr>
            <w:r>
              <w:rPr>
                <w:bCs/>
              </w:rPr>
              <w:t>(d)(4)</w:t>
            </w:r>
            <w:r w:rsidRPr="000F1E33">
              <w:rPr>
                <w:bCs/>
              </w:rPr>
              <w:t xml:space="preserve">(ii) If there are indications of liquids dripping from the pump seal at the time of the weekly inspection, the owner or operator shall follow the procedure specified in either paragraph (d)(4)(ii)(A) or (B) of this section prior to the next required inspection. </w:t>
            </w:r>
          </w:p>
          <w:p w14:paraId="4BDA2D6C" w14:textId="77777777" w:rsidR="00124AB6" w:rsidRPr="000F1E33" w:rsidRDefault="00124AB6" w:rsidP="004E3BFD">
            <w:pPr>
              <w:rPr>
                <w:bCs/>
              </w:rPr>
            </w:pPr>
          </w:p>
          <w:p w14:paraId="0C0D5EDB" w14:textId="77777777" w:rsidR="00124AB6" w:rsidRPr="000F1E33" w:rsidRDefault="00124AB6" w:rsidP="004E3BFD">
            <w:pPr>
              <w:rPr>
                <w:bCs/>
              </w:rPr>
            </w:pPr>
            <w:r>
              <w:rPr>
                <w:bCs/>
              </w:rPr>
              <w:t>(d)(4)(ii)</w:t>
            </w:r>
            <w:r w:rsidRPr="000F1E33">
              <w:rPr>
                <w:bCs/>
              </w:rPr>
              <w:t xml:space="preserve">(A) Monitor the pump within 5 days as specified in § 60.485a(b) to determine if there is a leak of VOC in the barrier fluid. If an instrument reading of 2,000 ppm or greater is measured, a leak is detected. </w:t>
            </w:r>
          </w:p>
          <w:p w14:paraId="77FCAA22" w14:textId="77777777" w:rsidR="00124AB6" w:rsidRPr="000F1E33" w:rsidRDefault="00124AB6" w:rsidP="004E3BFD">
            <w:pPr>
              <w:rPr>
                <w:bCs/>
              </w:rPr>
            </w:pPr>
          </w:p>
          <w:p w14:paraId="3317CB7F" w14:textId="77777777" w:rsidR="00124AB6" w:rsidRPr="000F1E33" w:rsidRDefault="00124AB6" w:rsidP="004E3BFD">
            <w:pPr>
              <w:rPr>
                <w:bCs/>
              </w:rPr>
            </w:pPr>
            <w:r>
              <w:rPr>
                <w:bCs/>
              </w:rPr>
              <w:t>(d)(4)(ii)</w:t>
            </w:r>
            <w:r w:rsidRPr="000F1E33">
              <w:rPr>
                <w:bCs/>
              </w:rPr>
              <w:t xml:space="preserve">(B) Designate the visual indications of liquids dripping as a leak. </w:t>
            </w:r>
          </w:p>
          <w:p w14:paraId="32E68567" w14:textId="77777777" w:rsidR="00124AB6" w:rsidRPr="000F1E33" w:rsidRDefault="00124AB6" w:rsidP="004E3BFD">
            <w:pPr>
              <w:rPr>
                <w:bCs/>
              </w:rPr>
            </w:pPr>
          </w:p>
          <w:p w14:paraId="50989815" w14:textId="77777777" w:rsidR="00124AB6" w:rsidRPr="000F1E33" w:rsidRDefault="00124AB6" w:rsidP="004E3BFD">
            <w:pPr>
              <w:rPr>
                <w:bCs/>
              </w:rPr>
            </w:pPr>
            <w:r>
              <w:rPr>
                <w:bCs/>
              </w:rPr>
              <w:t>(d)</w:t>
            </w:r>
            <w:r w:rsidRPr="000F1E33">
              <w:rPr>
                <w:bCs/>
              </w:rPr>
              <w:t>(5)(</w:t>
            </w:r>
            <w:proofErr w:type="spellStart"/>
            <w:r w:rsidRPr="000F1E33">
              <w:rPr>
                <w:bCs/>
              </w:rPr>
              <w:t>i</w:t>
            </w:r>
            <w:proofErr w:type="spellEnd"/>
            <w:r w:rsidRPr="000F1E33">
              <w:rPr>
                <w:bCs/>
              </w:rPr>
              <w:t xml:space="preserve">) Each sensor as described in paragraph (d)(3) is checked daily or is equipped with an audible alarm. </w:t>
            </w:r>
          </w:p>
          <w:p w14:paraId="090F4B67" w14:textId="77777777" w:rsidR="00124AB6" w:rsidRPr="000F1E33" w:rsidRDefault="00124AB6" w:rsidP="004E3BFD">
            <w:pPr>
              <w:rPr>
                <w:bCs/>
              </w:rPr>
            </w:pPr>
          </w:p>
          <w:p w14:paraId="2ACC65DE" w14:textId="77777777" w:rsidR="00124AB6" w:rsidRPr="000F1E33" w:rsidRDefault="00124AB6" w:rsidP="004E3BFD">
            <w:pPr>
              <w:rPr>
                <w:bCs/>
              </w:rPr>
            </w:pPr>
            <w:r>
              <w:rPr>
                <w:bCs/>
              </w:rPr>
              <w:t>(d)(5)</w:t>
            </w:r>
            <w:r w:rsidRPr="000F1E33">
              <w:rPr>
                <w:bCs/>
              </w:rPr>
              <w:t xml:space="preserve">(ii) The owner or operator determines, based on design considerations and operating experience, a criterion that indicates failure of the seal system, the barrier fluid system, or both. </w:t>
            </w:r>
          </w:p>
          <w:p w14:paraId="7E6CB901" w14:textId="77777777" w:rsidR="00124AB6" w:rsidRPr="000F1E33" w:rsidRDefault="00124AB6" w:rsidP="004E3BFD">
            <w:pPr>
              <w:rPr>
                <w:bCs/>
              </w:rPr>
            </w:pPr>
          </w:p>
          <w:p w14:paraId="2C0266E2" w14:textId="77777777" w:rsidR="00124AB6" w:rsidRPr="000F1E33" w:rsidRDefault="00124AB6" w:rsidP="004E3BFD">
            <w:pPr>
              <w:rPr>
                <w:bCs/>
              </w:rPr>
            </w:pPr>
            <w:r>
              <w:rPr>
                <w:bCs/>
              </w:rPr>
              <w:t>(d)(5)</w:t>
            </w:r>
            <w:r w:rsidRPr="000F1E33">
              <w:rPr>
                <w:bCs/>
              </w:rPr>
              <w:t xml:space="preserve">(iii) If the sensor indicates failure of the seal system, the barrier fluid system, or both, based on the criterion established in paragraph (d)(5)(ii) of this section, a leak is detected. </w:t>
            </w:r>
          </w:p>
          <w:p w14:paraId="7331A7F7" w14:textId="77777777" w:rsidR="00124AB6" w:rsidRPr="000F1E33" w:rsidRDefault="00124AB6" w:rsidP="004E3BFD">
            <w:pPr>
              <w:rPr>
                <w:bCs/>
              </w:rPr>
            </w:pPr>
          </w:p>
          <w:p w14:paraId="5305B3F4" w14:textId="77777777" w:rsidR="00124AB6" w:rsidRPr="000F1E33" w:rsidRDefault="00124AB6" w:rsidP="004E3BFD">
            <w:pPr>
              <w:rPr>
                <w:bCs/>
              </w:rPr>
            </w:pPr>
            <w:r>
              <w:rPr>
                <w:bCs/>
              </w:rPr>
              <w:t>(d)</w:t>
            </w:r>
            <w:r w:rsidRPr="000F1E33">
              <w:rPr>
                <w:bCs/>
              </w:rPr>
              <w:t>(6)(</w:t>
            </w:r>
            <w:proofErr w:type="spellStart"/>
            <w:r w:rsidRPr="000F1E33">
              <w:rPr>
                <w:bCs/>
              </w:rPr>
              <w:t>i</w:t>
            </w:r>
            <w:proofErr w:type="spellEnd"/>
            <w:r w:rsidRPr="000F1E33">
              <w:rPr>
                <w:bCs/>
              </w:rPr>
              <w:t xml:space="preserve">) When a leak is detected pursuant to paragraph (d)(4)(ii)(A) of this section, it shall be repaired as specified in paragraph (c) of this section. </w:t>
            </w:r>
          </w:p>
          <w:p w14:paraId="1CD56FFC" w14:textId="77777777" w:rsidR="00124AB6" w:rsidRPr="000F1E33" w:rsidRDefault="00124AB6" w:rsidP="004E3BFD">
            <w:pPr>
              <w:rPr>
                <w:bCs/>
              </w:rPr>
            </w:pPr>
          </w:p>
          <w:p w14:paraId="4335CFF1" w14:textId="77777777" w:rsidR="00124AB6" w:rsidRPr="000F1E33" w:rsidRDefault="00124AB6" w:rsidP="004E3BFD">
            <w:pPr>
              <w:rPr>
                <w:bCs/>
              </w:rPr>
            </w:pPr>
            <w:r>
              <w:rPr>
                <w:bCs/>
              </w:rPr>
              <w:t>(d)(6)</w:t>
            </w:r>
            <w:r w:rsidRPr="000F1E33">
              <w:rPr>
                <w:bCs/>
              </w:rPr>
              <w:t xml:space="preserve">(ii) A leak detected pursuant to paragraph (d)(5)(iii) of this section shall be repaired within 15 days of detection by eliminating the conditions that activated the sensor. </w:t>
            </w:r>
          </w:p>
          <w:p w14:paraId="02772FA4" w14:textId="77777777" w:rsidR="00124AB6" w:rsidRPr="000F1E33" w:rsidRDefault="00124AB6" w:rsidP="004E3BFD">
            <w:pPr>
              <w:rPr>
                <w:bCs/>
              </w:rPr>
            </w:pPr>
          </w:p>
          <w:p w14:paraId="316B46F3" w14:textId="77777777" w:rsidR="00124AB6" w:rsidRPr="000F1E33" w:rsidRDefault="00124AB6" w:rsidP="004E3BFD">
            <w:pPr>
              <w:rPr>
                <w:bCs/>
              </w:rPr>
            </w:pPr>
            <w:r>
              <w:rPr>
                <w:bCs/>
              </w:rPr>
              <w:t>(d)(6)</w:t>
            </w:r>
            <w:r w:rsidRPr="000F1E33">
              <w:rPr>
                <w:bCs/>
              </w:rPr>
              <w:t xml:space="preserve">(iii) A designated leak pursuant to paragraph (d)(4)(ii)(B) of this section shall be repaired within 15 days of detection by eliminating visual indications of liquids dripping. </w:t>
            </w:r>
          </w:p>
          <w:p w14:paraId="7B8D9DBC" w14:textId="77777777" w:rsidR="00124AB6" w:rsidRPr="000F1E33" w:rsidRDefault="00124AB6" w:rsidP="004E3BFD">
            <w:pPr>
              <w:rPr>
                <w:bCs/>
              </w:rPr>
            </w:pPr>
          </w:p>
          <w:p w14:paraId="02E934C1" w14:textId="77777777" w:rsidR="00124AB6" w:rsidRPr="000F1E33" w:rsidRDefault="00124AB6" w:rsidP="004E3BFD">
            <w:pPr>
              <w:rPr>
                <w:bCs/>
              </w:rPr>
            </w:pPr>
            <w:r w:rsidRPr="000F1E33">
              <w:rPr>
                <w:bCs/>
              </w:rPr>
              <w:t xml:space="preserve">(e) Any pump that is designated, as described in § 60.486a(e)(1) and (2), for no detectable emissions, as indicated by an instrument reading of less than 500 ppm above background, is exempt from the requirements of paragraphs (a), (c), and (d) of this section if the pump: </w:t>
            </w:r>
          </w:p>
          <w:p w14:paraId="4799828A" w14:textId="77777777" w:rsidR="00124AB6" w:rsidRPr="000F1E33" w:rsidRDefault="00124AB6" w:rsidP="004E3BFD">
            <w:pPr>
              <w:rPr>
                <w:bCs/>
              </w:rPr>
            </w:pPr>
          </w:p>
          <w:p w14:paraId="6731CB57" w14:textId="77777777" w:rsidR="00124AB6" w:rsidRPr="000F1E33" w:rsidRDefault="00124AB6" w:rsidP="004E3BFD">
            <w:pPr>
              <w:rPr>
                <w:bCs/>
              </w:rPr>
            </w:pPr>
            <w:r>
              <w:rPr>
                <w:bCs/>
              </w:rPr>
              <w:t>(e)</w:t>
            </w:r>
            <w:r w:rsidRPr="000F1E33">
              <w:rPr>
                <w:bCs/>
              </w:rPr>
              <w:t xml:space="preserve">(1) Has no externally actuated shaft penetrating the pump </w:t>
            </w:r>
            <w:proofErr w:type="gramStart"/>
            <w:r w:rsidRPr="000F1E33">
              <w:rPr>
                <w:bCs/>
              </w:rPr>
              <w:t>housing;</w:t>
            </w:r>
            <w:proofErr w:type="gramEnd"/>
            <w:r w:rsidRPr="000F1E33">
              <w:rPr>
                <w:bCs/>
              </w:rPr>
              <w:t xml:space="preserve"> </w:t>
            </w:r>
          </w:p>
          <w:p w14:paraId="7C52A5F6" w14:textId="77777777" w:rsidR="00124AB6" w:rsidRPr="000F1E33" w:rsidRDefault="00124AB6" w:rsidP="004E3BFD">
            <w:pPr>
              <w:rPr>
                <w:bCs/>
              </w:rPr>
            </w:pPr>
          </w:p>
          <w:p w14:paraId="09B5DB03" w14:textId="77777777" w:rsidR="00124AB6" w:rsidRPr="000F1E33" w:rsidRDefault="00124AB6" w:rsidP="004E3BFD">
            <w:pPr>
              <w:rPr>
                <w:bCs/>
              </w:rPr>
            </w:pPr>
            <w:r>
              <w:rPr>
                <w:bCs/>
              </w:rPr>
              <w:t>(e)</w:t>
            </w:r>
            <w:r w:rsidRPr="000F1E33">
              <w:rPr>
                <w:bCs/>
              </w:rPr>
              <w:t xml:space="preserve">(2) Is demonstrated to be operating with no detectable emissions as indicated by an instrument reading of less than 500 ppm above background as measured by the methods specified in § 60.485a(c); and </w:t>
            </w:r>
          </w:p>
          <w:p w14:paraId="209FB352" w14:textId="77777777" w:rsidR="00124AB6" w:rsidRPr="000F1E33" w:rsidRDefault="00124AB6" w:rsidP="004E3BFD">
            <w:pPr>
              <w:rPr>
                <w:bCs/>
              </w:rPr>
            </w:pPr>
          </w:p>
          <w:p w14:paraId="29AF113B" w14:textId="77777777" w:rsidR="00124AB6" w:rsidRDefault="00124AB6" w:rsidP="004E3BFD">
            <w:pPr>
              <w:rPr>
                <w:bCs/>
              </w:rPr>
            </w:pPr>
            <w:r>
              <w:rPr>
                <w:bCs/>
              </w:rPr>
              <w:t>(e)</w:t>
            </w:r>
            <w:r w:rsidRPr="000F1E33">
              <w:rPr>
                <w:bCs/>
              </w:rPr>
              <w:t>(3) Is tested for compliance with paragraph (e)(2) of this section initially upon designation, annually, and at other times requested by the Administrator.</w:t>
            </w:r>
          </w:p>
          <w:p w14:paraId="3C34C001" w14:textId="77777777" w:rsidR="00124AB6" w:rsidRPr="000F1E33" w:rsidRDefault="00124AB6" w:rsidP="004E3BFD">
            <w:pPr>
              <w:rPr>
                <w:bCs/>
              </w:rPr>
            </w:pPr>
          </w:p>
          <w:p w14:paraId="4EB6A959" w14:textId="77777777" w:rsidR="00124AB6" w:rsidRPr="000F1E33" w:rsidRDefault="00124AB6" w:rsidP="004E3BFD">
            <w:pPr>
              <w:rPr>
                <w:bCs/>
              </w:rPr>
            </w:pPr>
            <w:r w:rsidRPr="000F1E33">
              <w:rPr>
                <w:bCs/>
              </w:rPr>
              <w:t xml:space="preserve">(g) Any pump that is designated, as described in § 60.486a(f)(1), as an unsafe-to-monitor pump is exempt from the monitoring and inspection requirements of paragraphs (a) and (d)(4) through (6) of this section if: </w:t>
            </w:r>
          </w:p>
          <w:p w14:paraId="508BA402" w14:textId="77777777" w:rsidR="00124AB6" w:rsidRPr="000F1E33" w:rsidRDefault="00124AB6" w:rsidP="004E3BFD">
            <w:pPr>
              <w:rPr>
                <w:bCs/>
              </w:rPr>
            </w:pPr>
          </w:p>
          <w:p w14:paraId="181FB10D" w14:textId="77777777" w:rsidR="00124AB6" w:rsidRPr="000F1E33" w:rsidRDefault="00124AB6" w:rsidP="004E3BFD">
            <w:pPr>
              <w:rPr>
                <w:bCs/>
              </w:rPr>
            </w:pPr>
            <w:r>
              <w:rPr>
                <w:bCs/>
              </w:rPr>
              <w:t>(g)</w:t>
            </w:r>
            <w:r w:rsidRPr="000F1E33">
              <w:rPr>
                <w:bCs/>
              </w:rPr>
              <w:t xml:space="preserve">(1) The owner or operator of the pump demonstrates that the pump is unsafe-to-monitor because monitoring personnel would be exposed to an immediate danger </w:t>
            </w:r>
            <w:proofErr w:type="gramStart"/>
            <w:r w:rsidRPr="000F1E33">
              <w:rPr>
                <w:bCs/>
              </w:rPr>
              <w:t>as a consequence of</w:t>
            </w:r>
            <w:proofErr w:type="gramEnd"/>
            <w:r w:rsidRPr="000F1E33">
              <w:rPr>
                <w:bCs/>
              </w:rPr>
              <w:t xml:space="preserve"> complying with paragraph (a) of this section; and </w:t>
            </w:r>
          </w:p>
          <w:p w14:paraId="12D80EC6" w14:textId="77777777" w:rsidR="00124AB6" w:rsidRPr="000F1E33" w:rsidRDefault="00124AB6" w:rsidP="004E3BFD">
            <w:pPr>
              <w:rPr>
                <w:bCs/>
              </w:rPr>
            </w:pPr>
          </w:p>
          <w:p w14:paraId="05BB8D9C" w14:textId="77777777" w:rsidR="00124AB6" w:rsidRPr="001B6EC4" w:rsidRDefault="00124AB6" w:rsidP="004E3BFD">
            <w:pPr>
              <w:rPr>
                <w:b/>
              </w:rPr>
            </w:pPr>
            <w:r>
              <w:rPr>
                <w:bCs/>
              </w:rPr>
              <w:t>(g)</w:t>
            </w:r>
            <w:r w:rsidRPr="000F1E33">
              <w:rPr>
                <w:bCs/>
              </w:rPr>
              <w:t>(2) The owner or operator of the pump has a written plan that requires monitoring of the pump as frequently as practicable during safe-to-monitor times, but not more frequently than the periodic monitoring schedule otherwise applicable, and repair of the equipment according to the procedures in paragraph (c) of this section if a leak is detected</w:t>
            </w:r>
            <w:r>
              <w:rPr>
                <w:bCs/>
              </w:rPr>
              <w:t>.</w:t>
            </w:r>
          </w:p>
        </w:tc>
      </w:tr>
      <w:tr w:rsidR="00124AB6" w:rsidRPr="001B6EC4" w14:paraId="7EA10C7A"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7" w:type="dxa"/>
          </w:tcPr>
          <w:p w14:paraId="7F211E36" w14:textId="77777777" w:rsidR="00124AB6" w:rsidRPr="000A5D3A" w:rsidRDefault="00124AB6" w:rsidP="004E3BFD">
            <w:pPr>
              <w:pStyle w:val="BNum"/>
              <w:rPr>
                <w:bCs/>
              </w:rPr>
            </w:pPr>
          </w:p>
        </w:tc>
        <w:tc>
          <w:tcPr>
            <w:tcW w:w="9433" w:type="dxa"/>
          </w:tcPr>
          <w:p w14:paraId="3490F820" w14:textId="77777777" w:rsidR="00124AB6" w:rsidRPr="001B6EC4" w:rsidRDefault="00124AB6" w:rsidP="004E3BFD">
            <w:r w:rsidRPr="001B6EC4">
              <w:rPr>
                <w:b/>
              </w:rPr>
              <w:t>Emission Unit ID:</w:t>
            </w:r>
            <w:r>
              <w:rPr>
                <w:b/>
              </w:rPr>
              <w:t xml:space="preserve"> </w:t>
            </w:r>
            <w:r w:rsidRPr="00F61457">
              <w:rPr>
                <w:bCs/>
              </w:rPr>
              <w:t>06, 07</w:t>
            </w:r>
          </w:p>
          <w:p w14:paraId="388BBCDE" w14:textId="77777777" w:rsidR="00124AB6" w:rsidRDefault="00124AB6" w:rsidP="004E3BFD">
            <w:r w:rsidRPr="009A00D8">
              <w:rPr>
                <w:b/>
              </w:rPr>
              <w:t>Equipment ID:</w:t>
            </w:r>
            <w:r w:rsidRPr="009A00D8">
              <w:t xml:space="preserve"> </w:t>
            </w:r>
            <w:r>
              <w:t xml:space="preserve">R-2, R-4, R-8 </w:t>
            </w:r>
          </w:p>
          <w:p w14:paraId="63D950EF" w14:textId="77777777" w:rsidR="00124AB6" w:rsidRDefault="00124AB6" w:rsidP="004E3BFD">
            <w:r w:rsidRPr="009A00D8">
              <w:rPr>
                <w:b/>
              </w:rPr>
              <w:t>Control Device ID:</w:t>
            </w:r>
            <w:r>
              <w:rPr>
                <w:b/>
              </w:rPr>
              <w:t xml:space="preserve"> </w:t>
            </w:r>
            <w:r>
              <w:rPr>
                <w:bCs/>
              </w:rPr>
              <w:t>NP-1</w:t>
            </w:r>
            <w:r w:rsidRPr="009A00D8">
              <w:t xml:space="preserve"> </w:t>
            </w:r>
          </w:p>
          <w:p w14:paraId="2302DB2F" w14:textId="77777777" w:rsidR="00124AB6" w:rsidRDefault="00124AB6" w:rsidP="004E3BFD">
            <w:pPr>
              <w:rPr>
                <w:b/>
              </w:rPr>
            </w:pPr>
          </w:p>
          <w:p w14:paraId="3F9F654D" w14:textId="77777777" w:rsidR="00124AB6" w:rsidRPr="000F1E33" w:rsidRDefault="00124AB6" w:rsidP="004E3BFD">
            <w:pPr>
              <w:rPr>
                <w:bCs/>
              </w:rPr>
            </w:pPr>
            <w:r>
              <w:rPr>
                <w:bCs/>
              </w:rPr>
              <w:t>40CFR</w:t>
            </w:r>
            <w:r w:rsidRPr="000F1E33">
              <w:rPr>
                <w:bCs/>
              </w:rPr>
              <w:t>60.482-4a Standards: Pressure relief devices in gas/vapor service.</w:t>
            </w:r>
          </w:p>
          <w:p w14:paraId="60FE22E6" w14:textId="77777777" w:rsidR="00124AB6" w:rsidRPr="000F1E33" w:rsidRDefault="00124AB6" w:rsidP="004E3BFD">
            <w:pPr>
              <w:rPr>
                <w:bCs/>
              </w:rPr>
            </w:pPr>
          </w:p>
          <w:p w14:paraId="108DA8ED" w14:textId="77777777" w:rsidR="00124AB6" w:rsidRPr="000F1E33" w:rsidRDefault="00124AB6" w:rsidP="004E3BFD">
            <w:pPr>
              <w:rPr>
                <w:bCs/>
              </w:rPr>
            </w:pPr>
            <w:r w:rsidRPr="000F1E33">
              <w:rPr>
                <w:bCs/>
              </w:rPr>
              <w:t xml:space="preserve">(a) Except during pressure releases, each pressure relief device in gas/vapor service shall be operated with no detectable emissions, as indicated by an instrument reading of less than 500 ppm above background, as determined by the methods specified in § 60.485a(c). </w:t>
            </w:r>
          </w:p>
          <w:p w14:paraId="259637A2" w14:textId="77777777" w:rsidR="00124AB6" w:rsidRPr="000F1E33" w:rsidRDefault="00124AB6" w:rsidP="004E3BFD">
            <w:pPr>
              <w:rPr>
                <w:bCs/>
              </w:rPr>
            </w:pPr>
          </w:p>
          <w:p w14:paraId="0EE109C9" w14:textId="77777777" w:rsidR="00124AB6" w:rsidRPr="000F1E33" w:rsidRDefault="00124AB6" w:rsidP="004E3BFD">
            <w:pPr>
              <w:rPr>
                <w:bCs/>
              </w:rPr>
            </w:pPr>
            <w:r w:rsidRPr="000F1E33">
              <w:rPr>
                <w:bCs/>
              </w:rPr>
              <w:t xml:space="preserve">(b)(1) After each pressure release, the pressure relief device shall be returned to a condition of no detectable emissions, as indicated by an instrument reading of less than 500 ppm above background, as soon as practicable, but no later than 5 calendar days after the pressure release, except as provided in § 60.482–9a. </w:t>
            </w:r>
          </w:p>
          <w:p w14:paraId="6A4125E1" w14:textId="77777777" w:rsidR="00124AB6" w:rsidRPr="000F1E33" w:rsidRDefault="00124AB6" w:rsidP="004E3BFD">
            <w:pPr>
              <w:rPr>
                <w:bCs/>
              </w:rPr>
            </w:pPr>
          </w:p>
          <w:p w14:paraId="60571BFA" w14:textId="77777777" w:rsidR="00124AB6" w:rsidRPr="000F1E33" w:rsidRDefault="00124AB6" w:rsidP="004E3BFD">
            <w:pPr>
              <w:rPr>
                <w:bCs/>
              </w:rPr>
            </w:pPr>
            <w:r>
              <w:rPr>
                <w:bCs/>
              </w:rPr>
              <w:t>(b)</w:t>
            </w:r>
            <w:r w:rsidRPr="000F1E33">
              <w:rPr>
                <w:bCs/>
              </w:rPr>
              <w:t xml:space="preserve">(2) No later than 5 calendar days after the pressure release, the pressure relief device shall be monitored to confirm the conditions of no detectable emissions, as indicated by an instrument reading of less than 500 ppm above background, by the methods specified in § 60.485a(c). </w:t>
            </w:r>
          </w:p>
          <w:p w14:paraId="08D92D9A" w14:textId="77777777" w:rsidR="00124AB6" w:rsidRPr="000F1E33" w:rsidRDefault="00124AB6" w:rsidP="004E3BFD">
            <w:pPr>
              <w:rPr>
                <w:bCs/>
              </w:rPr>
            </w:pPr>
          </w:p>
          <w:p w14:paraId="0EB71004" w14:textId="77777777" w:rsidR="00124AB6" w:rsidRPr="000F1E33" w:rsidRDefault="00124AB6" w:rsidP="004E3BFD">
            <w:pPr>
              <w:rPr>
                <w:bCs/>
              </w:rPr>
            </w:pPr>
            <w:r w:rsidRPr="000F1E33">
              <w:rPr>
                <w:bCs/>
              </w:rPr>
              <w:t xml:space="preserve">(c) Any pressure relief device that is routed to a process or fuel gas system or equipped with a closed vent system capable of capturing and transporting leakage through the pressure relief device to a control device as described in § 60.482–10a is exempted from the requirements of paragraphs (a) and (b) of this section. </w:t>
            </w:r>
          </w:p>
          <w:p w14:paraId="1FEE1D3B" w14:textId="77777777" w:rsidR="00124AB6" w:rsidRPr="000F1E33" w:rsidRDefault="00124AB6" w:rsidP="004E3BFD">
            <w:pPr>
              <w:rPr>
                <w:bCs/>
              </w:rPr>
            </w:pPr>
          </w:p>
          <w:p w14:paraId="0CE4279E" w14:textId="77777777" w:rsidR="00124AB6" w:rsidRPr="000F1E33" w:rsidRDefault="00124AB6" w:rsidP="004E3BFD">
            <w:pPr>
              <w:rPr>
                <w:bCs/>
              </w:rPr>
            </w:pPr>
            <w:r w:rsidRPr="000F1E33">
              <w:rPr>
                <w:bCs/>
              </w:rPr>
              <w:t xml:space="preserve">(d)(1) Any pressure relief device that is equipped with a rupture disk upstream of the pressure relief device is exempt from the requirements of paragraphs (a) and (b) of this section, provided the owner or operator complies with the requirements in paragraph (d)(2) of this section. </w:t>
            </w:r>
          </w:p>
          <w:p w14:paraId="27D0A14E" w14:textId="77777777" w:rsidR="00124AB6" w:rsidRPr="000F1E33" w:rsidRDefault="00124AB6" w:rsidP="004E3BFD">
            <w:pPr>
              <w:rPr>
                <w:bCs/>
              </w:rPr>
            </w:pPr>
          </w:p>
          <w:p w14:paraId="09C8FD10" w14:textId="77777777" w:rsidR="00124AB6" w:rsidRPr="001B6EC4" w:rsidRDefault="00124AB6" w:rsidP="004E3BFD">
            <w:pPr>
              <w:rPr>
                <w:b/>
              </w:rPr>
            </w:pPr>
            <w:r>
              <w:rPr>
                <w:bCs/>
              </w:rPr>
              <w:t>(d)</w:t>
            </w:r>
            <w:r w:rsidRPr="000F1E33">
              <w:rPr>
                <w:bCs/>
              </w:rPr>
              <w:t>(2) After each pressure release, a new rupture disk shall be installed upstream of the pressure relief device as soon as practicable, but no later than 5 calendar days after each pressure release, except as provided in § 60.482–9a.</w:t>
            </w:r>
          </w:p>
        </w:tc>
      </w:tr>
      <w:tr w:rsidR="00124AB6" w:rsidRPr="000F1E33" w14:paraId="09B01D0E"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7" w:type="dxa"/>
          </w:tcPr>
          <w:p w14:paraId="036890F8" w14:textId="77777777" w:rsidR="00124AB6" w:rsidRPr="000A5D3A" w:rsidRDefault="00124AB6" w:rsidP="004E3BFD">
            <w:pPr>
              <w:pStyle w:val="BNum"/>
              <w:rPr>
                <w:bCs/>
              </w:rPr>
            </w:pPr>
          </w:p>
        </w:tc>
        <w:tc>
          <w:tcPr>
            <w:tcW w:w="9433" w:type="dxa"/>
          </w:tcPr>
          <w:p w14:paraId="5D8E3C41" w14:textId="77777777" w:rsidR="00124AB6" w:rsidRPr="001B6EC4" w:rsidRDefault="00124AB6" w:rsidP="004E3BFD">
            <w:r w:rsidRPr="001B6EC4">
              <w:rPr>
                <w:b/>
              </w:rPr>
              <w:t>Emission Unit ID:</w:t>
            </w:r>
            <w:r>
              <w:rPr>
                <w:b/>
              </w:rPr>
              <w:t xml:space="preserve"> </w:t>
            </w:r>
            <w:r w:rsidRPr="00F61457">
              <w:rPr>
                <w:bCs/>
              </w:rPr>
              <w:t>06, 07</w:t>
            </w:r>
          </w:p>
          <w:p w14:paraId="34AA725D" w14:textId="77777777" w:rsidR="00124AB6" w:rsidRDefault="00124AB6" w:rsidP="004E3BFD">
            <w:r w:rsidRPr="009A00D8">
              <w:rPr>
                <w:b/>
              </w:rPr>
              <w:t>Equipment ID:</w:t>
            </w:r>
            <w:r w:rsidRPr="009A00D8">
              <w:t xml:space="preserve"> </w:t>
            </w:r>
            <w:r>
              <w:t xml:space="preserve">R-2, R-4, R-8 </w:t>
            </w:r>
          </w:p>
          <w:p w14:paraId="09F23115" w14:textId="77777777" w:rsidR="00124AB6" w:rsidRDefault="00124AB6" w:rsidP="004E3BFD">
            <w:r w:rsidRPr="009A00D8">
              <w:rPr>
                <w:b/>
              </w:rPr>
              <w:t>Control Device ID:</w:t>
            </w:r>
            <w:r>
              <w:rPr>
                <w:b/>
              </w:rPr>
              <w:t xml:space="preserve"> </w:t>
            </w:r>
            <w:r>
              <w:rPr>
                <w:bCs/>
              </w:rPr>
              <w:t>NP-1</w:t>
            </w:r>
            <w:r w:rsidRPr="009A00D8">
              <w:t xml:space="preserve"> </w:t>
            </w:r>
          </w:p>
          <w:p w14:paraId="2B519732" w14:textId="77777777" w:rsidR="00124AB6" w:rsidRDefault="00124AB6" w:rsidP="004E3BFD">
            <w:pPr>
              <w:rPr>
                <w:b/>
              </w:rPr>
            </w:pPr>
          </w:p>
          <w:p w14:paraId="74222537" w14:textId="77777777" w:rsidR="00124AB6" w:rsidRDefault="00124AB6" w:rsidP="004E3BFD">
            <w:pPr>
              <w:rPr>
                <w:bCs/>
              </w:rPr>
            </w:pPr>
            <w:r>
              <w:rPr>
                <w:bCs/>
              </w:rPr>
              <w:t>40CFR</w:t>
            </w:r>
            <w:r w:rsidRPr="000F1E33">
              <w:rPr>
                <w:bCs/>
              </w:rPr>
              <w:t>60.482-5a Standards: Sampling connection systems.</w:t>
            </w:r>
          </w:p>
          <w:p w14:paraId="5CFA96D4" w14:textId="77777777" w:rsidR="00124AB6" w:rsidRDefault="00124AB6" w:rsidP="004E3BFD">
            <w:pPr>
              <w:rPr>
                <w:bCs/>
              </w:rPr>
            </w:pPr>
          </w:p>
          <w:p w14:paraId="147939EE" w14:textId="77777777" w:rsidR="00124AB6" w:rsidRPr="000F1E33" w:rsidRDefault="00124AB6" w:rsidP="004E3BFD">
            <w:pPr>
              <w:rPr>
                <w:bCs/>
              </w:rPr>
            </w:pPr>
            <w:r w:rsidRPr="000F1E33">
              <w:rPr>
                <w:bCs/>
              </w:rPr>
              <w:t>(c) In-situ sampling systems and sampling systems without purges are exempt from the requirements of paragraphs (a) and (b) of this section.</w:t>
            </w:r>
          </w:p>
        </w:tc>
      </w:tr>
      <w:tr w:rsidR="00124AB6" w:rsidRPr="001B6EC4" w14:paraId="1500A897"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7" w:type="dxa"/>
          </w:tcPr>
          <w:p w14:paraId="44576167" w14:textId="77777777" w:rsidR="00124AB6" w:rsidRPr="000A5D3A" w:rsidRDefault="00124AB6" w:rsidP="004E3BFD">
            <w:pPr>
              <w:pStyle w:val="BNum"/>
              <w:rPr>
                <w:bCs/>
              </w:rPr>
            </w:pPr>
          </w:p>
        </w:tc>
        <w:tc>
          <w:tcPr>
            <w:tcW w:w="9433" w:type="dxa"/>
          </w:tcPr>
          <w:p w14:paraId="6740728C" w14:textId="77777777" w:rsidR="00124AB6" w:rsidRPr="001B6EC4" w:rsidRDefault="00124AB6" w:rsidP="004E3BFD">
            <w:r w:rsidRPr="001B6EC4">
              <w:rPr>
                <w:b/>
              </w:rPr>
              <w:t>Emission Unit ID:</w:t>
            </w:r>
            <w:r>
              <w:rPr>
                <w:b/>
              </w:rPr>
              <w:t xml:space="preserve"> </w:t>
            </w:r>
            <w:r w:rsidRPr="00F61457">
              <w:rPr>
                <w:bCs/>
              </w:rPr>
              <w:t>06, 07</w:t>
            </w:r>
          </w:p>
          <w:p w14:paraId="2E7765AA" w14:textId="77777777" w:rsidR="00124AB6" w:rsidRDefault="00124AB6" w:rsidP="004E3BFD">
            <w:r w:rsidRPr="009A00D8">
              <w:rPr>
                <w:b/>
              </w:rPr>
              <w:t>Equipment ID:</w:t>
            </w:r>
            <w:r w:rsidRPr="009A00D8">
              <w:t xml:space="preserve"> </w:t>
            </w:r>
            <w:r>
              <w:t xml:space="preserve">R-2, R-4, R-8 </w:t>
            </w:r>
          </w:p>
          <w:p w14:paraId="3583E773" w14:textId="77777777" w:rsidR="00124AB6" w:rsidRDefault="00124AB6" w:rsidP="004E3BFD">
            <w:r w:rsidRPr="009A00D8">
              <w:rPr>
                <w:b/>
              </w:rPr>
              <w:t>Control Device ID:</w:t>
            </w:r>
            <w:r>
              <w:rPr>
                <w:b/>
              </w:rPr>
              <w:t xml:space="preserve"> </w:t>
            </w:r>
            <w:r>
              <w:rPr>
                <w:bCs/>
              </w:rPr>
              <w:t>NP-1</w:t>
            </w:r>
            <w:r w:rsidRPr="009A00D8">
              <w:t xml:space="preserve"> </w:t>
            </w:r>
          </w:p>
          <w:p w14:paraId="20530590" w14:textId="77777777" w:rsidR="00124AB6" w:rsidRDefault="00124AB6" w:rsidP="004E3BFD">
            <w:pPr>
              <w:rPr>
                <w:bCs/>
              </w:rPr>
            </w:pPr>
          </w:p>
          <w:p w14:paraId="2C093689" w14:textId="77777777" w:rsidR="00124AB6" w:rsidRPr="000F1E33" w:rsidRDefault="00124AB6" w:rsidP="004E3BFD">
            <w:pPr>
              <w:rPr>
                <w:bCs/>
              </w:rPr>
            </w:pPr>
            <w:r>
              <w:rPr>
                <w:bCs/>
              </w:rPr>
              <w:t>40CFR</w:t>
            </w:r>
            <w:r w:rsidRPr="000F1E33">
              <w:rPr>
                <w:bCs/>
              </w:rPr>
              <w:t>60.482-6a Standards: Open-ended valves or lines.</w:t>
            </w:r>
          </w:p>
          <w:p w14:paraId="787DFBB6" w14:textId="77777777" w:rsidR="00124AB6" w:rsidRPr="000F1E33" w:rsidRDefault="00124AB6" w:rsidP="004E3BFD">
            <w:pPr>
              <w:rPr>
                <w:bCs/>
              </w:rPr>
            </w:pPr>
          </w:p>
          <w:p w14:paraId="142E5C12" w14:textId="77777777" w:rsidR="00124AB6" w:rsidRPr="000F1E33" w:rsidRDefault="00124AB6" w:rsidP="004E3BFD">
            <w:pPr>
              <w:rPr>
                <w:bCs/>
              </w:rPr>
            </w:pPr>
            <w:r w:rsidRPr="000F1E33">
              <w:rPr>
                <w:bCs/>
              </w:rPr>
              <w:t xml:space="preserve">(a)(1) Each open-ended valve or line shall be equipped with a cap, blind flange, plug, or a second valve, except as provided in § 60.482–1a(c) and paragraphs (d) and (e) of this section. </w:t>
            </w:r>
          </w:p>
          <w:p w14:paraId="518EE831" w14:textId="77777777" w:rsidR="00124AB6" w:rsidRPr="000F1E33" w:rsidRDefault="00124AB6" w:rsidP="004E3BFD">
            <w:pPr>
              <w:rPr>
                <w:bCs/>
              </w:rPr>
            </w:pPr>
          </w:p>
          <w:p w14:paraId="726E8ED7" w14:textId="77777777" w:rsidR="00124AB6" w:rsidRPr="000F1E33" w:rsidRDefault="00124AB6" w:rsidP="004E3BFD">
            <w:pPr>
              <w:rPr>
                <w:bCs/>
              </w:rPr>
            </w:pPr>
            <w:r>
              <w:rPr>
                <w:bCs/>
              </w:rPr>
              <w:t>(a)</w:t>
            </w:r>
            <w:r w:rsidRPr="000F1E33">
              <w:rPr>
                <w:bCs/>
              </w:rPr>
              <w:t xml:space="preserve">(2) The cap, blind flange, plug, or second valve shall </w:t>
            </w:r>
            <w:proofErr w:type="gramStart"/>
            <w:r w:rsidRPr="000F1E33">
              <w:rPr>
                <w:bCs/>
              </w:rPr>
              <w:t>seal the open end at all times</w:t>
            </w:r>
            <w:proofErr w:type="gramEnd"/>
            <w:r w:rsidRPr="000F1E33">
              <w:rPr>
                <w:bCs/>
              </w:rPr>
              <w:t xml:space="preserve"> except during operations requiring process fluid flow through the open-ended valve or line. </w:t>
            </w:r>
          </w:p>
          <w:p w14:paraId="166AD5A7" w14:textId="77777777" w:rsidR="00124AB6" w:rsidRPr="000F1E33" w:rsidRDefault="00124AB6" w:rsidP="004E3BFD">
            <w:pPr>
              <w:rPr>
                <w:bCs/>
              </w:rPr>
            </w:pPr>
          </w:p>
          <w:p w14:paraId="1B9331C6" w14:textId="77777777" w:rsidR="00124AB6" w:rsidRPr="000F1E33" w:rsidRDefault="00124AB6" w:rsidP="004E3BFD">
            <w:pPr>
              <w:rPr>
                <w:bCs/>
              </w:rPr>
            </w:pPr>
            <w:r w:rsidRPr="000F1E33">
              <w:rPr>
                <w:bCs/>
              </w:rPr>
              <w:t xml:space="preserve">(b) Each open-ended valve or line equipped with a second valve shall be operated in a manner such that the valve on the process fluid end is closed before the second valve is closed. </w:t>
            </w:r>
          </w:p>
          <w:p w14:paraId="78E9450E" w14:textId="77777777" w:rsidR="00124AB6" w:rsidRPr="000F1E33" w:rsidRDefault="00124AB6" w:rsidP="004E3BFD">
            <w:pPr>
              <w:rPr>
                <w:bCs/>
              </w:rPr>
            </w:pPr>
          </w:p>
          <w:p w14:paraId="280B18E8" w14:textId="77777777" w:rsidR="00124AB6" w:rsidRPr="000F1E33" w:rsidRDefault="00124AB6" w:rsidP="004E3BFD">
            <w:pPr>
              <w:rPr>
                <w:bCs/>
              </w:rPr>
            </w:pPr>
            <w:r w:rsidRPr="000F1E33">
              <w:rPr>
                <w:bCs/>
              </w:rPr>
              <w:t xml:space="preserve">(c) When a double block-and-bleed system is being used, the bleed valve or line may remain open during operations that require venting the line between the block valves but shall comply with paragraph (a) of this section at all other times. </w:t>
            </w:r>
          </w:p>
          <w:p w14:paraId="4CC748A2" w14:textId="77777777" w:rsidR="00124AB6" w:rsidRPr="000F1E33" w:rsidRDefault="00124AB6" w:rsidP="004E3BFD">
            <w:pPr>
              <w:rPr>
                <w:bCs/>
              </w:rPr>
            </w:pPr>
          </w:p>
          <w:p w14:paraId="143A4C37" w14:textId="77777777" w:rsidR="00124AB6" w:rsidRPr="000F1E33" w:rsidRDefault="00124AB6" w:rsidP="004E3BFD">
            <w:pPr>
              <w:rPr>
                <w:bCs/>
              </w:rPr>
            </w:pPr>
            <w:r w:rsidRPr="000F1E33">
              <w:rPr>
                <w:bCs/>
              </w:rPr>
              <w:t xml:space="preserve">(d) Open-ended valves or lines in an emergency shutdown system which are designed to open automatically in the event of a process upset are exempt from the requirements of paragraphs (a), (b), and (c) of this section. </w:t>
            </w:r>
          </w:p>
          <w:p w14:paraId="1B8A99E6" w14:textId="77777777" w:rsidR="00124AB6" w:rsidRPr="000F1E33" w:rsidRDefault="00124AB6" w:rsidP="004E3BFD">
            <w:pPr>
              <w:rPr>
                <w:bCs/>
              </w:rPr>
            </w:pPr>
          </w:p>
          <w:p w14:paraId="2F3EBDB6" w14:textId="77777777" w:rsidR="00124AB6" w:rsidRPr="001B6EC4" w:rsidRDefault="00124AB6" w:rsidP="004E3BFD">
            <w:pPr>
              <w:rPr>
                <w:b/>
              </w:rPr>
            </w:pPr>
            <w:r w:rsidRPr="000F1E33">
              <w:rPr>
                <w:bCs/>
              </w:rPr>
              <w:t>(e) Open-ended valves or lines containing materials which would autocatalytically polymerize or would present an explosion, serious overpressure, or other safety hazard if capped or equipped with a double block and bleed system as specified in paragraphs (a) through (c) of this section are exempt from the requirements of paragraphs (a) through (c) of this section.</w:t>
            </w:r>
          </w:p>
        </w:tc>
      </w:tr>
      <w:tr w:rsidR="00124AB6" w:rsidRPr="000F1E33" w14:paraId="509B795C"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val="0"/>
          <w:trHeight w:val="432"/>
        </w:trPr>
        <w:tc>
          <w:tcPr>
            <w:tcW w:w="1367" w:type="dxa"/>
          </w:tcPr>
          <w:p w14:paraId="5550688B" w14:textId="77777777" w:rsidR="00124AB6" w:rsidRPr="000A5D3A" w:rsidRDefault="00124AB6" w:rsidP="004E3BFD">
            <w:pPr>
              <w:pStyle w:val="BNum"/>
              <w:rPr>
                <w:bCs/>
              </w:rPr>
            </w:pPr>
          </w:p>
        </w:tc>
        <w:tc>
          <w:tcPr>
            <w:tcW w:w="9433" w:type="dxa"/>
          </w:tcPr>
          <w:p w14:paraId="08C78579" w14:textId="77777777" w:rsidR="00124AB6" w:rsidRPr="001B6EC4" w:rsidRDefault="00124AB6" w:rsidP="004E3BFD">
            <w:r w:rsidRPr="001B6EC4">
              <w:rPr>
                <w:b/>
              </w:rPr>
              <w:t>Emission Unit ID:</w:t>
            </w:r>
            <w:r>
              <w:rPr>
                <w:b/>
              </w:rPr>
              <w:t xml:space="preserve"> </w:t>
            </w:r>
            <w:r w:rsidRPr="00F61457">
              <w:rPr>
                <w:bCs/>
              </w:rPr>
              <w:t>06, 07</w:t>
            </w:r>
          </w:p>
          <w:p w14:paraId="695838CA" w14:textId="77777777" w:rsidR="00124AB6" w:rsidRDefault="00124AB6" w:rsidP="004E3BFD">
            <w:r w:rsidRPr="009A00D8">
              <w:rPr>
                <w:b/>
              </w:rPr>
              <w:t>Equipment ID:</w:t>
            </w:r>
            <w:r w:rsidRPr="009A00D8">
              <w:t xml:space="preserve"> </w:t>
            </w:r>
            <w:r>
              <w:t xml:space="preserve">R-2, R-4, R-8 </w:t>
            </w:r>
          </w:p>
          <w:p w14:paraId="7887824F" w14:textId="77777777" w:rsidR="00124AB6" w:rsidRDefault="00124AB6" w:rsidP="004E3BFD">
            <w:r w:rsidRPr="009A00D8">
              <w:rPr>
                <w:b/>
              </w:rPr>
              <w:t>Control Device ID:</w:t>
            </w:r>
            <w:r>
              <w:rPr>
                <w:b/>
              </w:rPr>
              <w:t xml:space="preserve"> </w:t>
            </w:r>
            <w:r>
              <w:rPr>
                <w:bCs/>
              </w:rPr>
              <w:t>NP-1</w:t>
            </w:r>
            <w:r w:rsidRPr="009A00D8">
              <w:t xml:space="preserve"> </w:t>
            </w:r>
          </w:p>
          <w:p w14:paraId="019F043E" w14:textId="77777777" w:rsidR="00124AB6" w:rsidRDefault="00124AB6" w:rsidP="004E3BFD">
            <w:pPr>
              <w:rPr>
                <w:bCs/>
              </w:rPr>
            </w:pPr>
          </w:p>
          <w:p w14:paraId="4C727598" w14:textId="77777777" w:rsidR="00124AB6" w:rsidRPr="000F1E33" w:rsidRDefault="00124AB6" w:rsidP="004E3BFD">
            <w:pPr>
              <w:rPr>
                <w:bCs/>
              </w:rPr>
            </w:pPr>
            <w:r>
              <w:rPr>
                <w:bCs/>
              </w:rPr>
              <w:t>40CFR</w:t>
            </w:r>
            <w:r w:rsidRPr="000F1E33">
              <w:rPr>
                <w:bCs/>
              </w:rPr>
              <w:t>60.482-7a Standards: Valves in gas/vapor service and in light liquid service.</w:t>
            </w:r>
          </w:p>
          <w:p w14:paraId="5E163577" w14:textId="77777777" w:rsidR="00124AB6" w:rsidRPr="000F1E33" w:rsidRDefault="00124AB6" w:rsidP="004E3BFD">
            <w:pPr>
              <w:rPr>
                <w:bCs/>
              </w:rPr>
            </w:pPr>
          </w:p>
          <w:p w14:paraId="150DF518" w14:textId="77777777" w:rsidR="00124AB6" w:rsidRPr="000F1E33" w:rsidRDefault="00124AB6" w:rsidP="004E3BFD">
            <w:pPr>
              <w:rPr>
                <w:bCs/>
              </w:rPr>
            </w:pPr>
            <w:r w:rsidRPr="000F1E33">
              <w:rPr>
                <w:bCs/>
              </w:rPr>
              <w:t xml:space="preserve">(a)(1) Each valve shall be monitored monthly to detect leaks by the methods specified in § 60.485a(b) and shall comply with paragraphs (b) through (e) of this section, except as provided in paragraphs (f), (g), and (h) of this section, § 60.482–1a(c) and (f), and §§ 60.483–1a and 60.483–2a. </w:t>
            </w:r>
          </w:p>
          <w:p w14:paraId="53804B8C" w14:textId="77777777" w:rsidR="00124AB6" w:rsidRPr="000F1E33" w:rsidRDefault="00124AB6" w:rsidP="004E3BFD">
            <w:pPr>
              <w:rPr>
                <w:bCs/>
              </w:rPr>
            </w:pPr>
          </w:p>
          <w:p w14:paraId="7BDF0BAE" w14:textId="77777777" w:rsidR="00124AB6" w:rsidRPr="000F1E33" w:rsidRDefault="00124AB6" w:rsidP="004E3BFD">
            <w:pPr>
              <w:rPr>
                <w:bCs/>
              </w:rPr>
            </w:pPr>
            <w:r>
              <w:rPr>
                <w:bCs/>
              </w:rPr>
              <w:t>(a)</w:t>
            </w:r>
            <w:r w:rsidRPr="000F1E33">
              <w:rPr>
                <w:bCs/>
              </w:rPr>
              <w:t>(2) A valve that begins operation in gas/vapor service or light liquid service after the initial startup date for the process unit must be monitored according to paragraphs (a)(2)(</w:t>
            </w:r>
            <w:proofErr w:type="spellStart"/>
            <w:r w:rsidRPr="000F1E33">
              <w:rPr>
                <w:bCs/>
              </w:rPr>
              <w:t>i</w:t>
            </w:r>
            <w:proofErr w:type="spellEnd"/>
            <w:r w:rsidRPr="000F1E33">
              <w:rPr>
                <w:bCs/>
              </w:rPr>
              <w:t xml:space="preserve">) or (ii), except for a valve that replaces a leaking valve and except as provided in paragraphs (f), (g), and (h) of this section, § 60.482–1a(c), and §§ 60.483–1a and 60.483–2a. </w:t>
            </w:r>
          </w:p>
          <w:p w14:paraId="36CFF98A" w14:textId="77777777" w:rsidR="00124AB6" w:rsidRPr="000F1E33" w:rsidRDefault="00124AB6" w:rsidP="004E3BFD">
            <w:pPr>
              <w:rPr>
                <w:bCs/>
              </w:rPr>
            </w:pPr>
          </w:p>
          <w:p w14:paraId="63A4E930" w14:textId="77777777" w:rsidR="00124AB6" w:rsidRPr="000F1E33" w:rsidRDefault="00124AB6" w:rsidP="004E3BFD">
            <w:pPr>
              <w:rPr>
                <w:bCs/>
              </w:rPr>
            </w:pPr>
            <w:r>
              <w:rPr>
                <w:bCs/>
              </w:rPr>
              <w:t>(a)(2)</w:t>
            </w:r>
            <w:r w:rsidRPr="000F1E33">
              <w:rPr>
                <w:bCs/>
              </w:rPr>
              <w:t>(</w:t>
            </w:r>
            <w:proofErr w:type="spellStart"/>
            <w:r w:rsidRPr="000F1E33">
              <w:rPr>
                <w:bCs/>
              </w:rPr>
              <w:t>i</w:t>
            </w:r>
            <w:proofErr w:type="spellEnd"/>
            <w:r w:rsidRPr="000F1E33">
              <w:rPr>
                <w:bCs/>
              </w:rPr>
              <w:t xml:space="preserve">) Monitor the valve as in paragraph (a)(1) of this section. The valve must be monitored for the first time within 30 days after the end of its startup period to ensure proper installation. </w:t>
            </w:r>
          </w:p>
          <w:p w14:paraId="4892D045" w14:textId="77777777" w:rsidR="00124AB6" w:rsidRPr="000F1E33" w:rsidRDefault="00124AB6" w:rsidP="004E3BFD">
            <w:pPr>
              <w:rPr>
                <w:bCs/>
              </w:rPr>
            </w:pPr>
          </w:p>
          <w:p w14:paraId="434CCE3E" w14:textId="77777777" w:rsidR="00124AB6" w:rsidRPr="000F1E33" w:rsidRDefault="00124AB6" w:rsidP="004E3BFD">
            <w:pPr>
              <w:rPr>
                <w:bCs/>
              </w:rPr>
            </w:pPr>
            <w:r>
              <w:rPr>
                <w:bCs/>
              </w:rPr>
              <w:t>(a)(2)</w:t>
            </w:r>
            <w:r w:rsidRPr="000F1E33">
              <w:rPr>
                <w:bCs/>
              </w:rPr>
              <w:t xml:space="preserve">(ii) If the existing valves in the process unit are monitored in accordance with § 60.483–1a or § 60.483–2a, count the new valve as leaking when calculating the percentage of valves leaking as described in § 60.483–2a(b)(5). If less than 2.0 percent of the valves are leaking for that process unit, the valve must be monitored for the first time during the next scheduled monitoring event for existing valves in the process unit or within 90 days, whichever comes first. </w:t>
            </w:r>
          </w:p>
          <w:p w14:paraId="7490FEEE" w14:textId="77777777" w:rsidR="00124AB6" w:rsidRPr="000F1E33" w:rsidRDefault="00124AB6" w:rsidP="004E3BFD">
            <w:pPr>
              <w:rPr>
                <w:bCs/>
              </w:rPr>
            </w:pPr>
          </w:p>
          <w:p w14:paraId="7990EB91" w14:textId="77777777" w:rsidR="00124AB6" w:rsidRPr="000F1E33" w:rsidRDefault="00124AB6" w:rsidP="004E3BFD">
            <w:pPr>
              <w:rPr>
                <w:bCs/>
              </w:rPr>
            </w:pPr>
            <w:r w:rsidRPr="000F1E33">
              <w:rPr>
                <w:bCs/>
              </w:rPr>
              <w:t xml:space="preserve">(b) If an instrument reading of 500 ppm or greater is measured, a leak is detected. </w:t>
            </w:r>
          </w:p>
          <w:p w14:paraId="47AA044C" w14:textId="77777777" w:rsidR="00124AB6" w:rsidRPr="000F1E33" w:rsidRDefault="00124AB6" w:rsidP="004E3BFD">
            <w:pPr>
              <w:rPr>
                <w:bCs/>
              </w:rPr>
            </w:pPr>
          </w:p>
          <w:p w14:paraId="6073C3BB" w14:textId="77777777" w:rsidR="00124AB6" w:rsidRPr="000F1E33" w:rsidRDefault="00124AB6" w:rsidP="004E3BFD">
            <w:pPr>
              <w:rPr>
                <w:bCs/>
              </w:rPr>
            </w:pPr>
            <w:r w:rsidRPr="000F1E33">
              <w:rPr>
                <w:bCs/>
              </w:rPr>
              <w:t>(c)(1)(</w:t>
            </w:r>
            <w:proofErr w:type="spellStart"/>
            <w:r w:rsidRPr="000F1E33">
              <w:rPr>
                <w:bCs/>
              </w:rPr>
              <w:t>i</w:t>
            </w:r>
            <w:proofErr w:type="spellEnd"/>
            <w:r w:rsidRPr="000F1E33">
              <w:rPr>
                <w:bCs/>
              </w:rPr>
              <w:t xml:space="preserve">) Any valve for which a leak is not detected for 2 successive months may be monitored the first month of every quarter, beginning with the next quarter, until a leak is detected. </w:t>
            </w:r>
          </w:p>
          <w:p w14:paraId="5428BAE5" w14:textId="77777777" w:rsidR="00124AB6" w:rsidRPr="000F1E33" w:rsidRDefault="00124AB6" w:rsidP="004E3BFD">
            <w:pPr>
              <w:rPr>
                <w:bCs/>
              </w:rPr>
            </w:pPr>
          </w:p>
          <w:p w14:paraId="3996B47D" w14:textId="77777777" w:rsidR="00124AB6" w:rsidRPr="000F1E33" w:rsidRDefault="00124AB6" w:rsidP="004E3BFD">
            <w:pPr>
              <w:rPr>
                <w:bCs/>
              </w:rPr>
            </w:pPr>
            <w:r>
              <w:rPr>
                <w:bCs/>
              </w:rPr>
              <w:t>(c)(1)</w:t>
            </w:r>
            <w:r w:rsidRPr="000F1E33">
              <w:rPr>
                <w:bCs/>
              </w:rPr>
              <w:t xml:space="preserve">(ii) As an alternative to monitoring </w:t>
            </w:r>
            <w:proofErr w:type="gramStart"/>
            <w:r w:rsidRPr="000F1E33">
              <w:rPr>
                <w:bCs/>
              </w:rPr>
              <w:t>all of</w:t>
            </w:r>
            <w:proofErr w:type="gramEnd"/>
            <w:r w:rsidRPr="000F1E33">
              <w:rPr>
                <w:bCs/>
              </w:rPr>
              <w:t xml:space="preserve"> the valves in the first month of a quarter, an owner or operator may elect to subdivide the process unit into two or three subgroups of valves and monitor each subgroup in a different month during the quarter, provided each subgroup is monitored every 3 months. The owner or operator must keep records of the valves assigned to each subgroup. </w:t>
            </w:r>
          </w:p>
          <w:p w14:paraId="6596FC52" w14:textId="77777777" w:rsidR="00124AB6" w:rsidRPr="000F1E33" w:rsidRDefault="00124AB6" w:rsidP="004E3BFD">
            <w:pPr>
              <w:rPr>
                <w:bCs/>
              </w:rPr>
            </w:pPr>
          </w:p>
          <w:p w14:paraId="6C5AB89E" w14:textId="77777777" w:rsidR="00124AB6" w:rsidRPr="000F1E33" w:rsidRDefault="00124AB6" w:rsidP="004E3BFD">
            <w:pPr>
              <w:rPr>
                <w:bCs/>
              </w:rPr>
            </w:pPr>
            <w:r>
              <w:rPr>
                <w:bCs/>
              </w:rPr>
              <w:t>(c)</w:t>
            </w:r>
            <w:r w:rsidRPr="000F1E33">
              <w:rPr>
                <w:bCs/>
              </w:rPr>
              <w:t xml:space="preserve">(2) If a leak is detected, the valve shall be monitored monthly until a leak is not detected for 2 successive months. </w:t>
            </w:r>
          </w:p>
          <w:p w14:paraId="6F6975A3" w14:textId="77777777" w:rsidR="00124AB6" w:rsidRPr="000F1E33" w:rsidRDefault="00124AB6" w:rsidP="004E3BFD">
            <w:pPr>
              <w:rPr>
                <w:bCs/>
              </w:rPr>
            </w:pPr>
          </w:p>
          <w:p w14:paraId="3BD2F250" w14:textId="77777777" w:rsidR="00124AB6" w:rsidRPr="000F1E33" w:rsidRDefault="00124AB6" w:rsidP="004E3BFD">
            <w:pPr>
              <w:rPr>
                <w:bCs/>
              </w:rPr>
            </w:pPr>
            <w:r w:rsidRPr="000F1E33">
              <w:rPr>
                <w:bCs/>
              </w:rPr>
              <w:t xml:space="preserve">(d)(1) When a leak is detected, it shall be repaired as soon as practicable, but no later than 15 calendar days after the leak is detected, except as provided in § 60.482–9a. </w:t>
            </w:r>
          </w:p>
          <w:p w14:paraId="26A6C9E5" w14:textId="77777777" w:rsidR="00124AB6" w:rsidRPr="000F1E33" w:rsidRDefault="00124AB6" w:rsidP="004E3BFD">
            <w:pPr>
              <w:rPr>
                <w:bCs/>
              </w:rPr>
            </w:pPr>
          </w:p>
          <w:p w14:paraId="679C2012" w14:textId="77777777" w:rsidR="00124AB6" w:rsidRPr="000F1E33" w:rsidRDefault="00124AB6" w:rsidP="004E3BFD">
            <w:pPr>
              <w:rPr>
                <w:bCs/>
              </w:rPr>
            </w:pPr>
            <w:r>
              <w:rPr>
                <w:bCs/>
              </w:rPr>
              <w:t>(d)</w:t>
            </w:r>
            <w:r w:rsidRPr="000F1E33">
              <w:rPr>
                <w:bCs/>
              </w:rPr>
              <w:t xml:space="preserve">(2) A first attempt at repair shall be made no later than 5 calendar days after each leak is detected. </w:t>
            </w:r>
          </w:p>
          <w:p w14:paraId="6B87301F" w14:textId="77777777" w:rsidR="00124AB6" w:rsidRPr="000F1E33" w:rsidRDefault="00124AB6" w:rsidP="004E3BFD">
            <w:pPr>
              <w:rPr>
                <w:bCs/>
              </w:rPr>
            </w:pPr>
          </w:p>
          <w:p w14:paraId="3C4E1072" w14:textId="77777777" w:rsidR="00124AB6" w:rsidRPr="000F1E33" w:rsidRDefault="00124AB6" w:rsidP="004E3BFD">
            <w:pPr>
              <w:rPr>
                <w:bCs/>
              </w:rPr>
            </w:pPr>
            <w:r w:rsidRPr="000F1E33">
              <w:rPr>
                <w:bCs/>
              </w:rPr>
              <w:t xml:space="preserve">(e) First attempts at repair include, but are not limited to, the following best practices where practicable: </w:t>
            </w:r>
          </w:p>
          <w:p w14:paraId="19D9B092" w14:textId="77777777" w:rsidR="00124AB6" w:rsidRPr="000F1E33" w:rsidRDefault="00124AB6" w:rsidP="004E3BFD">
            <w:pPr>
              <w:rPr>
                <w:bCs/>
              </w:rPr>
            </w:pPr>
          </w:p>
          <w:p w14:paraId="4F578BA2" w14:textId="77777777" w:rsidR="00124AB6" w:rsidRPr="000F1E33" w:rsidRDefault="00124AB6" w:rsidP="004E3BFD">
            <w:pPr>
              <w:rPr>
                <w:bCs/>
              </w:rPr>
            </w:pPr>
            <w:r>
              <w:rPr>
                <w:bCs/>
              </w:rPr>
              <w:t>(e)</w:t>
            </w:r>
            <w:r w:rsidRPr="000F1E33">
              <w:rPr>
                <w:bCs/>
              </w:rPr>
              <w:t xml:space="preserve">(1) Tightening of bonnet </w:t>
            </w:r>
            <w:proofErr w:type="gramStart"/>
            <w:r w:rsidRPr="000F1E33">
              <w:rPr>
                <w:bCs/>
              </w:rPr>
              <w:t>bolts;</w:t>
            </w:r>
            <w:proofErr w:type="gramEnd"/>
            <w:r w:rsidRPr="000F1E33">
              <w:rPr>
                <w:bCs/>
              </w:rPr>
              <w:t xml:space="preserve"> </w:t>
            </w:r>
          </w:p>
          <w:p w14:paraId="6C94A156" w14:textId="77777777" w:rsidR="00124AB6" w:rsidRPr="000F1E33" w:rsidRDefault="00124AB6" w:rsidP="004E3BFD">
            <w:pPr>
              <w:rPr>
                <w:bCs/>
              </w:rPr>
            </w:pPr>
            <w:r>
              <w:rPr>
                <w:bCs/>
              </w:rPr>
              <w:t>(e)</w:t>
            </w:r>
            <w:r w:rsidRPr="000F1E33">
              <w:rPr>
                <w:bCs/>
              </w:rPr>
              <w:t xml:space="preserve">(2) Replacement of bonnet </w:t>
            </w:r>
            <w:proofErr w:type="gramStart"/>
            <w:r w:rsidRPr="000F1E33">
              <w:rPr>
                <w:bCs/>
              </w:rPr>
              <w:t>bolts;</w:t>
            </w:r>
            <w:proofErr w:type="gramEnd"/>
            <w:r w:rsidRPr="000F1E33">
              <w:rPr>
                <w:bCs/>
              </w:rPr>
              <w:t xml:space="preserve"> </w:t>
            </w:r>
          </w:p>
          <w:p w14:paraId="1CFE5821" w14:textId="77777777" w:rsidR="00124AB6" w:rsidRPr="000F1E33" w:rsidRDefault="00124AB6" w:rsidP="004E3BFD">
            <w:pPr>
              <w:rPr>
                <w:bCs/>
              </w:rPr>
            </w:pPr>
            <w:r>
              <w:rPr>
                <w:bCs/>
              </w:rPr>
              <w:t>(e)</w:t>
            </w:r>
            <w:r w:rsidRPr="000F1E33">
              <w:rPr>
                <w:bCs/>
              </w:rPr>
              <w:t xml:space="preserve">(3) Tightening of packing gland </w:t>
            </w:r>
            <w:proofErr w:type="gramStart"/>
            <w:r w:rsidRPr="000F1E33">
              <w:rPr>
                <w:bCs/>
              </w:rPr>
              <w:t>nuts;</w:t>
            </w:r>
            <w:proofErr w:type="gramEnd"/>
            <w:r w:rsidRPr="000F1E33">
              <w:rPr>
                <w:bCs/>
              </w:rPr>
              <w:t xml:space="preserve"> </w:t>
            </w:r>
          </w:p>
          <w:p w14:paraId="6487B570" w14:textId="77777777" w:rsidR="00124AB6" w:rsidRPr="000F1E33" w:rsidRDefault="00124AB6" w:rsidP="004E3BFD">
            <w:pPr>
              <w:rPr>
                <w:bCs/>
              </w:rPr>
            </w:pPr>
            <w:r>
              <w:rPr>
                <w:bCs/>
              </w:rPr>
              <w:t>(e)</w:t>
            </w:r>
            <w:r w:rsidRPr="000F1E33">
              <w:rPr>
                <w:bCs/>
              </w:rPr>
              <w:t xml:space="preserve">(4) Injection of lubricant into lubricated packing. </w:t>
            </w:r>
          </w:p>
          <w:p w14:paraId="45488685" w14:textId="77777777" w:rsidR="00124AB6" w:rsidRPr="000F1E33" w:rsidRDefault="00124AB6" w:rsidP="004E3BFD">
            <w:pPr>
              <w:rPr>
                <w:bCs/>
              </w:rPr>
            </w:pPr>
          </w:p>
          <w:p w14:paraId="0A5D6753" w14:textId="77777777" w:rsidR="00124AB6" w:rsidRPr="000F1E33" w:rsidRDefault="00124AB6" w:rsidP="004E3BFD">
            <w:pPr>
              <w:rPr>
                <w:bCs/>
              </w:rPr>
            </w:pPr>
            <w:r w:rsidRPr="000F1E33">
              <w:rPr>
                <w:bCs/>
              </w:rPr>
              <w:t xml:space="preserve">(f) Any valve that is designated, as described in § 60.486a(e)(2), for no detectable emissions, as indicated by an instrument reading of less than 500 ppm above background, is exempt from the requirements of paragraph (a) of this section if the valve: </w:t>
            </w:r>
          </w:p>
          <w:p w14:paraId="3C5187CF" w14:textId="77777777" w:rsidR="00124AB6" w:rsidRPr="000F1E33" w:rsidRDefault="00124AB6" w:rsidP="004E3BFD">
            <w:pPr>
              <w:rPr>
                <w:bCs/>
              </w:rPr>
            </w:pPr>
          </w:p>
          <w:p w14:paraId="1ED3F3EE" w14:textId="77777777" w:rsidR="00124AB6" w:rsidRPr="000F1E33" w:rsidRDefault="00124AB6" w:rsidP="004E3BFD">
            <w:pPr>
              <w:rPr>
                <w:bCs/>
              </w:rPr>
            </w:pPr>
            <w:r>
              <w:rPr>
                <w:bCs/>
              </w:rPr>
              <w:t>(f)</w:t>
            </w:r>
            <w:r w:rsidRPr="000F1E33">
              <w:rPr>
                <w:bCs/>
              </w:rPr>
              <w:t xml:space="preserve">(1) Has no external actuating mechanism in contact with the process fluid, </w:t>
            </w:r>
          </w:p>
          <w:p w14:paraId="4441C23C" w14:textId="77777777" w:rsidR="00124AB6" w:rsidRPr="000F1E33" w:rsidRDefault="00124AB6" w:rsidP="004E3BFD">
            <w:pPr>
              <w:rPr>
                <w:bCs/>
              </w:rPr>
            </w:pPr>
          </w:p>
          <w:p w14:paraId="29C54A4B" w14:textId="77777777" w:rsidR="00124AB6" w:rsidRPr="000F1E33" w:rsidRDefault="00124AB6" w:rsidP="004E3BFD">
            <w:pPr>
              <w:rPr>
                <w:bCs/>
              </w:rPr>
            </w:pPr>
            <w:r>
              <w:rPr>
                <w:bCs/>
              </w:rPr>
              <w:t>(f)</w:t>
            </w:r>
            <w:r w:rsidRPr="000F1E33">
              <w:rPr>
                <w:bCs/>
              </w:rPr>
              <w:t xml:space="preserve">(2) Is operated with emissions less than 500 ppm above background as determined by the method specified in § 60.485a(c), and </w:t>
            </w:r>
          </w:p>
          <w:p w14:paraId="10BFF890" w14:textId="77777777" w:rsidR="00124AB6" w:rsidRPr="000F1E33" w:rsidRDefault="00124AB6" w:rsidP="004E3BFD">
            <w:pPr>
              <w:rPr>
                <w:bCs/>
              </w:rPr>
            </w:pPr>
          </w:p>
          <w:p w14:paraId="2FAF7392" w14:textId="77777777" w:rsidR="00124AB6" w:rsidRPr="000F1E33" w:rsidRDefault="00124AB6" w:rsidP="004E3BFD">
            <w:pPr>
              <w:rPr>
                <w:bCs/>
              </w:rPr>
            </w:pPr>
            <w:r>
              <w:rPr>
                <w:bCs/>
              </w:rPr>
              <w:t>(f)</w:t>
            </w:r>
            <w:r w:rsidRPr="000F1E33">
              <w:rPr>
                <w:bCs/>
              </w:rPr>
              <w:t xml:space="preserve">(3) Is tested for compliance with paragraph (f)(2) of this section initially upon designation, annually, and at other times requested by the Administrator. </w:t>
            </w:r>
          </w:p>
          <w:p w14:paraId="78F177E9" w14:textId="77777777" w:rsidR="00124AB6" w:rsidRPr="000F1E33" w:rsidRDefault="00124AB6" w:rsidP="004E3BFD">
            <w:pPr>
              <w:rPr>
                <w:bCs/>
              </w:rPr>
            </w:pPr>
          </w:p>
          <w:p w14:paraId="6292179C" w14:textId="77777777" w:rsidR="00124AB6" w:rsidRPr="000F1E33" w:rsidRDefault="00124AB6" w:rsidP="004E3BFD">
            <w:pPr>
              <w:rPr>
                <w:bCs/>
              </w:rPr>
            </w:pPr>
            <w:r w:rsidRPr="000F1E33">
              <w:rPr>
                <w:bCs/>
              </w:rPr>
              <w:t xml:space="preserve">(g) Any valve that is designated, as described in § 60.486a(f)(1), as an unsafe-to-monitor valve is exempt from the requirements of paragraph (a) of this section if: </w:t>
            </w:r>
          </w:p>
          <w:p w14:paraId="19A0A027" w14:textId="77777777" w:rsidR="00124AB6" w:rsidRPr="000F1E33" w:rsidRDefault="00124AB6" w:rsidP="004E3BFD">
            <w:pPr>
              <w:rPr>
                <w:bCs/>
              </w:rPr>
            </w:pPr>
          </w:p>
          <w:p w14:paraId="422CC1E6" w14:textId="77777777" w:rsidR="00124AB6" w:rsidRPr="000F1E33" w:rsidRDefault="00124AB6" w:rsidP="004E3BFD">
            <w:pPr>
              <w:rPr>
                <w:bCs/>
              </w:rPr>
            </w:pPr>
            <w:r>
              <w:rPr>
                <w:bCs/>
              </w:rPr>
              <w:t>(g)</w:t>
            </w:r>
            <w:r w:rsidRPr="000F1E33">
              <w:rPr>
                <w:bCs/>
              </w:rPr>
              <w:t xml:space="preserve">(1) The owner or operator of the valve demonstrates that the valve is unsafe to monitor because monitoring personnel would be exposed to an immediate danger </w:t>
            </w:r>
            <w:proofErr w:type="gramStart"/>
            <w:r w:rsidRPr="000F1E33">
              <w:rPr>
                <w:bCs/>
              </w:rPr>
              <w:t>as a consequence of</w:t>
            </w:r>
            <w:proofErr w:type="gramEnd"/>
            <w:r w:rsidRPr="000F1E33">
              <w:rPr>
                <w:bCs/>
              </w:rPr>
              <w:t xml:space="preserve"> complying with paragraph (a) of this section, and </w:t>
            </w:r>
          </w:p>
          <w:p w14:paraId="4A176434" w14:textId="77777777" w:rsidR="00124AB6" w:rsidRPr="000F1E33" w:rsidRDefault="00124AB6" w:rsidP="004E3BFD">
            <w:pPr>
              <w:rPr>
                <w:bCs/>
              </w:rPr>
            </w:pPr>
          </w:p>
          <w:p w14:paraId="7E6BFBF3" w14:textId="77777777" w:rsidR="00124AB6" w:rsidRPr="000F1E33" w:rsidRDefault="00124AB6" w:rsidP="004E3BFD">
            <w:pPr>
              <w:rPr>
                <w:bCs/>
              </w:rPr>
            </w:pPr>
            <w:r>
              <w:rPr>
                <w:bCs/>
              </w:rPr>
              <w:t>(g)</w:t>
            </w:r>
            <w:r w:rsidRPr="000F1E33">
              <w:rPr>
                <w:bCs/>
              </w:rPr>
              <w:t xml:space="preserve">(2) The owner or operator of the valve adheres to a written plan that requires monitoring of the valve as frequently as practicable during safe-to-monitor times. </w:t>
            </w:r>
          </w:p>
          <w:p w14:paraId="0FAD8A0C" w14:textId="77777777" w:rsidR="00124AB6" w:rsidRPr="000F1E33" w:rsidRDefault="00124AB6" w:rsidP="004E3BFD">
            <w:pPr>
              <w:rPr>
                <w:bCs/>
              </w:rPr>
            </w:pPr>
          </w:p>
          <w:p w14:paraId="0F95B013" w14:textId="77777777" w:rsidR="00124AB6" w:rsidRPr="000F1E33" w:rsidRDefault="00124AB6" w:rsidP="004E3BFD">
            <w:pPr>
              <w:rPr>
                <w:bCs/>
              </w:rPr>
            </w:pPr>
            <w:r w:rsidRPr="000F1E33">
              <w:rPr>
                <w:bCs/>
              </w:rPr>
              <w:t xml:space="preserve">(h) Any valve that is designated, as described in § 60.486a(f)(2), as a difficult-to-monitor valve is exempt from the requirements of paragraph (a) of this section if: </w:t>
            </w:r>
          </w:p>
          <w:p w14:paraId="7C9087D7" w14:textId="77777777" w:rsidR="00124AB6" w:rsidRPr="000F1E33" w:rsidRDefault="00124AB6" w:rsidP="004E3BFD">
            <w:pPr>
              <w:rPr>
                <w:bCs/>
              </w:rPr>
            </w:pPr>
          </w:p>
          <w:p w14:paraId="4FB8331F" w14:textId="77777777" w:rsidR="00124AB6" w:rsidRPr="000F1E33" w:rsidRDefault="00124AB6" w:rsidP="004E3BFD">
            <w:pPr>
              <w:rPr>
                <w:bCs/>
              </w:rPr>
            </w:pPr>
            <w:r>
              <w:rPr>
                <w:bCs/>
              </w:rPr>
              <w:t>(h)</w:t>
            </w:r>
            <w:r w:rsidRPr="000F1E33">
              <w:rPr>
                <w:bCs/>
              </w:rPr>
              <w:t xml:space="preserve">(1) The owner or operator of the valve demonstrates that the valve cannot be monitored without elevating the monitoring personnel more than 2 meters above a support surface. </w:t>
            </w:r>
          </w:p>
          <w:p w14:paraId="688E1B61" w14:textId="77777777" w:rsidR="00124AB6" w:rsidRPr="000F1E33" w:rsidRDefault="00124AB6" w:rsidP="004E3BFD">
            <w:pPr>
              <w:rPr>
                <w:bCs/>
              </w:rPr>
            </w:pPr>
          </w:p>
          <w:p w14:paraId="2EBD4064" w14:textId="77777777" w:rsidR="00124AB6" w:rsidRPr="000F1E33" w:rsidRDefault="00124AB6" w:rsidP="004E3BFD">
            <w:pPr>
              <w:rPr>
                <w:bCs/>
              </w:rPr>
            </w:pPr>
            <w:r>
              <w:rPr>
                <w:bCs/>
              </w:rPr>
              <w:t>(h)</w:t>
            </w:r>
            <w:r w:rsidRPr="000F1E33">
              <w:rPr>
                <w:bCs/>
              </w:rPr>
              <w:t xml:space="preserve">(2) The process unit within which the valve is located either: </w:t>
            </w:r>
          </w:p>
          <w:p w14:paraId="2D5C023D" w14:textId="77777777" w:rsidR="00124AB6" w:rsidRPr="000F1E33" w:rsidRDefault="00124AB6" w:rsidP="004E3BFD">
            <w:pPr>
              <w:rPr>
                <w:bCs/>
              </w:rPr>
            </w:pPr>
          </w:p>
          <w:p w14:paraId="3DCEA3B2" w14:textId="77777777" w:rsidR="00124AB6" w:rsidRPr="000F1E33" w:rsidRDefault="00124AB6" w:rsidP="004E3BFD">
            <w:pPr>
              <w:rPr>
                <w:bCs/>
              </w:rPr>
            </w:pPr>
            <w:r>
              <w:rPr>
                <w:bCs/>
              </w:rPr>
              <w:t>(h)(2)</w:t>
            </w:r>
            <w:r w:rsidRPr="000F1E33">
              <w:rPr>
                <w:bCs/>
              </w:rPr>
              <w:t>(</w:t>
            </w:r>
            <w:proofErr w:type="spellStart"/>
            <w:r w:rsidRPr="000F1E33">
              <w:rPr>
                <w:bCs/>
              </w:rPr>
              <w:t>i</w:t>
            </w:r>
            <w:proofErr w:type="spellEnd"/>
            <w:r w:rsidRPr="000F1E33">
              <w:rPr>
                <w:bCs/>
              </w:rPr>
              <w:t xml:space="preserve">) Becomes an affected facility through § 60.14 or § 60.15 and was constructed on or before January 5, 1981; or </w:t>
            </w:r>
          </w:p>
          <w:p w14:paraId="3B6AACB8" w14:textId="77777777" w:rsidR="00124AB6" w:rsidRPr="000F1E33" w:rsidRDefault="00124AB6" w:rsidP="004E3BFD">
            <w:pPr>
              <w:rPr>
                <w:bCs/>
              </w:rPr>
            </w:pPr>
          </w:p>
          <w:p w14:paraId="0670EC82" w14:textId="77777777" w:rsidR="00124AB6" w:rsidRPr="000F1E33" w:rsidRDefault="00124AB6" w:rsidP="004E3BFD">
            <w:pPr>
              <w:rPr>
                <w:bCs/>
              </w:rPr>
            </w:pPr>
            <w:r>
              <w:rPr>
                <w:bCs/>
              </w:rPr>
              <w:t>(h)(2)</w:t>
            </w:r>
            <w:r w:rsidRPr="000F1E33">
              <w:rPr>
                <w:bCs/>
              </w:rPr>
              <w:t xml:space="preserve">(ii) Has less than 3.0 percent of its total number of valves designated as difficult-to-monitor by the owner or operator. </w:t>
            </w:r>
          </w:p>
          <w:p w14:paraId="352DECA7" w14:textId="77777777" w:rsidR="00124AB6" w:rsidRPr="000F1E33" w:rsidRDefault="00124AB6" w:rsidP="004E3BFD">
            <w:pPr>
              <w:rPr>
                <w:bCs/>
              </w:rPr>
            </w:pPr>
          </w:p>
          <w:p w14:paraId="3DDC89B3" w14:textId="77777777" w:rsidR="00124AB6" w:rsidRPr="000F1E33" w:rsidRDefault="00124AB6" w:rsidP="004E3BFD">
            <w:pPr>
              <w:rPr>
                <w:bCs/>
              </w:rPr>
            </w:pPr>
            <w:r>
              <w:rPr>
                <w:bCs/>
              </w:rPr>
              <w:t>(h)</w:t>
            </w:r>
            <w:r w:rsidRPr="000F1E33">
              <w:rPr>
                <w:bCs/>
              </w:rPr>
              <w:t>(3) The owner or operator of the valve follows a written plan that requires monitoring of the valve at least once per calendar year.</w:t>
            </w:r>
          </w:p>
        </w:tc>
      </w:tr>
      <w:tr w:rsidR="00124AB6" w:rsidRPr="000F1E33" w14:paraId="2F2CED02"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7" w:type="dxa"/>
          </w:tcPr>
          <w:p w14:paraId="778B9662" w14:textId="77777777" w:rsidR="00124AB6" w:rsidRPr="000A5D3A" w:rsidRDefault="00124AB6" w:rsidP="004E3BFD">
            <w:pPr>
              <w:pStyle w:val="BNum"/>
              <w:rPr>
                <w:bCs/>
              </w:rPr>
            </w:pPr>
          </w:p>
        </w:tc>
        <w:tc>
          <w:tcPr>
            <w:tcW w:w="9433" w:type="dxa"/>
          </w:tcPr>
          <w:p w14:paraId="4115373F" w14:textId="77777777" w:rsidR="00124AB6" w:rsidRPr="001B6EC4" w:rsidRDefault="00124AB6" w:rsidP="004E3BFD">
            <w:r w:rsidRPr="001B6EC4">
              <w:rPr>
                <w:b/>
              </w:rPr>
              <w:t>Emission Unit ID:</w:t>
            </w:r>
            <w:r>
              <w:rPr>
                <w:b/>
              </w:rPr>
              <w:t xml:space="preserve"> </w:t>
            </w:r>
            <w:r w:rsidRPr="00F61457">
              <w:rPr>
                <w:bCs/>
              </w:rPr>
              <w:t>06, 07</w:t>
            </w:r>
          </w:p>
          <w:p w14:paraId="65F53949" w14:textId="77777777" w:rsidR="00124AB6" w:rsidRDefault="00124AB6" w:rsidP="004E3BFD">
            <w:r w:rsidRPr="009A00D8">
              <w:rPr>
                <w:b/>
              </w:rPr>
              <w:t>Equipment ID:</w:t>
            </w:r>
            <w:r w:rsidRPr="009A00D8">
              <w:t xml:space="preserve"> </w:t>
            </w:r>
            <w:r>
              <w:t xml:space="preserve">R-2, R-4, R-8 </w:t>
            </w:r>
          </w:p>
          <w:p w14:paraId="0BA397B7" w14:textId="77777777" w:rsidR="00124AB6" w:rsidRDefault="00124AB6" w:rsidP="004E3BFD">
            <w:r w:rsidRPr="009A00D8">
              <w:rPr>
                <w:b/>
              </w:rPr>
              <w:t>Control Device ID:</w:t>
            </w:r>
            <w:r>
              <w:rPr>
                <w:b/>
              </w:rPr>
              <w:t xml:space="preserve"> </w:t>
            </w:r>
            <w:r>
              <w:rPr>
                <w:bCs/>
              </w:rPr>
              <w:t>NP-1</w:t>
            </w:r>
            <w:r w:rsidRPr="009A00D8">
              <w:t xml:space="preserve"> </w:t>
            </w:r>
          </w:p>
          <w:p w14:paraId="1DFFF411" w14:textId="77777777" w:rsidR="00124AB6" w:rsidRDefault="00124AB6" w:rsidP="004E3BFD">
            <w:pPr>
              <w:rPr>
                <w:bCs/>
              </w:rPr>
            </w:pPr>
          </w:p>
          <w:p w14:paraId="7F42E692" w14:textId="77777777" w:rsidR="00124AB6" w:rsidRPr="000F1E33" w:rsidRDefault="00124AB6" w:rsidP="004E3BFD">
            <w:pPr>
              <w:rPr>
                <w:bCs/>
              </w:rPr>
            </w:pPr>
            <w:r>
              <w:rPr>
                <w:bCs/>
              </w:rPr>
              <w:t>40CFR</w:t>
            </w:r>
            <w:r w:rsidRPr="000F1E33">
              <w:rPr>
                <w:bCs/>
              </w:rPr>
              <w:t>60.482-8a Standards: Pumps, valves, and connectors in heavy liquid service and pressure relief devices in light liquid or heavy liquid service.</w:t>
            </w:r>
          </w:p>
          <w:p w14:paraId="44946A4C" w14:textId="77777777" w:rsidR="00124AB6" w:rsidRPr="000F1E33" w:rsidRDefault="00124AB6" w:rsidP="004E3BFD">
            <w:pPr>
              <w:rPr>
                <w:bCs/>
              </w:rPr>
            </w:pPr>
          </w:p>
          <w:p w14:paraId="0CBEB7CF" w14:textId="77777777" w:rsidR="00124AB6" w:rsidRPr="000F1E33" w:rsidRDefault="00124AB6" w:rsidP="004E3BFD">
            <w:pPr>
              <w:rPr>
                <w:bCs/>
              </w:rPr>
            </w:pPr>
            <w:r w:rsidRPr="000F1E33">
              <w:rPr>
                <w:bCs/>
              </w:rPr>
              <w:t xml:space="preserve">(a) If evidence of a potential leak is found by visual, audible, olfactory, or any other detection method at pumps, valves, and connectors in heavy liquid service and pressure relief devices in light liquid or heavy liquid service, the owner or operator shall follow either one of the following procedures: </w:t>
            </w:r>
          </w:p>
          <w:p w14:paraId="0B9E3DA5" w14:textId="77777777" w:rsidR="00124AB6" w:rsidRPr="000F1E33" w:rsidRDefault="00124AB6" w:rsidP="004E3BFD">
            <w:pPr>
              <w:rPr>
                <w:bCs/>
              </w:rPr>
            </w:pPr>
          </w:p>
          <w:p w14:paraId="50AF9452" w14:textId="77777777" w:rsidR="00124AB6" w:rsidRPr="000F1E33" w:rsidRDefault="00124AB6" w:rsidP="004E3BFD">
            <w:pPr>
              <w:rPr>
                <w:bCs/>
              </w:rPr>
            </w:pPr>
            <w:r>
              <w:rPr>
                <w:bCs/>
              </w:rPr>
              <w:t>(a)</w:t>
            </w:r>
            <w:r w:rsidRPr="000F1E33">
              <w:rPr>
                <w:bCs/>
              </w:rPr>
              <w:t xml:space="preserve">(1) The owner or operator shall monitor the equipment within 5 days by the method specified in § 60.485a(b) and shall comply with the requirements of paragraphs (b) through (d) of this section. </w:t>
            </w:r>
          </w:p>
          <w:p w14:paraId="7AD9DC29" w14:textId="77777777" w:rsidR="00124AB6" w:rsidRPr="000F1E33" w:rsidRDefault="00124AB6" w:rsidP="004E3BFD">
            <w:pPr>
              <w:rPr>
                <w:bCs/>
              </w:rPr>
            </w:pPr>
          </w:p>
          <w:p w14:paraId="12E010F3" w14:textId="77777777" w:rsidR="00124AB6" w:rsidRPr="000F1E33" w:rsidRDefault="00124AB6" w:rsidP="004E3BFD">
            <w:pPr>
              <w:rPr>
                <w:bCs/>
              </w:rPr>
            </w:pPr>
            <w:r>
              <w:rPr>
                <w:bCs/>
              </w:rPr>
              <w:t>(a)</w:t>
            </w:r>
            <w:r w:rsidRPr="000F1E33">
              <w:rPr>
                <w:bCs/>
              </w:rPr>
              <w:t xml:space="preserve">(2) The owner or operator shall eliminate the visual, audible, olfactory, or other indication of a potential leak within 5 calendar days of detection. </w:t>
            </w:r>
          </w:p>
          <w:p w14:paraId="38F6FE17" w14:textId="77777777" w:rsidR="00124AB6" w:rsidRPr="000F1E33" w:rsidRDefault="00124AB6" w:rsidP="004E3BFD">
            <w:pPr>
              <w:rPr>
                <w:bCs/>
              </w:rPr>
            </w:pPr>
          </w:p>
          <w:p w14:paraId="767E7A97" w14:textId="77777777" w:rsidR="00124AB6" w:rsidRPr="000F1E33" w:rsidRDefault="00124AB6" w:rsidP="004E3BFD">
            <w:pPr>
              <w:rPr>
                <w:bCs/>
              </w:rPr>
            </w:pPr>
            <w:r w:rsidRPr="000F1E33">
              <w:rPr>
                <w:bCs/>
              </w:rPr>
              <w:t xml:space="preserve">(b) If an instrument reading of 10,000 ppm or greater is measured, a leak is detected. </w:t>
            </w:r>
          </w:p>
          <w:p w14:paraId="6D31E292" w14:textId="77777777" w:rsidR="00124AB6" w:rsidRPr="000F1E33" w:rsidRDefault="00124AB6" w:rsidP="004E3BFD">
            <w:pPr>
              <w:rPr>
                <w:bCs/>
              </w:rPr>
            </w:pPr>
          </w:p>
          <w:p w14:paraId="2DCDF4A6" w14:textId="77777777" w:rsidR="00124AB6" w:rsidRPr="000F1E33" w:rsidRDefault="00124AB6" w:rsidP="004E3BFD">
            <w:pPr>
              <w:rPr>
                <w:bCs/>
              </w:rPr>
            </w:pPr>
            <w:r w:rsidRPr="000F1E33">
              <w:rPr>
                <w:bCs/>
              </w:rPr>
              <w:t xml:space="preserve">(c)(1) When a leak is detected, it shall be repaired as soon as practicable, but not later than 15 calendar days after it is detected, except as provided in § 60.482–9a. </w:t>
            </w:r>
          </w:p>
          <w:p w14:paraId="512F56A6" w14:textId="77777777" w:rsidR="00124AB6" w:rsidRPr="000F1E33" w:rsidRDefault="00124AB6" w:rsidP="004E3BFD">
            <w:pPr>
              <w:rPr>
                <w:bCs/>
              </w:rPr>
            </w:pPr>
          </w:p>
          <w:p w14:paraId="201C100C" w14:textId="77777777" w:rsidR="00124AB6" w:rsidRPr="000F1E33" w:rsidRDefault="00124AB6" w:rsidP="004E3BFD">
            <w:pPr>
              <w:rPr>
                <w:bCs/>
              </w:rPr>
            </w:pPr>
            <w:r>
              <w:rPr>
                <w:bCs/>
              </w:rPr>
              <w:t>(c)</w:t>
            </w:r>
            <w:r w:rsidRPr="000F1E33">
              <w:rPr>
                <w:bCs/>
              </w:rPr>
              <w:t xml:space="preserve">(2) The first attempt at repair shall be made no later than 5 calendar days after each leak is detected. </w:t>
            </w:r>
          </w:p>
          <w:p w14:paraId="6FA06BDB" w14:textId="77777777" w:rsidR="00124AB6" w:rsidRPr="000F1E33" w:rsidRDefault="00124AB6" w:rsidP="004E3BFD">
            <w:pPr>
              <w:rPr>
                <w:bCs/>
              </w:rPr>
            </w:pPr>
          </w:p>
          <w:p w14:paraId="7856A60B" w14:textId="77777777" w:rsidR="00124AB6" w:rsidRPr="000F1E33" w:rsidRDefault="00124AB6" w:rsidP="004E3BFD">
            <w:pPr>
              <w:rPr>
                <w:bCs/>
              </w:rPr>
            </w:pPr>
            <w:r w:rsidRPr="000F1E33">
              <w:rPr>
                <w:bCs/>
              </w:rPr>
              <w:t>(d) First attempts at repair include, but are not limited to, the best practices described under §§ 60.482–2a(c)(2) and 60.482–7a(e).</w:t>
            </w:r>
          </w:p>
        </w:tc>
      </w:tr>
      <w:tr w:rsidR="00124AB6" w:rsidRPr="000F1E33" w14:paraId="46D89C82"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7" w:type="dxa"/>
          </w:tcPr>
          <w:p w14:paraId="698D26B0" w14:textId="77777777" w:rsidR="00124AB6" w:rsidRPr="000A5D3A" w:rsidRDefault="00124AB6" w:rsidP="004E3BFD">
            <w:pPr>
              <w:pStyle w:val="BNum"/>
              <w:rPr>
                <w:bCs/>
              </w:rPr>
            </w:pPr>
          </w:p>
        </w:tc>
        <w:tc>
          <w:tcPr>
            <w:tcW w:w="9433" w:type="dxa"/>
          </w:tcPr>
          <w:p w14:paraId="67121A48" w14:textId="77777777" w:rsidR="00124AB6" w:rsidRPr="001B6EC4" w:rsidRDefault="00124AB6" w:rsidP="004E3BFD">
            <w:r w:rsidRPr="001B6EC4">
              <w:rPr>
                <w:b/>
              </w:rPr>
              <w:t>Emission Unit ID:</w:t>
            </w:r>
            <w:r>
              <w:rPr>
                <w:b/>
              </w:rPr>
              <w:t xml:space="preserve"> </w:t>
            </w:r>
            <w:r w:rsidRPr="00F61457">
              <w:rPr>
                <w:bCs/>
              </w:rPr>
              <w:t>06, 07</w:t>
            </w:r>
          </w:p>
          <w:p w14:paraId="3C872F06" w14:textId="77777777" w:rsidR="00124AB6" w:rsidRDefault="00124AB6" w:rsidP="004E3BFD">
            <w:r w:rsidRPr="009A00D8">
              <w:rPr>
                <w:b/>
              </w:rPr>
              <w:t>Equipment ID:</w:t>
            </w:r>
            <w:r w:rsidRPr="009A00D8">
              <w:t xml:space="preserve"> </w:t>
            </w:r>
            <w:r>
              <w:t xml:space="preserve">R-2, R-4, R-8 </w:t>
            </w:r>
          </w:p>
          <w:p w14:paraId="2923BE1E" w14:textId="77777777" w:rsidR="00124AB6" w:rsidRDefault="00124AB6" w:rsidP="004E3BFD">
            <w:r w:rsidRPr="009A00D8">
              <w:rPr>
                <w:b/>
              </w:rPr>
              <w:t>Control Device ID:</w:t>
            </w:r>
            <w:r>
              <w:rPr>
                <w:b/>
              </w:rPr>
              <w:t xml:space="preserve"> </w:t>
            </w:r>
            <w:r>
              <w:rPr>
                <w:bCs/>
              </w:rPr>
              <w:t>NP-1</w:t>
            </w:r>
            <w:r w:rsidRPr="009A00D8">
              <w:t xml:space="preserve"> </w:t>
            </w:r>
          </w:p>
          <w:p w14:paraId="5B413C92" w14:textId="77777777" w:rsidR="00124AB6" w:rsidRDefault="00124AB6" w:rsidP="004E3BFD">
            <w:pPr>
              <w:rPr>
                <w:bCs/>
              </w:rPr>
            </w:pPr>
          </w:p>
          <w:p w14:paraId="70BD854D" w14:textId="77777777" w:rsidR="00124AB6" w:rsidRPr="000F1E33" w:rsidRDefault="00124AB6" w:rsidP="004E3BFD">
            <w:pPr>
              <w:rPr>
                <w:bCs/>
              </w:rPr>
            </w:pPr>
            <w:r>
              <w:rPr>
                <w:bCs/>
              </w:rPr>
              <w:t>40CFR</w:t>
            </w:r>
            <w:r w:rsidRPr="000F1E33">
              <w:rPr>
                <w:bCs/>
              </w:rPr>
              <w:t>60.482-9a Standards: Delay of repair.</w:t>
            </w:r>
          </w:p>
          <w:p w14:paraId="31AFDA21" w14:textId="77777777" w:rsidR="00124AB6" w:rsidRPr="000F1E33" w:rsidRDefault="00124AB6" w:rsidP="004E3BFD">
            <w:pPr>
              <w:rPr>
                <w:bCs/>
              </w:rPr>
            </w:pPr>
          </w:p>
          <w:p w14:paraId="424FE0E8" w14:textId="77777777" w:rsidR="00124AB6" w:rsidRPr="000F1E33" w:rsidRDefault="00124AB6" w:rsidP="004E3BFD">
            <w:pPr>
              <w:rPr>
                <w:bCs/>
              </w:rPr>
            </w:pPr>
            <w:r w:rsidRPr="000F1E33">
              <w:rPr>
                <w:bCs/>
              </w:rPr>
              <w:t xml:space="preserve">(a) Delay of repair of equipment for which leaks have been detected will be allowed if repair within 15 days is technically infeasible without a process unit shutdown. Repair of this equipment shall occur before the end of the next process unit shutdown. Monitoring to verify repair must occur within 15 days after startup of the process unit. </w:t>
            </w:r>
          </w:p>
          <w:p w14:paraId="0D73F19C" w14:textId="77777777" w:rsidR="00124AB6" w:rsidRPr="000F1E33" w:rsidRDefault="00124AB6" w:rsidP="004E3BFD">
            <w:pPr>
              <w:rPr>
                <w:bCs/>
              </w:rPr>
            </w:pPr>
          </w:p>
          <w:p w14:paraId="3408B288" w14:textId="77777777" w:rsidR="00124AB6" w:rsidRPr="000F1E33" w:rsidRDefault="00124AB6" w:rsidP="004E3BFD">
            <w:pPr>
              <w:rPr>
                <w:bCs/>
              </w:rPr>
            </w:pPr>
            <w:r w:rsidRPr="000F1E33">
              <w:rPr>
                <w:bCs/>
              </w:rPr>
              <w:t xml:space="preserve">(b) Delay of repair of equipment will be allowed for equipment which is isolated from the </w:t>
            </w:r>
            <w:proofErr w:type="gramStart"/>
            <w:r w:rsidRPr="000F1E33">
              <w:rPr>
                <w:bCs/>
              </w:rPr>
              <w:t>process</w:t>
            </w:r>
            <w:proofErr w:type="gramEnd"/>
            <w:r w:rsidRPr="000F1E33">
              <w:rPr>
                <w:bCs/>
              </w:rPr>
              <w:t xml:space="preserve"> and which does not remain in VOC service. </w:t>
            </w:r>
          </w:p>
          <w:p w14:paraId="4CB5E279" w14:textId="77777777" w:rsidR="00124AB6" w:rsidRPr="000F1E33" w:rsidRDefault="00124AB6" w:rsidP="004E3BFD">
            <w:pPr>
              <w:rPr>
                <w:bCs/>
              </w:rPr>
            </w:pPr>
          </w:p>
          <w:p w14:paraId="78BE1857" w14:textId="77777777" w:rsidR="00124AB6" w:rsidRPr="000F1E33" w:rsidRDefault="00124AB6" w:rsidP="004E3BFD">
            <w:pPr>
              <w:rPr>
                <w:bCs/>
              </w:rPr>
            </w:pPr>
            <w:r w:rsidRPr="000F1E33">
              <w:rPr>
                <w:bCs/>
              </w:rPr>
              <w:t xml:space="preserve">(c) Delay of repair for valves and connectors will be allowed if: </w:t>
            </w:r>
          </w:p>
          <w:p w14:paraId="2FB8C063" w14:textId="77777777" w:rsidR="00124AB6" w:rsidRPr="000F1E33" w:rsidRDefault="00124AB6" w:rsidP="004E3BFD">
            <w:pPr>
              <w:rPr>
                <w:bCs/>
              </w:rPr>
            </w:pPr>
          </w:p>
          <w:p w14:paraId="5DB95654" w14:textId="77777777" w:rsidR="00124AB6" w:rsidRPr="000F1E33" w:rsidRDefault="00124AB6" w:rsidP="004E3BFD">
            <w:pPr>
              <w:rPr>
                <w:bCs/>
              </w:rPr>
            </w:pPr>
            <w:r>
              <w:rPr>
                <w:bCs/>
              </w:rPr>
              <w:t>(c)</w:t>
            </w:r>
            <w:r w:rsidRPr="000F1E33">
              <w:rPr>
                <w:bCs/>
              </w:rPr>
              <w:t xml:space="preserve">(1) The owner or operator demonstrates that emissions of purged material resulting from immediate repair are greater than the fugitive emissions likely to result from delay of repair, and </w:t>
            </w:r>
          </w:p>
          <w:p w14:paraId="2A31AF7B" w14:textId="77777777" w:rsidR="00124AB6" w:rsidRPr="000F1E33" w:rsidRDefault="00124AB6" w:rsidP="004E3BFD">
            <w:pPr>
              <w:rPr>
                <w:bCs/>
              </w:rPr>
            </w:pPr>
          </w:p>
          <w:p w14:paraId="4F25C8CA" w14:textId="77777777" w:rsidR="00124AB6" w:rsidRPr="000F1E33" w:rsidRDefault="00124AB6" w:rsidP="004E3BFD">
            <w:pPr>
              <w:rPr>
                <w:bCs/>
              </w:rPr>
            </w:pPr>
            <w:r>
              <w:rPr>
                <w:bCs/>
              </w:rPr>
              <w:t>(c)</w:t>
            </w:r>
            <w:r w:rsidRPr="000F1E33">
              <w:rPr>
                <w:bCs/>
              </w:rPr>
              <w:t xml:space="preserve">(2) When repair procedures are </w:t>
            </w:r>
            <w:proofErr w:type="gramStart"/>
            <w:r w:rsidRPr="000F1E33">
              <w:rPr>
                <w:bCs/>
              </w:rPr>
              <w:t>effected</w:t>
            </w:r>
            <w:proofErr w:type="gramEnd"/>
            <w:r w:rsidRPr="000F1E33">
              <w:rPr>
                <w:bCs/>
              </w:rPr>
              <w:t xml:space="preserve">, the purged material is collected and destroyed or recovered in a control device complying with § 60.482–10a. </w:t>
            </w:r>
          </w:p>
          <w:p w14:paraId="7794D5AE" w14:textId="77777777" w:rsidR="00124AB6" w:rsidRPr="000F1E33" w:rsidRDefault="00124AB6" w:rsidP="004E3BFD">
            <w:pPr>
              <w:rPr>
                <w:bCs/>
              </w:rPr>
            </w:pPr>
          </w:p>
          <w:p w14:paraId="23D66E6C" w14:textId="77777777" w:rsidR="00124AB6" w:rsidRPr="000F1E33" w:rsidRDefault="00124AB6" w:rsidP="004E3BFD">
            <w:pPr>
              <w:rPr>
                <w:bCs/>
              </w:rPr>
            </w:pPr>
            <w:r w:rsidRPr="000F1E33">
              <w:rPr>
                <w:bCs/>
              </w:rPr>
              <w:t xml:space="preserve">(d) Delay of repair for pumps will be allowed if: </w:t>
            </w:r>
          </w:p>
          <w:p w14:paraId="7456E299" w14:textId="77777777" w:rsidR="00124AB6" w:rsidRPr="000F1E33" w:rsidRDefault="00124AB6" w:rsidP="004E3BFD">
            <w:pPr>
              <w:rPr>
                <w:bCs/>
              </w:rPr>
            </w:pPr>
          </w:p>
          <w:p w14:paraId="443FFEB8" w14:textId="77777777" w:rsidR="00124AB6" w:rsidRPr="000F1E33" w:rsidRDefault="00124AB6" w:rsidP="004E3BFD">
            <w:pPr>
              <w:rPr>
                <w:bCs/>
              </w:rPr>
            </w:pPr>
            <w:r>
              <w:rPr>
                <w:bCs/>
              </w:rPr>
              <w:t>(d)</w:t>
            </w:r>
            <w:r w:rsidRPr="000F1E33">
              <w:rPr>
                <w:bCs/>
              </w:rPr>
              <w:t xml:space="preserve">(1) Repair requires the use of a dual mechanical seal system that includes a barrier fluid system, and </w:t>
            </w:r>
          </w:p>
          <w:p w14:paraId="661BAB7D" w14:textId="77777777" w:rsidR="00124AB6" w:rsidRPr="000F1E33" w:rsidRDefault="00124AB6" w:rsidP="004E3BFD">
            <w:pPr>
              <w:rPr>
                <w:bCs/>
              </w:rPr>
            </w:pPr>
          </w:p>
          <w:p w14:paraId="4E8EC1A9" w14:textId="77777777" w:rsidR="00124AB6" w:rsidRPr="000F1E33" w:rsidRDefault="00124AB6" w:rsidP="004E3BFD">
            <w:pPr>
              <w:rPr>
                <w:bCs/>
              </w:rPr>
            </w:pPr>
            <w:r>
              <w:rPr>
                <w:bCs/>
              </w:rPr>
              <w:t>(d)</w:t>
            </w:r>
            <w:r w:rsidRPr="000F1E33">
              <w:rPr>
                <w:bCs/>
              </w:rPr>
              <w:t xml:space="preserve">(2) Repair is completed as soon as practicable, but not later than 6 months after the leak was detected. </w:t>
            </w:r>
          </w:p>
          <w:p w14:paraId="55A855C6" w14:textId="77777777" w:rsidR="00124AB6" w:rsidRPr="000F1E33" w:rsidRDefault="00124AB6" w:rsidP="004E3BFD">
            <w:pPr>
              <w:rPr>
                <w:bCs/>
              </w:rPr>
            </w:pPr>
          </w:p>
          <w:p w14:paraId="35EF5D8E" w14:textId="77777777" w:rsidR="00124AB6" w:rsidRPr="000F1E33" w:rsidRDefault="00124AB6" w:rsidP="004E3BFD">
            <w:pPr>
              <w:rPr>
                <w:bCs/>
              </w:rPr>
            </w:pPr>
            <w:r w:rsidRPr="000F1E33">
              <w:rPr>
                <w:bCs/>
              </w:rPr>
              <w:t xml:space="preserve">(e) Delay of repair beyond a process unit shutdown will be allowed for a valve, if valve assembly replacement is necessary during the process unit shutdown, valve assembly supplies have been depleted, and valve assembly supplies had been sufficiently stocked before the supplies were depleted. Delay of repair beyond the next process unit shutdown will not be allowed unless the next process unit shutdown occurs sooner than 6 months after the first process unit shutdown. </w:t>
            </w:r>
          </w:p>
          <w:p w14:paraId="3AE4D525" w14:textId="77777777" w:rsidR="00124AB6" w:rsidRPr="000F1E33" w:rsidRDefault="00124AB6" w:rsidP="004E3BFD">
            <w:pPr>
              <w:rPr>
                <w:bCs/>
              </w:rPr>
            </w:pPr>
          </w:p>
          <w:p w14:paraId="77D1CDFF" w14:textId="77777777" w:rsidR="00124AB6" w:rsidRPr="000F1E33" w:rsidRDefault="00124AB6" w:rsidP="004E3BFD">
            <w:pPr>
              <w:rPr>
                <w:bCs/>
              </w:rPr>
            </w:pPr>
            <w:r w:rsidRPr="000F1E33">
              <w:rPr>
                <w:bCs/>
              </w:rPr>
              <w:t xml:space="preserve">(f) When delay of repair is allowed for a leaking pump, valve, or connector that remains in service, the pump, valve, or connector may </w:t>
            </w:r>
            <w:proofErr w:type="gramStart"/>
            <w:r w:rsidRPr="000F1E33">
              <w:rPr>
                <w:bCs/>
              </w:rPr>
              <w:t>be considered to be</w:t>
            </w:r>
            <w:proofErr w:type="gramEnd"/>
            <w:r w:rsidRPr="000F1E33">
              <w:rPr>
                <w:bCs/>
              </w:rPr>
              <w:t xml:space="preserve"> repaired and no longer subject to delay of repair requirements if two consecutive monthly monitoring instrument readings are below the leak definition.</w:t>
            </w:r>
          </w:p>
        </w:tc>
      </w:tr>
      <w:tr w:rsidR="00124AB6" w:rsidRPr="000F1E33" w14:paraId="788F904E"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val="0"/>
          <w:trHeight w:val="432"/>
        </w:trPr>
        <w:tc>
          <w:tcPr>
            <w:tcW w:w="1367" w:type="dxa"/>
          </w:tcPr>
          <w:p w14:paraId="7EF8FE37" w14:textId="77777777" w:rsidR="00124AB6" w:rsidRPr="000A5D3A" w:rsidRDefault="00124AB6" w:rsidP="004E3BFD">
            <w:pPr>
              <w:pStyle w:val="BNum"/>
              <w:rPr>
                <w:bCs/>
              </w:rPr>
            </w:pPr>
          </w:p>
        </w:tc>
        <w:tc>
          <w:tcPr>
            <w:tcW w:w="9433" w:type="dxa"/>
          </w:tcPr>
          <w:p w14:paraId="313D7FC3" w14:textId="77777777" w:rsidR="00124AB6" w:rsidRPr="001B6EC4" w:rsidRDefault="00124AB6" w:rsidP="004E3BFD">
            <w:r w:rsidRPr="001B6EC4">
              <w:rPr>
                <w:b/>
              </w:rPr>
              <w:t>Emission Unit ID:</w:t>
            </w:r>
            <w:r>
              <w:rPr>
                <w:b/>
              </w:rPr>
              <w:t xml:space="preserve"> </w:t>
            </w:r>
            <w:r w:rsidRPr="00F61457">
              <w:rPr>
                <w:bCs/>
              </w:rPr>
              <w:t>06, 07</w:t>
            </w:r>
          </w:p>
          <w:p w14:paraId="1F5B3861" w14:textId="77777777" w:rsidR="00124AB6" w:rsidRDefault="00124AB6" w:rsidP="004E3BFD">
            <w:r w:rsidRPr="009A00D8">
              <w:rPr>
                <w:b/>
              </w:rPr>
              <w:t>Equipment ID:</w:t>
            </w:r>
            <w:r w:rsidRPr="009A00D8">
              <w:t xml:space="preserve"> </w:t>
            </w:r>
            <w:r>
              <w:t xml:space="preserve">R-2, R-4, R-8 </w:t>
            </w:r>
          </w:p>
          <w:p w14:paraId="098EA13B" w14:textId="77777777" w:rsidR="00124AB6" w:rsidRDefault="00124AB6" w:rsidP="004E3BFD">
            <w:r w:rsidRPr="009A00D8">
              <w:rPr>
                <w:b/>
              </w:rPr>
              <w:t>Control Device ID:</w:t>
            </w:r>
            <w:r>
              <w:rPr>
                <w:b/>
              </w:rPr>
              <w:t xml:space="preserve"> </w:t>
            </w:r>
            <w:r>
              <w:rPr>
                <w:bCs/>
              </w:rPr>
              <w:t>NP-1</w:t>
            </w:r>
            <w:r w:rsidRPr="009A00D8">
              <w:t xml:space="preserve"> </w:t>
            </w:r>
          </w:p>
          <w:p w14:paraId="3FCC0C8E" w14:textId="77777777" w:rsidR="00124AB6" w:rsidRDefault="00124AB6" w:rsidP="004E3BFD">
            <w:pPr>
              <w:rPr>
                <w:bCs/>
              </w:rPr>
            </w:pPr>
          </w:p>
          <w:p w14:paraId="120A7F4D" w14:textId="77777777" w:rsidR="00124AB6" w:rsidRPr="000F1E33" w:rsidRDefault="00124AB6" w:rsidP="004E3BFD">
            <w:pPr>
              <w:rPr>
                <w:bCs/>
              </w:rPr>
            </w:pPr>
            <w:r>
              <w:rPr>
                <w:bCs/>
              </w:rPr>
              <w:t>40CFR</w:t>
            </w:r>
            <w:r w:rsidRPr="000F1E33">
              <w:rPr>
                <w:bCs/>
              </w:rPr>
              <w:t>60.485a Test methods and procedures.</w:t>
            </w:r>
          </w:p>
          <w:p w14:paraId="37C26D0A" w14:textId="77777777" w:rsidR="00124AB6" w:rsidRPr="000F1E33" w:rsidRDefault="00124AB6" w:rsidP="004E3BFD">
            <w:pPr>
              <w:rPr>
                <w:bCs/>
              </w:rPr>
            </w:pPr>
          </w:p>
          <w:p w14:paraId="38DDD7B9" w14:textId="77777777" w:rsidR="00124AB6" w:rsidRPr="000F1E33" w:rsidRDefault="00124AB6" w:rsidP="004E3BFD">
            <w:pPr>
              <w:rPr>
                <w:bCs/>
              </w:rPr>
            </w:pPr>
            <w:r w:rsidRPr="000F1E33">
              <w:rPr>
                <w:bCs/>
              </w:rPr>
              <w:t xml:space="preserve">(a) In conducting the performance tests required in §60.8, the owner or operator shall use as reference methods and procedures the test methods in appendix A of this part or other methods and procedures as specified in this section, except as provided in § 60.8(b). </w:t>
            </w:r>
          </w:p>
          <w:p w14:paraId="31A9ABCD" w14:textId="77777777" w:rsidR="00124AB6" w:rsidRPr="000F1E33" w:rsidRDefault="00124AB6" w:rsidP="004E3BFD">
            <w:pPr>
              <w:rPr>
                <w:bCs/>
              </w:rPr>
            </w:pPr>
          </w:p>
          <w:p w14:paraId="553097E9" w14:textId="77777777" w:rsidR="00124AB6" w:rsidRPr="000F1E33" w:rsidRDefault="00124AB6" w:rsidP="004E3BFD">
            <w:pPr>
              <w:rPr>
                <w:bCs/>
              </w:rPr>
            </w:pPr>
            <w:r w:rsidRPr="000F1E33">
              <w:rPr>
                <w:bCs/>
              </w:rPr>
              <w:t xml:space="preserve">(b) The owner or operator shall determine compliance with the standards in §§ 60.482–1a through 60.482–11a, 60.483a, and 60.484a as follows: </w:t>
            </w:r>
          </w:p>
          <w:p w14:paraId="4440A793" w14:textId="77777777" w:rsidR="00124AB6" w:rsidRPr="000F1E33" w:rsidRDefault="00124AB6" w:rsidP="004E3BFD">
            <w:pPr>
              <w:rPr>
                <w:bCs/>
              </w:rPr>
            </w:pPr>
          </w:p>
          <w:p w14:paraId="7F699BBF" w14:textId="77777777" w:rsidR="00124AB6" w:rsidRPr="000F1E33" w:rsidRDefault="00124AB6" w:rsidP="004E3BFD">
            <w:pPr>
              <w:rPr>
                <w:bCs/>
              </w:rPr>
            </w:pPr>
            <w:r>
              <w:rPr>
                <w:bCs/>
              </w:rPr>
              <w:t>(b)</w:t>
            </w:r>
            <w:r w:rsidRPr="000F1E33">
              <w:rPr>
                <w:bCs/>
              </w:rPr>
              <w:t xml:space="preserve">(1) Method 21 shall be used to determine the presence of leaking sources. The instrument shall be calibrated before use each day of its use by the procedures specified in Method 21 of appendix A–7 of this part. The following calibration gases shall be used: </w:t>
            </w:r>
          </w:p>
          <w:p w14:paraId="1188FD6E" w14:textId="77777777" w:rsidR="00124AB6" w:rsidRPr="000F1E33" w:rsidRDefault="00124AB6" w:rsidP="004E3BFD">
            <w:pPr>
              <w:rPr>
                <w:bCs/>
              </w:rPr>
            </w:pPr>
          </w:p>
          <w:p w14:paraId="4F6F0EFF" w14:textId="77777777" w:rsidR="00124AB6" w:rsidRPr="000F1E33" w:rsidRDefault="00124AB6" w:rsidP="004E3BFD">
            <w:pPr>
              <w:rPr>
                <w:bCs/>
              </w:rPr>
            </w:pPr>
            <w:r>
              <w:rPr>
                <w:bCs/>
              </w:rPr>
              <w:t>(b)(1)</w:t>
            </w:r>
            <w:r w:rsidRPr="000F1E33">
              <w:rPr>
                <w:bCs/>
              </w:rPr>
              <w:t>(</w:t>
            </w:r>
            <w:proofErr w:type="spellStart"/>
            <w:r w:rsidRPr="000F1E33">
              <w:rPr>
                <w:bCs/>
              </w:rPr>
              <w:t>i</w:t>
            </w:r>
            <w:proofErr w:type="spellEnd"/>
            <w:r w:rsidRPr="000F1E33">
              <w:rPr>
                <w:bCs/>
              </w:rPr>
              <w:t xml:space="preserve">) Zero air (less than 10 ppm of hydrocarbon in air); and </w:t>
            </w:r>
          </w:p>
          <w:p w14:paraId="729F22A7" w14:textId="77777777" w:rsidR="00124AB6" w:rsidRPr="000F1E33" w:rsidRDefault="00124AB6" w:rsidP="004E3BFD">
            <w:pPr>
              <w:rPr>
                <w:bCs/>
              </w:rPr>
            </w:pPr>
          </w:p>
          <w:p w14:paraId="5E014E96" w14:textId="77777777" w:rsidR="00124AB6" w:rsidRPr="000F1E33" w:rsidRDefault="00124AB6" w:rsidP="004E3BFD">
            <w:pPr>
              <w:rPr>
                <w:bCs/>
              </w:rPr>
            </w:pPr>
            <w:r>
              <w:rPr>
                <w:bCs/>
              </w:rPr>
              <w:t>(b)(1)</w:t>
            </w:r>
            <w:r w:rsidRPr="000F1E33">
              <w:rPr>
                <w:bCs/>
              </w:rPr>
              <w:t xml:space="preserve">(ii) A mixture of methane or n-hexane and air at a concentration no more than 2,000 ppm greater than the leak definition concentration of the equipment monitored. If the monitoring instrument's design allows for multiple calibration scales, then the lower scale shall be calibrated with a calibration gas that is no higher than 2,000 ppm above the concentration specified as a leak, and the highest scale shall be calibrated with a calibration gas that is approximately equal to 10,000 ppm. If only one scale on an instrument will be used during monitoring, the owner or operator need not calibrate the scales that will not be used during that day's monitoring. </w:t>
            </w:r>
          </w:p>
          <w:p w14:paraId="7330BC50" w14:textId="77777777" w:rsidR="00124AB6" w:rsidRPr="000F1E33" w:rsidRDefault="00124AB6" w:rsidP="004E3BFD">
            <w:pPr>
              <w:rPr>
                <w:bCs/>
              </w:rPr>
            </w:pPr>
          </w:p>
          <w:p w14:paraId="2FB53184" w14:textId="77777777" w:rsidR="00124AB6" w:rsidRPr="000F1E33" w:rsidRDefault="00124AB6" w:rsidP="004E3BFD">
            <w:pPr>
              <w:rPr>
                <w:bCs/>
              </w:rPr>
            </w:pPr>
            <w:r>
              <w:rPr>
                <w:bCs/>
              </w:rPr>
              <w:t>(b)</w:t>
            </w:r>
            <w:r w:rsidRPr="000F1E33">
              <w:rPr>
                <w:bCs/>
              </w:rPr>
              <w:t xml:space="preserve">(2) A calibration drift assessment shall be performed, at a minimum, at the end of each monitoring day. Check the instrument using the same calibration gas(es) that were used to calibrate the instrument before use. Follow the procedures specified in Method 21 of appendix A–7 of this part, Section 10.1, except do not adjust the meter readout to correspond to the calibration gas value. Record the instrument reading for each scale used as specified in § 60.486a(e)(7). Calculate the average algebraic difference between the </w:t>
            </w:r>
            <w:proofErr w:type="gramStart"/>
            <w:r w:rsidRPr="000F1E33">
              <w:rPr>
                <w:bCs/>
              </w:rPr>
              <w:t>three meter</w:t>
            </w:r>
            <w:proofErr w:type="gramEnd"/>
            <w:r w:rsidRPr="000F1E33">
              <w:rPr>
                <w:bCs/>
              </w:rPr>
              <w:t xml:space="preserve"> readings and the most recent calibration value. Divide this algebraic difference by the initial calibration value and multiply by 100 to express the calibration drift as a percentage. If any calibration drift assessment shows a negative drift of more than 10 percent from the initial calibration value, then all equipment monitored since the last calibration with instrument readings below the appropriate leak definition and above the leak definition multiplied by (100 minus the percent of negative drift/divided by 100) must be re-monitored. If any calibration drift assessment shows a positive drift of more than 10 percent from the initial calibration value, then, at the owner/operator's discretion, all equipment since the last calibration with instrument readings above the appropriate leak definition and below the leak definition multiplied by (100 plus the percent of positive drift/divided by 100) may be re-monitored. </w:t>
            </w:r>
          </w:p>
          <w:p w14:paraId="55395085" w14:textId="77777777" w:rsidR="00124AB6" w:rsidRPr="000F1E33" w:rsidRDefault="00124AB6" w:rsidP="004E3BFD">
            <w:pPr>
              <w:rPr>
                <w:bCs/>
              </w:rPr>
            </w:pPr>
          </w:p>
          <w:p w14:paraId="12D2E7AB" w14:textId="77777777" w:rsidR="00124AB6" w:rsidRPr="000F1E33" w:rsidRDefault="00124AB6" w:rsidP="004E3BFD">
            <w:pPr>
              <w:rPr>
                <w:bCs/>
              </w:rPr>
            </w:pPr>
            <w:r w:rsidRPr="000F1E33">
              <w:rPr>
                <w:bCs/>
              </w:rPr>
              <w:t>(c) The owner or operator shall determine compliance with the no-detectable-emission standards in §§ 60.482–2a(e), 60.482–3a(</w:t>
            </w:r>
            <w:proofErr w:type="spellStart"/>
            <w:r w:rsidRPr="000F1E33">
              <w:rPr>
                <w:bCs/>
              </w:rPr>
              <w:t>i</w:t>
            </w:r>
            <w:proofErr w:type="spellEnd"/>
            <w:r w:rsidRPr="000F1E33">
              <w:rPr>
                <w:bCs/>
              </w:rPr>
              <w:t xml:space="preserve">), 60.482–4a, 60.482–7a(f), and 60.482–10a(e) as follows: </w:t>
            </w:r>
          </w:p>
          <w:p w14:paraId="400E4D6F" w14:textId="77777777" w:rsidR="00124AB6" w:rsidRPr="000F1E33" w:rsidRDefault="00124AB6" w:rsidP="004E3BFD">
            <w:pPr>
              <w:rPr>
                <w:bCs/>
              </w:rPr>
            </w:pPr>
          </w:p>
          <w:p w14:paraId="7FBD6BA5" w14:textId="77777777" w:rsidR="00124AB6" w:rsidRPr="000F1E33" w:rsidRDefault="00124AB6" w:rsidP="004E3BFD">
            <w:pPr>
              <w:rPr>
                <w:bCs/>
              </w:rPr>
            </w:pPr>
            <w:r>
              <w:rPr>
                <w:bCs/>
              </w:rPr>
              <w:t>(c)</w:t>
            </w:r>
            <w:r w:rsidRPr="000F1E33">
              <w:rPr>
                <w:bCs/>
              </w:rPr>
              <w:t xml:space="preserve">(1) The requirements of paragraph (b) shall apply. </w:t>
            </w:r>
          </w:p>
          <w:p w14:paraId="20D78E5B" w14:textId="77777777" w:rsidR="00124AB6" w:rsidRPr="000F1E33" w:rsidRDefault="00124AB6" w:rsidP="004E3BFD">
            <w:pPr>
              <w:rPr>
                <w:bCs/>
              </w:rPr>
            </w:pPr>
          </w:p>
          <w:p w14:paraId="087D04D1" w14:textId="77777777" w:rsidR="00124AB6" w:rsidRPr="000F1E33" w:rsidRDefault="00124AB6" w:rsidP="004E3BFD">
            <w:pPr>
              <w:rPr>
                <w:bCs/>
              </w:rPr>
            </w:pPr>
            <w:r>
              <w:rPr>
                <w:bCs/>
              </w:rPr>
              <w:t>(c)</w:t>
            </w:r>
            <w:r w:rsidRPr="000F1E33">
              <w:rPr>
                <w:bCs/>
              </w:rPr>
              <w:t xml:space="preserve">(2) Method 21 of appendix A–7 of this part shall be used to determine the background level. All potential leak interfaces shall be traversed as close to the interface as possible. The arithmetic difference between the maximum concentration indicated by the instrument and the background level is compared with 500 ppm for determining compliance. </w:t>
            </w:r>
          </w:p>
          <w:p w14:paraId="3F2E6B8A" w14:textId="77777777" w:rsidR="00124AB6" w:rsidRPr="000F1E33" w:rsidRDefault="00124AB6" w:rsidP="004E3BFD">
            <w:pPr>
              <w:rPr>
                <w:bCs/>
              </w:rPr>
            </w:pPr>
          </w:p>
          <w:p w14:paraId="72E06E03" w14:textId="77777777" w:rsidR="00124AB6" w:rsidRPr="000F1E33" w:rsidRDefault="00124AB6" w:rsidP="004E3BFD">
            <w:pPr>
              <w:rPr>
                <w:bCs/>
              </w:rPr>
            </w:pPr>
            <w:r w:rsidRPr="000F1E33">
              <w:rPr>
                <w:bCs/>
              </w:rPr>
              <w:t xml:space="preserve">(d) The owner or operator shall test each piece of equipment unless he demonstrates that a process unit is not in VOC service, i.e., that the VOC content would never be reasonably expected to exceed 10 percent by weight. For purposes of this demonstration, the following methods and procedures shall be used: </w:t>
            </w:r>
          </w:p>
          <w:p w14:paraId="26E963F9" w14:textId="77777777" w:rsidR="00124AB6" w:rsidRPr="000F1E33" w:rsidRDefault="00124AB6" w:rsidP="004E3BFD">
            <w:pPr>
              <w:rPr>
                <w:bCs/>
              </w:rPr>
            </w:pPr>
          </w:p>
          <w:p w14:paraId="62AD1D19" w14:textId="77777777" w:rsidR="00124AB6" w:rsidRPr="000F1E33" w:rsidRDefault="00124AB6" w:rsidP="004E3BFD">
            <w:pPr>
              <w:rPr>
                <w:bCs/>
              </w:rPr>
            </w:pPr>
            <w:r>
              <w:rPr>
                <w:bCs/>
              </w:rPr>
              <w:t>(d)</w:t>
            </w:r>
            <w:r w:rsidRPr="000F1E33">
              <w:rPr>
                <w:bCs/>
              </w:rPr>
              <w:t xml:space="preserve">(1) Procedures that conform to the general methods in ASTM E260–73, 91, or 96, E168–67, 77, or 92, E169–63, 77, or 93 (incorporated by reference—see § 60.17) shall be used to determine the percent VOC content in the process fluid that is contained in or contacts a piece of equipment. </w:t>
            </w:r>
          </w:p>
          <w:p w14:paraId="26423986" w14:textId="77777777" w:rsidR="00124AB6" w:rsidRPr="000F1E33" w:rsidRDefault="00124AB6" w:rsidP="004E3BFD">
            <w:pPr>
              <w:rPr>
                <w:bCs/>
              </w:rPr>
            </w:pPr>
          </w:p>
          <w:p w14:paraId="55A5A3AB" w14:textId="77777777" w:rsidR="00124AB6" w:rsidRPr="000F1E33" w:rsidRDefault="00124AB6" w:rsidP="004E3BFD">
            <w:pPr>
              <w:rPr>
                <w:bCs/>
              </w:rPr>
            </w:pPr>
            <w:r>
              <w:rPr>
                <w:bCs/>
              </w:rPr>
              <w:t>(d)</w:t>
            </w:r>
            <w:r w:rsidRPr="000F1E33">
              <w:rPr>
                <w:bCs/>
              </w:rPr>
              <w:t xml:space="preserve">(2) Organic compounds that are considered by the Administrator to have negligible photochemical reactivity may be excluded from the total quantity of organic compounds in determining the VOC content of the process fluid. </w:t>
            </w:r>
          </w:p>
          <w:p w14:paraId="4E84B6BB" w14:textId="77777777" w:rsidR="00124AB6" w:rsidRPr="000F1E33" w:rsidRDefault="00124AB6" w:rsidP="004E3BFD">
            <w:pPr>
              <w:rPr>
                <w:bCs/>
              </w:rPr>
            </w:pPr>
          </w:p>
          <w:p w14:paraId="5462F514" w14:textId="77777777" w:rsidR="00124AB6" w:rsidRPr="000F1E33" w:rsidRDefault="00124AB6" w:rsidP="004E3BFD">
            <w:pPr>
              <w:rPr>
                <w:bCs/>
              </w:rPr>
            </w:pPr>
            <w:r>
              <w:rPr>
                <w:bCs/>
              </w:rPr>
              <w:t>(d)</w:t>
            </w:r>
            <w:r w:rsidRPr="000F1E33">
              <w:rPr>
                <w:bCs/>
              </w:rPr>
              <w:t xml:space="preserve">(3) Engineering judgment may be used to estimate the VOC content, if a piece of equipment had not been shown previously to be in service. If the Administrator disagrees with the judgment, paragraphs (d)(1) and (2) of this section shall be used to resolve the disagreement. </w:t>
            </w:r>
          </w:p>
          <w:p w14:paraId="7360F59A" w14:textId="77777777" w:rsidR="00124AB6" w:rsidRPr="000F1E33" w:rsidRDefault="00124AB6" w:rsidP="004E3BFD">
            <w:pPr>
              <w:rPr>
                <w:bCs/>
              </w:rPr>
            </w:pPr>
          </w:p>
          <w:p w14:paraId="69BB0004" w14:textId="77777777" w:rsidR="00124AB6" w:rsidRPr="000F1E33" w:rsidRDefault="00124AB6" w:rsidP="004E3BFD">
            <w:pPr>
              <w:rPr>
                <w:bCs/>
              </w:rPr>
            </w:pPr>
            <w:r w:rsidRPr="000F1E33">
              <w:rPr>
                <w:bCs/>
              </w:rPr>
              <w:t xml:space="preserve">(e) The owner or operator shall demonstrate that a piece of equipment is in light liquid service by showing that all the following conditions apply: </w:t>
            </w:r>
          </w:p>
          <w:p w14:paraId="45FC8905" w14:textId="77777777" w:rsidR="00124AB6" w:rsidRPr="000F1E33" w:rsidRDefault="00124AB6" w:rsidP="004E3BFD">
            <w:pPr>
              <w:rPr>
                <w:bCs/>
              </w:rPr>
            </w:pPr>
          </w:p>
          <w:p w14:paraId="0421706B" w14:textId="77777777" w:rsidR="00124AB6" w:rsidRPr="000F1E33" w:rsidRDefault="00124AB6" w:rsidP="004E3BFD">
            <w:pPr>
              <w:rPr>
                <w:bCs/>
              </w:rPr>
            </w:pPr>
            <w:r>
              <w:rPr>
                <w:bCs/>
              </w:rPr>
              <w:t>(e)</w:t>
            </w:r>
            <w:r w:rsidRPr="000F1E33">
              <w:rPr>
                <w:bCs/>
              </w:rPr>
              <w:t>(1) The vapor pressure of one or more of the organic components is greater than 0.3 kPa at 20 °C (1.2 in. H</w:t>
            </w:r>
            <w:r w:rsidRPr="000F1E33">
              <w:rPr>
                <w:bCs/>
                <w:vertAlign w:val="subscript"/>
              </w:rPr>
              <w:t>2</w:t>
            </w:r>
            <w:r w:rsidRPr="000F1E33">
              <w:rPr>
                <w:bCs/>
              </w:rPr>
              <w:t xml:space="preserve">O at 68°F). Standard reference texts or ASTM D2879–83, 96, or 97 (incorporated by reference—see § 60.17) shall be used to determine the vapor pressures. </w:t>
            </w:r>
          </w:p>
          <w:p w14:paraId="11E2660E" w14:textId="77777777" w:rsidR="00124AB6" w:rsidRPr="000F1E33" w:rsidRDefault="00124AB6" w:rsidP="004E3BFD">
            <w:pPr>
              <w:rPr>
                <w:bCs/>
              </w:rPr>
            </w:pPr>
          </w:p>
          <w:p w14:paraId="3571EEDE" w14:textId="77777777" w:rsidR="00124AB6" w:rsidRPr="000F1E33" w:rsidRDefault="00124AB6" w:rsidP="004E3BFD">
            <w:pPr>
              <w:rPr>
                <w:bCs/>
              </w:rPr>
            </w:pPr>
            <w:r>
              <w:rPr>
                <w:bCs/>
              </w:rPr>
              <w:t>(e)</w:t>
            </w:r>
            <w:r w:rsidRPr="000F1E33">
              <w:rPr>
                <w:bCs/>
              </w:rPr>
              <w:t>(2) The total concentration of the pure organic components having a vapor pressure greater than 0.3 kPa at 20 °C (1.2 in. H</w:t>
            </w:r>
            <w:r w:rsidRPr="000F1E33">
              <w:rPr>
                <w:bCs/>
                <w:vertAlign w:val="subscript"/>
              </w:rPr>
              <w:t>2</w:t>
            </w:r>
            <w:r w:rsidRPr="000F1E33">
              <w:rPr>
                <w:bCs/>
              </w:rPr>
              <w:t xml:space="preserve">O at 68°F) is equal to or greater than 20 percent by weight. </w:t>
            </w:r>
          </w:p>
          <w:p w14:paraId="6EE594EF" w14:textId="77777777" w:rsidR="00124AB6" w:rsidRPr="000F1E33" w:rsidRDefault="00124AB6" w:rsidP="004E3BFD">
            <w:pPr>
              <w:rPr>
                <w:bCs/>
              </w:rPr>
            </w:pPr>
            <w:r>
              <w:rPr>
                <w:bCs/>
              </w:rPr>
              <w:t>(e)</w:t>
            </w:r>
            <w:r w:rsidRPr="000F1E33">
              <w:rPr>
                <w:bCs/>
              </w:rPr>
              <w:t xml:space="preserve">(3) The fluid is a liquid at operating conditions. </w:t>
            </w:r>
          </w:p>
        </w:tc>
      </w:tr>
      <w:tr w:rsidR="00124AB6" w:rsidRPr="000F1E33" w14:paraId="61AD80E3"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val="0"/>
          <w:trHeight w:val="432"/>
        </w:trPr>
        <w:tc>
          <w:tcPr>
            <w:tcW w:w="1367" w:type="dxa"/>
          </w:tcPr>
          <w:p w14:paraId="369FE75D" w14:textId="77777777" w:rsidR="00124AB6" w:rsidRPr="000A5D3A" w:rsidRDefault="00124AB6" w:rsidP="004E3BFD">
            <w:pPr>
              <w:pStyle w:val="BNum"/>
              <w:rPr>
                <w:bCs/>
              </w:rPr>
            </w:pPr>
          </w:p>
        </w:tc>
        <w:tc>
          <w:tcPr>
            <w:tcW w:w="9433" w:type="dxa"/>
          </w:tcPr>
          <w:p w14:paraId="2F7BAB56" w14:textId="77777777" w:rsidR="00124AB6" w:rsidRPr="001B6EC4" w:rsidRDefault="00124AB6" w:rsidP="004E3BFD">
            <w:r w:rsidRPr="001B6EC4">
              <w:rPr>
                <w:b/>
              </w:rPr>
              <w:t>Emission Unit ID:</w:t>
            </w:r>
            <w:r>
              <w:rPr>
                <w:b/>
              </w:rPr>
              <w:t xml:space="preserve"> </w:t>
            </w:r>
            <w:r w:rsidRPr="00F61457">
              <w:rPr>
                <w:bCs/>
              </w:rPr>
              <w:t>06, 07</w:t>
            </w:r>
          </w:p>
          <w:p w14:paraId="3668BFD6" w14:textId="77777777" w:rsidR="00124AB6" w:rsidRDefault="00124AB6" w:rsidP="004E3BFD">
            <w:r w:rsidRPr="009A00D8">
              <w:rPr>
                <w:b/>
              </w:rPr>
              <w:t>Equipment ID:</w:t>
            </w:r>
            <w:r w:rsidRPr="009A00D8">
              <w:t xml:space="preserve"> </w:t>
            </w:r>
            <w:r>
              <w:t xml:space="preserve">R-2, R-4, R-8 </w:t>
            </w:r>
          </w:p>
          <w:p w14:paraId="6B94340E" w14:textId="77777777" w:rsidR="00124AB6" w:rsidRDefault="00124AB6" w:rsidP="004E3BFD">
            <w:r w:rsidRPr="009A00D8">
              <w:rPr>
                <w:b/>
              </w:rPr>
              <w:t>Control Device ID:</w:t>
            </w:r>
            <w:r>
              <w:rPr>
                <w:b/>
              </w:rPr>
              <w:t xml:space="preserve"> </w:t>
            </w:r>
            <w:r>
              <w:rPr>
                <w:bCs/>
              </w:rPr>
              <w:t>NP-1</w:t>
            </w:r>
            <w:r w:rsidRPr="009A00D8">
              <w:t xml:space="preserve"> </w:t>
            </w:r>
          </w:p>
          <w:p w14:paraId="2F9DE995" w14:textId="77777777" w:rsidR="00124AB6" w:rsidRPr="000F1E33" w:rsidRDefault="00124AB6" w:rsidP="004E3BFD">
            <w:pPr>
              <w:rPr>
                <w:bCs/>
              </w:rPr>
            </w:pPr>
          </w:p>
          <w:p w14:paraId="5816D391" w14:textId="77777777" w:rsidR="00124AB6" w:rsidRPr="000F1E33" w:rsidRDefault="00124AB6" w:rsidP="004E3BFD">
            <w:pPr>
              <w:rPr>
                <w:bCs/>
              </w:rPr>
            </w:pPr>
            <w:r>
              <w:rPr>
                <w:bCs/>
              </w:rPr>
              <w:t>40CFR</w:t>
            </w:r>
            <w:r w:rsidRPr="000F1E33">
              <w:rPr>
                <w:bCs/>
              </w:rPr>
              <w:t>60.486a Recordkeeping requirements.</w:t>
            </w:r>
          </w:p>
          <w:p w14:paraId="7EBF44BA" w14:textId="77777777" w:rsidR="00124AB6" w:rsidRPr="000F1E33" w:rsidRDefault="00124AB6" w:rsidP="004E3BFD">
            <w:pPr>
              <w:rPr>
                <w:bCs/>
              </w:rPr>
            </w:pPr>
          </w:p>
          <w:p w14:paraId="0ABC98B9" w14:textId="77777777" w:rsidR="00124AB6" w:rsidRPr="000F1E33" w:rsidRDefault="00124AB6" w:rsidP="004E3BFD">
            <w:pPr>
              <w:rPr>
                <w:bCs/>
              </w:rPr>
            </w:pPr>
            <w:r w:rsidRPr="000F1E33">
              <w:rPr>
                <w:bCs/>
              </w:rPr>
              <w:t xml:space="preserve">(a)(1) Each owner or operator subject to the provisions of this subpart shall comply with the recordkeeping requirements of this section. </w:t>
            </w:r>
          </w:p>
          <w:p w14:paraId="003B9C25" w14:textId="77777777" w:rsidR="00124AB6" w:rsidRPr="000F1E33" w:rsidRDefault="00124AB6" w:rsidP="004E3BFD">
            <w:pPr>
              <w:rPr>
                <w:bCs/>
              </w:rPr>
            </w:pPr>
          </w:p>
          <w:p w14:paraId="09E1EDFE" w14:textId="77777777" w:rsidR="00124AB6" w:rsidRPr="000F1E33" w:rsidRDefault="00124AB6" w:rsidP="004E3BFD">
            <w:pPr>
              <w:rPr>
                <w:bCs/>
              </w:rPr>
            </w:pPr>
            <w:r>
              <w:rPr>
                <w:bCs/>
              </w:rPr>
              <w:t>(a)</w:t>
            </w:r>
            <w:r w:rsidRPr="000F1E33">
              <w:rPr>
                <w:bCs/>
              </w:rPr>
              <w:t xml:space="preserve">(2) An owner or operator of more than one affected facility subject to the provisions of this subpart may comply with the recordkeeping requirements for these facilities in one recordkeeping system if the system identifies each record by each facility. </w:t>
            </w:r>
          </w:p>
          <w:p w14:paraId="3B73E5BE" w14:textId="77777777" w:rsidR="00124AB6" w:rsidRPr="000F1E33" w:rsidRDefault="00124AB6" w:rsidP="004E3BFD">
            <w:pPr>
              <w:rPr>
                <w:bCs/>
              </w:rPr>
            </w:pPr>
          </w:p>
          <w:p w14:paraId="68418247" w14:textId="77777777" w:rsidR="00124AB6" w:rsidRPr="000F1E33" w:rsidRDefault="00124AB6" w:rsidP="004E3BFD">
            <w:pPr>
              <w:rPr>
                <w:bCs/>
              </w:rPr>
            </w:pPr>
            <w:r>
              <w:rPr>
                <w:bCs/>
              </w:rPr>
              <w:t>(a)</w:t>
            </w:r>
            <w:r w:rsidRPr="000F1E33">
              <w:rPr>
                <w:bCs/>
              </w:rPr>
              <w:t>(3) The owner or operator shall record the information specified in paragraphs (a)(3)(</w:t>
            </w:r>
            <w:proofErr w:type="spellStart"/>
            <w:r w:rsidRPr="000F1E33">
              <w:rPr>
                <w:bCs/>
              </w:rPr>
              <w:t>i</w:t>
            </w:r>
            <w:proofErr w:type="spellEnd"/>
            <w:r w:rsidRPr="000F1E33">
              <w:rPr>
                <w:bCs/>
              </w:rPr>
              <w:t xml:space="preserve">) through (v) of this section for each monitoring event required by §§ 60.482–2a, 60.482–3a, 60.482–7a, 60.482–8a, 60.482–11a, and 60.483–2a. </w:t>
            </w:r>
          </w:p>
          <w:p w14:paraId="342FCDA9" w14:textId="77777777" w:rsidR="00124AB6" w:rsidRPr="000F1E33" w:rsidRDefault="00124AB6" w:rsidP="004E3BFD">
            <w:pPr>
              <w:rPr>
                <w:bCs/>
              </w:rPr>
            </w:pPr>
          </w:p>
          <w:p w14:paraId="28F1AD81" w14:textId="77777777" w:rsidR="00124AB6" w:rsidRPr="000F1E33" w:rsidRDefault="00124AB6" w:rsidP="004E3BFD">
            <w:pPr>
              <w:rPr>
                <w:bCs/>
              </w:rPr>
            </w:pPr>
            <w:r>
              <w:rPr>
                <w:bCs/>
              </w:rPr>
              <w:t>(a)(3)</w:t>
            </w:r>
            <w:r w:rsidRPr="000F1E33">
              <w:rPr>
                <w:bCs/>
              </w:rPr>
              <w:t>(</w:t>
            </w:r>
            <w:proofErr w:type="spellStart"/>
            <w:r w:rsidRPr="000F1E33">
              <w:rPr>
                <w:bCs/>
              </w:rPr>
              <w:t>i</w:t>
            </w:r>
            <w:proofErr w:type="spellEnd"/>
            <w:r w:rsidRPr="000F1E33">
              <w:rPr>
                <w:bCs/>
              </w:rPr>
              <w:t xml:space="preserve">) Monitoring instrument identification. </w:t>
            </w:r>
          </w:p>
          <w:p w14:paraId="5A99F0EC" w14:textId="77777777" w:rsidR="00124AB6" w:rsidRPr="000F1E33" w:rsidRDefault="00124AB6" w:rsidP="004E3BFD">
            <w:pPr>
              <w:rPr>
                <w:bCs/>
              </w:rPr>
            </w:pPr>
            <w:r>
              <w:rPr>
                <w:bCs/>
              </w:rPr>
              <w:t>(a)(3)</w:t>
            </w:r>
            <w:r w:rsidRPr="000F1E33">
              <w:rPr>
                <w:bCs/>
              </w:rPr>
              <w:t xml:space="preserve">(ii) Operator identification. </w:t>
            </w:r>
          </w:p>
          <w:p w14:paraId="5EBC7D60" w14:textId="77777777" w:rsidR="00124AB6" w:rsidRPr="000F1E33" w:rsidRDefault="00124AB6" w:rsidP="004E3BFD">
            <w:pPr>
              <w:rPr>
                <w:bCs/>
              </w:rPr>
            </w:pPr>
            <w:r>
              <w:rPr>
                <w:bCs/>
              </w:rPr>
              <w:t>(a)(3)</w:t>
            </w:r>
            <w:r w:rsidRPr="000F1E33">
              <w:rPr>
                <w:bCs/>
              </w:rPr>
              <w:t xml:space="preserve">(iii) Equipment identification. </w:t>
            </w:r>
          </w:p>
          <w:p w14:paraId="0022BE72" w14:textId="77777777" w:rsidR="00124AB6" w:rsidRPr="000F1E33" w:rsidRDefault="00124AB6" w:rsidP="004E3BFD">
            <w:pPr>
              <w:rPr>
                <w:bCs/>
              </w:rPr>
            </w:pPr>
            <w:r>
              <w:rPr>
                <w:bCs/>
              </w:rPr>
              <w:t>(a)(3)</w:t>
            </w:r>
            <w:r w:rsidRPr="000F1E33">
              <w:rPr>
                <w:bCs/>
              </w:rPr>
              <w:t xml:space="preserve">(iv) Date of monitoring. </w:t>
            </w:r>
          </w:p>
          <w:p w14:paraId="4FF0C479" w14:textId="77777777" w:rsidR="00124AB6" w:rsidRPr="000F1E33" w:rsidRDefault="00124AB6" w:rsidP="004E3BFD">
            <w:pPr>
              <w:rPr>
                <w:bCs/>
              </w:rPr>
            </w:pPr>
            <w:r>
              <w:rPr>
                <w:bCs/>
              </w:rPr>
              <w:t>(a)(3)</w:t>
            </w:r>
            <w:r w:rsidRPr="000F1E33">
              <w:rPr>
                <w:bCs/>
              </w:rPr>
              <w:t xml:space="preserve">(v) Instrument reading. </w:t>
            </w:r>
          </w:p>
          <w:p w14:paraId="62AE447A" w14:textId="77777777" w:rsidR="00124AB6" w:rsidRPr="000F1E33" w:rsidRDefault="00124AB6" w:rsidP="004E3BFD">
            <w:pPr>
              <w:rPr>
                <w:bCs/>
              </w:rPr>
            </w:pPr>
          </w:p>
          <w:p w14:paraId="5285E179" w14:textId="77777777" w:rsidR="00124AB6" w:rsidRPr="000F1E33" w:rsidRDefault="00124AB6" w:rsidP="004E3BFD">
            <w:pPr>
              <w:rPr>
                <w:bCs/>
              </w:rPr>
            </w:pPr>
            <w:r w:rsidRPr="000F1E33">
              <w:rPr>
                <w:bCs/>
              </w:rPr>
              <w:t xml:space="preserve">(b) When each leak is detected as specified in §§ 60.482–2a, 60.482–3a, 60.482–7a, 60.482–8a, 60.482–11a, and 60.483–2a, the following requirements apply: </w:t>
            </w:r>
          </w:p>
          <w:p w14:paraId="7527C109" w14:textId="77777777" w:rsidR="00124AB6" w:rsidRPr="000F1E33" w:rsidRDefault="00124AB6" w:rsidP="004E3BFD">
            <w:pPr>
              <w:rPr>
                <w:bCs/>
              </w:rPr>
            </w:pPr>
          </w:p>
          <w:p w14:paraId="11256D8F" w14:textId="77777777" w:rsidR="00124AB6" w:rsidRPr="000F1E33" w:rsidRDefault="00124AB6" w:rsidP="004E3BFD">
            <w:pPr>
              <w:rPr>
                <w:bCs/>
              </w:rPr>
            </w:pPr>
            <w:r>
              <w:rPr>
                <w:bCs/>
              </w:rPr>
              <w:t>(b)</w:t>
            </w:r>
            <w:r w:rsidRPr="000F1E33">
              <w:rPr>
                <w:bCs/>
              </w:rPr>
              <w:t xml:space="preserve">(1) A weatherproof and readily visible identification, marked with the equipment identification number, shall be attached to the leaking equipment. </w:t>
            </w:r>
          </w:p>
          <w:p w14:paraId="63E8C104" w14:textId="77777777" w:rsidR="00124AB6" w:rsidRPr="000F1E33" w:rsidRDefault="00124AB6" w:rsidP="004E3BFD">
            <w:pPr>
              <w:rPr>
                <w:bCs/>
              </w:rPr>
            </w:pPr>
          </w:p>
          <w:p w14:paraId="7341ADE3" w14:textId="77777777" w:rsidR="00124AB6" w:rsidRPr="000F1E33" w:rsidRDefault="00124AB6" w:rsidP="004E3BFD">
            <w:pPr>
              <w:rPr>
                <w:bCs/>
              </w:rPr>
            </w:pPr>
            <w:r>
              <w:rPr>
                <w:bCs/>
              </w:rPr>
              <w:t>(b)</w:t>
            </w:r>
            <w:r w:rsidRPr="000F1E33">
              <w:rPr>
                <w:bCs/>
              </w:rPr>
              <w:t xml:space="preserve">(2) The identification on a valve may be removed after it has been monitored for 2 successive months as specified in § 60.482–7a(c) and no leak has been detected during those 2 months. </w:t>
            </w:r>
          </w:p>
          <w:p w14:paraId="39B8CBD6" w14:textId="77777777" w:rsidR="00124AB6" w:rsidRPr="000F1E33" w:rsidRDefault="00124AB6" w:rsidP="004E3BFD">
            <w:pPr>
              <w:rPr>
                <w:bCs/>
              </w:rPr>
            </w:pPr>
          </w:p>
          <w:p w14:paraId="017099A7" w14:textId="77777777" w:rsidR="00124AB6" w:rsidRPr="000F1E33" w:rsidRDefault="00124AB6" w:rsidP="004E3BFD">
            <w:pPr>
              <w:rPr>
                <w:bCs/>
              </w:rPr>
            </w:pPr>
            <w:r>
              <w:rPr>
                <w:bCs/>
              </w:rPr>
              <w:t>(b)</w:t>
            </w:r>
            <w:r w:rsidRPr="000F1E33">
              <w:rPr>
                <w:bCs/>
              </w:rPr>
              <w:t xml:space="preserve">(3) The identification on a connector may be removed after it has been monitored as specified in § 60.482–11a(b)(3)(iv) and no leak has been detected during that monitoring. </w:t>
            </w:r>
          </w:p>
          <w:p w14:paraId="57C34507" w14:textId="77777777" w:rsidR="00124AB6" w:rsidRPr="000F1E33" w:rsidRDefault="00124AB6" w:rsidP="004E3BFD">
            <w:pPr>
              <w:rPr>
                <w:bCs/>
              </w:rPr>
            </w:pPr>
          </w:p>
          <w:p w14:paraId="793C0192" w14:textId="77777777" w:rsidR="00124AB6" w:rsidRPr="000F1E33" w:rsidRDefault="00124AB6" w:rsidP="004E3BFD">
            <w:pPr>
              <w:rPr>
                <w:bCs/>
              </w:rPr>
            </w:pPr>
            <w:r>
              <w:rPr>
                <w:bCs/>
              </w:rPr>
              <w:t>(b)</w:t>
            </w:r>
            <w:r w:rsidRPr="000F1E33">
              <w:rPr>
                <w:bCs/>
              </w:rPr>
              <w:t xml:space="preserve">(4) The identification on equipment, except on a valve or connector, may be removed after it has been repaired. </w:t>
            </w:r>
          </w:p>
          <w:p w14:paraId="0E153627" w14:textId="77777777" w:rsidR="00124AB6" w:rsidRPr="000F1E33" w:rsidRDefault="00124AB6" w:rsidP="004E3BFD">
            <w:pPr>
              <w:rPr>
                <w:bCs/>
              </w:rPr>
            </w:pPr>
          </w:p>
          <w:p w14:paraId="5ECB303C" w14:textId="77777777" w:rsidR="00124AB6" w:rsidRPr="000F1E33" w:rsidRDefault="00124AB6" w:rsidP="004E3BFD">
            <w:pPr>
              <w:rPr>
                <w:bCs/>
              </w:rPr>
            </w:pPr>
            <w:r w:rsidRPr="000F1E33">
              <w:rPr>
                <w:bCs/>
              </w:rPr>
              <w:t xml:space="preserve">(c) When each leak is detected as specified in §§ 60.482–2a, 60.482–3a, 60.482–7a, 60.482–8a, 60.482–11a, and 60.483–2a, the following information shall be recorded in a log and shall be kept for 2 years in a readily accessible location: </w:t>
            </w:r>
          </w:p>
          <w:p w14:paraId="3406653C" w14:textId="77777777" w:rsidR="00124AB6" w:rsidRPr="000F1E33" w:rsidRDefault="00124AB6" w:rsidP="004E3BFD">
            <w:pPr>
              <w:rPr>
                <w:bCs/>
              </w:rPr>
            </w:pPr>
          </w:p>
          <w:p w14:paraId="746676CD" w14:textId="77777777" w:rsidR="00124AB6" w:rsidRPr="000F1E33" w:rsidRDefault="00124AB6" w:rsidP="004E3BFD">
            <w:pPr>
              <w:rPr>
                <w:bCs/>
              </w:rPr>
            </w:pPr>
            <w:r>
              <w:rPr>
                <w:bCs/>
              </w:rPr>
              <w:t>(c)</w:t>
            </w:r>
            <w:r w:rsidRPr="000F1E33">
              <w:rPr>
                <w:bCs/>
              </w:rPr>
              <w:t xml:space="preserve">(1) The instrument and operator identification numbers and the equipment identification number, except when indications of liquids dripping from a pump are designated as a leak. </w:t>
            </w:r>
          </w:p>
          <w:p w14:paraId="19E885AB" w14:textId="77777777" w:rsidR="00124AB6" w:rsidRPr="000F1E33" w:rsidRDefault="00124AB6" w:rsidP="004E3BFD">
            <w:pPr>
              <w:rPr>
                <w:bCs/>
              </w:rPr>
            </w:pPr>
          </w:p>
          <w:p w14:paraId="085CB9E1" w14:textId="77777777" w:rsidR="00124AB6" w:rsidRPr="000F1E33" w:rsidRDefault="00124AB6" w:rsidP="004E3BFD">
            <w:pPr>
              <w:rPr>
                <w:bCs/>
              </w:rPr>
            </w:pPr>
            <w:r>
              <w:rPr>
                <w:bCs/>
              </w:rPr>
              <w:t>(c)</w:t>
            </w:r>
            <w:r w:rsidRPr="000F1E33">
              <w:rPr>
                <w:bCs/>
              </w:rPr>
              <w:t xml:space="preserve">(2) The date the leak was detected and the dates of each attempt to repair the leak. </w:t>
            </w:r>
          </w:p>
          <w:p w14:paraId="6853AE86" w14:textId="77777777" w:rsidR="00124AB6" w:rsidRPr="000F1E33" w:rsidRDefault="00124AB6" w:rsidP="004E3BFD">
            <w:pPr>
              <w:rPr>
                <w:bCs/>
              </w:rPr>
            </w:pPr>
            <w:r>
              <w:rPr>
                <w:bCs/>
              </w:rPr>
              <w:t>(c)</w:t>
            </w:r>
            <w:r w:rsidRPr="000F1E33">
              <w:rPr>
                <w:bCs/>
              </w:rPr>
              <w:t xml:space="preserve">(3) Repair methods applied in each attempt to repair the leak. </w:t>
            </w:r>
          </w:p>
          <w:p w14:paraId="6D5B36F3" w14:textId="77777777" w:rsidR="00124AB6" w:rsidRPr="000F1E33" w:rsidRDefault="00124AB6" w:rsidP="004E3BFD">
            <w:pPr>
              <w:rPr>
                <w:bCs/>
              </w:rPr>
            </w:pPr>
          </w:p>
          <w:p w14:paraId="5F57F42C" w14:textId="77777777" w:rsidR="00124AB6" w:rsidRPr="000F1E33" w:rsidRDefault="00124AB6" w:rsidP="004E3BFD">
            <w:pPr>
              <w:rPr>
                <w:bCs/>
              </w:rPr>
            </w:pPr>
            <w:r>
              <w:rPr>
                <w:bCs/>
              </w:rPr>
              <w:t>(c)</w:t>
            </w:r>
            <w:r w:rsidRPr="000F1E33">
              <w:rPr>
                <w:bCs/>
              </w:rPr>
              <w:t xml:space="preserve">(4) Maximum instrument reading measured by Method 21 of appendix A–7 of this part at the time the leak is successfully repaired or determined to be nonrepairable, except when a pump is repaired by eliminating indications of liquids dripping. </w:t>
            </w:r>
          </w:p>
          <w:p w14:paraId="4C3F2B67" w14:textId="77777777" w:rsidR="00124AB6" w:rsidRPr="000F1E33" w:rsidRDefault="00124AB6" w:rsidP="004E3BFD">
            <w:pPr>
              <w:rPr>
                <w:bCs/>
              </w:rPr>
            </w:pPr>
          </w:p>
          <w:p w14:paraId="2E70EC14" w14:textId="77777777" w:rsidR="00124AB6" w:rsidRPr="000F1E33" w:rsidRDefault="00124AB6" w:rsidP="004E3BFD">
            <w:pPr>
              <w:rPr>
                <w:bCs/>
              </w:rPr>
            </w:pPr>
            <w:r>
              <w:rPr>
                <w:bCs/>
              </w:rPr>
              <w:t>(c)</w:t>
            </w:r>
            <w:r w:rsidRPr="000F1E33">
              <w:rPr>
                <w:bCs/>
              </w:rPr>
              <w:t xml:space="preserve">(5) “Repair delayed” and the reason for the delay if a leak is not repaired within 15 calendar days after discovery of the leak. </w:t>
            </w:r>
          </w:p>
          <w:p w14:paraId="3D1D970E" w14:textId="77777777" w:rsidR="00124AB6" w:rsidRPr="000F1E33" w:rsidRDefault="00124AB6" w:rsidP="004E3BFD">
            <w:pPr>
              <w:rPr>
                <w:bCs/>
              </w:rPr>
            </w:pPr>
          </w:p>
          <w:p w14:paraId="3338BB1E" w14:textId="77777777" w:rsidR="00124AB6" w:rsidRPr="000F1E33" w:rsidRDefault="00124AB6" w:rsidP="004E3BFD">
            <w:pPr>
              <w:rPr>
                <w:bCs/>
              </w:rPr>
            </w:pPr>
            <w:r>
              <w:rPr>
                <w:bCs/>
              </w:rPr>
              <w:t>(c)</w:t>
            </w:r>
            <w:r w:rsidRPr="000F1E33">
              <w:rPr>
                <w:bCs/>
              </w:rPr>
              <w:t xml:space="preserve">(6) The signature of the owner or operator (or designate) whose decision it was that repair could not be </w:t>
            </w:r>
            <w:proofErr w:type="gramStart"/>
            <w:r w:rsidRPr="000F1E33">
              <w:rPr>
                <w:bCs/>
              </w:rPr>
              <w:t>effected</w:t>
            </w:r>
            <w:proofErr w:type="gramEnd"/>
            <w:r w:rsidRPr="000F1E33">
              <w:rPr>
                <w:bCs/>
              </w:rPr>
              <w:t xml:space="preserve"> without a process shutdown. </w:t>
            </w:r>
          </w:p>
          <w:p w14:paraId="226F4F3B" w14:textId="77777777" w:rsidR="00124AB6" w:rsidRPr="000F1E33" w:rsidRDefault="00124AB6" w:rsidP="004E3BFD">
            <w:pPr>
              <w:rPr>
                <w:bCs/>
              </w:rPr>
            </w:pPr>
          </w:p>
          <w:p w14:paraId="233F6267" w14:textId="77777777" w:rsidR="00124AB6" w:rsidRPr="000F1E33" w:rsidRDefault="00124AB6" w:rsidP="004E3BFD">
            <w:pPr>
              <w:rPr>
                <w:bCs/>
              </w:rPr>
            </w:pPr>
            <w:r>
              <w:rPr>
                <w:bCs/>
              </w:rPr>
              <w:t>(c)</w:t>
            </w:r>
            <w:r w:rsidRPr="000F1E33">
              <w:rPr>
                <w:bCs/>
              </w:rPr>
              <w:t xml:space="preserve">(7) The expected date of successful repair of the leak if a leak is not repaired within 15 days. </w:t>
            </w:r>
          </w:p>
          <w:p w14:paraId="51AEC655" w14:textId="77777777" w:rsidR="00124AB6" w:rsidRPr="000F1E33" w:rsidRDefault="00124AB6" w:rsidP="004E3BFD">
            <w:pPr>
              <w:rPr>
                <w:bCs/>
              </w:rPr>
            </w:pPr>
            <w:r>
              <w:rPr>
                <w:bCs/>
              </w:rPr>
              <w:t>(c)</w:t>
            </w:r>
            <w:r w:rsidRPr="000F1E33">
              <w:rPr>
                <w:bCs/>
              </w:rPr>
              <w:t xml:space="preserve">(8) Dates of process unit shutdowns that occur while the equipment is unrepaired. </w:t>
            </w:r>
          </w:p>
          <w:p w14:paraId="38FB9E92" w14:textId="77777777" w:rsidR="00124AB6" w:rsidRDefault="00124AB6" w:rsidP="004E3BFD">
            <w:pPr>
              <w:rPr>
                <w:bCs/>
              </w:rPr>
            </w:pPr>
            <w:r>
              <w:rPr>
                <w:bCs/>
              </w:rPr>
              <w:t>(c)</w:t>
            </w:r>
            <w:r w:rsidRPr="000F1E33">
              <w:rPr>
                <w:bCs/>
              </w:rPr>
              <w:t>(9) The date of successful repair of the leak.</w:t>
            </w:r>
          </w:p>
          <w:p w14:paraId="27FF0BE6" w14:textId="77777777" w:rsidR="00124AB6" w:rsidRDefault="00124AB6" w:rsidP="004E3BFD">
            <w:pPr>
              <w:rPr>
                <w:bCs/>
              </w:rPr>
            </w:pPr>
          </w:p>
          <w:p w14:paraId="7E784D9E" w14:textId="77777777" w:rsidR="00124AB6" w:rsidRPr="000F1E33" w:rsidRDefault="00124AB6" w:rsidP="004E3BFD">
            <w:pPr>
              <w:rPr>
                <w:bCs/>
              </w:rPr>
            </w:pPr>
            <w:r w:rsidRPr="000F1E33">
              <w:rPr>
                <w:bCs/>
              </w:rPr>
              <w:t xml:space="preserve">(e) The following information pertaining to all equipment subject to the requirements in §§ 60.482–1a to 60.482–11a shall be recorded in a log that is kept in a readily accessible location: </w:t>
            </w:r>
          </w:p>
          <w:p w14:paraId="6846A925" w14:textId="77777777" w:rsidR="00124AB6" w:rsidRPr="000F1E33" w:rsidRDefault="00124AB6" w:rsidP="004E3BFD">
            <w:pPr>
              <w:rPr>
                <w:bCs/>
              </w:rPr>
            </w:pPr>
          </w:p>
          <w:p w14:paraId="79D3EF4B" w14:textId="77777777" w:rsidR="00124AB6" w:rsidRPr="000F1E33" w:rsidRDefault="00124AB6" w:rsidP="004E3BFD">
            <w:pPr>
              <w:rPr>
                <w:bCs/>
              </w:rPr>
            </w:pPr>
            <w:r>
              <w:rPr>
                <w:bCs/>
              </w:rPr>
              <w:t>(e)</w:t>
            </w:r>
            <w:r w:rsidRPr="000F1E33">
              <w:rPr>
                <w:bCs/>
              </w:rPr>
              <w:t xml:space="preserve">(1) A list of identification numbers for equipment subject to the requirements of this subpart. </w:t>
            </w:r>
          </w:p>
          <w:p w14:paraId="528FFDF1" w14:textId="77777777" w:rsidR="00124AB6" w:rsidRPr="000F1E33" w:rsidRDefault="00124AB6" w:rsidP="004E3BFD">
            <w:pPr>
              <w:rPr>
                <w:bCs/>
              </w:rPr>
            </w:pPr>
          </w:p>
          <w:p w14:paraId="790DDD64" w14:textId="77777777" w:rsidR="00124AB6" w:rsidRPr="000F1E33" w:rsidRDefault="00124AB6" w:rsidP="004E3BFD">
            <w:pPr>
              <w:rPr>
                <w:bCs/>
              </w:rPr>
            </w:pPr>
            <w:r>
              <w:rPr>
                <w:bCs/>
              </w:rPr>
              <w:t>(e)</w:t>
            </w:r>
            <w:r w:rsidRPr="000F1E33">
              <w:rPr>
                <w:bCs/>
              </w:rPr>
              <w:t>(2)(</w:t>
            </w:r>
            <w:proofErr w:type="spellStart"/>
            <w:r w:rsidRPr="000F1E33">
              <w:rPr>
                <w:bCs/>
              </w:rPr>
              <w:t>i</w:t>
            </w:r>
            <w:proofErr w:type="spellEnd"/>
            <w:r w:rsidRPr="000F1E33">
              <w:rPr>
                <w:bCs/>
              </w:rPr>
              <w:t>) A list of identification numbers for equipment that are designated for no detectable emissions under the provisions of §§ 60.482–2a(e), 60.482–3a(</w:t>
            </w:r>
            <w:proofErr w:type="spellStart"/>
            <w:r w:rsidRPr="000F1E33">
              <w:rPr>
                <w:bCs/>
              </w:rPr>
              <w:t>i</w:t>
            </w:r>
            <w:proofErr w:type="spellEnd"/>
            <w:r w:rsidRPr="000F1E33">
              <w:rPr>
                <w:bCs/>
              </w:rPr>
              <w:t xml:space="preserve">), and 60.482–7a(f). </w:t>
            </w:r>
          </w:p>
          <w:p w14:paraId="23F3332D" w14:textId="77777777" w:rsidR="00124AB6" w:rsidRPr="000F1E33" w:rsidRDefault="00124AB6" w:rsidP="004E3BFD">
            <w:pPr>
              <w:rPr>
                <w:bCs/>
              </w:rPr>
            </w:pPr>
          </w:p>
          <w:p w14:paraId="43FF03EA" w14:textId="77777777" w:rsidR="00124AB6" w:rsidRPr="000F1E33" w:rsidRDefault="00124AB6" w:rsidP="004E3BFD">
            <w:pPr>
              <w:rPr>
                <w:bCs/>
              </w:rPr>
            </w:pPr>
            <w:r>
              <w:rPr>
                <w:bCs/>
              </w:rPr>
              <w:t>(e)(2)</w:t>
            </w:r>
            <w:r w:rsidRPr="000F1E33">
              <w:rPr>
                <w:bCs/>
              </w:rPr>
              <w:t>(ii) The designation of equipment as subject to the requirements of § 60.482–2a(e), § 60.482–3a(</w:t>
            </w:r>
            <w:proofErr w:type="spellStart"/>
            <w:r w:rsidRPr="000F1E33">
              <w:rPr>
                <w:bCs/>
              </w:rPr>
              <w:t>i</w:t>
            </w:r>
            <w:proofErr w:type="spellEnd"/>
            <w:r w:rsidRPr="000F1E33">
              <w:rPr>
                <w:bCs/>
              </w:rPr>
              <w:t xml:space="preserve">), or § 60.482–7a(f) shall be signed by the owner or operator. Alternatively, the owner or operator may establish a mechanism with their permitting authority that satisfies this requirement. </w:t>
            </w:r>
          </w:p>
          <w:p w14:paraId="2945F530" w14:textId="77777777" w:rsidR="00124AB6" w:rsidRPr="000F1E33" w:rsidRDefault="00124AB6" w:rsidP="004E3BFD">
            <w:pPr>
              <w:rPr>
                <w:bCs/>
              </w:rPr>
            </w:pPr>
          </w:p>
          <w:p w14:paraId="7BDBE95B" w14:textId="77777777" w:rsidR="00124AB6" w:rsidRPr="000F1E33" w:rsidRDefault="00124AB6" w:rsidP="004E3BFD">
            <w:pPr>
              <w:rPr>
                <w:bCs/>
              </w:rPr>
            </w:pPr>
            <w:r>
              <w:rPr>
                <w:bCs/>
              </w:rPr>
              <w:t>(e)</w:t>
            </w:r>
            <w:r w:rsidRPr="000F1E33">
              <w:rPr>
                <w:bCs/>
              </w:rPr>
              <w:t xml:space="preserve">(3) A list of equipment identification numbers for pressure relief devices required to comply with § 60.482–4a. </w:t>
            </w:r>
          </w:p>
          <w:p w14:paraId="3E944DBB" w14:textId="77777777" w:rsidR="00124AB6" w:rsidRPr="000F1E33" w:rsidRDefault="00124AB6" w:rsidP="004E3BFD">
            <w:pPr>
              <w:rPr>
                <w:bCs/>
              </w:rPr>
            </w:pPr>
          </w:p>
          <w:p w14:paraId="5A76DA92" w14:textId="77777777" w:rsidR="00124AB6" w:rsidRPr="000F1E33" w:rsidRDefault="00124AB6" w:rsidP="004E3BFD">
            <w:pPr>
              <w:rPr>
                <w:bCs/>
              </w:rPr>
            </w:pPr>
            <w:r>
              <w:rPr>
                <w:bCs/>
              </w:rPr>
              <w:t>(e)</w:t>
            </w:r>
            <w:r w:rsidRPr="000F1E33">
              <w:rPr>
                <w:bCs/>
              </w:rPr>
              <w:t>(4)(</w:t>
            </w:r>
            <w:proofErr w:type="spellStart"/>
            <w:r w:rsidRPr="000F1E33">
              <w:rPr>
                <w:bCs/>
              </w:rPr>
              <w:t>i</w:t>
            </w:r>
            <w:proofErr w:type="spellEnd"/>
            <w:r w:rsidRPr="000F1E33">
              <w:rPr>
                <w:bCs/>
              </w:rPr>
              <w:t>) The dates of each compliance test as required in §§ 60.482–2a(e), 60.482–3a(</w:t>
            </w:r>
            <w:proofErr w:type="spellStart"/>
            <w:r w:rsidRPr="000F1E33">
              <w:rPr>
                <w:bCs/>
              </w:rPr>
              <w:t>i</w:t>
            </w:r>
            <w:proofErr w:type="spellEnd"/>
            <w:r w:rsidRPr="000F1E33">
              <w:rPr>
                <w:bCs/>
              </w:rPr>
              <w:t xml:space="preserve">), 60.482–4a, and 60.482–7a(f). </w:t>
            </w:r>
          </w:p>
          <w:p w14:paraId="1CABF280" w14:textId="77777777" w:rsidR="00124AB6" w:rsidRPr="000F1E33" w:rsidRDefault="00124AB6" w:rsidP="004E3BFD">
            <w:pPr>
              <w:rPr>
                <w:bCs/>
              </w:rPr>
            </w:pPr>
          </w:p>
          <w:p w14:paraId="0B82DBB7" w14:textId="77777777" w:rsidR="00124AB6" w:rsidRPr="000F1E33" w:rsidRDefault="00124AB6" w:rsidP="004E3BFD">
            <w:pPr>
              <w:rPr>
                <w:bCs/>
              </w:rPr>
            </w:pPr>
            <w:r>
              <w:rPr>
                <w:bCs/>
              </w:rPr>
              <w:t>(e)(4)</w:t>
            </w:r>
            <w:r w:rsidRPr="000F1E33">
              <w:rPr>
                <w:bCs/>
              </w:rPr>
              <w:t xml:space="preserve">(ii) The background level measured during each compliance test. </w:t>
            </w:r>
          </w:p>
          <w:p w14:paraId="3633AC56" w14:textId="77777777" w:rsidR="00124AB6" w:rsidRPr="000F1E33" w:rsidRDefault="00124AB6" w:rsidP="004E3BFD">
            <w:pPr>
              <w:rPr>
                <w:bCs/>
              </w:rPr>
            </w:pPr>
            <w:r>
              <w:rPr>
                <w:bCs/>
              </w:rPr>
              <w:t>(e)(4)</w:t>
            </w:r>
            <w:r w:rsidRPr="000F1E33">
              <w:rPr>
                <w:bCs/>
              </w:rPr>
              <w:t xml:space="preserve">(iii) The maximum instrument reading measured at the equipment during each compliance test. </w:t>
            </w:r>
          </w:p>
          <w:p w14:paraId="77672333" w14:textId="77777777" w:rsidR="00124AB6" w:rsidRPr="000F1E33" w:rsidRDefault="00124AB6" w:rsidP="004E3BFD">
            <w:pPr>
              <w:rPr>
                <w:bCs/>
              </w:rPr>
            </w:pPr>
          </w:p>
          <w:p w14:paraId="4ABE5210" w14:textId="77777777" w:rsidR="00124AB6" w:rsidRPr="000F1E33" w:rsidRDefault="00124AB6" w:rsidP="004E3BFD">
            <w:pPr>
              <w:rPr>
                <w:bCs/>
              </w:rPr>
            </w:pPr>
            <w:r>
              <w:rPr>
                <w:bCs/>
              </w:rPr>
              <w:t>(e)</w:t>
            </w:r>
            <w:r w:rsidRPr="000F1E33">
              <w:rPr>
                <w:bCs/>
              </w:rPr>
              <w:t xml:space="preserve">(5) A list of identification numbers for equipment in vacuum service. </w:t>
            </w:r>
          </w:p>
          <w:p w14:paraId="025F1771" w14:textId="77777777" w:rsidR="00124AB6" w:rsidRPr="000F1E33" w:rsidRDefault="00124AB6" w:rsidP="004E3BFD">
            <w:pPr>
              <w:rPr>
                <w:bCs/>
              </w:rPr>
            </w:pPr>
          </w:p>
          <w:p w14:paraId="1513058C" w14:textId="77777777" w:rsidR="00124AB6" w:rsidRPr="000F1E33" w:rsidRDefault="00124AB6" w:rsidP="004E3BFD">
            <w:pPr>
              <w:rPr>
                <w:bCs/>
              </w:rPr>
            </w:pPr>
            <w:r>
              <w:rPr>
                <w:bCs/>
              </w:rPr>
              <w:t>(e)</w:t>
            </w:r>
            <w:r w:rsidRPr="000F1E33">
              <w:rPr>
                <w:bCs/>
              </w:rPr>
              <w:t xml:space="preserve">(6) A list of identification numbers for equipment that the owner or operator designates as operating in VOC service less than 300 </w:t>
            </w:r>
            <w:proofErr w:type="spellStart"/>
            <w:r w:rsidRPr="000F1E33">
              <w:rPr>
                <w:bCs/>
              </w:rPr>
              <w:t>hr</w:t>
            </w:r>
            <w:proofErr w:type="spellEnd"/>
            <w:r w:rsidRPr="000F1E33">
              <w:rPr>
                <w:bCs/>
              </w:rPr>
              <w:t>/</w:t>
            </w:r>
            <w:proofErr w:type="spellStart"/>
            <w:r w:rsidRPr="000F1E33">
              <w:rPr>
                <w:bCs/>
              </w:rPr>
              <w:t>yr</w:t>
            </w:r>
            <w:proofErr w:type="spellEnd"/>
            <w:r w:rsidRPr="000F1E33">
              <w:rPr>
                <w:bCs/>
              </w:rPr>
              <w:t xml:space="preserve"> in accordance with § 60.482–1a(e), a description of the conditions under which the equipment is in VOC service, and rationale supporting the designation that it is in VOC service less than 300 </w:t>
            </w:r>
            <w:proofErr w:type="spellStart"/>
            <w:r w:rsidRPr="000F1E33">
              <w:rPr>
                <w:bCs/>
              </w:rPr>
              <w:t>hr</w:t>
            </w:r>
            <w:proofErr w:type="spellEnd"/>
            <w:r w:rsidRPr="000F1E33">
              <w:rPr>
                <w:bCs/>
              </w:rPr>
              <w:t xml:space="preserve">/yr. </w:t>
            </w:r>
          </w:p>
          <w:p w14:paraId="15C887E2" w14:textId="77777777" w:rsidR="00124AB6" w:rsidRPr="000F1E33" w:rsidRDefault="00124AB6" w:rsidP="004E3BFD">
            <w:pPr>
              <w:rPr>
                <w:bCs/>
              </w:rPr>
            </w:pPr>
          </w:p>
          <w:p w14:paraId="4911A02C" w14:textId="77777777" w:rsidR="00124AB6" w:rsidRPr="000F1E33" w:rsidRDefault="00124AB6" w:rsidP="004E3BFD">
            <w:pPr>
              <w:rPr>
                <w:bCs/>
              </w:rPr>
            </w:pPr>
            <w:r>
              <w:rPr>
                <w:bCs/>
              </w:rPr>
              <w:t>(e)</w:t>
            </w:r>
            <w:r w:rsidRPr="000F1E33">
              <w:rPr>
                <w:bCs/>
              </w:rPr>
              <w:t xml:space="preserve">(7) The date and results of the weekly visual inspection for indications of liquids dripping from pumps in light liquid service. </w:t>
            </w:r>
          </w:p>
          <w:p w14:paraId="443AA53B" w14:textId="77777777" w:rsidR="00124AB6" w:rsidRPr="000F1E33" w:rsidRDefault="00124AB6" w:rsidP="004E3BFD">
            <w:pPr>
              <w:rPr>
                <w:bCs/>
              </w:rPr>
            </w:pPr>
          </w:p>
          <w:p w14:paraId="18E19BD5" w14:textId="77777777" w:rsidR="00124AB6" w:rsidRPr="000F1E33" w:rsidRDefault="00124AB6" w:rsidP="004E3BFD">
            <w:pPr>
              <w:rPr>
                <w:bCs/>
              </w:rPr>
            </w:pPr>
            <w:r>
              <w:rPr>
                <w:bCs/>
              </w:rPr>
              <w:t>(e)</w:t>
            </w:r>
            <w:r w:rsidRPr="000F1E33">
              <w:rPr>
                <w:bCs/>
              </w:rPr>
              <w:t>(8) Records of the information specified in paragraphs (e)(8)(</w:t>
            </w:r>
            <w:proofErr w:type="spellStart"/>
            <w:r w:rsidRPr="000F1E33">
              <w:rPr>
                <w:bCs/>
              </w:rPr>
              <w:t>i</w:t>
            </w:r>
            <w:proofErr w:type="spellEnd"/>
            <w:r w:rsidRPr="000F1E33">
              <w:rPr>
                <w:bCs/>
              </w:rPr>
              <w:t xml:space="preserve">) through (vi) of this section for monitoring instrument calibrations conducted according to sections 8.1.2 and 10 of Method 21 of appendix A–7 of this part and § 60.485a(b). </w:t>
            </w:r>
          </w:p>
          <w:p w14:paraId="2223F43A" w14:textId="77777777" w:rsidR="00124AB6" w:rsidRPr="000F1E33" w:rsidRDefault="00124AB6" w:rsidP="004E3BFD">
            <w:pPr>
              <w:rPr>
                <w:bCs/>
              </w:rPr>
            </w:pPr>
          </w:p>
          <w:p w14:paraId="585D113D" w14:textId="77777777" w:rsidR="00124AB6" w:rsidRPr="000F1E33" w:rsidRDefault="00124AB6" w:rsidP="004E3BFD">
            <w:pPr>
              <w:rPr>
                <w:bCs/>
              </w:rPr>
            </w:pPr>
            <w:r>
              <w:rPr>
                <w:bCs/>
              </w:rPr>
              <w:t>(e)(8)</w:t>
            </w:r>
            <w:r w:rsidRPr="000F1E33">
              <w:rPr>
                <w:bCs/>
              </w:rPr>
              <w:t>(</w:t>
            </w:r>
            <w:proofErr w:type="spellStart"/>
            <w:r w:rsidRPr="000F1E33">
              <w:rPr>
                <w:bCs/>
              </w:rPr>
              <w:t>i</w:t>
            </w:r>
            <w:proofErr w:type="spellEnd"/>
            <w:r w:rsidRPr="000F1E33">
              <w:rPr>
                <w:bCs/>
              </w:rPr>
              <w:t xml:space="preserve">) Date of calibration and initials of operator performing the calibration. </w:t>
            </w:r>
          </w:p>
          <w:p w14:paraId="056B2589" w14:textId="77777777" w:rsidR="00124AB6" w:rsidRPr="000F1E33" w:rsidRDefault="00124AB6" w:rsidP="004E3BFD">
            <w:pPr>
              <w:rPr>
                <w:bCs/>
              </w:rPr>
            </w:pPr>
            <w:r>
              <w:rPr>
                <w:bCs/>
              </w:rPr>
              <w:t>(e)(8)</w:t>
            </w:r>
            <w:r w:rsidRPr="000F1E33">
              <w:rPr>
                <w:bCs/>
              </w:rPr>
              <w:t xml:space="preserve">(ii) Calibration gas cylinder identification, certification date, and certified concentration. </w:t>
            </w:r>
          </w:p>
          <w:p w14:paraId="7A8B9A1C" w14:textId="77777777" w:rsidR="00124AB6" w:rsidRPr="000F1E33" w:rsidRDefault="00124AB6" w:rsidP="004E3BFD">
            <w:pPr>
              <w:rPr>
                <w:bCs/>
              </w:rPr>
            </w:pPr>
            <w:r>
              <w:rPr>
                <w:bCs/>
              </w:rPr>
              <w:t>(e)(8)</w:t>
            </w:r>
            <w:r w:rsidRPr="000F1E33">
              <w:rPr>
                <w:bCs/>
              </w:rPr>
              <w:t xml:space="preserve">(iii) Instrument scale(s) used. </w:t>
            </w:r>
          </w:p>
          <w:p w14:paraId="58A41DDB" w14:textId="77777777" w:rsidR="00124AB6" w:rsidRPr="000F1E33" w:rsidRDefault="00124AB6" w:rsidP="004E3BFD">
            <w:pPr>
              <w:rPr>
                <w:bCs/>
              </w:rPr>
            </w:pPr>
          </w:p>
          <w:p w14:paraId="2B1A33CD" w14:textId="77777777" w:rsidR="00124AB6" w:rsidRPr="000F1E33" w:rsidRDefault="00124AB6" w:rsidP="004E3BFD">
            <w:pPr>
              <w:rPr>
                <w:bCs/>
              </w:rPr>
            </w:pPr>
            <w:r>
              <w:rPr>
                <w:bCs/>
              </w:rPr>
              <w:t>(e)(8)</w:t>
            </w:r>
            <w:r w:rsidRPr="000F1E33">
              <w:rPr>
                <w:bCs/>
              </w:rPr>
              <w:t xml:space="preserve">(iv) A description of any corrective action taken if the meter readout could not be adjusted to correspond to the calibration gas value in accordance with section 10.1 of Method 21 of appendix A–7 of this part. </w:t>
            </w:r>
          </w:p>
          <w:p w14:paraId="2741FFC3" w14:textId="77777777" w:rsidR="00124AB6" w:rsidRPr="000F1E33" w:rsidRDefault="00124AB6" w:rsidP="004E3BFD">
            <w:pPr>
              <w:rPr>
                <w:bCs/>
              </w:rPr>
            </w:pPr>
          </w:p>
          <w:p w14:paraId="29FDAFD6" w14:textId="77777777" w:rsidR="00124AB6" w:rsidRPr="000F1E33" w:rsidRDefault="00124AB6" w:rsidP="004E3BFD">
            <w:pPr>
              <w:rPr>
                <w:bCs/>
              </w:rPr>
            </w:pPr>
            <w:r>
              <w:rPr>
                <w:bCs/>
              </w:rPr>
              <w:t>(e)(8)</w:t>
            </w:r>
            <w:r w:rsidRPr="000F1E33">
              <w:rPr>
                <w:bCs/>
              </w:rPr>
              <w:t xml:space="preserve">(v) Results of each calibration drift assessment required by § 60.485a(b)(2) (i.e., instrument reading for calibration at end of monitoring day and the calculated percent difference from the initial calibration value). </w:t>
            </w:r>
          </w:p>
          <w:p w14:paraId="044F6FF9" w14:textId="77777777" w:rsidR="00124AB6" w:rsidRPr="000F1E33" w:rsidRDefault="00124AB6" w:rsidP="004E3BFD">
            <w:pPr>
              <w:rPr>
                <w:bCs/>
              </w:rPr>
            </w:pPr>
          </w:p>
          <w:p w14:paraId="76876504" w14:textId="77777777" w:rsidR="00124AB6" w:rsidRPr="000F1E33" w:rsidRDefault="00124AB6" w:rsidP="004E3BFD">
            <w:pPr>
              <w:rPr>
                <w:bCs/>
              </w:rPr>
            </w:pPr>
            <w:r>
              <w:rPr>
                <w:bCs/>
              </w:rPr>
              <w:t>(e)(8)</w:t>
            </w:r>
            <w:r w:rsidRPr="000F1E33">
              <w:rPr>
                <w:bCs/>
              </w:rPr>
              <w:t xml:space="preserve">(vi) If an owner or operator makes their own calibration gas, a description of the procedure used. </w:t>
            </w:r>
          </w:p>
          <w:p w14:paraId="433B482F" w14:textId="77777777" w:rsidR="00124AB6" w:rsidRPr="000F1E33" w:rsidRDefault="00124AB6" w:rsidP="004E3BFD">
            <w:pPr>
              <w:rPr>
                <w:bCs/>
              </w:rPr>
            </w:pPr>
          </w:p>
          <w:p w14:paraId="544D051F" w14:textId="77777777" w:rsidR="00124AB6" w:rsidRDefault="00124AB6" w:rsidP="004E3BFD">
            <w:pPr>
              <w:rPr>
                <w:bCs/>
              </w:rPr>
            </w:pPr>
            <w:r>
              <w:rPr>
                <w:bCs/>
              </w:rPr>
              <w:t>(e)</w:t>
            </w:r>
            <w:r w:rsidRPr="000F1E33">
              <w:rPr>
                <w:bCs/>
              </w:rPr>
              <w:t>(10) Records of each release from a pressure relief device subject to § 60.482–4a.</w:t>
            </w:r>
          </w:p>
          <w:p w14:paraId="29CA4C22" w14:textId="77777777" w:rsidR="00124AB6" w:rsidRDefault="00124AB6" w:rsidP="004E3BFD">
            <w:pPr>
              <w:rPr>
                <w:bCs/>
              </w:rPr>
            </w:pPr>
          </w:p>
          <w:p w14:paraId="50D76DF9" w14:textId="77777777" w:rsidR="00124AB6" w:rsidRPr="00F61457" w:rsidRDefault="00124AB6" w:rsidP="004E3BFD">
            <w:pPr>
              <w:rPr>
                <w:bCs/>
              </w:rPr>
            </w:pPr>
            <w:r w:rsidRPr="00F61457">
              <w:rPr>
                <w:bCs/>
              </w:rPr>
              <w:t xml:space="preserve">(f) The following information pertaining to all valves subject to the requirements of § 60.482–7a(g) and (h), all pumps subject to the requirements of § 60.482–2a(g), and all connectors subject to the requirements of § 60.482–11a(e) shall be recorded in a log that is kept in a readily accessible location: </w:t>
            </w:r>
          </w:p>
          <w:p w14:paraId="73A2B714" w14:textId="77777777" w:rsidR="00124AB6" w:rsidRPr="00F61457" w:rsidRDefault="00124AB6" w:rsidP="004E3BFD">
            <w:pPr>
              <w:rPr>
                <w:bCs/>
              </w:rPr>
            </w:pPr>
          </w:p>
          <w:p w14:paraId="4456815D" w14:textId="77777777" w:rsidR="00124AB6" w:rsidRPr="00F61457" w:rsidRDefault="00124AB6" w:rsidP="004E3BFD">
            <w:pPr>
              <w:rPr>
                <w:bCs/>
              </w:rPr>
            </w:pPr>
            <w:r>
              <w:rPr>
                <w:bCs/>
              </w:rPr>
              <w:t>(f)</w:t>
            </w:r>
            <w:r w:rsidRPr="00F61457">
              <w:rPr>
                <w:bCs/>
              </w:rPr>
              <w:t xml:space="preserve">(1) A list of identification numbers for valves, pumps, and connectors that are designated as unsafe-to-monitor, an explanation for each valve, pump, or connector stating why the valve, pump, or connector is unsafe-to-monitor, and the plan for monitoring each valve, pump, or connector. </w:t>
            </w:r>
          </w:p>
          <w:p w14:paraId="45AD9371" w14:textId="77777777" w:rsidR="00124AB6" w:rsidRPr="00F61457" w:rsidRDefault="00124AB6" w:rsidP="004E3BFD">
            <w:pPr>
              <w:rPr>
                <w:bCs/>
              </w:rPr>
            </w:pPr>
          </w:p>
          <w:p w14:paraId="2EFE3AE8" w14:textId="77777777" w:rsidR="00124AB6" w:rsidRDefault="00124AB6" w:rsidP="004E3BFD">
            <w:pPr>
              <w:rPr>
                <w:bCs/>
              </w:rPr>
            </w:pPr>
            <w:r>
              <w:rPr>
                <w:bCs/>
              </w:rPr>
              <w:t>(f)</w:t>
            </w:r>
            <w:r w:rsidRPr="00F61457">
              <w:rPr>
                <w:bCs/>
              </w:rPr>
              <w:t>(2) A list of identification numbers for valves that are designated as difficult-to-monitor, an explanation for each valve stating why the valve is difficult-to-monitor, and the schedule for monitoring each valve.</w:t>
            </w:r>
          </w:p>
          <w:p w14:paraId="6A269C7D" w14:textId="77777777" w:rsidR="00124AB6" w:rsidRDefault="00124AB6" w:rsidP="004E3BFD">
            <w:pPr>
              <w:rPr>
                <w:bCs/>
              </w:rPr>
            </w:pPr>
          </w:p>
          <w:p w14:paraId="664E48D1" w14:textId="77777777" w:rsidR="00124AB6" w:rsidRPr="00F61457" w:rsidRDefault="00124AB6" w:rsidP="004E3BFD">
            <w:pPr>
              <w:rPr>
                <w:bCs/>
              </w:rPr>
            </w:pPr>
            <w:r w:rsidRPr="00F61457">
              <w:rPr>
                <w:bCs/>
              </w:rPr>
              <w:t xml:space="preserve">(h) The following information shall be recorded in a log that is kept in a readily accessible location: </w:t>
            </w:r>
          </w:p>
          <w:p w14:paraId="644C58DC" w14:textId="77777777" w:rsidR="00124AB6" w:rsidRPr="00F61457" w:rsidRDefault="00124AB6" w:rsidP="004E3BFD">
            <w:pPr>
              <w:rPr>
                <w:bCs/>
              </w:rPr>
            </w:pPr>
          </w:p>
          <w:p w14:paraId="5FF9CF14" w14:textId="77777777" w:rsidR="00124AB6" w:rsidRPr="00F61457" w:rsidRDefault="00124AB6" w:rsidP="004E3BFD">
            <w:pPr>
              <w:rPr>
                <w:bCs/>
              </w:rPr>
            </w:pPr>
            <w:r>
              <w:rPr>
                <w:bCs/>
              </w:rPr>
              <w:t>(h)</w:t>
            </w:r>
            <w:r w:rsidRPr="00F61457">
              <w:rPr>
                <w:bCs/>
              </w:rPr>
              <w:t xml:space="preserve">(1) Design criterion required in §§ 60.482–2a(d)(5) and 60.482–3a(e)(2) and explanation of the design criterion; and </w:t>
            </w:r>
          </w:p>
          <w:p w14:paraId="0D8A2655" w14:textId="77777777" w:rsidR="00124AB6" w:rsidRPr="00F61457" w:rsidRDefault="00124AB6" w:rsidP="004E3BFD">
            <w:pPr>
              <w:rPr>
                <w:bCs/>
              </w:rPr>
            </w:pPr>
          </w:p>
          <w:p w14:paraId="07ED4C38" w14:textId="77777777" w:rsidR="00124AB6" w:rsidRDefault="00124AB6" w:rsidP="004E3BFD">
            <w:pPr>
              <w:rPr>
                <w:bCs/>
              </w:rPr>
            </w:pPr>
            <w:r>
              <w:rPr>
                <w:bCs/>
              </w:rPr>
              <w:t>(h)</w:t>
            </w:r>
            <w:r w:rsidRPr="00F61457">
              <w:rPr>
                <w:bCs/>
              </w:rPr>
              <w:t>(2) Any changes to this criterion and the reasons for the changes.</w:t>
            </w:r>
          </w:p>
          <w:p w14:paraId="3591C2CE" w14:textId="77777777" w:rsidR="00124AB6" w:rsidRDefault="00124AB6" w:rsidP="004E3BFD">
            <w:pPr>
              <w:rPr>
                <w:bCs/>
              </w:rPr>
            </w:pPr>
          </w:p>
          <w:p w14:paraId="33EB3719" w14:textId="77777777" w:rsidR="00124AB6" w:rsidRPr="000F1E33" w:rsidRDefault="00124AB6" w:rsidP="004E3BFD">
            <w:pPr>
              <w:rPr>
                <w:bCs/>
              </w:rPr>
            </w:pPr>
            <w:r w:rsidRPr="00F61457">
              <w:t xml:space="preserve">(k) The provisions of § 60.7(b) and (d) do not apply to affected facilities subject to this subpart. </w:t>
            </w:r>
          </w:p>
        </w:tc>
      </w:tr>
      <w:tr w:rsidR="00124AB6" w:rsidRPr="00F61457" w14:paraId="60E210E3"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val="0"/>
          <w:trHeight w:val="432"/>
        </w:trPr>
        <w:tc>
          <w:tcPr>
            <w:tcW w:w="1367" w:type="dxa"/>
          </w:tcPr>
          <w:p w14:paraId="58367741" w14:textId="77777777" w:rsidR="00124AB6" w:rsidRPr="000A5D3A" w:rsidRDefault="00124AB6" w:rsidP="004E3BFD">
            <w:pPr>
              <w:pStyle w:val="BNum"/>
              <w:rPr>
                <w:bCs/>
              </w:rPr>
            </w:pPr>
          </w:p>
        </w:tc>
        <w:tc>
          <w:tcPr>
            <w:tcW w:w="9433" w:type="dxa"/>
          </w:tcPr>
          <w:p w14:paraId="3C89DCF1" w14:textId="77777777" w:rsidR="00124AB6" w:rsidRPr="001B6EC4" w:rsidRDefault="00124AB6" w:rsidP="004E3BFD">
            <w:r w:rsidRPr="001B6EC4">
              <w:rPr>
                <w:b/>
              </w:rPr>
              <w:t>Emission Unit ID:</w:t>
            </w:r>
            <w:r>
              <w:rPr>
                <w:b/>
              </w:rPr>
              <w:t xml:space="preserve"> </w:t>
            </w:r>
            <w:r w:rsidRPr="00F61457">
              <w:rPr>
                <w:bCs/>
              </w:rPr>
              <w:t>06, 07</w:t>
            </w:r>
          </w:p>
          <w:p w14:paraId="0FEDEBB6" w14:textId="77777777" w:rsidR="00124AB6" w:rsidRDefault="00124AB6" w:rsidP="004E3BFD">
            <w:r w:rsidRPr="009A00D8">
              <w:rPr>
                <w:b/>
              </w:rPr>
              <w:t>Equipment ID:</w:t>
            </w:r>
            <w:r w:rsidRPr="009A00D8">
              <w:t xml:space="preserve"> </w:t>
            </w:r>
            <w:r>
              <w:t xml:space="preserve">R-2, R-4, R-8 </w:t>
            </w:r>
          </w:p>
          <w:p w14:paraId="357856A5" w14:textId="77777777" w:rsidR="00124AB6" w:rsidRDefault="00124AB6" w:rsidP="004E3BFD">
            <w:r w:rsidRPr="009A00D8">
              <w:rPr>
                <w:b/>
              </w:rPr>
              <w:t>Control Device ID:</w:t>
            </w:r>
            <w:r>
              <w:rPr>
                <w:b/>
              </w:rPr>
              <w:t xml:space="preserve"> </w:t>
            </w:r>
            <w:r>
              <w:rPr>
                <w:bCs/>
              </w:rPr>
              <w:t>NP-1</w:t>
            </w:r>
            <w:r w:rsidRPr="009A00D8">
              <w:t xml:space="preserve"> </w:t>
            </w:r>
          </w:p>
          <w:p w14:paraId="64A0D440" w14:textId="77777777" w:rsidR="00124AB6" w:rsidRPr="00F61457" w:rsidRDefault="00124AB6" w:rsidP="004E3BFD">
            <w:pPr>
              <w:rPr>
                <w:bCs/>
              </w:rPr>
            </w:pPr>
          </w:p>
          <w:p w14:paraId="08FB9310" w14:textId="77777777" w:rsidR="00124AB6" w:rsidRPr="00F61457" w:rsidRDefault="00124AB6" w:rsidP="004E3BFD">
            <w:pPr>
              <w:rPr>
                <w:bCs/>
              </w:rPr>
            </w:pPr>
            <w:r w:rsidRPr="00F61457">
              <w:rPr>
                <w:bCs/>
              </w:rPr>
              <w:t>60.487a Reporting requirements.</w:t>
            </w:r>
          </w:p>
          <w:p w14:paraId="3645914C" w14:textId="77777777" w:rsidR="00124AB6" w:rsidRPr="00F61457" w:rsidRDefault="00124AB6" w:rsidP="004E3BFD">
            <w:pPr>
              <w:rPr>
                <w:bCs/>
              </w:rPr>
            </w:pPr>
          </w:p>
          <w:p w14:paraId="25E3EB33" w14:textId="77777777" w:rsidR="00124AB6" w:rsidRPr="00F61457" w:rsidRDefault="00124AB6" w:rsidP="004E3BFD">
            <w:pPr>
              <w:rPr>
                <w:bCs/>
              </w:rPr>
            </w:pPr>
            <w:r w:rsidRPr="00F61457">
              <w:rPr>
                <w:bCs/>
              </w:rPr>
              <w:t xml:space="preserve">(a) Each owner or operator subject to the provisions of this subpart shall submit semiannual reports to the Administrator beginning 6 months after the initial startup date. </w:t>
            </w:r>
          </w:p>
          <w:p w14:paraId="33C2CE28" w14:textId="77777777" w:rsidR="00124AB6" w:rsidRPr="00F61457" w:rsidRDefault="00124AB6" w:rsidP="004E3BFD">
            <w:pPr>
              <w:rPr>
                <w:bCs/>
              </w:rPr>
            </w:pPr>
          </w:p>
          <w:p w14:paraId="536BAB13" w14:textId="77777777" w:rsidR="00124AB6" w:rsidRPr="00F61457" w:rsidRDefault="00124AB6" w:rsidP="004E3BFD">
            <w:pPr>
              <w:rPr>
                <w:bCs/>
              </w:rPr>
            </w:pPr>
            <w:r w:rsidRPr="00F61457">
              <w:rPr>
                <w:bCs/>
              </w:rPr>
              <w:t xml:space="preserve">(b) The initial semiannual report to the Administrator shall include the following information: </w:t>
            </w:r>
          </w:p>
          <w:p w14:paraId="648EC9DF" w14:textId="77777777" w:rsidR="00124AB6" w:rsidRPr="00F61457" w:rsidRDefault="00124AB6" w:rsidP="004E3BFD">
            <w:pPr>
              <w:rPr>
                <w:bCs/>
              </w:rPr>
            </w:pPr>
          </w:p>
          <w:p w14:paraId="54E36546" w14:textId="77777777" w:rsidR="00124AB6" w:rsidRPr="00F61457" w:rsidRDefault="00124AB6" w:rsidP="004E3BFD">
            <w:pPr>
              <w:rPr>
                <w:bCs/>
              </w:rPr>
            </w:pPr>
            <w:r>
              <w:rPr>
                <w:bCs/>
              </w:rPr>
              <w:t>(b)</w:t>
            </w:r>
            <w:r w:rsidRPr="00F61457">
              <w:rPr>
                <w:bCs/>
              </w:rPr>
              <w:t xml:space="preserve">(1) Process unit identification. </w:t>
            </w:r>
          </w:p>
          <w:p w14:paraId="32B11289" w14:textId="77777777" w:rsidR="00124AB6" w:rsidRPr="00F61457" w:rsidRDefault="00124AB6" w:rsidP="004E3BFD">
            <w:pPr>
              <w:rPr>
                <w:bCs/>
              </w:rPr>
            </w:pPr>
          </w:p>
          <w:p w14:paraId="4E20DF05" w14:textId="77777777" w:rsidR="00124AB6" w:rsidRPr="00F61457" w:rsidRDefault="00124AB6" w:rsidP="004E3BFD">
            <w:pPr>
              <w:rPr>
                <w:bCs/>
              </w:rPr>
            </w:pPr>
            <w:r>
              <w:rPr>
                <w:bCs/>
              </w:rPr>
              <w:t>(b)</w:t>
            </w:r>
            <w:r w:rsidRPr="00F61457">
              <w:rPr>
                <w:bCs/>
              </w:rPr>
              <w:t xml:space="preserve">(2) Number of valves subject to the requirements of § 60.482–7a, excluding those valves designated for no detectable emissions under the provisions of § 60.482–7a(f). </w:t>
            </w:r>
          </w:p>
          <w:p w14:paraId="5E18A712" w14:textId="77777777" w:rsidR="00124AB6" w:rsidRPr="00F61457" w:rsidRDefault="00124AB6" w:rsidP="004E3BFD">
            <w:pPr>
              <w:rPr>
                <w:bCs/>
              </w:rPr>
            </w:pPr>
          </w:p>
          <w:p w14:paraId="72CE38B9" w14:textId="77777777" w:rsidR="00124AB6" w:rsidRPr="00F61457" w:rsidRDefault="00124AB6" w:rsidP="004E3BFD">
            <w:pPr>
              <w:rPr>
                <w:bCs/>
              </w:rPr>
            </w:pPr>
            <w:r>
              <w:rPr>
                <w:bCs/>
              </w:rPr>
              <w:t>(b)</w:t>
            </w:r>
            <w:r w:rsidRPr="00F61457">
              <w:rPr>
                <w:bCs/>
              </w:rPr>
              <w:t xml:space="preserve">(3) Number of pumps subject to the requirements of § 60.482–2a, excluding those pumps designated for no detectable emissions under the provisions of § 60.482–2a(e) and those pumps complying with § 60.482–2a(f). </w:t>
            </w:r>
          </w:p>
          <w:p w14:paraId="6C631394" w14:textId="77777777" w:rsidR="00124AB6" w:rsidRPr="00F61457" w:rsidRDefault="00124AB6" w:rsidP="004E3BFD">
            <w:pPr>
              <w:rPr>
                <w:bCs/>
              </w:rPr>
            </w:pPr>
          </w:p>
          <w:p w14:paraId="2FF31711" w14:textId="77777777" w:rsidR="00124AB6" w:rsidRPr="00F61457" w:rsidRDefault="00124AB6" w:rsidP="004E3BFD">
            <w:pPr>
              <w:rPr>
                <w:bCs/>
              </w:rPr>
            </w:pPr>
            <w:r>
              <w:rPr>
                <w:bCs/>
              </w:rPr>
              <w:t>(b)</w:t>
            </w:r>
            <w:r w:rsidRPr="00F61457">
              <w:rPr>
                <w:bCs/>
              </w:rPr>
              <w:t>(4) Number of compressors subject to the requirements of § 60.482–3a, excluding those compressors designated for no detectable emissions under the provisions of § 60.482–3a(</w:t>
            </w:r>
            <w:proofErr w:type="spellStart"/>
            <w:r w:rsidRPr="00F61457">
              <w:rPr>
                <w:bCs/>
              </w:rPr>
              <w:t>i</w:t>
            </w:r>
            <w:proofErr w:type="spellEnd"/>
            <w:r w:rsidRPr="00F61457">
              <w:rPr>
                <w:bCs/>
              </w:rPr>
              <w:t xml:space="preserve">) and those compressors complying with § 60.482–3a(h). </w:t>
            </w:r>
          </w:p>
          <w:p w14:paraId="1BC8BC39" w14:textId="77777777" w:rsidR="00124AB6" w:rsidRPr="00F61457" w:rsidRDefault="00124AB6" w:rsidP="004E3BFD">
            <w:pPr>
              <w:rPr>
                <w:bCs/>
              </w:rPr>
            </w:pPr>
          </w:p>
          <w:p w14:paraId="7EE99066" w14:textId="77777777" w:rsidR="00124AB6" w:rsidRPr="00F61457" w:rsidRDefault="00124AB6" w:rsidP="004E3BFD">
            <w:pPr>
              <w:rPr>
                <w:bCs/>
              </w:rPr>
            </w:pPr>
            <w:r>
              <w:rPr>
                <w:bCs/>
              </w:rPr>
              <w:t>(b)</w:t>
            </w:r>
            <w:r w:rsidRPr="00F61457">
              <w:rPr>
                <w:bCs/>
              </w:rPr>
              <w:t xml:space="preserve">(5) Number of connectors subject to the requirements of § 60.482–11a. </w:t>
            </w:r>
          </w:p>
          <w:p w14:paraId="61559403" w14:textId="77777777" w:rsidR="00124AB6" w:rsidRPr="00F61457" w:rsidRDefault="00124AB6" w:rsidP="004E3BFD">
            <w:pPr>
              <w:rPr>
                <w:bCs/>
              </w:rPr>
            </w:pPr>
          </w:p>
          <w:p w14:paraId="2B1C13C7" w14:textId="77777777" w:rsidR="00124AB6" w:rsidRPr="00F61457" w:rsidRDefault="00124AB6" w:rsidP="004E3BFD">
            <w:pPr>
              <w:rPr>
                <w:bCs/>
              </w:rPr>
            </w:pPr>
            <w:r w:rsidRPr="00F61457">
              <w:rPr>
                <w:bCs/>
              </w:rPr>
              <w:t xml:space="preserve">(c) All semiannual reports to the Administrator shall include the following information, summarized from the information in § 60.486a: </w:t>
            </w:r>
          </w:p>
          <w:p w14:paraId="6F2F8737" w14:textId="77777777" w:rsidR="00124AB6" w:rsidRPr="00F61457" w:rsidRDefault="00124AB6" w:rsidP="004E3BFD">
            <w:pPr>
              <w:rPr>
                <w:bCs/>
              </w:rPr>
            </w:pPr>
          </w:p>
          <w:p w14:paraId="0D634597" w14:textId="77777777" w:rsidR="00124AB6" w:rsidRPr="00F61457" w:rsidRDefault="00124AB6" w:rsidP="004E3BFD">
            <w:pPr>
              <w:rPr>
                <w:bCs/>
              </w:rPr>
            </w:pPr>
            <w:r>
              <w:rPr>
                <w:bCs/>
              </w:rPr>
              <w:t>(c)</w:t>
            </w:r>
            <w:r w:rsidRPr="00F61457">
              <w:rPr>
                <w:bCs/>
              </w:rPr>
              <w:t xml:space="preserve">(1) Process unit identification. </w:t>
            </w:r>
          </w:p>
          <w:p w14:paraId="34716808" w14:textId="77777777" w:rsidR="00124AB6" w:rsidRDefault="00124AB6" w:rsidP="004E3BFD">
            <w:pPr>
              <w:rPr>
                <w:bCs/>
              </w:rPr>
            </w:pPr>
          </w:p>
          <w:p w14:paraId="7DB0BAE4" w14:textId="77777777" w:rsidR="00124AB6" w:rsidRPr="00F61457" w:rsidRDefault="00124AB6" w:rsidP="004E3BFD">
            <w:pPr>
              <w:rPr>
                <w:bCs/>
              </w:rPr>
            </w:pPr>
            <w:r>
              <w:rPr>
                <w:bCs/>
              </w:rPr>
              <w:t>(c)</w:t>
            </w:r>
            <w:r w:rsidRPr="00F61457">
              <w:rPr>
                <w:bCs/>
              </w:rPr>
              <w:t xml:space="preserve">(2) For each month during the semiannual reporting period, </w:t>
            </w:r>
          </w:p>
          <w:p w14:paraId="7FFEC1AC" w14:textId="77777777" w:rsidR="00124AB6" w:rsidRPr="00F61457" w:rsidRDefault="00124AB6" w:rsidP="004E3BFD">
            <w:pPr>
              <w:rPr>
                <w:bCs/>
              </w:rPr>
            </w:pPr>
          </w:p>
          <w:p w14:paraId="6B58E5A2" w14:textId="77777777" w:rsidR="00124AB6" w:rsidRPr="00F61457" w:rsidRDefault="00124AB6" w:rsidP="004E3BFD">
            <w:pPr>
              <w:rPr>
                <w:bCs/>
              </w:rPr>
            </w:pPr>
            <w:r>
              <w:rPr>
                <w:bCs/>
              </w:rPr>
              <w:t>(c)(2)</w:t>
            </w:r>
            <w:r w:rsidRPr="00F61457">
              <w:rPr>
                <w:bCs/>
              </w:rPr>
              <w:t>(</w:t>
            </w:r>
            <w:proofErr w:type="spellStart"/>
            <w:r w:rsidRPr="00F61457">
              <w:rPr>
                <w:bCs/>
              </w:rPr>
              <w:t>i</w:t>
            </w:r>
            <w:proofErr w:type="spellEnd"/>
            <w:r w:rsidRPr="00F61457">
              <w:rPr>
                <w:bCs/>
              </w:rPr>
              <w:t xml:space="preserve">) Number of valves for which leaks were detected as described in § 60.482–7a(b) or § 60.483–2a, </w:t>
            </w:r>
          </w:p>
          <w:p w14:paraId="4C6E6552" w14:textId="77777777" w:rsidR="00124AB6" w:rsidRPr="00F61457" w:rsidRDefault="00124AB6" w:rsidP="004E3BFD">
            <w:pPr>
              <w:rPr>
                <w:bCs/>
              </w:rPr>
            </w:pPr>
          </w:p>
          <w:p w14:paraId="4231E32A" w14:textId="77777777" w:rsidR="00124AB6" w:rsidRPr="00F61457" w:rsidRDefault="00124AB6" w:rsidP="004E3BFD">
            <w:pPr>
              <w:rPr>
                <w:bCs/>
              </w:rPr>
            </w:pPr>
            <w:r>
              <w:rPr>
                <w:bCs/>
              </w:rPr>
              <w:t>(c)(2)</w:t>
            </w:r>
            <w:r w:rsidRPr="00F61457">
              <w:rPr>
                <w:bCs/>
              </w:rPr>
              <w:t xml:space="preserve">(ii) Number of valves for which leaks were not repaired as required in § 60.482–7a(d)(1), </w:t>
            </w:r>
          </w:p>
          <w:p w14:paraId="0EE49D13" w14:textId="77777777" w:rsidR="00124AB6" w:rsidRPr="00F61457" w:rsidRDefault="00124AB6" w:rsidP="004E3BFD">
            <w:pPr>
              <w:rPr>
                <w:bCs/>
              </w:rPr>
            </w:pPr>
          </w:p>
          <w:p w14:paraId="736A9B12" w14:textId="77777777" w:rsidR="00124AB6" w:rsidRPr="00F61457" w:rsidRDefault="00124AB6" w:rsidP="004E3BFD">
            <w:pPr>
              <w:rPr>
                <w:bCs/>
              </w:rPr>
            </w:pPr>
            <w:r>
              <w:rPr>
                <w:bCs/>
              </w:rPr>
              <w:t>(c)(2)</w:t>
            </w:r>
            <w:r w:rsidRPr="00F61457">
              <w:rPr>
                <w:bCs/>
              </w:rPr>
              <w:t xml:space="preserve">(iii) Number of pumps for which leaks were detected as described in § 60.482–2a(b), (d)(4)(ii)(A) or (B), or (d)(5)(iii), </w:t>
            </w:r>
          </w:p>
          <w:p w14:paraId="5BCBF214" w14:textId="77777777" w:rsidR="00124AB6" w:rsidRPr="00F61457" w:rsidRDefault="00124AB6" w:rsidP="004E3BFD">
            <w:pPr>
              <w:rPr>
                <w:bCs/>
              </w:rPr>
            </w:pPr>
          </w:p>
          <w:p w14:paraId="3A12E2E0" w14:textId="77777777" w:rsidR="00124AB6" w:rsidRPr="00F61457" w:rsidRDefault="00124AB6" w:rsidP="004E3BFD">
            <w:pPr>
              <w:rPr>
                <w:bCs/>
              </w:rPr>
            </w:pPr>
            <w:r>
              <w:rPr>
                <w:bCs/>
              </w:rPr>
              <w:t>(c)(2)</w:t>
            </w:r>
            <w:r w:rsidRPr="00F61457">
              <w:rPr>
                <w:bCs/>
              </w:rPr>
              <w:t xml:space="preserve">(iv) Number of pumps for which leaks were not repaired as required in § 60.482–2a(c)(1) and (d)(6), </w:t>
            </w:r>
          </w:p>
          <w:p w14:paraId="01967DA7" w14:textId="77777777" w:rsidR="00124AB6" w:rsidRPr="00F61457" w:rsidRDefault="00124AB6" w:rsidP="004E3BFD">
            <w:pPr>
              <w:rPr>
                <w:bCs/>
              </w:rPr>
            </w:pPr>
          </w:p>
          <w:p w14:paraId="055F0DB8" w14:textId="77777777" w:rsidR="00124AB6" w:rsidRPr="00F61457" w:rsidRDefault="00124AB6" w:rsidP="004E3BFD">
            <w:pPr>
              <w:rPr>
                <w:bCs/>
              </w:rPr>
            </w:pPr>
            <w:r>
              <w:rPr>
                <w:bCs/>
              </w:rPr>
              <w:t>(c)(2)</w:t>
            </w:r>
            <w:r w:rsidRPr="00F61457">
              <w:rPr>
                <w:bCs/>
              </w:rPr>
              <w:t xml:space="preserve">(v) Number of compressors for which leaks were detected as described in § 60.482–3a(f), </w:t>
            </w:r>
          </w:p>
          <w:p w14:paraId="2A9DF91A" w14:textId="77777777" w:rsidR="00124AB6" w:rsidRPr="00F61457" w:rsidRDefault="00124AB6" w:rsidP="004E3BFD">
            <w:pPr>
              <w:rPr>
                <w:bCs/>
              </w:rPr>
            </w:pPr>
            <w:r>
              <w:rPr>
                <w:bCs/>
              </w:rPr>
              <w:t>(c)(2)</w:t>
            </w:r>
            <w:r w:rsidRPr="00F61457">
              <w:rPr>
                <w:bCs/>
              </w:rPr>
              <w:t xml:space="preserve">(vi) Number of compressors for which leaks were not repaired as required in § 60.482–3a(g)(1), </w:t>
            </w:r>
          </w:p>
          <w:p w14:paraId="096A34B2" w14:textId="77777777" w:rsidR="00124AB6" w:rsidRPr="00F61457" w:rsidRDefault="00124AB6" w:rsidP="004E3BFD">
            <w:pPr>
              <w:rPr>
                <w:bCs/>
              </w:rPr>
            </w:pPr>
            <w:r>
              <w:rPr>
                <w:bCs/>
              </w:rPr>
              <w:t>(c)(2)</w:t>
            </w:r>
            <w:r w:rsidRPr="00F61457">
              <w:rPr>
                <w:bCs/>
              </w:rPr>
              <w:t xml:space="preserve">(vii) Number of connectors for which leaks were detected as described in § 60.482–11a(b) </w:t>
            </w:r>
          </w:p>
          <w:p w14:paraId="4A744779" w14:textId="77777777" w:rsidR="00124AB6" w:rsidRDefault="00124AB6" w:rsidP="004E3BFD">
            <w:pPr>
              <w:rPr>
                <w:bCs/>
              </w:rPr>
            </w:pPr>
          </w:p>
          <w:p w14:paraId="69E6D4FE" w14:textId="77777777" w:rsidR="00124AB6" w:rsidRPr="00F61457" w:rsidRDefault="00124AB6" w:rsidP="004E3BFD">
            <w:pPr>
              <w:rPr>
                <w:bCs/>
              </w:rPr>
            </w:pPr>
            <w:r>
              <w:rPr>
                <w:bCs/>
              </w:rPr>
              <w:t>(c)(2)</w:t>
            </w:r>
            <w:r w:rsidRPr="00F61457">
              <w:rPr>
                <w:bCs/>
              </w:rPr>
              <w:t xml:space="preserve">(viii) Number of connectors for which leaks were not repaired as required in § 60.482–11a(d), and </w:t>
            </w:r>
          </w:p>
          <w:p w14:paraId="5786094F" w14:textId="77777777" w:rsidR="00124AB6" w:rsidRPr="00F61457" w:rsidRDefault="00124AB6" w:rsidP="004E3BFD">
            <w:pPr>
              <w:rPr>
                <w:bCs/>
              </w:rPr>
            </w:pPr>
          </w:p>
          <w:p w14:paraId="4C201143" w14:textId="77777777" w:rsidR="00124AB6" w:rsidRPr="00F61457" w:rsidRDefault="00124AB6" w:rsidP="004E3BFD">
            <w:pPr>
              <w:rPr>
                <w:bCs/>
              </w:rPr>
            </w:pPr>
            <w:r>
              <w:rPr>
                <w:bCs/>
              </w:rPr>
              <w:t>(c)(2)</w:t>
            </w:r>
            <w:r w:rsidRPr="00F61457">
              <w:rPr>
                <w:bCs/>
              </w:rPr>
              <w:t xml:space="preserve">(xi) The facts that explain each delay of repair and, where appropriate, why a process unit shutdown was technically infeasible. </w:t>
            </w:r>
          </w:p>
          <w:p w14:paraId="054310F5" w14:textId="77777777" w:rsidR="00124AB6" w:rsidRPr="00F61457" w:rsidRDefault="00124AB6" w:rsidP="004E3BFD">
            <w:pPr>
              <w:rPr>
                <w:bCs/>
              </w:rPr>
            </w:pPr>
          </w:p>
          <w:p w14:paraId="78EE43C5" w14:textId="77777777" w:rsidR="00124AB6" w:rsidRPr="00F61457" w:rsidRDefault="00124AB6" w:rsidP="004E3BFD">
            <w:pPr>
              <w:rPr>
                <w:bCs/>
              </w:rPr>
            </w:pPr>
            <w:r>
              <w:rPr>
                <w:bCs/>
              </w:rPr>
              <w:t>(c)</w:t>
            </w:r>
            <w:r w:rsidRPr="00F61457">
              <w:rPr>
                <w:bCs/>
              </w:rPr>
              <w:t xml:space="preserve">(3) Dates of process unit shutdowns which occurred within the semiannual reporting period. </w:t>
            </w:r>
          </w:p>
          <w:p w14:paraId="67AAC251" w14:textId="77777777" w:rsidR="00124AB6" w:rsidRPr="00F61457" w:rsidRDefault="00124AB6" w:rsidP="004E3BFD">
            <w:pPr>
              <w:rPr>
                <w:bCs/>
              </w:rPr>
            </w:pPr>
          </w:p>
          <w:p w14:paraId="1CED910B" w14:textId="77777777" w:rsidR="00124AB6" w:rsidRPr="00F61457" w:rsidRDefault="00124AB6" w:rsidP="004E3BFD">
            <w:pPr>
              <w:rPr>
                <w:bCs/>
              </w:rPr>
            </w:pPr>
            <w:r>
              <w:rPr>
                <w:bCs/>
              </w:rPr>
              <w:t>(c)</w:t>
            </w:r>
            <w:r w:rsidRPr="00F61457">
              <w:rPr>
                <w:bCs/>
              </w:rPr>
              <w:t>(4) Revisions to items reported according to paragraph (b) of this section if changes have occurred since the initial report or subsequent revisions to the initial report.</w:t>
            </w:r>
          </w:p>
        </w:tc>
      </w:tr>
    </w:tbl>
    <w:p w14:paraId="5BAEAFA7" w14:textId="77777777" w:rsidR="00F244AE" w:rsidRDefault="00F244AE" w:rsidP="00F244AE">
      <w:pPr>
        <w:rPr>
          <w:rFonts w:cs="Open Sans"/>
          <w:szCs w:val="20"/>
        </w:rPr>
      </w:pPr>
    </w:p>
    <w:tbl>
      <w:tblPr>
        <w:tblStyle w:val="TableGrid"/>
        <w:tblW w:w="10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68"/>
        <w:gridCol w:w="9432"/>
      </w:tblGrid>
      <w:tr w:rsidR="00D54368" w14:paraId="266B36C6" w14:textId="77777777" w:rsidTr="00BD4159">
        <w:trPr>
          <w:cantSplit w:val="0"/>
          <w:tblHeader/>
        </w:trPr>
        <w:tc>
          <w:tcPr>
            <w:tcW w:w="10800" w:type="dxa"/>
            <w:gridSpan w:val="2"/>
            <w:tcBorders>
              <w:top w:val="single" w:sz="2" w:space="0" w:color="auto"/>
              <w:left w:val="single" w:sz="2" w:space="0" w:color="auto"/>
              <w:bottom w:val="single" w:sz="2" w:space="0" w:color="auto"/>
              <w:right w:val="single" w:sz="2" w:space="0" w:color="auto"/>
            </w:tcBorders>
          </w:tcPr>
          <w:p w14:paraId="579575AE" w14:textId="77777777" w:rsidR="00F244AE" w:rsidRPr="00A3574E" w:rsidRDefault="00124AB6" w:rsidP="00971C71">
            <w:pPr>
              <w:pStyle w:val="TableHeading"/>
            </w:pPr>
            <w:r w:rsidRPr="00A3574E">
              <w:t>NESHAP (40 CFR 61 AND 40 CFR 63)</w:t>
            </w:r>
          </w:p>
          <w:p w14:paraId="1BD07027" w14:textId="77777777" w:rsidR="00F244AE" w:rsidRDefault="00F244AE">
            <w:pPr>
              <w:rPr>
                <w:rFonts w:cs="Open Sans"/>
                <w:szCs w:val="20"/>
              </w:rPr>
            </w:pPr>
          </w:p>
        </w:tc>
      </w:tr>
      <w:tr w:rsidR="00D54368" w14:paraId="6B7CF0A4" w14:textId="77777777" w:rsidTr="00BD4159">
        <w:trPr>
          <w:cantSplit w:val="0"/>
          <w:tblHeader/>
        </w:trPr>
        <w:tc>
          <w:tcPr>
            <w:tcW w:w="1368"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7A212304" w14:textId="77777777" w:rsidR="00F244AE" w:rsidRDefault="00124AB6">
            <w:pPr>
              <w:jc w:val="center"/>
              <w:rPr>
                <w:rFonts w:cs="Open Sans"/>
                <w:b/>
                <w:szCs w:val="20"/>
              </w:rPr>
            </w:pPr>
            <w:r>
              <w:rPr>
                <w:rFonts w:cs="Open Sans"/>
                <w:b/>
                <w:szCs w:val="20"/>
              </w:rPr>
              <w:t>Condition Number</w:t>
            </w:r>
          </w:p>
        </w:tc>
        <w:tc>
          <w:tcPr>
            <w:tcW w:w="9432"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64494F88" w14:textId="77777777" w:rsidR="00F244AE" w:rsidRDefault="00124AB6">
            <w:pPr>
              <w:jc w:val="center"/>
              <w:rPr>
                <w:rFonts w:cs="Open Sans"/>
                <w:b/>
                <w:szCs w:val="20"/>
              </w:rPr>
            </w:pPr>
            <w:r>
              <w:rPr>
                <w:rFonts w:cs="Open Sans"/>
                <w:b/>
                <w:szCs w:val="20"/>
              </w:rPr>
              <w:t>Conditions</w:t>
            </w:r>
          </w:p>
        </w:tc>
      </w:tr>
      <w:tr w:rsidR="00D54368" w14:paraId="453BE10F" w14:textId="77777777" w:rsidTr="00BD4159">
        <w:trPr>
          <w:cantSplit w:val="0"/>
        </w:trPr>
        <w:tc>
          <w:tcPr>
            <w:tcW w:w="1368" w:type="dxa"/>
            <w:tcBorders>
              <w:top w:val="single" w:sz="2" w:space="0" w:color="auto"/>
              <w:left w:val="single" w:sz="2" w:space="0" w:color="auto"/>
              <w:bottom w:val="single" w:sz="2" w:space="0" w:color="auto"/>
              <w:right w:val="single" w:sz="2" w:space="0" w:color="auto"/>
            </w:tcBorders>
          </w:tcPr>
          <w:p w14:paraId="3328B46C" w14:textId="77777777" w:rsidR="00F244AE" w:rsidRDefault="00F244AE" w:rsidP="009D71F4">
            <w:pPr>
              <w:pStyle w:val="CNum0"/>
            </w:pPr>
          </w:p>
        </w:tc>
        <w:tc>
          <w:tcPr>
            <w:tcW w:w="9432" w:type="dxa"/>
            <w:tcBorders>
              <w:top w:val="single" w:sz="2" w:space="0" w:color="auto"/>
              <w:left w:val="single" w:sz="2" w:space="0" w:color="auto"/>
              <w:bottom w:val="single" w:sz="2" w:space="0" w:color="auto"/>
              <w:right w:val="single" w:sz="2" w:space="0" w:color="auto"/>
            </w:tcBorders>
            <w:hideMark/>
          </w:tcPr>
          <w:p w14:paraId="3B9E5BFE" w14:textId="77777777" w:rsidR="00F244AE" w:rsidRDefault="00124AB6">
            <w:pPr>
              <w:rPr>
                <w:rFonts w:cs="Open Sans"/>
                <w:szCs w:val="20"/>
              </w:rPr>
            </w:pPr>
            <w:r w:rsidRPr="00F61457">
              <w:rPr>
                <w:rFonts w:cs="Open Sans"/>
                <w:szCs w:val="20"/>
              </w:rPr>
              <w:t xml:space="preserve">(40 CFR §63.9(a)(4)(ii) and §63.10(a)(4)(ii)) </w:t>
            </w:r>
            <w:r w:rsidR="00E957AB" w:rsidRPr="00E957AB">
              <w:rPr>
                <w:rFonts w:cs="Open Sans"/>
                <w:szCs w:val="20"/>
              </w:rPr>
              <w:t>All NESHAP notifications and reports shall be sent to the Department. Electronic submission of notifications or reports to the United States Environmental Protection Agency (US EPA) via CEDRI (Compliance and Emissions Data Reporting Interface) shall serve as the submission to the Department. CEDRI can be accessed through the EPA's Central Data Exchange (CDX).</w:t>
            </w:r>
          </w:p>
        </w:tc>
      </w:tr>
      <w:tr w:rsidR="00D54368" w14:paraId="172E3015" w14:textId="77777777" w:rsidTr="00BD4159">
        <w:trPr>
          <w:cantSplit w:val="0"/>
        </w:trPr>
        <w:tc>
          <w:tcPr>
            <w:tcW w:w="1368" w:type="dxa"/>
            <w:tcBorders>
              <w:top w:val="single" w:sz="2" w:space="0" w:color="auto"/>
              <w:left w:val="single" w:sz="2" w:space="0" w:color="auto"/>
              <w:bottom w:val="single" w:sz="2" w:space="0" w:color="auto"/>
              <w:right w:val="single" w:sz="2" w:space="0" w:color="auto"/>
            </w:tcBorders>
          </w:tcPr>
          <w:p w14:paraId="2535E8B9" w14:textId="77777777" w:rsidR="00F244AE" w:rsidRDefault="00F244AE" w:rsidP="009D71F4">
            <w:pPr>
              <w:pStyle w:val="CNum0"/>
            </w:pPr>
          </w:p>
        </w:tc>
        <w:tc>
          <w:tcPr>
            <w:tcW w:w="9432" w:type="dxa"/>
            <w:tcBorders>
              <w:top w:val="single" w:sz="2" w:space="0" w:color="auto"/>
              <w:left w:val="single" w:sz="2" w:space="0" w:color="auto"/>
              <w:bottom w:val="single" w:sz="2" w:space="0" w:color="auto"/>
              <w:right w:val="single" w:sz="2" w:space="0" w:color="auto"/>
            </w:tcBorders>
            <w:hideMark/>
          </w:tcPr>
          <w:p w14:paraId="202DC6BE" w14:textId="77777777" w:rsidR="00F244AE" w:rsidRDefault="00124AB6">
            <w:pPr>
              <w:rPr>
                <w:rFonts w:cs="Open Sans"/>
                <w:szCs w:val="20"/>
              </w:rPr>
            </w:pPr>
            <w:r w:rsidRPr="00F61457">
              <w:rPr>
                <w:rFonts w:cs="Open Sans"/>
                <w:szCs w:val="20"/>
              </w:rPr>
              <w:t xml:space="preserve">(40 CFR §63.9(a)(4)(ii) and §63.10(a)(4)(ii)) </w:t>
            </w:r>
            <w:r w:rsidR="00E957AB" w:rsidRPr="00E957AB">
              <w:rPr>
                <w:rStyle w:val="normaltextrun"/>
                <w:rFonts w:cs="Open Sans"/>
                <w:color w:val="000000"/>
                <w:szCs w:val="20"/>
                <w:shd w:val="clear" w:color="auto" w:fill="FFFFFF"/>
              </w:rPr>
              <w:t xml:space="preserve">All NESHAP notifications and reports requiring electronic submission to US EPA shall be submitted to EPA via CEDRI. </w:t>
            </w:r>
            <w:r w:rsidR="00E957AB" w:rsidRPr="00963838">
              <w:rPr>
                <w:rStyle w:val="normaltextrun"/>
                <w:rFonts w:cs="Open Sans"/>
                <w:color w:val="000000"/>
                <w:szCs w:val="20"/>
              </w:rPr>
              <w:t>Notifications and reports for specific NESHAP subparts not yet requiring electronic submission may also be submitted via CEDRI. Notifications and the accompanying cover letter for periodic reports not submitted via CEDRI shall be sent to the US EPA Region 4 Air and Radiation Division as required by the applicable subpart.</w:t>
            </w:r>
          </w:p>
        </w:tc>
      </w:tr>
      <w:tr w:rsidR="00D54368" w14:paraId="49B7A339" w14:textId="77777777" w:rsidTr="00BD4159">
        <w:trPr>
          <w:cantSplit w:val="0"/>
        </w:trPr>
        <w:tc>
          <w:tcPr>
            <w:tcW w:w="1368" w:type="dxa"/>
            <w:tcBorders>
              <w:top w:val="single" w:sz="2" w:space="0" w:color="auto"/>
              <w:left w:val="single" w:sz="2" w:space="0" w:color="auto"/>
              <w:bottom w:val="single" w:sz="2" w:space="0" w:color="auto"/>
              <w:right w:val="single" w:sz="2" w:space="0" w:color="auto"/>
            </w:tcBorders>
          </w:tcPr>
          <w:p w14:paraId="61F74CED" w14:textId="77777777" w:rsidR="00F244AE" w:rsidRDefault="00F244AE" w:rsidP="009D71F4">
            <w:pPr>
              <w:pStyle w:val="CNum0"/>
            </w:pPr>
          </w:p>
        </w:tc>
        <w:tc>
          <w:tcPr>
            <w:tcW w:w="9432" w:type="dxa"/>
            <w:tcBorders>
              <w:top w:val="single" w:sz="2" w:space="0" w:color="auto"/>
              <w:left w:val="single" w:sz="2" w:space="0" w:color="auto"/>
              <w:bottom w:val="single" w:sz="2" w:space="0" w:color="auto"/>
              <w:right w:val="single" w:sz="2" w:space="0" w:color="auto"/>
            </w:tcBorders>
          </w:tcPr>
          <w:p w14:paraId="674EFBE2" w14:textId="77777777" w:rsidR="0023193B" w:rsidRDefault="00124AB6" w:rsidP="0023193B">
            <w:pPr>
              <w:rPr>
                <w:rFonts w:cs="Open Sans"/>
              </w:rPr>
            </w:pPr>
            <w:r>
              <w:rPr>
                <w:rFonts w:cs="Open Sans"/>
              </w:rPr>
              <w:t>Emergency engines less than or equal to 150 kilowatt (kW) rated capacity, emergency engines greater than 150 kW rated capacity designated for emergency use only and operated a total of 500 hours per year or less for testing and maintenance and have a method to record the actual hours of use, such as an hour meter, and diesel engine driven emergency fire pumps that are operated a total of 500 hours per year or less for testing and maintenance and have a method to record the actual hours of use, such as an hour meter, have been determined to be exempt from construction permitting requirements in accordance with S.C. Regulation 61-62.1.</w:t>
            </w:r>
          </w:p>
          <w:p w14:paraId="5C21FA7F" w14:textId="77777777" w:rsidR="0023193B" w:rsidRDefault="0023193B" w:rsidP="0023193B">
            <w:pPr>
              <w:rPr>
                <w:rFonts w:cs="Open Sans"/>
              </w:rPr>
            </w:pPr>
          </w:p>
          <w:p w14:paraId="1E93BB79" w14:textId="77777777" w:rsidR="0023193B" w:rsidRDefault="00124AB6" w:rsidP="0023193B">
            <w:pPr>
              <w:rPr>
                <w:rFonts w:cs="Open Sans"/>
              </w:rPr>
            </w:pPr>
            <w:r>
              <w:rPr>
                <w:rFonts w:cs="Open Sans"/>
              </w:rPr>
              <w:t>(40 CFR 60; 40 CFR 63) If present, these sources shall still comply with the requirements of all applicable regulations, including but not limited to the following:</w:t>
            </w:r>
          </w:p>
          <w:p w14:paraId="248BC290" w14:textId="77777777" w:rsidR="0023193B" w:rsidRDefault="0023193B" w:rsidP="0023193B">
            <w:pPr>
              <w:rPr>
                <w:rFonts w:cs="Open Sans"/>
              </w:rPr>
            </w:pPr>
          </w:p>
          <w:p w14:paraId="20B3CB3B" w14:textId="77777777" w:rsidR="0023193B" w:rsidRDefault="00124AB6" w:rsidP="0023193B">
            <w:pPr>
              <w:rPr>
                <w:rFonts w:cs="Open Sans"/>
              </w:rPr>
            </w:pPr>
            <w:r>
              <w:rPr>
                <w:rFonts w:cs="Open Sans"/>
              </w:rPr>
              <w:t>New Source Performance Standards (NSPS) 40 CFR 60 Subpart A (General Provisions);</w:t>
            </w:r>
          </w:p>
          <w:p w14:paraId="2C8863C3" w14:textId="77777777" w:rsidR="0023193B" w:rsidRDefault="00124AB6" w:rsidP="0023193B">
            <w:pPr>
              <w:rPr>
                <w:rFonts w:cs="Open Sans"/>
              </w:rPr>
            </w:pPr>
            <w:r>
              <w:rPr>
                <w:rFonts w:cs="Open Sans"/>
              </w:rPr>
              <w:t>NSPS 40 CFR 60 Subpart IIII (Stationary Compression Ignition Internal Combustion Engines);</w:t>
            </w:r>
          </w:p>
          <w:p w14:paraId="0767F4B4" w14:textId="77777777" w:rsidR="0023193B" w:rsidRDefault="00124AB6" w:rsidP="0023193B">
            <w:pPr>
              <w:rPr>
                <w:rFonts w:cs="Open Sans"/>
              </w:rPr>
            </w:pPr>
            <w:r>
              <w:rPr>
                <w:rFonts w:cs="Open Sans"/>
              </w:rPr>
              <w:t>NSPS 40 CFR 60 Subpart JJJJ (Stationary Spark Ignition Internal Combustion Engines);</w:t>
            </w:r>
          </w:p>
          <w:p w14:paraId="3A234E18" w14:textId="77777777" w:rsidR="0023193B" w:rsidRDefault="00124AB6" w:rsidP="0023193B">
            <w:pPr>
              <w:rPr>
                <w:rFonts w:cs="Open Sans"/>
              </w:rPr>
            </w:pPr>
            <w:r>
              <w:rPr>
                <w:rFonts w:cs="Open Sans"/>
              </w:rPr>
              <w:t>National Emission Standards for Hazardous Air Pollutants (NESHAP) 40 CFR 63 Subpart A (General Provisions); and</w:t>
            </w:r>
          </w:p>
          <w:p w14:paraId="7777CB1A" w14:textId="77777777" w:rsidR="00F244AE" w:rsidRDefault="00124AB6" w:rsidP="0023193B">
            <w:pPr>
              <w:rPr>
                <w:rFonts w:cs="Open Sans"/>
                <w:szCs w:val="20"/>
              </w:rPr>
            </w:pPr>
            <w:r>
              <w:rPr>
                <w:rFonts w:cs="Open Sans"/>
              </w:rPr>
              <w:t>NESHAP 40 CFR 63 Subpart ZZZZ (Stationary Reciprocating Internal Combustion Engines).</w:t>
            </w:r>
          </w:p>
        </w:tc>
      </w:tr>
      <w:tr w:rsidR="00124AB6" w14:paraId="68A6137B"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Pr>
          <w:p w14:paraId="24FDA870" w14:textId="77777777" w:rsidR="00124AB6" w:rsidRDefault="005D0F3E" w:rsidP="005D0F3E">
            <w:pPr>
              <w:pStyle w:val="CNum0"/>
              <w:numPr>
                <w:ilvl w:val="0"/>
                <w:numId w:val="0"/>
              </w:numPr>
            </w:pPr>
            <w:r>
              <w:t>C.4</w:t>
            </w:r>
          </w:p>
        </w:tc>
        <w:tc>
          <w:tcPr>
            <w:tcW w:w="9432" w:type="dxa"/>
          </w:tcPr>
          <w:p w14:paraId="3233854A" w14:textId="77777777" w:rsidR="00124AB6" w:rsidRDefault="00124AB6" w:rsidP="004E3BFD">
            <w:r w:rsidRPr="001B6EC4">
              <w:rPr>
                <w:b/>
              </w:rPr>
              <w:t>Emission Unit ID:</w:t>
            </w:r>
            <w:r>
              <w:t xml:space="preserve"> 14</w:t>
            </w:r>
          </w:p>
          <w:p w14:paraId="7D8D2EFD" w14:textId="77777777" w:rsidR="00124AB6" w:rsidRDefault="00124AB6" w:rsidP="004E3BFD">
            <w:r w:rsidRPr="009A00D8">
              <w:rPr>
                <w:b/>
              </w:rPr>
              <w:t>Equipment ID:</w:t>
            </w:r>
            <w:r w:rsidRPr="009A00D8">
              <w:t xml:space="preserve"> </w:t>
            </w:r>
            <w:r w:rsidRPr="004E6804">
              <w:rPr>
                <w:bCs/>
                <w:szCs w:val="18"/>
              </w:rPr>
              <w:t>R-10</w:t>
            </w:r>
            <w:r>
              <w:rPr>
                <w:bCs/>
                <w:szCs w:val="18"/>
              </w:rPr>
              <w:t xml:space="preserve">, </w:t>
            </w:r>
            <w:r w:rsidRPr="004E6804">
              <w:rPr>
                <w:bCs/>
                <w:szCs w:val="18"/>
              </w:rPr>
              <w:t>T-234</w:t>
            </w:r>
            <w:r>
              <w:rPr>
                <w:bCs/>
                <w:szCs w:val="18"/>
              </w:rPr>
              <w:t xml:space="preserve">, </w:t>
            </w:r>
            <w:r w:rsidRPr="004E6804">
              <w:rPr>
                <w:bCs/>
                <w:szCs w:val="18"/>
              </w:rPr>
              <w:t>T-501</w:t>
            </w:r>
            <w:r>
              <w:rPr>
                <w:bCs/>
                <w:szCs w:val="18"/>
              </w:rPr>
              <w:t>,</w:t>
            </w:r>
            <w:r w:rsidRPr="00534FD4">
              <w:rPr>
                <w:bCs/>
                <w:szCs w:val="18"/>
              </w:rPr>
              <w:t xml:space="preserve"> </w:t>
            </w:r>
            <w:r w:rsidRPr="00A75C58">
              <w:rPr>
                <w:bCs/>
                <w:szCs w:val="18"/>
              </w:rPr>
              <w:t>T-415</w:t>
            </w:r>
          </w:p>
          <w:p w14:paraId="2C508836" w14:textId="77777777" w:rsidR="00124AB6" w:rsidRPr="009A00D8" w:rsidRDefault="00124AB6" w:rsidP="004E3BFD">
            <w:r w:rsidRPr="009A00D8">
              <w:rPr>
                <w:b/>
              </w:rPr>
              <w:t>Control Device ID:</w:t>
            </w:r>
            <w:r w:rsidRPr="009A00D8">
              <w:t xml:space="preserve"> </w:t>
            </w:r>
            <w:r>
              <w:t>TO-1</w:t>
            </w:r>
          </w:p>
          <w:p w14:paraId="28865377" w14:textId="77777777" w:rsidR="00124AB6" w:rsidRDefault="00124AB6" w:rsidP="004E3BFD"/>
          <w:p w14:paraId="443CB986" w14:textId="77777777" w:rsidR="00124AB6" w:rsidRDefault="00124AB6" w:rsidP="004E3BFD">
            <w:pPr>
              <w:rPr>
                <w:rFonts w:cs="Open Sans"/>
              </w:rPr>
            </w:pPr>
            <w:r w:rsidRPr="00422BC8">
              <w:t xml:space="preserve">This facility has processes subject to the provisions of S.C. Regulation 61-62.63 and 40 </w:t>
            </w:r>
            <w:smartTag w:uri="urn:schemas-microsoft-com:office:smarttags" w:element="stockticker">
              <w:r w:rsidRPr="00422BC8">
                <w:t>CFR</w:t>
              </w:r>
            </w:smartTag>
            <w:r w:rsidRPr="00422BC8">
              <w:t xml:space="preserve"> Part 63, National Emission Standards for Hazardous Air Pollutants, Subparts A (General Provisions) and Subpart VVVVV</w:t>
            </w:r>
            <w:r>
              <w:t>V</w:t>
            </w:r>
            <w:r w:rsidRPr="00422BC8">
              <w:t xml:space="preserve"> (National Emission Standards for Hazardous Air Pollutants for Chemical Manufacturing Area Sources). Existing affected sources shall </w:t>
            </w:r>
            <w:proofErr w:type="gramStart"/>
            <w:r w:rsidRPr="00422BC8">
              <w:t>be in compliance with</w:t>
            </w:r>
            <w:proofErr w:type="gramEnd"/>
            <w:r w:rsidRPr="00422BC8">
              <w:t xml:space="preserve"> the requirements of these Subparts on the compliance date, unless otherwise noted. Any new affected sources shall comply with the requirements of these Subparts upon initial start-up unless otherwise noted.</w:t>
            </w:r>
          </w:p>
        </w:tc>
      </w:tr>
      <w:tr w:rsidR="00124AB6" w:rsidRPr="00422BC8" w14:paraId="11C06545"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val="0"/>
        </w:trPr>
        <w:tc>
          <w:tcPr>
            <w:tcW w:w="1368" w:type="dxa"/>
          </w:tcPr>
          <w:p w14:paraId="464652AA" w14:textId="77777777" w:rsidR="00124AB6" w:rsidRDefault="005D0F3E" w:rsidP="005D0F3E">
            <w:pPr>
              <w:pStyle w:val="CNum0"/>
              <w:numPr>
                <w:ilvl w:val="0"/>
                <w:numId w:val="0"/>
              </w:numPr>
            </w:pPr>
            <w:r>
              <w:t>C.5</w:t>
            </w:r>
          </w:p>
        </w:tc>
        <w:tc>
          <w:tcPr>
            <w:tcW w:w="9432" w:type="dxa"/>
          </w:tcPr>
          <w:p w14:paraId="12DE1CB3" w14:textId="77777777" w:rsidR="00124AB6" w:rsidRDefault="00124AB6" w:rsidP="004E3BFD">
            <w:r w:rsidRPr="001B6EC4">
              <w:rPr>
                <w:b/>
              </w:rPr>
              <w:t>Emission Unit ID:</w:t>
            </w:r>
            <w:r>
              <w:t xml:space="preserve"> 14</w:t>
            </w:r>
          </w:p>
          <w:p w14:paraId="6DFFC9CE" w14:textId="77777777" w:rsidR="00124AB6" w:rsidRDefault="00124AB6" w:rsidP="004E3BFD">
            <w:r w:rsidRPr="009A00D8">
              <w:rPr>
                <w:b/>
              </w:rPr>
              <w:t>Equipment ID:</w:t>
            </w:r>
            <w:r w:rsidRPr="009A00D8">
              <w:t xml:space="preserve"> </w:t>
            </w:r>
            <w:r w:rsidRPr="004E6804">
              <w:rPr>
                <w:bCs/>
                <w:szCs w:val="18"/>
              </w:rPr>
              <w:t>R-10</w:t>
            </w:r>
            <w:r>
              <w:rPr>
                <w:bCs/>
                <w:szCs w:val="18"/>
              </w:rPr>
              <w:t xml:space="preserve">, </w:t>
            </w:r>
            <w:r w:rsidRPr="004E6804">
              <w:rPr>
                <w:bCs/>
                <w:szCs w:val="18"/>
              </w:rPr>
              <w:t>T-234</w:t>
            </w:r>
            <w:r>
              <w:rPr>
                <w:bCs/>
                <w:szCs w:val="18"/>
              </w:rPr>
              <w:t xml:space="preserve">, </w:t>
            </w:r>
            <w:r w:rsidRPr="004E6804">
              <w:rPr>
                <w:bCs/>
                <w:szCs w:val="18"/>
              </w:rPr>
              <w:t>T-501</w:t>
            </w:r>
            <w:r>
              <w:rPr>
                <w:bCs/>
                <w:szCs w:val="18"/>
              </w:rPr>
              <w:t>,</w:t>
            </w:r>
            <w:r w:rsidRPr="00534FD4">
              <w:rPr>
                <w:bCs/>
                <w:szCs w:val="18"/>
              </w:rPr>
              <w:t xml:space="preserve"> </w:t>
            </w:r>
            <w:r w:rsidRPr="00A75C58">
              <w:rPr>
                <w:bCs/>
                <w:szCs w:val="18"/>
              </w:rPr>
              <w:t>T-415</w:t>
            </w:r>
          </w:p>
          <w:p w14:paraId="08EDC852" w14:textId="77777777" w:rsidR="00124AB6" w:rsidRPr="009A00D8" w:rsidRDefault="00124AB6" w:rsidP="004E3BFD">
            <w:r w:rsidRPr="009A00D8">
              <w:rPr>
                <w:b/>
              </w:rPr>
              <w:t>Control Device ID:</w:t>
            </w:r>
            <w:r w:rsidRPr="009A00D8">
              <w:t xml:space="preserve"> </w:t>
            </w:r>
            <w:r>
              <w:t>TO-1</w:t>
            </w:r>
          </w:p>
          <w:p w14:paraId="252A953B" w14:textId="77777777" w:rsidR="00124AB6" w:rsidRDefault="00124AB6" w:rsidP="004E3BFD"/>
          <w:p w14:paraId="6DABCF0C" w14:textId="77777777" w:rsidR="00124AB6" w:rsidRDefault="00124AB6" w:rsidP="004E3BFD">
            <w:r>
              <w:t>40CFR</w:t>
            </w:r>
            <w:r w:rsidRPr="00F61457">
              <w:t>63.11494 What are the applicability requirements and compliance dates?</w:t>
            </w:r>
          </w:p>
          <w:p w14:paraId="7332FEA9" w14:textId="77777777" w:rsidR="00124AB6" w:rsidRDefault="00124AB6" w:rsidP="004E3BFD"/>
          <w:p w14:paraId="06608A9D" w14:textId="77777777" w:rsidR="00124AB6" w:rsidRDefault="00124AB6" w:rsidP="004E3BFD">
            <w:r>
              <w:t xml:space="preserve">(a) Except as specified in paragraph (c) of this section, you are subject to this subpart if you own or operate a chemical manufacturing process unit (CMPU) that meets the conditions specified in paragraphs (a)(1) and (2) of this section. </w:t>
            </w:r>
          </w:p>
          <w:p w14:paraId="40B26E32" w14:textId="77777777" w:rsidR="00124AB6" w:rsidRDefault="00124AB6" w:rsidP="004E3BFD"/>
          <w:p w14:paraId="183A40BE" w14:textId="77777777" w:rsidR="00124AB6" w:rsidRDefault="00124AB6" w:rsidP="004E3BFD">
            <w:r>
              <w:t xml:space="preserve">(a)(1) The CMPU is located at an area source of hazardous air pollutant (HAP) emissions. </w:t>
            </w:r>
          </w:p>
          <w:p w14:paraId="0DD284EE" w14:textId="77777777" w:rsidR="00124AB6" w:rsidRDefault="00124AB6" w:rsidP="004E3BFD"/>
          <w:p w14:paraId="60425203" w14:textId="77777777" w:rsidR="00124AB6" w:rsidRDefault="00124AB6" w:rsidP="004E3BFD">
            <w:r>
              <w:t>(a)(2) HAP listed in Table 1 to this subpart (Table 1 HAP) are present in the CMPU, as specified in paragraph (a)(2)(</w:t>
            </w:r>
            <w:proofErr w:type="spellStart"/>
            <w:r>
              <w:t>i</w:t>
            </w:r>
            <w:proofErr w:type="spellEnd"/>
            <w:r>
              <w:t xml:space="preserve">), (a)(2)(ii), (a)(2)(iii), or (a)(2)(iv) of this section. </w:t>
            </w:r>
          </w:p>
          <w:p w14:paraId="6B5115BA" w14:textId="77777777" w:rsidR="00124AB6" w:rsidRDefault="00124AB6" w:rsidP="004E3BFD"/>
          <w:p w14:paraId="20BB7C34" w14:textId="77777777" w:rsidR="00124AB6" w:rsidRDefault="00124AB6" w:rsidP="004E3BFD">
            <w:r>
              <w:t>(a)(2)(</w:t>
            </w:r>
            <w:proofErr w:type="spellStart"/>
            <w:r>
              <w:t>i</w:t>
            </w:r>
            <w:proofErr w:type="spellEnd"/>
            <w:r>
              <w:t xml:space="preserve">) The CMPU uses as feedstock, any material that contains quinoline, manganese, and/or trivalent chromium at an individual concentration greater than 1.0 percent by weight, or any other Table 1 HAP at an individual concentration greater than 0.1 percent by weight. To determine the Table 1 HAP content of feedstocks, you may rely on formulation data provided by the manufacturer or supplier, such as the Material Safety Data Sheet (MSDS) for the material. If the concentration in an MSDS is presented as a range, use the upper bound of the range. </w:t>
            </w:r>
          </w:p>
          <w:p w14:paraId="5398A5A4" w14:textId="77777777" w:rsidR="00124AB6" w:rsidRDefault="00124AB6" w:rsidP="004E3BFD"/>
          <w:p w14:paraId="22175ABF" w14:textId="77777777" w:rsidR="00124AB6" w:rsidRDefault="00124AB6" w:rsidP="004E3BFD">
            <w:r>
              <w:t xml:space="preserve">(a)(2)(iii) Hydrazine and/or Table 1 organic HAP other than quinoline are generated as byproduct and are present in the CMPU in any liquid stream (process or waste), continuous process vent, or batch process vent at an individual concentration greater than 0.1 percent by weight. </w:t>
            </w:r>
          </w:p>
          <w:p w14:paraId="750126E1" w14:textId="77777777" w:rsidR="00124AB6" w:rsidRDefault="00124AB6" w:rsidP="004E3BFD"/>
          <w:p w14:paraId="483D693E" w14:textId="77777777" w:rsidR="00124AB6" w:rsidRDefault="00124AB6" w:rsidP="004E3BFD">
            <w:r>
              <w:t>(a)(2)(iv) Hydrazine or any Table 1 HAP is produced as a product of the CMPU.</w:t>
            </w:r>
          </w:p>
          <w:p w14:paraId="76FB51C0" w14:textId="77777777" w:rsidR="00124AB6" w:rsidRDefault="00124AB6" w:rsidP="004E3BFD"/>
          <w:p w14:paraId="227C37FA" w14:textId="77777777" w:rsidR="00124AB6" w:rsidRDefault="00124AB6" w:rsidP="004E3BFD">
            <w:r w:rsidRPr="004759D9">
              <w:t xml:space="preserve">(b) A CMPU includes all process vessels, equipment, and activities necessary to operate a chemical manufacturing process that produces a </w:t>
            </w:r>
            <w:proofErr w:type="gramStart"/>
            <w:r w:rsidRPr="004759D9">
              <w:t>material</w:t>
            </w:r>
            <w:proofErr w:type="gramEnd"/>
            <w:r w:rsidRPr="004759D9">
              <w:t xml:space="preserve"> or a family of materials described by North American Industry Classification System (NAICS) code 325. A CMPU consists of </w:t>
            </w:r>
            <w:proofErr w:type="gramStart"/>
            <w:r w:rsidRPr="004759D9">
              <w:t>one or more unit</w:t>
            </w:r>
            <w:proofErr w:type="gramEnd"/>
            <w:r w:rsidRPr="004759D9">
              <w:t xml:space="preserve"> operations and any associated recovery devices. A CMPU also includes each storage tank, transfer operation, surge control vessel, and bottoms receiver associated with the production of such NAICS code 325 materials.</w:t>
            </w:r>
          </w:p>
          <w:p w14:paraId="127C23CD" w14:textId="77777777" w:rsidR="00124AB6" w:rsidRDefault="00124AB6" w:rsidP="004E3BFD"/>
          <w:p w14:paraId="3F7628DE" w14:textId="77777777" w:rsidR="00124AB6" w:rsidRDefault="00124AB6" w:rsidP="004E3BFD">
            <w:r>
              <w:t xml:space="preserve">(d) This subpart applies to each new or existing affected source. The affected source is the facility-wide collection of </w:t>
            </w:r>
            <w:proofErr w:type="gramStart"/>
            <w:r>
              <w:t>CMPUs</w:t>
            </w:r>
            <w:proofErr w:type="gramEnd"/>
            <w:r>
              <w:t xml:space="preserve"> and each heat exchange system and wastewater system associated with a CMPU that meets the criteria specified in paragraphs (a) and (b) of this section. A CMPU using only Table 1 organic HAP is required to control only total CAA section 112(b) organic HAP. A CMPU using only Table 1 metal HAP is required to control only total CAA section 112(b) metal HAP in accordance with § 63.11495 and, if applicable, § 63.11496(f). </w:t>
            </w:r>
          </w:p>
          <w:p w14:paraId="330AABBC" w14:textId="77777777" w:rsidR="00124AB6" w:rsidRDefault="00124AB6" w:rsidP="004E3BFD"/>
          <w:p w14:paraId="3B6B1208" w14:textId="77777777" w:rsidR="00124AB6" w:rsidRDefault="00124AB6" w:rsidP="004E3BFD">
            <w:r>
              <w:t xml:space="preserve">(d)(1) An affected source is an existing source if you commenced construction or reconstruction of the affected source before October 6, 2008. </w:t>
            </w:r>
          </w:p>
          <w:p w14:paraId="159F825E" w14:textId="77777777" w:rsidR="00124AB6" w:rsidRDefault="00124AB6" w:rsidP="004E3BFD"/>
          <w:p w14:paraId="2359123D" w14:textId="77777777" w:rsidR="00124AB6" w:rsidRDefault="00124AB6" w:rsidP="004E3BFD">
            <w:r w:rsidRPr="004759D9">
              <w:t xml:space="preserve">(e) Any area source that installed a </w:t>
            </w:r>
            <w:proofErr w:type="gramStart"/>
            <w:r w:rsidRPr="004759D9">
              <w:t>federally-enforceable</w:t>
            </w:r>
            <w:proofErr w:type="gramEnd"/>
            <w:r w:rsidRPr="004759D9">
              <w:t xml:space="preserve"> control device on an affected CMPU is required to obtain a permit under 40 CFR part 70 or 40 CFR part 71 if the control device on the affected CMPU is necessary to maintain the source's emissions at area source levels. For new and existing sources subject to this rule on December 21, </w:t>
            </w:r>
            <w:proofErr w:type="gramStart"/>
            <w:r w:rsidRPr="004759D9">
              <w:t>2012</w:t>
            </w:r>
            <w:proofErr w:type="gramEnd"/>
            <w:r w:rsidRPr="004759D9">
              <w:t xml:space="preserve"> and subject to title V as a result of this rule, a complete title V permit application must be submitted no later than December 21, 2013. New and existing sources that become subject to this rule after December 21, </w:t>
            </w:r>
            <w:proofErr w:type="gramStart"/>
            <w:r w:rsidRPr="004759D9">
              <w:t>2012</w:t>
            </w:r>
            <w:proofErr w:type="gramEnd"/>
            <w:r w:rsidRPr="004759D9">
              <w:t xml:space="preserve"> must submit a complete title V permit application no later than 12 months after becoming subject to this rule if the source is subject to title V as a result of this rule. Otherwise, you are exempt from the obligation to obtain a permit under 40 CFR part 70 or 40 CFR part 71, provided you are not otherwise required by law to obtain a permit under 40 CFR 70.3(a) or 40 CFR 71.3(a). Notwithstanding the previous sentence, you must continue to comply with the provisions of this subpart.</w:t>
            </w:r>
          </w:p>
          <w:p w14:paraId="2B1D6994" w14:textId="77777777" w:rsidR="00124AB6" w:rsidRDefault="00124AB6" w:rsidP="004E3BFD"/>
          <w:p w14:paraId="22682E2E" w14:textId="77777777" w:rsidR="00124AB6" w:rsidRPr="00422BC8" w:rsidRDefault="00124AB6" w:rsidP="004E3BFD">
            <w:r w:rsidRPr="004759D9">
              <w:t>(f) If you own or operate an existing affected source, you must achieve compliance with the applicable provisions in this subpart no later than March 21, 2013.</w:t>
            </w:r>
          </w:p>
        </w:tc>
      </w:tr>
      <w:tr w:rsidR="00124AB6" w:rsidRPr="00F61457" w14:paraId="689F2CF8"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val="0"/>
        </w:trPr>
        <w:tc>
          <w:tcPr>
            <w:tcW w:w="1368" w:type="dxa"/>
          </w:tcPr>
          <w:p w14:paraId="1CF9B148" w14:textId="77777777" w:rsidR="00124AB6" w:rsidRDefault="005D0F3E" w:rsidP="005D0F3E">
            <w:pPr>
              <w:pStyle w:val="CNum0"/>
              <w:numPr>
                <w:ilvl w:val="0"/>
                <w:numId w:val="0"/>
              </w:numPr>
            </w:pPr>
            <w:r>
              <w:t>C.6</w:t>
            </w:r>
          </w:p>
        </w:tc>
        <w:tc>
          <w:tcPr>
            <w:tcW w:w="9432" w:type="dxa"/>
          </w:tcPr>
          <w:p w14:paraId="3212C6E3" w14:textId="77777777" w:rsidR="00124AB6" w:rsidRDefault="00124AB6" w:rsidP="004E3BFD">
            <w:r w:rsidRPr="001B6EC4">
              <w:rPr>
                <w:b/>
              </w:rPr>
              <w:t>Emission Unit ID:</w:t>
            </w:r>
            <w:r>
              <w:t xml:space="preserve"> 14</w:t>
            </w:r>
          </w:p>
          <w:p w14:paraId="1564C0FE" w14:textId="77777777" w:rsidR="00124AB6" w:rsidRDefault="00124AB6" w:rsidP="004E3BFD">
            <w:r w:rsidRPr="009A00D8">
              <w:rPr>
                <w:b/>
              </w:rPr>
              <w:t>Equipment ID:</w:t>
            </w:r>
            <w:r w:rsidRPr="009A00D8">
              <w:t xml:space="preserve"> </w:t>
            </w:r>
            <w:r w:rsidRPr="004E6804">
              <w:rPr>
                <w:bCs/>
                <w:szCs w:val="18"/>
              </w:rPr>
              <w:t>R-10</w:t>
            </w:r>
            <w:r>
              <w:rPr>
                <w:bCs/>
                <w:szCs w:val="18"/>
              </w:rPr>
              <w:t xml:space="preserve">, </w:t>
            </w:r>
            <w:r w:rsidRPr="004E6804">
              <w:rPr>
                <w:bCs/>
                <w:szCs w:val="18"/>
              </w:rPr>
              <w:t>T-234</w:t>
            </w:r>
            <w:r>
              <w:rPr>
                <w:bCs/>
                <w:szCs w:val="18"/>
              </w:rPr>
              <w:t xml:space="preserve">, </w:t>
            </w:r>
            <w:r w:rsidRPr="004E6804">
              <w:rPr>
                <w:bCs/>
                <w:szCs w:val="18"/>
              </w:rPr>
              <w:t>T-501</w:t>
            </w:r>
            <w:r>
              <w:rPr>
                <w:bCs/>
                <w:szCs w:val="18"/>
              </w:rPr>
              <w:t>,</w:t>
            </w:r>
            <w:r w:rsidRPr="00534FD4">
              <w:rPr>
                <w:bCs/>
                <w:szCs w:val="18"/>
              </w:rPr>
              <w:t xml:space="preserve"> </w:t>
            </w:r>
            <w:r w:rsidRPr="00A75C58">
              <w:rPr>
                <w:bCs/>
                <w:szCs w:val="18"/>
              </w:rPr>
              <w:t>T-415</w:t>
            </w:r>
          </w:p>
          <w:p w14:paraId="554C9189" w14:textId="77777777" w:rsidR="00124AB6" w:rsidRPr="009A00D8" w:rsidRDefault="00124AB6" w:rsidP="004E3BFD">
            <w:r w:rsidRPr="009A00D8">
              <w:rPr>
                <w:b/>
              </w:rPr>
              <w:t>Control Device ID:</w:t>
            </w:r>
            <w:r w:rsidRPr="009A00D8">
              <w:t xml:space="preserve"> </w:t>
            </w:r>
            <w:r>
              <w:t>TO-1</w:t>
            </w:r>
          </w:p>
          <w:p w14:paraId="7578169F" w14:textId="77777777" w:rsidR="00124AB6" w:rsidRDefault="00124AB6" w:rsidP="004E3BFD"/>
          <w:p w14:paraId="1B08DA82" w14:textId="77777777" w:rsidR="00124AB6" w:rsidRDefault="00124AB6" w:rsidP="004E3BFD">
            <w:r>
              <w:t>40CFR</w:t>
            </w:r>
            <w:r w:rsidRPr="004759D9">
              <w:t>63.11495 What are the management practices and other requirements?</w:t>
            </w:r>
          </w:p>
          <w:p w14:paraId="3DB373BC" w14:textId="77777777" w:rsidR="00124AB6" w:rsidRDefault="00124AB6" w:rsidP="004E3BFD"/>
          <w:p w14:paraId="286BCA37" w14:textId="77777777" w:rsidR="00124AB6" w:rsidRDefault="00124AB6" w:rsidP="004E3BFD">
            <w:r>
              <w:t xml:space="preserve">(a) Management practices.  If you have a CMPU subject to this subpart, you must comply with paragraphs (a)(1) through (a)(5) of this section. </w:t>
            </w:r>
          </w:p>
          <w:p w14:paraId="4A396E6E" w14:textId="77777777" w:rsidR="00124AB6" w:rsidRDefault="00124AB6" w:rsidP="004E3BFD"/>
          <w:p w14:paraId="184E529F" w14:textId="77777777" w:rsidR="00124AB6" w:rsidRDefault="00124AB6" w:rsidP="004E3BFD">
            <w:r>
              <w:t xml:space="preserve">(a)(1) Each process vessel must be equipped with a cover or lid that must be </w:t>
            </w:r>
            <w:proofErr w:type="gramStart"/>
            <w:r>
              <w:t>closed at all times</w:t>
            </w:r>
            <w:proofErr w:type="gramEnd"/>
            <w:r>
              <w:t xml:space="preserve"> when it is in organic HAP service or metal HAP service, except for manual operations that require access, such as material addition and removal, inspection, sampling and cleaning. This requirement does not apply to process vessels containing only metal HAP that are in a liquid solution or other form that will not result in particulate emissions of metal HAP (e.g., metal HAP that is in ingot, paste, slurry, or moist pellet form or other form). </w:t>
            </w:r>
          </w:p>
          <w:p w14:paraId="0FC45D61" w14:textId="77777777" w:rsidR="00124AB6" w:rsidRDefault="00124AB6" w:rsidP="004E3BFD"/>
          <w:p w14:paraId="7B3F0DE1" w14:textId="77777777" w:rsidR="00124AB6" w:rsidRDefault="00124AB6" w:rsidP="004E3BFD">
            <w:r>
              <w:t>(a)(2) You must use any of the methods listed in paragraphs (a)(2)(</w:t>
            </w:r>
            <w:proofErr w:type="spellStart"/>
            <w:r>
              <w:t>i</w:t>
            </w:r>
            <w:proofErr w:type="spellEnd"/>
            <w:r>
              <w:t>) through (iv) of this section to control total organic HAP emissions from transfer of liquids containing Table 1 organic HAP to tank trucks or railcars. You are not required to comply with this paragraph (a)(2) if you have notified the Administrator in your initial notification that a material is reactive or resinous, and you will not be able to comply with any of the methods in paragraphs (a)(2)(</w:t>
            </w:r>
            <w:proofErr w:type="spellStart"/>
            <w:r>
              <w:t>i</w:t>
            </w:r>
            <w:proofErr w:type="spellEnd"/>
            <w:r>
              <w:t xml:space="preserve">) through (iv) of this section for the transfer of such material. </w:t>
            </w:r>
          </w:p>
          <w:p w14:paraId="3D04610E" w14:textId="77777777" w:rsidR="00124AB6" w:rsidRDefault="00124AB6" w:rsidP="004E3BFD"/>
          <w:p w14:paraId="6C0C3AB6" w14:textId="77777777" w:rsidR="00124AB6" w:rsidRDefault="00124AB6" w:rsidP="004E3BFD">
            <w:r>
              <w:t>(a)(2)(</w:t>
            </w:r>
            <w:proofErr w:type="spellStart"/>
            <w:r>
              <w:t>i</w:t>
            </w:r>
            <w:proofErr w:type="spellEnd"/>
            <w:r>
              <w:t xml:space="preserve">) Use submerged loading or bottom loading. </w:t>
            </w:r>
          </w:p>
          <w:p w14:paraId="2C355626" w14:textId="77777777" w:rsidR="00124AB6" w:rsidRDefault="00124AB6" w:rsidP="004E3BFD">
            <w:r>
              <w:t xml:space="preserve">(a)(2)(ii) Route emissions to a fuel gas system or process in accordance with § 63.982(d) of subpart SS. </w:t>
            </w:r>
          </w:p>
          <w:p w14:paraId="1536B75D" w14:textId="77777777" w:rsidR="00124AB6" w:rsidRDefault="00124AB6" w:rsidP="004E3BFD"/>
          <w:p w14:paraId="6F25302B" w14:textId="77777777" w:rsidR="00124AB6" w:rsidRDefault="00124AB6" w:rsidP="004E3BFD">
            <w:r>
              <w:t xml:space="preserve">(a)(2)(iii) Vapor balance back to the storage tank or another storage tank connected by a common header. </w:t>
            </w:r>
          </w:p>
          <w:p w14:paraId="00B5C31B" w14:textId="77777777" w:rsidR="00124AB6" w:rsidRDefault="00124AB6" w:rsidP="004E3BFD"/>
          <w:p w14:paraId="580AA26C" w14:textId="77777777" w:rsidR="00124AB6" w:rsidRDefault="00124AB6" w:rsidP="004E3BFD">
            <w:r>
              <w:t xml:space="preserve">(a)(2)(iv) Vent through a closed-vent system to a control device. </w:t>
            </w:r>
          </w:p>
          <w:p w14:paraId="2B05EB3E" w14:textId="77777777" w:rsidR="00124AB6" w:rsidRDefault="00124AB6" w:rsidP="004E3BFD"/>
          <w:p w14:paraId="1D1E7EF2" w14:textId="77777777" w:rsidR="00124AB6" w:rsidRDefault="00124AB6" w:rsidP="004E3BFD">
            <w:r>
              <w:t>(a)(3) You must conduct inspections of process vessels and equipment for each CMPU in organic HAP service or metal HAP service, as specified in paragraphs (a)(3)(</w:t>
            </w:r>
            <w:proofErr w:type="spellStart"/>
            <w:r>
              <w:t>i</w:t>
            </w:r>
            <w:proofErr w:type="spellEnd"/>
            <w:r>
              <w:t xml:space="preserve">) through (v) of this section, to demonstrate compliance with paragraph (a)(1) of this section and to determine that the process vessels and equipment are sound and free of leaks. Alternatively, except when the subject CMPU contains metal HAP as particulate, inspections may be conducted while the subject process vessels and equipment are in VOC service, </w:t>
            </w:r>
            <w:proofErr w:type="gramStart"/>
            <w:r>
              <w:t>provided that</w:t>
            </w:r>
            <w:proofErr w:type="gramEnd"/>
            <w:r>
              <w:t xml:space="preserve"> leaks can be detected when in VOC service. </w:t>
            </w:r>
          </w:p>
          <w:p w14:paraId="35F8C017" w14:textId="77777777" w:rsidR="00124AB6" w:rsidRDefault="00124AB6" w:rsidP="004E3BFD"/>
          <w:p w14:paraId="22EDF259" w14:textId="77777777" w:rsidR="00124AB6" w:rsidRDefault="00124AB6" w:rsidP="004E3BFD">
            <w:r>
              <w:t>(a)(3)(</w:t>
            </w:r>
            <w:proofErr w:type="spellStart"/>
            <w:r>
              <w:t>i</w:t>
            </w:r>
            <w:proofErr w:type="spellEnd"/>
            <w:r>
              <w:t xml:space="preserve">) Inspections must be conducted at least quarterly. </w:t>
            </w:r>
          </w:p>
          <w:p w14:paraId="1D76F875" w14:textId="77777777" w:rsidR="00124AB6" w:rsidRDefault="00124AB6" w:rsidP="004E3BFD"/>
          <w:p w14:paraId="782655DA" w14:textId="77777777" w:rsidR="00124AB6" w:rsidRDefault="00124AB6" w:rsidP="004E3BFD">
            <w:r>
              <w:t xml:space="preserve">(a)(3)(ii) For these inspections, detection methods incorporating sight, sound, or smell are acceptable. Indications of a leak identified using such methods constitute a leak unless you demonstrate that the indications of a leak are due to a condition other than loss of HAP. If indications of a leak are determined not to be HAP in one quarterly monitoring period, you must still perform the inspection and demonstration in the next quarterly monitoring period. </w:t>
            </w:r>
          </w:p>
          <w:p w14:paraId="71B8729F" w14:textId="77777777" w:rsidR="00124AB6" w:rsidRDefault="00124AB6" w:rsidP="004E3BFD"/>
          <w:p w14:paraId="4C12234A" w14:textId="77777777" w:rsidR="00124AB6" w:rsidRDefault="00124AB6" w:rsidP="004E3BFD">
            <w:r>
              <w:t xml:space="preserve">(a)(3)(iii) As an alternative to conducting inspections, as specified in paragraph (a)(3)(ii) of this section, you may use Method 21 of 40 CFR part 60, appendix A–7, with a leak definition of 500 </w:t>
            </w:r>
            <w:proofErr w:type="spellStart"/>
            <w:r>
              <w:t>ppmv</w:t>
            </w:r>
            <w:proofErr w:type="spellEnd"/>
            <w:r>
              <w:t xml:space="preserve"> to detect leaks. You may also use Method 21 with a leak definition of 500 </w:t>
            </w:r>
            <w:proofErr w:type="spellStart"/>
            <w:r>
              <w:t>ppmv</w:t>
            </w:r>
            <w:proofErr w:type="spellEnd"/>
            <w:r>
              <w:t xml:space="preserve"> to determine if indications of a leak identified during an inspection conducted in accordance with paragraph (a)(3)(ii) of this section are due to a condition other than loss of HAP. The procedures in this paragraph (a)(3)(iii) may not be used as an alternative to the inspection required by paragraph (a)(3)(ii) of this section for process vessels that contain metal HAP as particulate. </w:t>
            </w:r>
          </w:p>
          <w:p w14:paraId="6EE0AC84" w14:textId="77777777" w:rsidR="00124AB6" w:rsidRDefault="00124AB6" w:rsidP="004E3BFD"/>
          <w:p w14:paraId="3C472D9A" w14:textId="77777777" w:rsidR="00124AB6" w:rsidRDefault="00124AB6" w:rsidP="004E3BFD">
            <w:r>
              <w:t xml:space="preserve">(a)(3)(iv) Inspections must be conducted while the subject CMPU is operating. </w:t>
            </w:r>
          </w:p>
          <w:p w14:paraId="11AD4B48" w14:textId="77777777" w:rsidR="00124AB6" w:rsidRDefault="00124AB6" w:rsidP="004E3BFD"/>
          <w:p w14:paraId="402DD6EF" w14:textId="77777777" w:rsidR="00124AB6" w:rsidRDefault="00124AB6" w:rsidP="004E3BFD">
            <w:r>
              <w:t xml:space="preserve">(a)(3)(v) No inspection is required in a calendar quarter during which the subject CMPU does not operate for the entire calendar quarter and is not in organic HAP service or metal HAP service. If the CMPU operates at all during a calendar quarter, an inspection is required. </w:t>
            </w:r>
          </w:p>
          <w:p w14:paraId="399B5721" w14:textId="77777777" w:rsidR="00124AB6" w:rsidRDefault="00124AB6" w:rsidP="004E3BFD"/>
          <w:p w14:paraId="176A71B2" w14:textId="77777777" w:rsidR="00124AB6" w:rsidRDefault="00124AB6" w:rsidP="004E3BFD">
            <w:r>
              <w:t xml:space="preserve">(a)(4) You must repair any leak within 15 calendar days after detection of the </w:t>
            </w:r>
            <w:proofErr w:type="gramStart"/>
            <w:r>
              <w:t>leak, or</w:t>
            </w:r>
            <w:proofErr w:type="gramEnd"/>
            <w:r>
              <w:t xml:space="preserve"> document the reason for any delay of repair. For the purposes of this paragraph (a)(4), a leak will be considered “repaired” if a condition specified in paragraph (a)(4)(</w:t>
            </w:r>
            <w:proofErr w:type="spellStart"/>
            <w:r>
              <w:t>i</w:t>
            </w:r>
            <w:proofErr w:type="spellEnd"/>
            <w:r>
              <w:t xml:space="preserve">), (ii), or (iii) of this section is met. </w:t>
            </w:r>
          </w:p>
          <w:p w14:paraId="699871EF" w14:textId="77777777" w:rsidR="00124AB6" w:rsidRDefault="00124AB6" w:rsidP="004E3BFD"/>
          <w:p w14:paraId="1857C77A" w14:textId="77777777" w:rsidR="00124AB6" w:rsidRDefault="00124AB6" w:rsidP="004E3BFD">
            <w:r>
              <w:t>(a)(4)(</w:t>
            </w:r>
            <w:proofErr w:type="spellStart"/>
            <w:r>
              <w:t>i</w:t>
            </w:r>
            <w:proofErr w:type="spellEnd"/>
            <w:r>
              <w:t xml:space="preserve">) The visual, audible, olfactory, or other indications of a leak to the atmosphere have been eliminated, or </w:t>
            </w:r>
          </w:p>
          <w:p w14:paraId="7A8C4B23" w14:textId="77777777" w:rsidR="00124AB6" w:rsidRDefault="00124AB6" w:rsidP="004E3BFD"/>
          <w:p w14:paraId="732B8A47" w14:textId="77777777" w:rsidR="00124AB6" w:rsidRDefault="00124AB6" w:rsidP="004E3BFD">
            <w:r>
              <w:t xml:space="preserve">(a)(4)(ii) No bubbles are observed at potential leak sites during a leak check using soap solution, or </w:t>
            </w:r>
          </w:p>
          <w:p w14:paraId="6864BCB4" w14:textId="77777777" w:rsidR="00124AB6" w:rsidRDefault="00124AB6" w:rsidP="004E3BFD"/>
          <w:p w14:paraId="7BA8296B" w14:textId="77777777" w:rsidR="00124AB6" w:rsidRDefault="00124AB6" w:rsidP="004E3BFD">
            <w:r>
              <w:t xml:space="preserve">(a)(4)(iii) The system will hold a test pressure. </w:t>
            </w:r>
          </w:p>
          <w:p w14:paraId="7D49DA84" w14:textId="77777777" w:rsidR="00124AB6" w:rsidRDefault="00124AB6" w:rsidP="004E3BFD"/>
          <w:p w14:paraId="1550E27B" w14:textId="77777777" w:rsidR="00124AB6" w:rsidRDefault="00124AB6" w:rsidP="004E3BFD">
            <w:r>
              <w:t>(a)(5) You must keep records of the dates and results of each inspection event, the dates of equipment repairs, and, if applicable, the reasons for any delay in repair.</w:t>
            </w:r>
          </w:p>
          <w:p w14:paraId="5B0D4B25" w14:textId="77777777" w:rsidR="00124AB6" w:rsidRDefault="00124AB6" w:rsidP="004E3BFD"/>
          <w:p w14:paraId="2808A8B4" w14:textId="77777777" w:rsidR="00124AB6" w:rsidRDefault="00124AB6" w:rsidP="004E3BFD">
            <w:r>
              <w:t xml:space="preserve">(c) Startup, </w:t>
            </w:r>
            <w:proofErr w:type="gramStart"/>
            <w:r>
              <w:t>shutdown</w:t>
            </w:r>
            <w:proofErr w:type="gramEnd"/>
            <w:r>
              <w:t xml:space="preserve"> and malfunction.  Startup, shutdown, and malfunction (SSM) provisions in subparts that are referenced in paragraphs (a) and (b) of this section do not apply. </w:t>
            </w:r>
          </w:p>
          <w:p w14:paraId="6F3CC832" w14:textId="77777777" w:rsidR="00124AB6" w:rsidRDefault="00124AB6" w:rsidP="004E3BFD"/>
          <w:p w14:paraId="09D918F5" w14:textId="77777777" w:rsidR="00124AB6" w:rsidRPr="00F61457" w:rsidRDefault="00124AB6" w:rsidP="004E3BFD">
            <w:r>
              <w:t>(d) General duty.  At all times, you must operate and maintain any affected CMPU,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CMPU.</w:t>
            </w:r>
          </w:p>
        </w:tc>
      </w:tr>
      <w:tr w:rsidR="00124AB6" w:rsidRPr="004759D9" w14:paraId="3BF391F7"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val="0"/>
        </w:trPr>
        <w:tc>
          <w:tcPr>
            <w:tcW w:w="1368" w:type="dxa"/>
          </w:tcPr>
          <w:p w14:paraId="3D8D0840" w14:textId="77777777" w:rsidR="00124AB6" w:rsidRDefault="005D0F3E" w:rsidP="005D0F3E">
            <w:pPr>
              <w:pStyle w:val="CNum0"/>
              <w:numPr>
                <w:ilvl w:val="0"/>
                <w:numId w:val="0"/>
              </w:numPr>
            </w:pPr>
            <w:r>
              <w:t>C.7</w:t>
            </w:r>
          </w:p>
        </w:tc>
        <w:tc>
          <w:tcPr>
            <w:tcW w:w="9432" w:type="dxa"/>
          </w:tcPr>
          <w:p w14:paraId="66825724" w14:textId="77777777" w:rsidR="00124AB6" w:rsidRDefault="00124AB6" w:rsidP="004E3BFD">
            <w:r w:rsidRPr="001B6EC4">
              <w:rPr>
                <w:b/>
              </w:rPr>
              <w:t>Emission Unit ID:</w:t>
            </w:r>
            <w:r>
              <w:t xml:space="preserve"> 14</w:t>
            </w:r>
          </w:p>
          <w:p w14:paraId="3155DC64" w14:textId="77777777" w:rsidR="00124AB6" w:rsidRDefault="00124AB6" w:rsidP="004E3BFD">
            <w:r w:rsidRPr="009A00D8">
              <w:rPr>
                <w:b/>
              </w:rPr>
              <w:t>Equipment ID:</w:t>
            </w:r>
            <w:r w:rsidRPr="009A00D8">
              <w:t xml:space="preserve"> </w:t>
            </w:r>
            <w:r w:rsidRPr="004E6804">
              <w:rPr>
                <w:bCs/>
                <w:szCs w:val="18"/>
              </w:rPr>
              <w:t>R-10</w:t>
            </w:r>
            <w:r>
              <w:rPr>
                <w:bCs/>
                <w:szCs w:val="18"/>
              </w:rPr>
              <w:t xml:space="preserve">, </w:t>
            </w:r>
            <w:r w:rsidRPr="004E6804">
              <w:rPr>
                <w:bCs/>
                <w:szCs w:val="18"/>
              </w:rPr>
              <w:t>T-234</w:t>
            </w:r>
            <w:r>
              <w:rPr>
                <w:bCs/>
                <w:szCs w:val="18"/>
              </w:rPr>
              <w:t xml:space="preserve">, </w:t>
            </w:r>
            <w:r w:rsidRPr="004E6804">
              <w:rPr>
                <w:bCs/>
                <w:szCs w:val="18"/>
              </w:rPr>
              <w:t>T-501</w:t>
            </w:r>
            <w:r>
              <w:rPr>
                <w:bCs/>
                <w:szCs w:val="18"/>
              </w:rPr>
              <w:t>,</w:t>
            </w:r>
            <w:r w:rsidRPr="00534FD4">
              <w:rPr>
                <w:bCs/>
                <w:szCs w:val="18"/>
              </w:rPr>
              <w:t xml:space="preserve"> </w:t>
            </w:r>
            <w:r w:rsidRPr="00A75C58">
              <w:rPr>
                <w:bCs/>
                <w:szCs w:val="18"/>
              </w:rPr>
              <w:t>T-415</w:t>
            </w:r>
          </w:p>
          <w:p w14:paraId="45F4B9C6" w14:textId="77777777" w:rsidR="00124AB6" w:rsidRPr="009A00D8" w:rsidRDefault="00124AB6" w:rsidP="004E3BFD">
            <w:r w:rsidRPr="009A00D8">
              <w:rPr>
                <w:b/>
              </w:rPr>
              <w:t>Control Device ID:</w:t>
            </w:r>
            <w:r w:rsidRPr="009A00D8">
              <w:t xml:space="preserve"> </w:t>
            </w:r>
            <w:r>
              <w:t>TO-1</w:t>
            </w:r>
          </w:p>
          <w:p w14:paraId="5887CBC7" w14:textId="77777777" w:rsidR="00124AB6" w:rsidRDefault="00124AB6" w:rsidP="004E3BFD"/>
          <w:p w14:paraId="6CA16BE1" w14:textId="77777777" w:rsidR="00124AB6" w:rsidRDefault="00124AB6" w:rsidP="004E3BFD">
            <w:r>
              <w:t>40CFR</w:t>
            </w:r>
            <w:r w:rsidRPr="004759D9">
              <w:t>63.11496 What are the standards and compliance requirements for process vents?</w:t>
            </w:r>
          </w:p>
          <w:p w14:paraId="07B487BC" w14:textId="77777777" w:rsidR="00124AB6" w:rsidRDefault="00124AB6" w:rsidP="004E3BFD"/>
          <w:p w14:paraId="33C7E77A" w14:textId="77777777" w:rsidR="00124AB6" w:rsidRDefault="00124AB6" w:rsidP="004E3BFD">
            <w:r>
              <w:t>(a) Organic HAP emissions from batch process vents.  You must comply with the requirements in paragraphs (a)(1) through (4) of this section for organic HAP emissions from your batch process vents for each CMPU using Table 1 organic HAP. If uncontrolled organic HAP emissions from all batch process vents from a CMPU subject to this subpart are equal to or greater than 10,000 pounds per year (</w:t>
            </w:r>
            <w:proofErr w:type="spellStart"/>
            <w:r>
              <w:t>lb</w:t>
            </w:r>
            <w:proofErr w:type="spellEnd"/>
            <w:r>
              <w:t>/</w:t>
            </w:r>
            <w:proofErr w:type="spellStart"/>
            <w:r>
              <w:t>yr</w:t>
            </w:r>
            <w:proofErr w:type="spellEnd"/>
            <w:r>
              <w:t xml:space="preserve">), you must also comply with the emission limits and other requirements in Table 2 to this subpart. </w:t>
            </w:r>
          </w:p>
          <w:p w14:paraId="1708054B" w14:textId="77777777" w:rsidR="00124AB6" w:rsidRDefault="00124AB6" w:rsidP="004E3BFD"/>
          <w:p w14:paraId="29BFDD26" w14:textId="77777777" w:rsidR="00124AB6" w:rsidRDefault="00124AB6" w:rsidP="004E3BFD">
            <w:r>
              <w:t xml:space="preserve">(a)(1) You must determine the sum of actual organic HAP emissions from </w:t>
            </w:r>
            <w:proofErr w:type="gramStart"/>
            <w:r>
              <w:t>all of</w:t>
            </w:r>
            <w:proofErr w:type="gramEnd"/>
            <w:r>
              <w:t xml:space="preserve"> your batch process vents within a CMPU subject to this subpart using process knowledge, engineering assessment, or test data. Emissions for a standard batch in a process may be used to represent actual emissions from each batch in that process. You must maintain records of the calculations. Calculations of annual emissions are not required if you meet the emission standards for batch process vents in Table 2 to this subpart. </w:t>
            </w:r>
          </w:p>
          <w:p w14:paraId="4093B88C" w14:textId="77777777" w:rsidR="00124AB6" w:rsidRDefault="00124AB6" w:rsidP="004E3BFD"/>
          <w:p w14:paraId="7E1BA01B" w14:textId="77777777" w:rsidR="00124AB6" w:rsidRDefault="00124AB6" w:rsidP="004E3BFD">
            <w:r>
              <w:t xml:space="preserve">(a)(2) As an alternative to calculating actual emissions for each affected CMPU at your facility, you may elect to estimate emissions for each CMPU based on the emissions for the worst-case CMPU. The worst-case CMPU means the CMPU at the affected source with the highest organic HAP emissions per batch. The worst-case emissions per batch are used with the number of batches run for other affected CMPU. Process knowledge, engineering assessment, or test data may be used to identify the worst-case process. You must keep records of the information and procedures used to identify the worst-case process. </w:t>
            </w:r>
          </w:p>
          <w:p w14:paraId="04DA366E" w14:textId="77777777" w:rsidR="00124AB6" w:rsidRDefault="00124AB6" w:rsidP="004E3BFD"/>
          <w:p w14:paraId="4266CEEF" w14:textId="77777777" w:rsidR="00124AB6" w:rsidRDefault="00124AB6" w:rsidP="004E3BFD">
            <w:r>
              <w:t>(a)(3) If your current estimate is that emissions from batch process vents from a CMPU are less than 10,000 pounds per year (</w:t>
            </w:r>
            <w:proofErr w:type="spellStart"/>
            <w:r>
              <w:t>lb</w:t>
            </w:r>
            <w:proofErr w:type="spellEnd"/>
            <w:r>
              <w:t>/</w:t>
            </w:r>
            <w:proofErr w:type="spellStart"/>
            <w:r>
              <w:t>yr</w:t>
            </w:r>
            <w:proofErr w:type="spellEnd"/>
            <w:r>
              <w:t xml:space="preserve">), then you must keep a record of the number of batches of each process operated per month. Also, you must reevaluate your total emissions from batch process vents prior to making any process changes that affect emission calculations in paragraphs (a)(1) and (2) of this section. If projected emissions increase to 10,000 </w:t>
            </w:r>
            <w:proofErr w:type="spellStart"/>
            <w:r>
              <w:t>lb</w:t>
            </w:r>
            <w:proofErr w:type="spellEnd"/>
            <w:r>
              <w:t>/</w:t>
            </w:r>
            <w:proofErr w:type="spellStart"/>
            <w:r>
              <w:t>yr</w:t>
            </w:r>
            <w:proofErr w:type="spellEnd"/>
            <w:r>
              <w:t xml:space="preserve"> or more, you must </w:t>
            </w:r>
            <w:proofErr w:type="gramStart"/>
            <w:r>
              <w:t>be in compliance</w:t>
            </w:r>
            <w:proofErr w:type="gramEnd"/>
            <w:r>
              <w:t xml:space="preserve"> options for batch process vents in Table 2 to this subpart upon initiating operation under the new operating conditions. You must maintain records documenting the results of all updated emissions calculations. </w:t>
            </w:r>
          </w:p>
          <w:p w14:paraId="7D1D90C5" w14:textId="77777777" w:rsidR="00124AB6" w:rsidRDefault="00124AB6" w:rsidP="004E3BFD"/>
          <w:p w14:paraId="7247CF9F" w14:textId="77777777" w:rsidR="00124AB6" w:rsidRDefault="00124AB6" w:rsidP="004E3BFD">
            <w:r>
              <w:t xml:space="preserve">(a)(4) As an alternative to determining the HAP emissions, you may elect to demonstrate that the amount of organic HAP used in the process is less than 10,000 </w:t>
            </w:r>
            <w:proofErr w:type="spellStart"/>
            <w:r>
              <w:t>lb</w:t>
            </w:r>
            <w:proofErr w:type="spellEnd"/>
            <w:r>
              <w:t>/yr. You must keep monthly records of the organic HAP usage.</w:t>
            </w:r>
          </w:p>
          <w:p w14:paraId="47F502EB" w14:textId="77777777" w:rsidR="00124AB6" w:rsidRDefault="00124AB6" w:rsidP="004E3BFD"/>
          <w:p w14:paraId="1D7DCA77" w14:textId="77777777" w:rsidR="00124AB6" w:rsidRDefault="00124AB6" w:rsidP="004E3BFD">
            <w:r>
              <w:t xml:space="preserve">(g) Exceptions and alternatives to 40 CFR part 63, subpart SS.  If you are complying with the emission limits and other requirements for continuous process vents in Table 3 to this subpart, the provisions in paragraphs (g)(1) through (7) and (9) of this section apply in addition to the provisions in 40 CFR part 63, subpart SS. If you are complying with the emission limits and other requirements for batch process vents in Table 2 to this subpart, the provisions in paragraphs (g)(1) through (8) of this section apply in addition to the provisions in subpart SS. </w:t>
            </w:r>
          </w:p>
          <w:p w14:paraId="7DCCE994" w14:textId="77777777" w:rsidR="00124AB6" w:rsidRDefault="00124AB6" w:rsidP="004E3BFD"/>
          <w:p w14:paraId="3929D55E" w14:textId="77777777" w:rsidR="00124AB6" w:rsidRDefault="00124AB6" w:rsidP="004E3BFD">
            <w:r>
              <w:t xml:space="preserve">(g)(1) Requirements for performance tests. </w:t>
            </w:r>
          </w:p>
          <w:p w14:paraId="14EB41B4" w14:textId="77777777" w:rsidR="00124AB6" w:rsidRDefault="00124AB6" w:rsidP="004E3BFD"/>
          <w:p w14:paraId="204465F7" w14:textId="77777777" w:rsidR="00124AB6" w:rsidRDefault="00124AB6" w:rsidP="004E3BFD">
            <w:r>
              <w:t>(g)(1)(</w:t>
            </w:r>
            <w:proofErr w:type="spellStart"/>
            <w:r>
              <w:t>i</w:t>
            </w:r>
            <w:proofErr w:type="spellEnd"/>
            <w:r>
              <w:t xml:space="preserve">) The requirements specified in § 63.2450(g)(1) through (4) apply instead of, or in addition to, the requirements specified in 40 CFR part 63, subpart SS. </w:t>
            </w:r>
          </w:p>
          <w:p w14:paraId="7B088AD2" w14:textId="77777777" w:rsidR="00124AB6" w:rsidRDefault="00124AB6" w:rsidP="004E3BFD"/>
          <w:p w14:paraId="11C28F2E" w14:textId="77777777" w:rsidR="00124AB6" w:rsidRDefault="00124AB6" w:rsidP="004E3BFD">
            <w:r>
              <w:t xml:space="preserve">(g)(1)(ii) Upon request, you shall make available to the Administrator, such records as may be necessary to determine the conditions of performance tests. </w:t>
            </w:r>
          </w:p>
          <w:p w14:paraId="6FFB98F9" w14:textId="77777777" w:rsidR="00124AB6" w:rsidRDefault="00124AB6" w:rsidP="004E3BFD"/>
          <w:p w14:paraId="22286A51" w14:textId="77777777" w:rsidR="00124AB6" w:rsidRDefault="00124AB6" w:rsidP="004E3BFD">
            <w:r>
              <w:t>(g)(2) Design evaluation.  To determine initial compliance with a percent reduction or outlet concentration emission limit, you may elect to conduct a design evaluation as specified in § 63.1257(a)(1) instead of a performance test as specified in subpart SS of this part 63. You must establish the value(s) and basis for the operating limits as part of the design evaluation. For continuous process vents, the design evaluation must be conducted at maximum representative operating conditions for the process, unless the Administrator specifies or approves alternate operating conditions. For batch process vents, the design evaluation must be conducted under worst-case conditions, as specified in § 63.2460(c)(2).</w:t>
            </w:r>
          </w:p>
          <w:p w14:paraId="03836199" w14:textId="77777777" w:rsidR="00124AB6" w:rsidRDefault="00124AB6" w:rsidP="004E3BFD"/>
          <w:p w14:paraId="6243D896" w14:textId="77777777" w:rsidR="00124AB6" w:rsidRDefault="00124AB6" w:rsidP="004E3BFD">
            <w:r>
              <w:t>(g)(5) Startup, shutdown, malfunction (SSM).  Sections 63.996(c)(2)(ii) and 63.998(b)(2)(iii), (b)(6)(</w:t>
            </w:r>
            <w:proofErr w:type="spellStart"/>
            <w:r>
              <w:t>i</w:t>
            </w:r>
            <w:proofErr w:type="spellEnd"/>
            <w:r>
              <w:t xml:space="preserve">)(A), (c)(1)(ii)(E) and (d)(3) do not apply for the purposes of this subpart. </w:t>
            </w:r>
          </w:p>
          <w:p w14:paraId="5FD8E08F" w14:textId="77777777" w:rsidR="00124AB6" w:rsidRDefault="00124AB6" w:rsidP="004E3BFD"/>
          <w:p w14:paraId="1E2BC7A3" w14:textId="77777777" w:rsidR="00124AB6" w:rsidRDefault="00124AB6" w:rsidP="004E3BFD">
            <w:r>
              <w:t>(g)(6) Excused excursions.  Excused excursions, as defined in subpart SS of this part 63, are not allowed.</w:t>
            </w:r>
          </w:p>
          <w:p w14:paraId="10966B18" w14:textId="77777777" w:rsidR="00124AB6" w:rsidRDefault="00124AB6" w:rsidP="004E3BFD"/>
          <w:p w14:paraId="75973801" w14:textId="77777777" w:rsidR="00124AB6" w:rsidRDefault="00124AB6" w:rsidP="004E3BFD">
            <w:r>
              <w:t>(g)(8) Additional requirements for batch process vents.  The provisions specified in § 63.2460(c) apply in addition to the provisions in subpart SS of this part 63, except as specified in paragraphs (g)(8)(</w:t>
            </w:r>
            <w:proofErr w:type="spellStart"/>
            <w:r>
              <w:t>i</w:t>
            </w:r>
            <w:proofErr w:type="spellEnd"/>
            <w:r>
              <w:t xml:space="preserve">) through (iii) of this section. </w:t>
            </w:r>
          </w:p>
          <w:p w14:paraId="454C78B9" w14:textId="77777777" w:rsidR="00124AB6" w:rsidRDefault="00124AB6" w:rsidP="004E3BFD"/>
          <w:p w14:paraId="21C01C83" w14:textId="77777777" w:rsidR="00124AB6" w:rsidRDefault="00124AB6" w:rsidP="004E3BFD">
            <w:r>
              <w:t>(g)(8)(</w:t>
            </w:r>
            <w:proofErr w:type="spellStart"/>
            <w:r>
              <w:t>i</w:t>
            </w:r>
            <w:proofErr w:type="spellEnd"/>
            <w:r>
              <w:t xml:space="preserve">) References to emission limits in Table 2 to subpart FFFF mean the emission limits in Table 2 to this subpart. </w:t>
            </w:r>
          </w:p>
          <w:p w14:paraId="6212961E" w14:textId="77777777" w:rsidR="00124AB6" w:rsidRDefault="00124AB6" w:rsidP="004E3BFD"/>
          <w:p w14:paraId="7E15F681" w14:textId="77777777" w:rsidR="00124AB6" w:rsidRDefault="00124AB6" w:rsidP="004E3BFD">
            <w:r>
              <w:t xml:space="preserve">(g)(8)(ii) References to MCPU mean CMPU for purposes of this subpart. </w:t>
            </w:r>
          </w:p>
          <w:p w14:paraId="2B9EAB80" w14:textId="77777777" w:rsidR="00124AB6" w:rsidRDefault="00124AB6" w:rsidP="004E3BFD">
            <w:r>
              <w:t>(g)(8)(iii) Section 63.2460(c)(8) does not apply for the purposes of this subpart.</w:t>
            </w:r>
          </w:p>
          <w:p w14:paraId="01261210" w14:textId="77777777" w:rsidR="00124AB6" w:rsidRDefault="00124AB6" w:rsidP="004E3BFD"/>
          <w:p w14:paraId="2C8FAB02" w14:textId="77777777" w:rsidR="00124AB6" w:rsidRDefault="00124AB6" w:rsidP="004E3BFD">
            <w:r>
              <w:t xml:space="preserve">(g)(9) Parameter monitoring averaging periods.  Daily averages required in § 63.998(b)(3) </w:t>
            </w:r>
            <w:proofErr w:type="gramStart"/>
            <w:r>
              <w:t>apply at all times</w:t>
            </w:r>
            <w:proofErr w:type="gramEnd"/>
            <w:r>
              <w:t xml:space="preserve"> except during startup and shutdown. Separate averages shall be determined for each period of startup and period of shutdown. </w:t>
            </w:r>
          </w:p>
          <w:p w14:paraId="1EA0323D" w14:textId="77777777" w:rsidR="00124AB6" w:rsidRDefault="00124AB6" w:rsidP="004E3BFD"/>
          <w:p w14:paraId="02B40A38" w14:textId="77777777" w:rsidR="00124AB6" w:rsidRDefault="00124AB6" w:rsidP="004E3BFD">
            <w:r>
              <w:t xml:space="preserve">(h) Surge control vessels and bottoms receivers.  For each surge control vessel and bottoms receiver that meets the applicability criteria for storage tanks specified in Table 5 to this subpart, you must meet the emission limits and control requirements specified in Table 5 to this subpart. </w:t>
            </w:r>
          </w:p>
          <w:p w14:paraId="4FF8BD14" w14:textId="77777777" w:rsidR="00124AB6" w:rsidRDefault="00124AB6" w:rsidP="004E3BFD"/>
          <w:p w14:paraId="147A8957" w14:textId="77777777" w:rsidR="00124AB6" w:rsidRPr="004759D9" w:rsidRDefault="00124AB6" w:rsidP="004E3BFD">
            <w:r>
              <w:t>(</w:t>
            </w:r>
            <w:proofErr w:type="spellStart"/>
            <w:r>
              <w:t>i</w:t>
            </w:r>
            <w:proofErr w:type="spellEnd"/>
            <w:r>
              <w:t>) Startup, shutdown, and malfunction (SSM).  References to SSM provisions in subparts that are referenced in paragraphs (a) through (h) of this section or Tables 2 through 5 to this subpart do not apply.</w:t>
            </w:r>
          </w:p>
        </w:tc>
      </w:tr>
      <w:tr w:rsidR="00124AB6" w:rsidRPr="004759D9" w14:paraId="2710DDAD"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Pr>
          <w:p w14:paraId="0A3395E3" w14:textId="77777777" w:rsidR="00124AB6" w:rsidRDefault="005D0F3E" w:rsidP="005D0F3E">
            <w:pPr>
              <w:pStyle w:val="CNum0"/>
              <w:numPr>
                <w:ilvl w:val="0"/>
                <w:numId w:val="0"/>
              </w:numPr>
            </w:pPr>
            <w:r>
              <w:t>C.8</w:t>
            </w:r>
          </w:p>
        </w:tc>
        <w:tc>
          <w:tcPr>
            <w:tcW w:w="9432" w:type="dxa"/>
          </w:tcPr>
          <w:p w14:paraId="7809E12E" w14:textId="77777777" w:rsidR="00124AB6" w:rsidRDefault="00124AB6" w:rsidP="004E3BFD">
            <w:r w:rsidRPr="001B6EC4">
              <w:rPr>
                <w:b/>
              </w:rPr>
              <w:t>Emission Unit ID:</w:t>
            </w:r>
            <w:r>
              <w:t xml:space="preserve"> 14</w:t>
            </w:r>
          </w:p>
          <w:p w14:paraId="2E109900" w14:textId="77777777" w:rsidR="00124AB6" w:rsidRDefault="00124AB6" w:rsidP="004E3BFD">
            <w:r w:rsidRPr="009A00D8">
              <w:rPr>
                <w:b/>
              </w:rPr>
              <w:t>Equipment ID:</w:t>
            </w:r>
            <w:r w:rsidRPr="009A00D8">
              <w:t xml:space="preserve"> </w:t>
            </w:r>
            <w:r w:rsidRPr="004E6804">
              <w:rPr>
                <w:bCs/>
                <w:szCs w:val="18"/>
              </w:rPr>
              <w:t>R-10</w:t>
            </w:r>
            <w:r>
              <w:rPr>
                <w:bCs/>
                <w:szCs w:val="18"/>
              </w:rPr>
              <w:t xml:space="preserve">, </w:t>
            </w:r>
            <w:r w:rsidRPr="004E6804">
              <w:rPr>
                <w:bCs/>
                <w:szCs w:val="18"/>
              </w:rPr>
              <w:t>T-234</w:t>
            </w:r>
            <w:r>
              <w:rPr>
                <w:bCs/>
                <w:szCs w:val="18"/>
              </w:rPr>
              <w:t xml:space="preserve">, </w:t>
            </w:r>
            <w:r w:rsidRPr="004E6804">
              <w:rPr>
                <w:bCs/>
                <w:szCs w:val="18"/>
              </w:rPr>
              <w:t>T-501</w:t>
            </w:r>
            <w:r>
              <w:rPr>
                <w:bCs/>
                <w:szCs w:val="18"/>
              </w:rPr>
              <w:t>,</w:t>
            </w:r>
            <w:r w:rsidRPr="00534FD4">
              <w:rPr>
                <w:bCs/>
                <w:szCs w:val="18"/>
              </w:rPr>
              <w:t xml:space="preserve"> </w:t>
            </w:r>
            <w:r w:rsidRPr="00A75C58">
              <w:rPr>
                <w:bCs/>
                <w:szCs w:val="18"/>
              </w:rPr>
              <w:t>T-415</w:t>
            </w:r>
          </w:p>
          <w:p w14:paraId="4DCA4F12" w14:textId="77777777" w:rsidR="00124AB6" w:rsidRPr="009A00D8" w:rsidRDefault="00124AB6" w:rsidP="004E3BFD">
            <w:r w:rsidRPr="009A00D8">
              <w:rPr>
                <w:b/>
              </w:rPr>
              <w:t>Control Device ID:</w:t>
            </w:r>
            <w:r w:rsidRPr="009A00D8">
              <w:t xml:space="preserve"> </w:t>
            </w:r>
            <w:r>
              <w:t>TO-1</w:t>
            </w:r>
          </w:p>
          <w:p w14:paraId="6548369C" w14:textId="77777777" w:rsidR="00124AB6" w:rsidRDefault="00124AB6" w:rsidP="004E3BFD"/>
          <w:p w14:paraId="1E63ED0B" w14:textId="77777777" w:rsidR="00124AB6" w:rsidRDefault="00124AB6" w:rsidP="004E3BFD">
            <w:r>
              <w:t>40CFR63.11497 What are the standards and compliance requirements for storage tanks?</w:t>
            </w:r>
          </w:p>
          <w:p w14:paraId="7A8987D3" w14:textId="77777777" w:rsidR="00124AB6" w:rsidRDefault="00124AB6" w:rsidP="004E3BFD"/>
          <w:p w14:paraId="092C98C6" w14:textId="77777777" w:rsidR="00124AB6" w:rsidRDefault="00124AB6" w:rsidP="004E3BFD">
            <w:r>
              <w:t xml:space="preserve">(a) You must comply with the emission limits and other requirements in Table 5 to this subpart and in paragraph (b) of this section for organic HAP emissions from each of your storage tanks that meet the applicability criteria in Table 5 to this subpart. </w:t>
            </w:r>
          </w:p>
          <w:p w14:paraId="0EEDA5CC" w14:textId="77777777" w:rsidR="00124AB6" w:rsidRDefault="00124AB6" w:rsidP="004E3BFD"/>
          <w:p w14:paraId="4DFE299F" w14:textId="77777777" w:rsidR="00124AB6" w:rsidRDefault="00124AB6" w:rsidP="004E3BFD">
            <w:r>
              <w:t xml:space="preserve">(b) Planned routine maintenance for a control device.  Operate in accordance with paragraphs (b)(1) through (3) of this section for periods of planned routine maintenance of a control device for storage tanks. </w:t>
            </w:r>
          </w:p>
          <w:p w14:paraId="2A8FA08A" w14:textId="77777777" w:rsidR="00124AB6" w:rsidRDefault="00124AB6" w:rsidP="004E3BFD"/>
          <w:p w14:paraId="630E9790" w14:textId="77777777" w:rsidR="00124AB6" w:rsidRDefault="00124AB6" w:rsidP="004E3BFD">
            <w:r>
              <w:t xml:space="preserve">(b)(1) Add no material to the storage tank during periods of planned routine maintenance. </w:t>
            </w:r>
          </w:p>
          <w:p w14:paraId="41D94974" w14:textId="77777777" w:rsidR="00124AB6" w:rsidRDefault="00124AB6" w:rsidP="004E3BFD"/>
          <w:p w14:paraId="47E3AE53" w14:textId="77777777" w:rsidR="00124AB6" w:rsidRDefault="00124AB6" w:rsidP="004E3BFD">
            <w:r>
              <w:t>(b)(2) Limit periods of planned routine maintenance for each control device (or series of control devices) to no more than 240 hours per year (</w:t>
            </w:r>
            <w:proofErr w:type="spellStart"/>
            <w:r>
              <w:t>hr</w:t>
            </w:r>
            <w:proofErr w:type="spellEnd"/>
            <w:r>
              <w:t>/</w:t>
            </w:r>
            <w:proofErr w:type="spellStart"/>
            <w:r>
              <w:t>yr</w:t>
            </w:r>
            <w:proofErr w:type="spellEnd"/>
            <w:r>
              <w:t xml:space="preserve">), or </w:t>
            </w:r>
            <w:proofErr w:type="gramStart"/>
            <w:r>
              <w:t>submit an application</w:t>
            </w:r>
            <w:proofErr w:type="gramEnd"/>
            <w:r>
              <w:t xml:space="preserve"> to the Administrator requesting an extension of this time limit to a total of 360 </w:t>
            </w:r>
            <w:proofErr w:type="spellStart"/>
            <w:r>
              <w:t>hr</w:t>
            </w:r>
            <w:proofErr w:type="spellEnd"/>
            <w:r>
              <w:t xml:space="preserve">/yr. The application must explain why the extension is needed and it must be submitted at least 60 days before the 240-hour limit will be exceeded. </w:t>
            </w:r>
          </w:p>
          <w:p w14:paraId="04A36F10" w14:textId="77777777" w:rsidR="00124AB6" w:rsidRDefault="00124AB6" w:rsidP="004E3BFD"/>
          <w:p w14:paraId="0CE8622D" w14:textId="77777777" w:rsidR="00124AB6" w:rsidRDefault="00124AB6" w:rsidP="004E3BFD">
            <w:r>
              <w:t xml:space="preserve">(b)(3) Keep records of the day and time at which planned routine maintenance periods begin and </w:t>
            </w:r>
            <w:proofErr w:type="gramStart"/>
            <w:r>
              <w:t>end, and</w:t>
            </w:r>
            <w:proofErr w:type="gramEnd"/>
            <w:r>
              <w:t xml:space="preserve"> keep a record of the type of maintenance performed. </w:t>
            </w:r>
          </w:p>
          <w:p w14:paraId="4A0B1603" w14:textId="77777777" w:rsidR="00124AB6" w:rsidRDefault="00124AB6" w:rsidP="004E3BFD"/>
          <w:p w14:paraId="26585DBD" w14:textId="77777777" w:rsidR="00124AB6" w:rsidRPr="004759D9" w:rsidRDefault="00124AB6" w:rsidP="004E3BFD">
            <w:r>
              <w:t>(c) References to SSM provisions in subparts that are referenced in paragraphs (a) or (b) of this section or Table 5 to this subpart do not apply.</w:t>
            </w:r>
          </w:p>
        </w:tc>
      </w:tr>
      <w:tr w:rsidR="00124AB6" w14:paraId="0394971B"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Pr>
          <w:p w14:paraId="4D14EA4C" w14:textId="77777777" w:rsidR="00124AB6" w:rsidRDefault="005D0F3E" w:rsidP="005D0F3E">
            <w:pPr>
              <w:pStyle w:val="CNum0"/>
              <w:numPr>
                <w:ilvl w:val="0"/>
                <w:numId w:val="0"/>
              </w:numPr>
            </w:pPr>
            <w:r>
              <w:t>C.9</w:t>
            </w:r>
          </w:p>
        </w:tc>
        <w:tc>
          <w:tcPr>
            <w:tcW w:w="9432" w:type="dxa"/>
          </w:tcPr>
          <w:p w14:paraId="366D4525" w14:textId="77777777" w:rsidR="00124AB6" w:rsidRDefault="00124AB6" w:rsidP="004E3BFD">
            <w:r w:rsidRPr="001B6EC4">
              <w:rPr>
                <w:b/>
              </w:rPr>
              <w:t>Emission Unit ID:</w:t>
            </w:r>
            <w:r>
              <w:t xml:space="preserve"> 14</w:t>
            </w:r>
          </w:p>
          <w:p w14:paraId="190266A0" w14:textId="77777777" w:rsidR="00124AB6" w:rsidRDefault="00124AB6" w:rsidP="004E3BFD">
            <w:r w:rsidRPr="009A00D8">
              <w:rPr>
                <w:b/>
              </w:rPr>
              <w:t>Equipment ID:</w:t>
            </w:r>
            <w:r w:rsidRPr="009A00D8">
              <w:t xml:space="preserve"> </w:t>
            </w:r>
            <w:r w:rsidRPr="004E6804">
              <w:rPr>
                <w:bCs/>
                <w:szCs w:val="18"/>
              </w:rPr>
              <w:t>R-10</w:t>
            </w:r>
            <w:r>
              <w:rPr>
                <w:bCs/>
                <w:szCs w:val="18"/>
              </w:rPr>
              <w:t xml:space="preserve">, </w:t>
            </w:r>
            <w:r w:rsidRPr="004E6804">
              <w:rPr>
                <w:bCs/>
                <w:szCs w:val="18"/>
              </w:rPr>
              <w:t>T-234</w:t>
            </w:r>
            <w:r>
              <w:rPr>
                <w:bCs/>
                <w:szCs w:val="18"/>
              </w:rPr>
              <w:t xml:space="preserve">, </w:t>
            </w:r>
            <w:r w:rsidRPr="004E6804">
              <w:rPr>
                <w:bCs/>
                <w:szCs w:val="18"/>
              </w:rPr>
              <w:t>T-501</w:t>
            </w:r>
            <w:r>
              <w:rPr>
                <w:bCs/>
                <w:szCs w:val="18"/>
              </w:rPr>
              <w:t>,</w:t>
            </w:r>
            <w:r w:rsidRPr="00534FD4">
              <w:rPr>
                <w:bCs/>
                <w:szCs w:val="18"/>
              </w:rPr>
              <w:t xml:space="preserve"> </w:t>
            </w:r>
            <w:r w:rsidRPr="00A75C58">
              <w:rPr>
                <w:bCs/>
                <w:szCs w:val="18"/>
              </w:rPr>
              <w:t>T-415</w:t>
            </w:r>
          </w:p>
          <w:p w14:paraId="0C27B4DC" w14:textId="77777777" w:rsidR="00124AB6" w:rsidRPr="009A00D8" w:rsidRDefault="00124AB6" w:rsidP="004E3BFD">
            <w:r w:rsidRPr="009A00D8">
              <w:rPr>
                <w:b/>
              </w:rPr>
              <w:t>Control Device ID:</w:t>
            </w:r>
            <w:r w:rsidRPr="009A00D8">
              <w:t xml:space="preserve"> </w:t>
            </w:r>
            <w:r>
              <w:t>TO-1</w:t>
            </w:r>
          </w:p>
          <w:p w14:paraId="6A522041" w14:textId="77777777" w:rsidR="00124AB6" w:rsidRDefault="00124AB6" w:rsidP="004E3BFD"/>
          <w:p w14:paraId="6BAC50A0" w14:textId="77777777" w:rsidR="00124AB6" w:rsidRDefault="00124AB6" w:rsidP="004E3BFD">
            <w:r>
              <w:t>40CFR</w:t>
            </w:r>
            <w:r w:rsidRPr="004759D9">
              <w:t>63.11498 What are the standards and compliance requirements for wastewater systems?</w:t>
            </w:r>
          </w:p>
          <w:p w14:paraId="4C9E035C" w14:textId="77777777" w:rsidR="00124AB6" w:rsidRDefault="00124AB6" w:rsidP="004E3BFD"/>
          <w:p w14:paraId="64F3B65D" w14:textId="77777777" w:rsidR="00124AB6" w:rsidRDefault="00124AB6" w:rsidP="004E3BFD">
            <w:r>
              <w:t>(a) You must comply with the requirements in paragraph (a)(1) and (a)(2) of this section and in Table 6, Item 1 to this subpart for all wastewater streams from a CMPU subject to this subpart. If the partially soluble HAP concentration in a wastewater stream is equal to or greater than 10,000 parts per million by weight (</w:t>
            </w:r>
            <w:proofErr w:type="spellStart"/>
            <w:r>
              <w:t>ppmw</w:t>
            </w:r>
            <w:proofErr w:type="spellEnd"/>
            <w:r>
              <w:t xml:space="preserve">) and the wastewater stream contains a separate organic phase, then you must also comply with Table 6, Item 2 to this subpart for that wastewater stream. Partially soluble HAP are listed in Table 7 to this subpart. </w:t>
            </w:r>
          </w:p>
          <w:p w14:paraId="74A7F4BC" w14:textId="77777777" w:rsidR="00124AB6" w:rsidRDefault="00124AB6" w:rsidP="004E3BFD"/>
          <w:p w14:paraId="6A64C02A" w14:textId="77777777" w:rsidR="00124AB6" w:rsidRDefault="00124AB6" w:rsidP="004E3BFD">
            <w:r>
              <w:t xml:space="preserve">(a)(1) Except as specified in paragraph (a)(2) of this section, you must determine the total concentration of partially soluble HAP in each wastewater stream using process knowledge, engineering assessment, or test data. Also, you must reevaluate the concentration of partially soluble HAP if you make any process or operational change that affects the concentration of partially soluble HAP in a wastewater stream. </w:t>
            </w:r>
          </w:p>
          <w:p w14:paraId="362CEC71" w14:textId="77777777" w:rsidR="00124AB6" w:rsidRDefault="00124AB6" w:rsidP="004E3BFD"/>
          <w:p w14:paraId="74777514" w14:textId="77777777" w:rsidR="00124AB6" w:rsidRDefault="00124AB6" w:rsidP="004E3BFD">
            <w:r>
              <w:t xml:space="preserve">(a)(2) You are not required to determine the partially soluble concentration in wastewater that is hard piped to a combustion unit or hazardous waste treatment unit, as specified in Table 6, Item 2.b to this subpart. </w:t>
            </w:r>
          </w:p>
          <w:p w14:paraId="25D36BCA" w14:textId="77777777" w:rsidR="00124AB6" w:rsidRDefault="00124AB6" w:rsidP="004E3BFD"/>
          <w:p w14:paraId="3ADAF109" w14:textId="77777777" w:rsidR="00124AB6" w:rsidRDefault="00124AB6" w:rsidP="004E3BFD">
            <w:r>
              <w:t xml:space="preserve">(a)(3) Separated organic material that is recycled to a process is no longer wastewater and no longer subject to the wastewater requirements after it has been recycled. </w:t>
            </w:r>
          </w:p>
          <w:p w14:paraId="7C5DB923" w14:textId="77777777" w:rsidR="00124AB6" w:rsidRDefault="00124AB6" w:rsidP="004E3BFD"/>
          <w:p w14:paraId="32946FDF" w14:textId="77777777" w:rsidR="00124AB6" w:rsidRDefault="00124AB6" w:rsidP="004E3BFD">
            <w:r>
              <w:t>(b) The requirements in Item 2 of Table 6 to this subpart do not apply during periods of startup or shutdown. References to SSM provisions in subparts that are referenced in paragraph (a) of this section or Table 6 to this subpart do not apply.</w:t>
            </w:r>
          </w:p>
        </w:tc>
      </w:tr>
      <w:tr w:rsidR="00124AB6" w:rsidRPr="004759D9" w14:paraId="606968B2" w14:textId="77777777" w:rsidTr="00124A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val="0"/>
        </w:trPr>
        <w:tc>
          <w:tcPr>
            <w:tcW w:w="1368" w:type="dxa"/>
          </w:tcPr>
          <w:p w14:paraId="76759928" w14:textId="77777777" w:rsidR="00124AB6" w:rsidRDefault="005D0F3E" w:rsidP="005D0F3E">
            <w:pPr>
              <w:pStyle w:val="CNum0"/>
              <w:numPr>
                <w:ilvl w:val="0"/>
                <w:numId w:val="0"/>
              </w:numPr>
            </w:pPr>
            <w:r>
              <w:t>C.10</w:t>
            </w:r>
          </w:p>
        </w:tc>
        <w:tc>
          <w:tcPr>
            <w:tcW w:w="9432" w:type="dxa"/>
          </w:tcPr>
          <w:p w14:paraId="18819622" w14:textId="77777777" w:rsidR="00124AB6" w:rsidRDefault="00124AB6" w:rsidP="004E3BFD">
            <w:r w:rsidRPr="001B6EC4">
              <w:rPr>
                <w:b/>
              </w:rPr>
              <w:t>Emission Unit ID:</w:t>
            </w:r>
            <w:r>
              <w:t xml:space="preserve"> 14</w:t>
            </w:r>
          </w:p>
          <w:p w14:paraId="3E6960E8" w14:textId="77777777" w:rsidR="00124AB6" w:rsidRDefault="00124AB6" w:rsidP="004E3BFD">
            <w:r w:rsidRPr="009A00D8">
              <w:rPr>
                <w:b/>
              </w:rPr>
              <w:t>Equipment ID:</w:t>
            </w:r>
            <w:r w:rsidRPr="009A00D8">
              <w:t xml:space="preserve"> </w:t>
            </w:r>
            <w:r w:rsidRPr="004E6804">
              <w:rPr>
                <w:bCs/>
                <w:szCs w:val="18"/>
              </w:rPr>
              <w:t>R-10</w:t>
            </w:r>
            <w:r>
              <w:rPr>
                <w:bCs/>
                <w:szCs w:val="18"/>
              </w:rPr>
              <w:t xml:space="preserve">, </w:t>
            </w:r>
            <w:r w:rsidRPr="004E6804">
              <w:rPr>
                <w:bCs/>
                <w:szCs w:val="18"/>
              </w:rPr>
              <w:t>T-234</w:t>
            </w:r>
            <w:r>
              <w:rPr>
                <w:bCs/>
                <w:szCs w:val="18"/>
              </w:rPr>
              <w:t xml:space="preserve">, </w:t>
            </w:r>
            <w:r w:rsidRPr="004E6804">
              <w:rPr>
                <w:bCs/>
                <w:szCs w:val="18"/>
              </w:rPr>
              <w:t>T-501</w:t>
            </w:r>
            <w:r>
              <w:rPr>
                <w:bCs/>
                <w:szCs w:val="18"/>
              </w:rPr>
              <w:t>,</w:t>
            </w:r>
            <w:r w:rsidRPr="00534FD4">
              <w:rPr>
                <w:bCs/>
                <w:szCs w:val="18"/>
              </w:rPr>
              <w:t xml:space="preserve"> </w:t>
            </w:r>
            <w:r w:rsidRPr="00A75C58">
              <w:rPr>
                <w:bCs/>
                <w:szCs w:val="18"/>
              </w:rPr>
              <w:t>T-415</w:t>
            </w:r>
          </w:p>
          <w:p w14:paraId="6BB773DA" w14:textId="77777777" w:rsidR="00124AB6" w:rsidRPr="009A00D8" w:rsidRDefault="00124AB6" w:rsidP="004E3BFD">
            <w:r w:rsidRPr="009A00D8">
              <w:rPr>
                <w:b/>
              </w:rPr>
              <w:t>Control Device ID:</w:t>
            </w:r>
            <w:r w:rsidRPr="009A00D8">
              <w:t xml:space="preserve"> </w:t>
            </w:r>
            <w:r>
              <w:t>TO-1</w:t>
            </w:r>
          </w:p>
          <w:p w14:paraId="77E46EA6" w14:textId="77777777" w:rsidR="00124AB6" w:rsidRDefault="00124AB6" w:rsidP="004E3BFD"/>
          <w:p w14:paraId="1175CB45" w14:textId="77777777" w:rsidR="00124AB6" w:rsidRDefault="00124AB6" w:rsidP="004E3BFD">
            <w:r>
              <w:t>40CFR</w:t>
            </w:r>
            <w:r w:rsidRPr="004759D9">
              <w:t>63.11501 What are the notification, recordkeeping, and reporting requirements, and how may I assert an affirmative defense for violation of emission standards during malfunction?</w:t>
            </w:r>
          </w:p>
          <w:p w14:paraId="6F03DE5F" w14:textId="77777777" w:rsidR="00124AB6" w:rsidRDefault="00124AB6" w:rsidP="004E3BFD"/>
          <w:p w14:paraId="0276C738" w14:textId="77777777" w:rsidR="00124AB6" w:rsidRDefault="00124AB6" w:rsidP="004E3BFD">
            <w:r>
              <w:t xml:space="preserve">(a) General provisions.  You must meet the requirements of the General Provisions in 40 CFR part 63, subpart A, as shown in Table 9 to this subpart. The General Provisions in other parts do not apply except when a requirement in an overlapping standard, which you determined is at least as stringent as subpart VVVVVV and with which you have opted to comply, requires compliance with general provisions in another part. </w:t>
            </w:r>
          </w:p>
          <w:p w14:paraId="21C5679E" w14:textId="77777777" w:rsidR="00124AB6" w:rsidRDefault="00124AB6" w:rsidP="004E3BFD"/>
          <w:p w14:paraId="2D24DBB0" w14:textId="77777777" w:rsidR="00124AB6" w:rsidRDefault="00124AB6" w:rsidP="004E3BFD">
            <w:r>
              <w:t xml:space="preserve">(b) Notification of compliance status (NOCS).  Your NOCS required by § 63.9(h) must include the following additional information as applicable: </w:t>
            </w:r>
          </w:p>
          <w:p w14:paraId="7A0CBDC2" w14:textId="77777777" w:rsidR="00124AB6" w:rsidRDefault="00124AB6" w:rsidP="004E3BFD"/>
          <w:p w14:paraId="55D8BEFA" w14:textId="77777777" w:rsidR="00124AB6" w:rsidRDefault="00124AB6" w:rsidP="004E3BFD">
            <w:r>
              <w:t xml:space="preserve">(b)(1) This certification of compliance, signed by a responsible official: </w:t>
            </w:r>
          </w:p>
          <w:p w14:paraId="77234E44" w14:textId="77777777" w:rsidR="00124AB6" w:rsidRDefault="00124AB6" w:rsidP="004E3BFD"/>
          <w:p w14:paraId="207E718E" w14:textId="77777777" w:rsidR="00124AB6" w:rsidRDefault="00124AB6" w:rsidP="004E3BFD">
            <w:r>
              <w:t>(b)(1)(</w:t>
            </w:r>
            <w:proofErr w:type="spellStart"/>
            <w:r>
              <w:t>i</w:t>
            </w:r>
            <w:proofErr w:type="spellEnd"/>
            <w:r>
              <w:t xml:space="preserve">) “This facility complies with the management practices in § 63.11495.” </w:t>
            </w:r>
          </w:p>
          <w:p w14:paraId="2DD708F6" w14:textId="77777777" w:rsidR="00124AB6" w:rsidRDefault="00124AB6" w:rsidP="004E3BFD"/>
          <w:p w14:paraId="2D7F9DEF" w14:textId="77777777" w:rsidR="00124AB6" w:rsidRDefault="00124AB6" w:rsidP="004E3BFD">
            <w:r>
              <w:t xml:space="preserve">(b)(1)(ii) “This facility complies with the requirements in § 63.11496 for HAP emissions from process vents.” </w:t>
            </w:r>
          </w:p>
          <w:p w14:paraId="13DAA821" w14:textId="77777777" w:rsidR="00124AB6" w:rsidRDefault="00124AB6" w:rsidP="004E3BFD"/>
          <w:p w14:paraId="4670A659" w14:textId="77777777" w:rsidR="00124AB6" w:rsidRDefault="00124AB6" w:rsidP="004E3BFD">
            <w:r>
              <w:t xml:space="preserve">(b)(1)(iii) “This facility complies with the requirements in § 63.11496 and § 63.11497 for surge control vessels, bottoms receivers, and storage tanks.” </w:t>
            </w:r>
          </w:p>
          <w:p w14:paraId="6AAA6C30" w14:textId="77777777" w:rsidR="00124AB6" w:rsidRDefault="00124AB6" w:rsidP="004E3BFD"/>
          <w:p w14:paraId="27054EB2" w14:textId="77777777" w:rsidR="00124AB6" w:rsidRDefault="00124AB6" w:rsidP="004E3BFD">
            <w:r>
              <w:t xml:space="preserve">(b)(1)(iv) “This facility complies with the requirements in § 63.11498 to treat wastewater streams.” </w:t>
            </w:r>
          </w:p>
          <w:p w14:paraId="11A8D3AA" w14:textId="77777777" w:rsidR="00124AB6" w:rsidRDefault="00124AB6" w:rsidP="004E3BFD"/>
          <w:p w14:paraId="14CCE1CC" w14:textId="77777777" w:rsidR="00124AB6" w:rsidRDefault="00124AB6" w:rsidP="004E3BFD">
            <w:r>
              <w:t xml:space="preserve">(b)(2) If you comply with the alternative standard as specified in Table 2 to this subpart or Table 3 to this subpart, include the information specified in § 63.1258(b)(5), as applicable. </w:t>
            </w:r>
          </w:p>
          <w:p w14:paraId="12FF1C10" w14:textId="77777777" w:rsidR="00124AB6" w:rsidRDefault="00124AB6" w:rsidP="004E3BFD"/>
          <w:p w14:paraId="5FE45A31" w14:textId="77777777" w:rsidR="00124AB6" w:rsidRDefault="00124AB6" w:rsidP="004E3BFD">
            <w:r>
              <w:t xml:space="preserve">(b)(3) If you establish an operating limit for a parameter that will not be monitored continuously in accordance with §§ 63.11496(g)(4) and 63.2450(k)(6), provide the information as specified in §§ 63.11496(g)(4) and 63.2450(k)(6). </w:t>
            </w:r>
          </w:p>
          <w:p w14:paraId="5664F579" w14:textId="77777777" w:rsidR="00124AB6" w:rsidRDefault="00124AB6" w:rsidP="004E3BFD"/>
          <w:p w14:paraId="7A29FD78" w14:textId="77777777" w:rsidR="00124AB6" w:rsidRDefault="00124AB6" w:rsidP="004E3BFD">
            <w:r>
              <w:t xml:space="preserve">(b)(4) A list of all transferred liquids that are reactive or resinous materials, as defined in § 63.11502(b). </w:t>
            </w:r>
          </w:p>
          <w:p w14:paraId="37EDCE9E" w14:textId="77777777" w:rsidR="00124AB6" w:rsidRDefault="00124AB6" w:rsidP="004E3BFD"/>
          <w:p w14:paraId="391C5E23" w14:textId="77777777" w:rsidR="00124AB6" w:rsidRDefault="00124AB6" w:rsidP="004E3BFD">
            <w:r>
              <w:t>(b)(5) If you comply with provisions in an overlapping rule in accordance with § 63.11500, identify the affected CMPU, heat exchange system, and/or wastewater system; provide a list of the specific provisions with which you will comply; and demonstrate that the provisions with which you will comply are at least as stringent as the otherwise applicable requirements, including monitoring, recordkeeping, and reporting requirements, in this subpart VVVVVV.</w:t>
            </w:r>
          </w:p>
          <w:p w14:paraId="10543D49" w14:textId="77777777" w:rsidR="00124AB6" w:rsidRDefault="00124AB6" w:rsidP="004E3BFD"/>
          <w:p w14:paraId="0ABFC176" w14:textId="77777777" w:rsidR="00124AB6" w:rsidRDefault="00124AB6" w:rsidP="004E3BFD">
            <w:r>
              <w:t xml:space="preserve">(c) Recordkeeping.  You must maintain files of all information required by this subpart for at least 5 years following the date of each occurrence according to the requirements in § 63.10(b)(1). If you are subject, you must comply with the recordkeeping and reporting requirements of § 63.10(b)(2)(iii) and (vi) through (xiv), and the applicable requirements specified in paragraphs (c)(1) through (8) of this section. </w:t>
            </w:r>
          </w:p>
          <w:p w14:paraId="796D7839" w14:textId="77777777" w:rsidR="00124AB6" w:rsidRDefault="00124AB6" w:rsidP="004E3BFD"/>
          <w:p w14:paraId="77AA10EC" w14:textId="77777777" w:rsidR="00124AB6" w:rsidRDefault="00124AB6" w:rsidP="004E3BFD">
            <w:r>
              <w:t>(c)(1) For each CMPU subject to this subpart, you must keep the records specified in paragraphs (c)(1)(</w:t>
            </w:r>
            <w:proofErr w:type="spellStart"/>
            <w:r>
              <w:t>i</w:t>
            </w:r>
            <w:proofErr w:type="spellEnd"/>
            <w:r>
              <w:t xml:space="preserve">) through (viii) of this section. </w:t>
            </w:r>
          </w:p>
          <w:p w14:paraId="5258356E" w14:textId="77777777" w:rsidR="00124AB6" w:rsidRDefault="00124AB6" w:rsidP="004E3BFD"/>
          <w:p w14:paraId="1D069501" w14:textId="77777777" w:rsidR="00124AB6" w:rsidRDefault="00124AB6" w:rsidP="004E3BFD">
            <w:r>
              <w:t>(c)(1)(</w:t>
            </w:r>
            <w:proofErr w:type="spellStart"/>
            <w:r>
              <w:t>i</w:t>
            </w:r>
            <w:proofErr w:type="spellEnd"/>
            <w:r>
              <w:t xml:space="preserve">) Records of management practice inspections, repairs, and reasons for any delay of repair, as specified in § 63.11495(a)(5). </w:t>
            </w:r>
          </w:p>
          <w:p w14:paraId="208F0B40" w14:textId="77777777" w:rsidR="00124AB6" w:rsidRDefault="00124AB6" w:rsidP="004E3BFD"/>
          <w:p w14:paraId="2AAF5F75" w14:textId="77777777" w:rsidR="00124AB6" w:rsidRDefault="00124AB6" w:rsidP="004E3BFD">
            <w:r>
              <w:t xml:space="preserve">(c)(1)(iii) If batch process vent emissions are less than 10,000 </w:t>
            </w:r>
            <w:proofErr w:type="spellStart"/>
            <w:r>
              <w:t>lb</w:t>
            </w:r>
            <w:proofErr w:type="spellEnd"/>
            <w:r>
              <w:t>/</w:t>
            </w:r>
            <w:proofErr w:type="spellStart"/>
            <w:r>
              <w:t>yr</w:t>
            </w:r>
            <w:proofErr w:type="spellEnd"/>
            <w:r>
              <w:t xml:space="preserve"> for a CMPU, records of batch process vent emission calculations, as specified in § 63.11496(a)(1), the number of batches operated each month, as specified in § 63.11496(a)(3), and any updated emissions calculations, as specified in § 63.11496(a)(3). Alternatively, keep records of the worst-case processes or organic HAP usage, as specified in § 63.11496(a)(2) and (4), respectively. </w:t>
            </w:r>
          </w:p>
          <w:p w14:paraId="24EDD0BD" w14:textId="77777777" w:rsidR="00124AB6" w:rsidRDefault="00124AB6" w:rsidP="004E3BFD"/>
          <w:p w14:paraId="526DB634" w14:textId="77777777" w:rsidR="00124AB6" w:rsidRDefault="00124AB6" w:rsidP="004E3BFD">
            <w:r>
              <w:t>(c)(1)(viii) Records of actions taken during periods of malfunction to minimize emissions in accordance with § 63.11495(d), including corrective actions to restore malfunctioning process and air pollution control and monitoring equipment to its normal or usual manner of operation.</w:t>
            </w:r>
          </w:p>
          <w:p w14:paraId="55F3D709" w14:textId="77777777" w:rsidR="00124AB6" w:rsidRDefault="00124AB6" w:rsidP="004E3BFD"/>
          <w:p w14:paraId="068D4E90" w14:textId="77777777" w:rsidR="00124AB6" w:rsidRDefault="00124AB6" w:rsidP="004E3BFD">
            <w:r>
              <w:t>(c)(2) For batch process vents subject to Table 2 to this subpart and continuous process vents subject to Table 3 to this subpart, you must keep records specified in paragraphs (c)(2)(</w:t>
            </w:r>
            <w:proofErr w:type="spellStart"/>
            <w:r>
              <w:t>i</w:t>
            </w:r>
            <w:proofErr w:type="spellEnd"/>
            <w:r>
              <w:t xml:space="preserve">) or (ii) of this section, as applicable. </w:t>
            </w:r>
          </w:p>
          <w:p w14:paraId="760B9911" w14:textId="77777777" w:rsidR="00124AB6" w:rsidRDefault="00124AB6" w:rsidP="004E3BFD"/>
          <w:p w14:paraId="35FC0834" w14:textId="77777777" w:rsidR="00124AB6" w:rsidRDefault="00124AB6" w:rsidP="004E3BFD">
            <w:r>
              <w:t>(c)(2)(</w:t>
            </w:r>
            <w:proofErr w:type="spellStart"/>
            <w:r>
              <w:t>i</w:t>
            </w:r>
            <w:proofErr w:type="spellEnd"/>
            <w:r>
              <w:t xml:space="preserve">) If you route emissions to a control device other than a flare, keep records of performance tests, if applicable, as specified in § 63.998(a)(2)(ii) and (4), keep records of the monitoring system and the monitored parameters, as specified in § 63.998(b) and (c), and keep records of the closed-vent system, as specified in § 63.998(d)(1). If you use a recovery device to maintain the TRE above 1.0 for a continuous process vent, keep records of monitoring parameters during the TRE index value determination, as specified in § 63.998(a)(3). </w:t>
            </w:r>
          </w:p>
          <w:p w14:paraId="20D38371" w14:textId="77777777" w:rsidR="00124AB6" w:rsidRDefault="00124AB6" w:rsidP="004E3BFD"/>
          <w:p w14:paraId="6D6643A4" w14:textId="77777777" w:rsidR="00124AB6" w:rsidRDefault="00124AB6" w:rsidP="004E3BFD">
            <w:r>
              <w:t>(c)(4)</w:t>
            </w:r>
            <w:r w:rsidRPr="004759D9">
              <w:t>(vi) For periods of planned routine maintenance of a control device, keep records of the day and time at which each maintenance period begins and ends, and keep records of the type of maintenance performed, as specified in § 63.11497(b)(3).</w:t>
            </w:r>
          </w:p>
          <w:p w14:paraId="073DD042" w14:textId="77777777" w:rsidR="00124AB6" w:rsidRDefault="00124AB6" w:rsidP="004E3BFD"/>
          <w:p w14:paraId="696B3A2F" w14:textId="77777777" w:rsidR="00124AB6" w:rsidRDefault="00124AB6" w:rsidP="004E3BFD">
            <w:r>
              <w:rPr>
                <w:rStyle w:val="paren"/>
              </w:rPr>
              <w:t>(c)(</w:t>
            </w:r>
            <w:r>
              <w:rPr>
                <w:rStyle w:val="paragraph-hierarchy"/>
              </w:rPr>
              <w:t>5</w:t>
            </w:r>
            <w:r>
              <w:rPr>
                <w:rStyle w:val="paren"/>
              </w:rPr>
              <w:t>)</w:t>
            </w:r>
            <w:r>
              <w:t xml:space="preserve"> For each wastewater stream subject to Item 2 in Table 6 to this subpart, keep records of the wastewater stream identification and the disposition of the organic phase(s), as specified in Item 2 to Table 6 to this subpart.</w:t>
            </w:r>
          </w:p>
          <w:p w14:paraId="51A3FE7B" w14:textId="77777777" w:rsidR="00124AB6" w:rsidRDefault="00124AB6" w:rsidP="004E3BFD"/>
          <w:p w14:paraId="1B66939F" w14:textId="77777777" w:rsidR="00124AB6" w:rsidRDefault="00124AB6" w:rsidP="004E3BFD">
            <w:r>
              <w:t>(c)</w:t>
            </w:r>
            <w:r w:rsidRPr="004759D9">
              <w:t>(7) You must keep a record of all transferred liquids that are reactive or resinous materials, as defined in § 63.11502(b), and not included in the NOCS.</w:t>
            </w:r>
          </w:p>
          <w:p w14:paraId="4939F38F" w14:textId="77777777" w:rsidR="00124AB6" w:rsidRDefault="00124AB6" w:rsidP="004E3BFD"/>
          <w:p w14:paraId="4F4182A6" w14:textId="77777777" w:rsidR="00124AB6" w:rsidRDefault="00124AB6" w:rsidP="004E3BFD">
            <w:r>
              <w:t xml:space="preserve">(d) Semiannual Compliance Reports.  You must submit semiannual compliance reports that contain the information specified in paragraphs (d)(1) through (7) of this section, as applicable. Reports are required only for semiannual periods during which you experienced any of the events described in paragraphs (d)(1) through (8) of this section. </w:t>
            </w:r>
          </w:p>
          <w:p w14:paraId="1F3E0202" w14:textId="77777777" w:rsidR="00124AB6" w:rsidRDefault="00124AB6" w:rsidP="004E3BFD"/>
          <w:p w14:paraId="28DFC931" w14:textId="77777777" w:rsidR="00124AB6" w:rsidRDefault="00124AB6" w:rsidP="004E3BFD">
            <w:r>
              <w:t>(d)(1) Deviations.  You must clearly identify any deviation from the requirements of this subpart.</w:t>
            </w:r>
          </w:p>
          <w:p w14:paraId="2C3614B3" w14:textId="77777777" w:rsidR="00124AB6" w:rsidRDefault="00124AB6" w:rsidP="004E3BFD"/>
          <w:p w14:paraId="31C4DDD6" w14:textId="77777777" w:rsidR="00124AB6" w:rsidRDefault="00124AB6" w:rsidP="004E3BFD">
            <w:r>
              <w:t xml:space="preserve">(d)(3) Delay of leak repair.  You must provide the following information for each delay of leak repair beyond 15 days for any process equipment, storage tank, surge control vessel, bottoms receiver, and each delay of leak repair beyond 45 days for any heat exchange system with a cooling water flow rate less than 8,000 gal/min: information on the date the leak was identified, the reason for the delay in repair, and the date the leak was repaired. </w:t>
            </w:r>
          </w:p>
          <w:p w14:paraId="687F272B" w14:textId="77777777" w:rsidR="00124AB6" w:rsidRDefault="00124AB6" w:rsidP="004E3BFD"/>
          <w:p w14:paraId="710E80F3" w14:textId="77777777" w:rsidR="00124AB6" w:rsidRDefault="00124AB6" w:rsidP="004E3BFD">
            <w:r>
              <w:t xml:space="preserve">(d)(4) Process change.  You must report each process change that affects a compliance determination and submit a new certification of compliance with the applicable requirements in accordance with the procedures specified in paragraph (b) of this section. </w:t>
            </w:r>
          </w:p>
          <w:p w14:paraId="5475CC6F" w14:textId="77777777" w:rsidR="00124AB6" w:rsidRDefault="00124AB6" w:rsidP="004E3BFD"/>
          <w:p w14:paraId="4630965D" w14:textId="77777777" w:rsidR="00124AB6" w:rsidRDefault="00124AB6" w:rsidP="004E3BFD">
            <w:r>
              <w:t xml:space="preserve">(d)(5) Data for the alternative standard.  If you comply with the alternative standard, as specified in Table 2 to this subpart or Table 3 to this subpart, report the information required in § 63.1258(b)(5). </w:t>
            </w:r>
          </w:p>
          <w:p w14:paraId="51055808" w14:textId="77777777" w:rsidR="00124AB6" w:rsidRDefault="00124AB6" w:rsidP="004E3BFD"/>
          <w:p w14:paraId="550F1A79" w14:textId="77777777" w:rsidR="00124AB6" w:rsidRDefault="00124AB6" w:rsidP="004E3BFD">
            <w:r>
              <w:t xml:space="preserve">(d)(6) Overlapping rule requirements.  Report any changes in the overlapping provisions with which you comply. </w:t>
            </w:r>
          </w:p>
          <w:p w14:paraId="3F777F8E" w14:textId="77777777" w:rsidR="00124AB6" w:rsidRDefault="00124AB6" w:rsidP="004E3BFD"/>
          <w:p w14:paraId="66653E21" w14:textId="77777777" w:rsidR="00124AB6" w:rsidRDefault="00124AB6" w:rsidP="004E3BFD">
            <w:r>
              <w:t>(d)(7) Reactive and resinous materials.  Report any transfer of liquids that are reactive or resinous materials, as defined in § 63.11502(b), and not included in the NOCS.</w:t>
            </w:r>
          </w:p>
          <w:p w14:paraId="550D6622" w14:textId="77777777" w:rsidR="00124AB6" w:rsidRDefault="00124AB6" w:rsidP="004E3BFD"/>
          <w:p w14:paraId="7E1400A3" w14:textId="77777777" w:rsidR="00124AB6" w:rsidRPr="004759D9" w:rsidRDefault="00124AB6" w:rsidP="004E3BFD">
            <w:r>
              <w:t>(d)</w:t>
            </w:r>
            <w:r w:rsidRPr="004759D9">
              <w:t xml:space="preserve">(8) Malfunctions.  If a malfunction occurred during the reporting period, the report must include the number of instances of malfunctions that caused emissions </w:t>
            </w:r>
            <w:proofErr w:type="gramStart"/>
            <w:r w:rsidRPr="004759D9">
              <w:t>in excess of</w:t>
            </w:r>
            <w:proofErr w:type="gramEnd"/>
            <w:r w:rsidRPr="004759D9">
              <w:t xml:space="preserve"> a standard. For each malfunction that caused emissions </w:t>
            </w:r>
            <w:proofErr w:type="gramStart"/>
            <w:r w:rsidRPr="004759D9">
              <w:t>in excess of</w:t>
            </w:r>
            <w:proofErr w:type="gramEnd"/>
            <w:r w:rsidRPr="004759D9">
              <w:t xml:space="preserve"> a standard, the report must include a list of the affected sources or equipment, an estimate of the volume of each regulated pollutant emitted over the standard, and a description of the method used to estimate the emissions. The report must also include a description of actions you took during a malfunction of an affected source to minimize emissions in accordance with § 63.11495(d), including actions taken to correct a malfunction.</w:t>
            </w:r>
          </w:p>
        </w:tc>
      </w:tr>
    </w:tbl>
    <w:p w14:paraId="46E25BB1" w14:textId="77777777" w:rsidR="00F244AE" w:rsidRDefault="00F244AE" w:rsidP="00F244AE">
      <w:pPr>
        <w:rPr>
          <w:rFonts w:cs="Open Sans"/>
          <w:szCs w:val="20"/>
        </w:rPr>
      </w:pPr>
    </w:p>
    <w:tbl>
      <w:tblPr>
        <w:tblStyle w:val="TableGrid"/>
        <w:tblW w:w="10800" w:type="dxa"/>
        <w:tblLook w:val="04A0" w:firstRow="1" w:lastRow="0" w:firstColumn="1" w:lastColumn="0" w:noHBand="0" w:noVBand="1"/>
      </w:tblPr>
      <w:tblGrid>
        <w:gridCol w:w="1368"/>
        <w:gridCol w:w="9432"/>
      </w:tblGrid>
      <w:tr w:rsidR="00D54368" w14:paraId="0AB7AFE3" w14:textId="77777777" w:rsidTr="00BD4159">
        <w:trPr>
          <w:cantSplit w:val="0"/>
          <w:tblHeader/>
        </w:trPr>
        <w:tc>
          <w:tcPr>
            <w:tcW w:w="10800" w:type="dxa"/>
            <w:gridSpan w:val="2"/>
            <w:tcBorders>
              <w:top w:val="single" w:sz="2" w:space="0" w:color="auto"/>
              <w:left w:val="single" w:sz="2" w:space="0" w:color="auto"/>
              <w:bottom w:val="single" w:sz="2" w:space="0" w:color="auto"/>
              <w:right w:val="single" w:sz="2" w:space="0" w:color="auto"/>
            </w:tcBorders>
          </w:tcPr>
          <w:p w14:paraId="74E465C5" w14:textId="77777777" w:rsidR="00F244AE" w:rsidRPr="00A3574E" w:rsidRDefault="00124AB6" w:rsidP="00971C71">
            <w:pPr>
              <w:pStyle w:val="TableHeading"/>
            </w:pPr>
            <w:r w:rsidRPr="00A3574E">
              <w:t>GENERAL FACILITY WIDE</w:t>
            </w:r>
          </w:p>
          <w:p w14:paraId="792139EA" w14:textId="77777777" w:rsidR="00F244AE" w:rsidRDefault="00F244AE">
            <w:pPr>
              <w:rPr>
                <w:rFonts w:cs="Open Sans"/>
                <w:szCs w:val="20"/>
              </w:rPr>
            </w:pPr>
          </w:p>
        </w:tc>
      </w:tr>
      <w:tr w:rsidR="00D54368" w14:paraId="1C915820" w14:textId="77777777" w:rsidTr="00BD4159">
        <w:trPr>
          <w:cantSplit w:val="0"/>
          <w:tblHeader/>
        </w:trPr>
        <w:tc>
          <w:tcPr>
            <w:tcW w:w="1368"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43E33DE7" w14:textId="77777777" w:rsidR="00F244AE" w:rsidRDefault="00124AB6">
            <w:pPr>
              <w:jc w:val="center"/>
              <w:rPr>
                <w:rFonts w:cs="Open Sans"/>
                <w:b/>
                <w:szCs w:val="20"/>
              </w:rPr>
            </w:pPr>
            <w:r>
              <w:rPr>
                <w:rFonts w:cs="Open Sans"/>
                <w:b/>
                <w:szCs w:val="20"/>
              </w:rPr>
              <w:t>Condition Number</w:t>
            </w:r>
          </w:p>
        </w:tc>
        <w:tc>
          <w:tcPr>
            <w:tcW w:w="9432"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7FCAA7B9" w14:textId="77777777" w:rsidR="00F244AE" w:rsidRDefault="00124AB6">
            <w:pPr>
              <w:jc w:val="center"/>
              <w:rPr>
                <w:rFonts w:cs="Open Sans"/>
                <w:b/>
                <w:szCs w:val="20"/>
              </w:rPr>
            </w:pPr>
            <w:r>
              <w:rPr>
                <w:rFonts w:cs="Open Sans"/>
                <w:b/>
                <w:szCs w:val="20"/>
              </w:rPr>
              <w:t>Conditions</w:t>
            </w:r>
          </w:p>
        </w:tc>
      </w:tr>
      <w:tr w:rsidR="00D54368" w14:paraId="7B644249" w14:textId="77777777" w:rsidTr="00BD4159">
        <w:trPr>
          <w:cantSplit w:val="0"/>
        </w:trPr>
        <w:tc>
          <w:tcPr>
            <w:tcW w:w="1368" w:type="dxa"/>
            <w:tcBorders>
              <w:top w:val="single" w:sz="2" w:space="0" w:color="auto"/>
              <w:left w:val="single" w:sz="2" w:space="0" w:color="auto"/>
              <w:bottom w:val="single" w:sz="2" w:space="0" w:color="auto"/>
              <w:right w:val="single" w:sz="2" w:space="0" w:color="auto"/>
            </w:tcBorders>
          </w:tcPr>
          <w:p w14:paraId="0EEE771B" w14:textId="77777777" w:rsidR="00F244AE" w:rsidRDefault="00F244AE" w:rsidP="00971C71">
            <w:pPr>
              <w:pStyle w:val="DNum"/>
            </w:pPr>
          </w:p>
        </w:tc>
        <w:tc>
          <w:tcPr>
            <w:tcW w:w="9432" w:type="dxa"/>
            <w:tcBorders>
              <w:top w:val="single" w:sz="2" w:space="0" w:color="auto"/>
              <w:left w:val="single" w:sz="2" w:space="0" w:color="auto"/>
              <w:bottom w:val="single" w:sz="2" w:space="0" w:color="auto"/>
              <w:right w:val="single" w:sz="2" w:space="0" w:color="auto"/>
            </w:tcBorders>
            <w:hideMark/>
          </w:tcPr>
          <w:p w14:paraId="6D5BF21D" w14:textId="77777777" w:rsidR="00F244AE" w:rsidRDefault="00124AB6">
            <w:pPr>
              <w:rPr>
                <w:rFonts w:cs="Open Sans"/>
                <w:szCs w:val="20"/>
              </w:rPr>
            </w:pPr>
            <w:r>
              <w:rPr>
                <w:rFonts w:cs="Open Sans"/>
                <w:szCs w:val="20"/>
              </w:rPr>
              <w:t>The owner or operator shall comply with S.C. Regulation 61-62.2</w:t>
            </w:r>
            <w:r w:rsidR="0023193B">
              <w:rPr>
                <w:rFonts w:cs="Open Sans"/>
                <w:szCs w:val="20"/>
              </w:rPr>
              <w:t>,</w:t>
            </w:r>
            <w:r>
              <w:rPr>
                <w:rFonts w:cs="Open Sans"/>
                <w:szCs w:val="20"/>
              </w:rPr>
              <w:t xml:space="preserve"> Prohibition of Open Burning.</w:t>
            </w:r>
          </w:p>
        </w:tc>
      </w:tr>
      <w:tr w:rsidR="00D54368" w14:paraId="4B8C99D6" w14:textId="77777777" w:rsidTr="00BD4159">
        <w:trPr>
          <w:cantSplit w:val="0"/>
        </w:trPr>
        <w:tc>
          <w:tcPr>
            <w:tcW w:w="1368" w:type="dxa"/>
            <w:tcBorders>
              <w:top w:val="single" w:sz="2" w:space="0" w:color="auto"/>
              <w:left w:val="single" w:sz="2" w:space="0" w:color="auto"/>
              <w:bottom w:val="single" w:sz="2" w:space="0" w:color="auto"/>
              <w:right w:val="single" w:sz="2" w:space="0" w:color="auto"/>
            </w:tcBorders>
          </w:tcPr>
          <w:p w14:paraId="504FDF2F" w14:textId="77777777" w:rsidR="00F244AE" w:rsidRDefault="00F244AE" w:rsidP="00971C71">
            <w:pPr>
              <w:pStyle w:val="DNum"/>
            </w:pPr>
          </w:p>
        </w:tc>
        <w:tc>
          <w:tcPr>
            <w:tcW w:w="9432" w:type="dxa"/>
            <w:tcBorders>
              <w:top w:val="single" w:sz="2" w:space="0" w:color="auto"/>
              <w:left w:val="single" w:sz="2" w:space="0" w:color="auto"/>
              <w:bottom w:val="single" w:sz="2" w:space="0" w:color="auto"/>
              <w:right w:val="single" w:sz="2" w:space="0" w:color="auto"/>
            </w:tcBorders>
            <w:hideMark/>
          </w:tcPr>
          <w:p w14:paraId="2331E0DF" w14:textId="77777777" w:rsidR="00F244AE" w:rsidRDefault="00124AB6">
            <w:pPr>
              <w:rPr>
                <w:rFonts w:cs="Open Sans"/>
                <w:szCs w:val="20"/>
              </w:rPr>
            </w:pPr>
            <w:r>
              <w:rPr>
                <w:rFonts w:cs="Open Sans"/>
                <w:szCs w:val="20"/>
              </w:rPr>
              <w:t>The owner or operator shall comply with S.C. Regulation 61-62.3</w:t>
            </w:r>
            <w:r w:rsidR="0023193B">
              <w:rPr>
                <w:rFonts w:cs="Open Sans"/>
                <w:szCs w:val="20"/>
              </w:rPr>
              <w:t>,</w:t>
            </w:r>
            <w:r>
              <w:rPr>
                <w:rFonts w:cs="Open Sans"/>
                <w:szCs w:val="20"/>
              </w:rPr>
              <w:t xml:space="preserve"> Air Pollution Episodes.</w:t>
            </w:r>
          </w:p>
        </w:tc>
      </w:tr>
      <w:tr w:rsidR="00D54368" w14:paraId="6392B633" w14:textId="77777777" w:rsidTr="00BD4159">
        <w:trPr>
          <w:cantSplit w:val="0"/>
        </w:trPr>
        <w:tc>
          <w:tcPr>
            <w:tcW w:w="1368" w:type="dxa"/>
            <w:tcBorders>
              <w:top w:val="single" w:sz="2" w:space="0" w:color="auto"/>
              <w:left w:val="single" w:sz="2" w:space="0" w:color="auto"/>
              <w:bottom w:val="single" w:sz="2" w:space="0" w:color="auto"/>
              <w:right w:val="single" w:sz="2" w:space="0" w:color="auto"/>
            </w:tcBorders>
          </w:tcPr>
          <w:p w14:paraId="6BF683E0" w14:textId="77777777" w:rsidR="00F244AE" w:rsidRDefault="00F244AE" w:rsidP="00971C71">
            <w:pPr>
              <w:pStyle w:val="DNum"/>
            </w:pPr>
          </w:p>
        </w:tc>
        <w:tc>
          <w:tcPr>
            <w:tcW w:w="9432" w:type="dxa"/>
            <w:tcBorders>
              <w:top w:val="single" w:sz="2" w:space="0" w:color="auto"/>
              <w:left w:val="single" w:sz="2" w:space="0" w:color="auto"/>
              <w:bottom w:val="single" w:sz="2" w:space="0" w:color="auto"/>
              <w:right w:val="single" w:sz="2" w:space="0" w:color="auto"/>
            </w:tcBorders>
            <w:hideMark/>
          </w:tcPr>
          <w:p w14:paraId="6B2E201C" w14:textId="77777777" w:rsidR="00F244AE" w:rsidRDefault="00124AB6">
            <w:pPr>
              <w:rPr>
                <w:rFonts w:cs="Open Sans"/>
                <w:szCs w:val="20"/>
              </w:rPr>
            </w:pPr>
            <w:r>
              <w:rPr>
                <w:rFonts w:cs="Open Sans"/>
                <w:szCs w:val="20"/>
              </w:rPr>
              <w:t>The owner or operator shall comply with S.C. Regulation 61-62.4</w:t>
            </w:r>
            <w:r w:rsidR="0023193B">
              <w:rPr>
                <w:rFonts w:cs="Open Sans"/>
                <w:szCs w:val="20"/>
              </w:rPr>
              <w:t>,</w:t>
            </w:r>
            <w:r>
              <w:rPr>
                <w:rFonts w:cs="Open Sans"/>
                <w:szCs w:val="20"/>
              </w:rPr>
              <w:t xml:space="preserve"> Hazardous Air Pollution Conditions.</w:t>
            </w:r>
          </w:p>
        </w:tc>
      </w:tr>
      <w:tr w:rsidR="00D54368" w14:paraId="77B6F51F" w14:textId="77777777" w:rsidTr="00BD4159">
        <w:trPr>
          <w:cantSplit w:val="0"/>
        </w:trPr>
        <w:tc>
          <w:tcPr>
            <w:tcW w:w="1368" w:type="dxa"/>
            <w:tcBorders>
              <w:top w:val="single" w:sz="2" w:space="0" w:color="auto"/>
              <w:left w:val="single" w:sz="2" w:space="0" w:color="auto"/>
              <w:bottom w:val="single" w:sz="2" w:space="0" w:color="auto"/>
              <w:right w:val="single" w:sz="2" w:space="0" w:color="auto"/>
            </w:tcBorders>
          </w:tcPr>
          <w:p w14:paraId="0E64AF40" w14:textId="77777777" w:rsidR="00F244AE" w:rsidRDefault="00F244AE" w:rsidP="00971C71">
            <w:pPr>
              <w:pStyle w:val="DNum"/>
            </w:pPr>
          </w:p>
        </w:tc>
        <w:tc>
          <w:tcPr>
            <w:tcW w:w="9432" w:type="dxa"/>
            <w:tcBorders>
              <w:top w:val="single" w:sz="2" w:space="0" w:color="auto"/>
              <w:left w:val="single" w:sz="2" w:space="0" w:color="auto"/>
              <w:bottom w:val="single" w:sz="2" w:space="0" w:color="auto"/>
              <w:right w:val="single" w:sz="2" w:space="0" w:color="auto"/>
            </w:tcBorders>
            <w:hideMark/>
          </w:tcPr>
          <w:p w14:paraId="47A3F33B" w14:textId="77777777" w:rsidR="00F244AE" w:rsidRDefault="00124AB6">
            <w:pPr>
              <w:rPr>
                <w:rFonts w:cs="Open Sans"/>
                <w:szCs w:val="20"/>
              </w:rPr>
            </w:pPr>
            <w:r>
              <w:rPr>
                <w:rFonts w:cs="Open Sans"/>
                <w:szCs w:val="20"/>
              </w:rPr>
              <w:t>The owner or operator shall comply with S.C. Regulation 61-62.6</w:t>
            </w:r>
            <w:r w:rsidR="0023193B">
              <w:rPr>
                <w:rFonts w:cs="Open Sans"/>
                <w:szCs w:val="20"/>
              </w:rPr>
              <w:t>,</w:t>
            </w:r>
            <w:r>
              <w:rPr>
                <w:rFonts w:cs="Open Sans"/>
                <w:szCs w:val="20"/>
              </w:rPr>
              <w:t xml:space="preserve"> Control of Fugitive Particulate Matter, Section III Control of Fugitive Particulate Matter Statewide.</w:t>
            </w:r>
          </w:p>
        </w:tc>
      </w:tr>
      <w:tr w:rsidR="00D54368" w14:paraId="7DE39C73" w14:textId="77777777" w:rsidTr="00BD4159">
        <w:trPr>
          <w:cantSplit w:val="0"/>
        </w:trPr>
        <w:tc>
          <w:tcPr>
            <w:tcW w:w="1368" w:type="dxa"/>
            <w:tcBorders>
              <w:top w:val="single" w:sz="2" w:space="0" w:color="auto"/>
              <w:left w:val="single" w:sz="2" w:space="0" w:color="auto"/>
              <w:bottom w:val="single" w:sz="2" w:space="0" w:color="auto"/>
              <w:right w:val="single" w:sz="2" w:space="0" w:color="auto"/>
            </w:tcBorders>
          </w:tcPr>
          <w:p w14:paraId="40E6AC89" w14:textId="77777777" w:rsidR="00F244AE" w:rsidRDefault="00F244AE" w:rsidP="00971C71">
            <w:pPr>
              <w:pStyle w:val="DNum"/>
            </w:pPr>
          </w:p>
        </w:tc>
        <w:tc>
          <w:tcPr>
            <w:tcW w:w="9432" w:type="dxa"/>
            <w:tcBorders>
              <w:top w:val="single" w:sz="2" w:space="0" w:color="auto"/>
              <w:left w:val="single" w:sz="2" w:space="0" w:color="auto"/>
              <w:bottom w:val="single" w:sz="2" w:space="0" w:color="auto"/>
              <w:right w:val="single" w:sz="2" w:space="0" w:color="auto"/>
            </w:tcBorders>
            <w:hideMark/>
          </w:tcPr>
          <w:p w14:paraId="6C75CA6D" w14:textId="77777777" w:rsidR="00F244AE" w:rsidRDefault="00124AB6">
            <w:pPr>
              <w:rPr>
                <w:rFonts w:cs="Open Sans"/>
                <w:szCs w:val="20"/>
              </w:rPr>
            </w:pPr>
            <w:r>
              <w:rPr>
                <w:rStyle w:val="normaltextrun"/>
                <w:rFonts w:cs="Open Sans"/>
                <w:color w:val="000000"/>
                <w:shd w:val="clear" w:color="auto" w:fill="FFFFFF"/>
              </w:rPr>
              <w:t>The owner</w:t>
            </w:r>
            <w:r w:rsidR="0023193B">
              <w:rPr>
                <w:rStyle w:val="normaltextrun"/>
                <w:rFonts w:cs="Open Sans"/>
                <w:color w:val="000000"/>
                <w:shd w:val="clear" w:color="auto" w:fill="FFFFFF"/>
              </w:rPr>
              <w:t xml:space="preserve"> or </w:t>
            </w:r>
            <w:r>
              <w:rPr>
                <w:rStyle w:val="normaltextrun"/>
                <w:rFonts w:cs="Open Sans"/>
                <w:color w:val="000000"/>
                <w:shd w:val="clear" w:color="auto" w:fill="FFFFFF"/>
              </w:rPr>
              <w:t>operator shall comply with the standards of performance for asbestos abatement operations pursuant to 40 CFR Part 61.145 and S.C. Regulation 61-86.1, including, but not limited to, requirements governing training, licensing, notification, work practice, cleanup, and disposal.</w:t>
            </w:r>
          </w:p>
        </w:tc>
      </w:tr>
      <w:tr w:rsidR="00D54368" w14:paraId="75F0543E" w14:textId="77777777" w:rsidTr="00BD4159">
        <w:trPr>
          <w:cantSplit w:val="0"/>
        </w:trPr>
        <w:tc>
          <w:tcPr>
            <w:tcW w:w="1368" w:type="dxa"/>
            <w:tcBorders>
              <w:top w:val="single" w:sz="2" w:space="0" w:color="auto"/>
              <w:left w:val="single" w:sz="2" w:space="0" w:color="auto"/>
              <w:bottom w:val="single" w:sz="2" w:space="0" w:color="auto"/>
              <w:right w:val="single" w:sz="2" w:space="0" w:color="auto"/>
            </w:tcBorders>
          </w:tcPr>
          <w:p w14:paraId="1FF5D480" w14:textId="77777777" w:rsidR="00F244AE" w:rsidRDefault="00F244AE" w:rsidP="00971C71">
            <w:pPr>
              <w:pStyle w:val="DNum"/>
            </w:pPr>
          </w:p>
        </w:tc>
        <w:tc>
          <w:tcPr>
            <w:tcW w:w="9432" w:type="dxa"/>
            <w:tcBorders>
              <w:top w:val="single" w:sz="2" w:space="0" w:color="auto"/>
              <w:left w:val="single" w:sz="2" w:space="0" w:color="auto"/>
              <w:bottom w:val="single" w:sz="2" w:space="0" w:color="auto"/>
              <w:right w:val="single" w:sz="2" w:space="0" w:color="auto"/>
            </w:tcBorders>
            <w:hideMark/>
          </w:tcPr>
          <w:p w14:paraId="34E5FB8E" w14:textId="77777777" w:rsidR="00F244AE" w:rsidRDefault="00124AB6">
            <w:pPr>
              <w:rPr>
                <w:rFonts w:cs="Open Sans"/>
                <w:szCs w:val="20"/>
              </w:rPr>
            </w:pPr>
            <w:r>
              <w:rPr>
                <w:rFonts w:cs="Open Sans"/>
                <w:szCs w:val="20"/>
              </w:rPr>
              <w:t xml:space="preserve">The owner or operator shall comply with the standards for recycling and emissions reduction pursuant to 40 CFR Part 82, Subpart F, Protection of Stratospheric Ozone, Recycling and Emissions Reduction, except as provided for motor vehicle air conditioners (MVACs) in Subpart B. If the owner or operator performs a service on motor vehicles </w:t>
            </w:r>
            <w:r w:rsidR="0023193B">
              <w:rPr>
                <w:rFonts w:cs="Open Sans"/>
                <w:szCs w:val="20"/>
              </w:rPr>
              <w:t xml:space="preserve">(fleet) </w:t>
            </w:r>
            <w:r>
              <w:rPr>
                <w:rFonts w:cs="Open Sans"/>
                <w:szCs w:val="20"/>
              </w:rPr>
              <w:t>that involves ozone-depleting substance refrigerant in MVACs, the owner or operator is subject to all applicable requirements of 40 CFR Part 82, Subpart B, Servicing of MVACs.</w:t>
            </w:r>
          </w:p>
        </w:tc>
      </w:tr>
      <w:tr w:rsidR="00D54368" w14:paraId="70C1CFF0" w14:textId="77777777" w:rsidTr="00BD4159">
        <w:trPr>
          <w:cantSplit w:val="0"/>
        </w:trPr>
        <w:tc>
          <w:tcPr>
            <w:tcW w:w="1368" w:type="dxa"/>
            <w:tcBorders>
              <w:top w:val="single" w:sz="2" w:space="0" w:color="auto"/>
              <w:left w:val="single" w:sz="2" w:space="0" w:color="auto"/>
              <w:bottom w:val="single" w:sz="2" w:space="0" w:color="auto"/>
              <w:right w:val="single" w:sz="2" w:space="0" w:color="auto"/>
            </w:tcBorders>
          </w:tcPr>
          <w:p w14:paraId="1FDCD0AD" w14:textId="77777777" w:rsidR="00F244AE" w:rsidRDefault="00F244AE" w:rsidP="00971C71">
            <w:pPr>
              <w:pStyle w:val="DNum"/>
            </w:pPr>
          </w:p>
        </w:tc>
        <w:tc>
          <w:tcPr>
            <w:tcW w:w="9432" w:type="dxa"/>
            <w:tcBorders>
              <w:top w:val="single" w:sz="2" w:space="0" w:color="auto"/>
              <w:left w:val="single" w:sz="2" w:space="0" w:color="auto"/>
              <w:bottom w:val="single" w:sz="2" w:space="0" w:color="auto"/>
              <w:right w:val="single" w:sz="2" w:space="0" w:color="auto"/>
            </w:tcBorders>
            <w:hideMark/>
          </w:tcPr>
          <w:p w14:paraId="753E43F4" w14:textId="77777777" w:rsidR="00F244AE" w:rsidRDefault="00124AB6">
            <w:pPr>
              <w:rPr>
                <w:rFonts w:cs="Open Sans"/>
                <w:szCs w:val="20"/>
              </w:rPr>
            </w:pPr>
            <w:r>
              <w:rPr>
                <w:rFonts w:cs="Open Sans"/>
                <w:szCs w:val="20"/>
              </w:rPr>
              <w:t>(S.C. Regulation 61-62.70.6(a)(5)) The provisions of this permit are severable, and if any provision of this permit, or application of any provision of this permit to any circumstance is held invalid, the application of such provision to other circumstances, and the remainder of this permit shall not be affected thereby.</w:t>
            </w:r>
          </w:p>
        </w:tc>
      </w:tr>
      <w:tr w:rsidR="00D54368" w14:paraId="220A7202" w14:textId="77777777" w:rsidTr="00BD4159">
        <w:trPr>
          <w:cantSplit w:val="0"/>
        </w:trPr>
        <w:tc>
          <w:tcPr>
            <w:tcW w:w="1368" w:type="dxa"/>
            <w:tcBorders>
              <w:top w:val="single" w:sz="2" w:space="0" w:color="auto"/>
              <w:left w:val="single" w:sz="2" w:space="0" w:color="auto"/>
              <w:bottom w:val="single" w:sz="2" w:space="0" w:color="auto"/>
              <w:right w:val="single" w:sz="2" w:space="0" w:color="auto"/>
            </w:tcBorders>
          </w:tcPr>
          <w:p w14:paraId="56532465" w14:textId="77777777" w:rsidR="00F244AE" w:rsidRDefault="00F244AE" w:rsidP="00971C71">
            <w:pPr>
              <w:pStyle w:val="DNum"/>
            </w:pPr>
          </w:p>
        </w:tc>
        <w:tc>
          <w:tcPr>
            <w:tcW w:w="9432" w:type="dxa"/>
            <w:tcBorders>
              <w:top w:val="single" w:sz="2" w:space="0" w:color="auto"/>
              <w:left w:val="single" w:sz="2" w:space="0" w:color="auto"/>
              <w:bottom w:val="single" w:sz="2" w:space="0" w:color="auto"/>
              <w:right w:val="single" w:sz="2" w:space="0" w:color="auto"/>
            </w:tcBorders>
            <w:hideMark/>
          </w:tcPr>
          <w:p w14:paraId="4EA81A6C" w14:textId="77777777" w:rsidR="00F244AE" w:rsidRDefault="00124AB6">
            <w:pPr>
              <w:rPr>
                <w:rFonts w:cs="Open Sans"/>
                <w:szCs w:val="20"/>
              </w:rPr>
            </w:pPr>
            <w:r>
              <w:rPr>
                <w:rFonts w:cs="Open Sans"/>
                <w:szCs w:val="20"/>
              </w:rPr>
              <w:t>(S.C. Regulation 61-62.70.6(a)(6)(i)) The owner or operator must comply with all of the conditions of this permit. Any permit noncompliance constitutes a violation of the S.C. Pollution Control Act and/or the Federal Clean Air Act and is grounds for enforcement action; for permit termination, revocation and reissuance, or modification; or for denial of permit renewal application.</w:t>
            </w:r>
          </w:p>
        </w:tc>
      </w:tr>
      <w:tr w:rsidR="00D54368" w14:paraId="761F926F" w14:textId="77777777" w:rsidTr="00BD4159">
        <w:trPr>
          <w:cantSplit w:val="0"/>
        </w:trPr>
        <w:tc>
          <w:tcPr>
            <w:tcW w:w="1368" w:type="dxa"/>
            <w:tcBorders>
              <w:top w:val="single" w:sz="2" w:space="0" w:color="auto"/>
              <w:left w:val="single" w:sz="2" w:space="0" w:color="auto"/>
              <w:bottom w:val="single" w:sz="2" w:space="0" w:color="auto"/>
              <w:right w:val="single" w:sz="2" w:space="0" w:color="auto"/>
            </w:tcBorders>
          </w:tcPr>
          <w:p w14:paraId="05C4893A" w14:textId="77777777" w:rsidR="00F244AE" w:rsidRDefault="00F244AE" w:rsidP="00971C71">
            <w:pPr>
              <w:pStyle w:val="DNum"/>
            </w:pPr>
          </w:p>
        </w:tc>
        <w:tc>
          <w:tcPr>
            <w:tcW w:w="9432" w:type="dxa"/>
            <w:tcBorders>
              <w:top w:val="single" w:sz="2" w:space="0" w:color="auto"/>
              <w:left w:val="single" w:sz="2" w:space="0" w:color="auto"/>
              <w:bottom w:val="single" w:sz="2" w:space="0" w:color="auto"/>
              <w:right w:val="single" w:sz="2" w:space="0" w:color="auto"/>
            </w:tcBorders>
            <w:hideMark/>
          </w:tcPr>
          <w:p w14:paraId="5FD12905" w14:textId="77777777" w:rsidR="00F244AE" w:rsidRDefault="00124AB6">
            <w:pPr>
              <w:rPr>
                <w:rFonts w:cs="Open Sans"/>
                <w:szCs w:val="20"/>
              </w:rPr>
            </w:pPr>
            <w:r>
              <w:rPr>
                <w:rFonts w:cs="Open Sans"/>
                <w:szCs w:val="20"/>
              </w:rPr>
              <w:t>(S.C. Regulation 61-62.70.6(a)(6)(ii)) It shall not be a defense for an owner or operator in an enforcement action that it would have been necessary to halt or reduce the permitted activity in order to maintain compliance with the conditions of this permit.</w:t>
            </w:r>
          </w:p>
        </w:tc>
      </w:tr>
      <w:tr w:rsidR="00D54368" w14:paraId="6AEE6A27" w14:textId="77777777" w:rsidTr="00BD4159">
        <w:trPr>
          <w:cantSplit w:val="0"/>
        </w:trPr>
        <w:tc>
          <w:tcPr>
            <w:tcW w:w="1368" w:type="dxa"/>
            <w:tcBorders>
              <w:top w:val="single" w:sz="2" w:space="0" w:color="auto"/>
              <w:left w:val="single" w:sz="2" w:space="0" w:color="auto"/>
              <w:bottom w:val="single" w:sz="2" w:space="0" w:color="auto"/>
              <w:right w:val="single" w:sz="2" w:space="0" w:color="auto"/>
            </w:tcBorders>
          </w:tcPr>
          <w:p w14:paraId="3441A290" w14:textId="77777777" w:rsidR="00F244AE" w:rsidRDefault="00F244AE" w:rsidP="00971C71">
            <w:pPr>
              <w:pStyle w:val="DNum"/>
            </w:pPr>
          </w:p>
        </w:tc>
        <w:tc>
          <w:tcPr>
            <w:tcW w:w="9432" w:type="dxa"/>
            <w:tcBorders>
              <w:top w:val="single" w:sz="2" w:space="0" w:color="auto"/>
              <w:left w:val="single" w:sz="2" w:space="0" w:color="auto"/>
              <w:bottom w:val="single" w:sz="2" w:space="0" w:color="auto"/>
              <w:right w:val="single" w:sz="2" w:space="0" w:color="auto"/>
            </w:tcBorders>
            <w:hideMark/>
          </w:tcPr>
          <w:p w14:paraId="55063A10" w14:textId="77777777" w:rsidR="00F244AE" w:rsidRDefault="00124AB6">
            <w:pPr>
              <w:rPr>
                <w:rFonts w:cs="Open Sans"/>
                <w:szCs w:val="20"/>
              </w:rPr>
            </w:pPr>
            <w:r>
              <w:rPr>
                <w:rFonts w:cs="Open Sans"/>
                <w:szCs w:val="20"/>
              </w:rPr>
              <w:t>(S.C. Regulation 61-62.70.6(a)(6)(iii)) The permit may be modified, revoked, reopened and reissued, or terminated for cause by the Department. The filing of a request by the owner or operator for a permit modification, revocation and reissuance, or termination, or of a notification of planned changes or anticipated noncompliance does not stay any permit condition.</w:t>
            </w:r>
          </w:p>
        </w:tc>
      </w:tr>
      <w:tr w:rsidR="00D54368" w14:paraId="73C19E09" w14:textId="77777777" w:rsidTr="00BD4159">
        <w:trPr>
          <w:cantSplit w:val="0"/>
        </w:trPr>
        <w:tc>
          <w:tcPr>
            <w:tcW w:w="1368" w:type="dxa"/>
            <w:tcBorders>
              <w:top w:val="single" w:sz="2" w:space="0" w:color="auto"/>
              <w:left w:val="single" w:sz="2" w:space="0" w:color="auto"/>
              <w:bottom w:val="single" w:sz="2" w:space="0" w:color="auto"/>
              <w:right w:val="single" w:sz="2" w:space="0" w:color="auto"/>
            </w:tcBorders>
          </w:tcPr>
          <w:p w14:paraId="576B3B0D" w14:textId="77777777" w:rsidR="00F244AE" w:rsidRDefault="00F244AE" w:rsidP="00971C71">
            <w:pPr>
              <w:pStyle w:val="DNum"/>
            </w:pPr>
          </w:p>
        </w:tc>
        <w:tc>
          <w:tcPr>
            <w:tcW w:w="9432" w:type="dxa"/>
            <w:tcBorders>
              <w:top w:val="single" w:sz="2" w:space="0" w:color="auto"/>
              <w:left w:val="single" w:sz="2" w:space="0" w:color="auto"/>
              <w:bottom w:val="single" w:sz="2" w:space="0" w:color="auto"/>
              <w:right w:val="single" w:sz="2" w:space="0" w:color="auto"/>
            </w:tcBorders>
            <w:hideMark/>
          </w:tcPr>
          <w:p w14:paraId="47C53651" w14:textId="77777777" w:rsidR="00F244AE" w:rsidRDefault="00124AB6">
            <w:pPr>
              <w:rPr>
                <w:rFonts w:cs="Open Sans"/>
                <w:szCs w:val="20"/>
              </w:rPr>
            </w:pPr>
            <w:r>
              <w:rPr>
                <w:rFonts w:cs="Open Sans"/>
                <w:szCs w:val="20"/>
              </w:rPr>
              <w:t>(S.C. Regulation 61-62.70.6(a)(6)(iv)) The permit does not convey any property rights of any sort, or any exclusive privilege.</w:t>
            </w:r>
          </w:p>
        </w:tc>
      </w:tr>
      <w:tr w:rsidR="00D54368" w14:paraId="7D58DB4C" w14:textId="77777777" w:rsidTr="00BD4159">
        <w:trPr>
          <w:cantSplit w:val="0"/>
        </w:trPr>
        <w:tc>
          <w:tcPr>
            <w:tcW w:w="1368" w:type="dxa"/>
            <w:tcBorders>
              <w:top w:val="single" w:sz="2" w:space="0" w:color="auto"/>
              <w:left w:val="single" w:sz="2" w:space="0" w:color="auto"/>
              <w:bottom w:val="single" w:sz="2" w:space="0" w:color="auto"/>
              <w:right w:val="single" w:sz="2" w:space="0" w:color="auto"/>
            </w:tcBorders>
          </w:tcPr>
          <w:p w14:paraId="65D8AC97" w14:textId="77777777" w:rsidR="00F244AE" w:rsidRDefault="00F244AE" w:rsidP="00971C71">
            <w:pPr>
              <w:pStyle w:val="DNum"/>
            </w:pPr>
          </w:p>
        </w:tc>
        <w:tc>
          <w:tcPr>
            <w:tcW w:w="9432" w:type="dxa"/>
            <w:tcBorders>
              <w:top w:val="single" w:sz="2" w:space="0" w:color="auto"/>
              <w:left w:val="single" w:sz="2" w:space="0" w:color="auto"/>
              <w:bottom w:val="single" w:sz="2" w:space="0" w:color="auto"/>
              <w:right w:val="single" w:sz="2" w:space="0" w:color="auto"/>
            </w:tcBorders>
            <w:hideMark/>
          </w:tcPr>
          <w:p w14:paraId="4461F74B" w14:textId="77777777" w:rsidR="00F244AE" w:rsidRDefault="00124AB6">
            <w:pPr>
              <w:rPr>
                <w:rFonts w:cs="Open Sans"/>
                <w:szCs w:val="20"/>
              </w:rPr>
            </w:pPr>
            <w:r>
              <w:rPr>
                <w:rFonts w:cs="Open Sans"/>
                <w:szCs w:val="20"/>
              </w:rPr>
              <w:t>(S.C. Regulation 61-62.70.6(a)(6)(v)) The owner or operator shall furnish to the Department, within a reasonable time, any information that the Department may request in writing to determine whether cause exists for modifying, revoking and reissuing, or terminating the permit or to determine compliance with the permit. Upon request, the owner or operator shall also furnish to the Department copies of records required to be kept by the permit or, for information claimed to be confidential, the owner or operator may furnish such records directly to the Administrator along with a claim of confidentiality. The Department may also request that the owner or operator furnish such records directly to the Administrator along with a claim of confidentiality.</w:t>
            </w:r>
          </w:p>
        </w:tc>
      </w:tr>
      <w:tr w:rsidR="00D54368" w14:paraId="72D9EED7" w14:textId="77777777" w:rsidTr="00BD4159">
        <w:trPr>
          <w:cantSplit w:val="0"/>
        </w:trPr>
        <w:tc>
          <w:tcPr>
            <w:tcW w:w="1368" w:type="dxa"/>
            <w:tcBorders>
              <w:top w:val="single" w:sz="2" w:space="0" w:color="auto"/>
              <w:left w:val="single" w:sz="2" w:space="0" w:color="auto"/>
              <w:bottom w:val="single" w:sz="2" w:space="0" w:color="auto"/>
              <w:right w:val="single" w:sz="2" w:space="0" w:color="auto"/>
            </w:tcBorders>
          </w:tcPr>
          <w:p w14:paraId="54E1F7C2" w14:textId="77777777" w:rsidR="00F244AE" w:rsidRDefault="00F244AE" w:rsidP="00971C71">
            <w:pPr>
              <w:pStyle w:val="DNum"/>
            </w:pPr>
          </w:p>
        </w:tc>
        <w:tc>
          <w:tcPr>
            <w:tcW w:w="9432" w:type="dxa"/>
            <w:tcBorders>
              <w:top w:val="single" w:sz="2" w:space="0" w:color="auto"/>
              <w:left w:val="single" w:sz="2" w:space="0" w:color="auto"/>
              <w:bottom w:val="single" w:sz="2" w:space="0" w:color="auto"/>
              <w:right w:val="single" w:sz="2" w:space="0" w:color="auto"/>
            </w:tcBorders>
            <w:hideMark/>
          </w:tcPr>
          <w:p w14:paraId="7BEA9EC5" w14:textId="77777777" w:rsidR="00F244AE" w:rsidRDefault="00124AB6">
            <w:pPr>
              <w:rPr>
                <w:rFonts w:cs="Open Sans"/>
                <w:szCs w:val="20"/>
              </w:rPr>
            </w:pPr>
            <w:r>
              <w:rPr>
                <w:rFonts w:cs="Open Sans"/>
                <w:szCs w:val="20"/>
              </w:rPr>
              <w:t>(S.C. Regulation 61-62.70.6(a)(8)) No permit revision shall be required, under any approved economic incentives, marketable permits, emissions trading and other similar programs or processes for changes that are provided for in this permit.</w:t>
            </w:r>
          </w:p>
        </w:tc>
      </w:tr>
      <w:tr w:rsidR="00D54368" w14:paraId="3141AE36" w14:textId="77777777" w:rsidTr="00BD4159">
        <w:trPr>
          <w:cantSplit w:val="0"/>
        </w:trPr>
        <w:tc>
          <w:tcPr>
            <w:tcW w:w="1368" w:type="dxa"/>
            <w:tcBorders>
              <w:top w:val="single" w:sz="2" w:space="0" w:color="auto"/>
              <w:left w:val="single" w:sz="2" w:space="0" w:color="auto"/>
              <w:bottom w:val="single" w:sz="2" w:space="0" w:color="auto"/>
              <w:right w:val="single" w:sz="2" w:space="0" w:color="auto"/>
            </w:tcBorders>
          </w:tcPr>
          <w:p w14:paraId="2DAC90F0" w14:textId="77777777" w:rsidR="00F244AE" w:rsidRDefault="00F244AE" w:rsidP="00971C71">
            <w:pPr>
              <w:pStyle w:val="DNum"/>
            </w:pPr>
          </w:p>
        </w:tc>
        <w:tc>
          <w:tcPr>
            <w:tcW w:w="9432" w:type="dxa"/>
            <w:tcBorders>
              <w:top w:val="single" w:sz="2" w:space="0" w:color="auto"/>
              <w:left w:val="single" w:sz="2" w:space="0" w:color="auto"/>
              <w:bottom w:val="single" w:sz="2" w:space="0" w:color="auto"/>
              <w:right w:val="single" w:sz="2" w:space="0" w:color="auto"/>
            </w:tcBorders>
            <w:hideMark/>
          </w:tcPr>
          <w:p w14:paraId="50411124" w14:textId="77777777" w:rsidR="00F244AE" w:rsidRDefault="00124AB6" w:rsidP="00971C71">
            <w:pPr>
              <w:rPr>
                <w:rFonts w:cs="Open Sans"/>
                <w:szCs w:val="20"/>
              </w:rPr>
            </w:pPr>
            <w:r>
              <w:rPr>
                <w:rFonts w:cs="Open Sans"/>
                <w:szCs w:val="20"/>
              </w:rPr>
              <w:t>(S.C. Regulation 61-62.70.6(c)(2)) Upon presentation of credentials and other documents as may be required by law, the owner or operator shall allow the Department or an authorized representative to perform the following:</w:t>
            </w:r>
          </w:p>
          <w:p w14:paraId="6B3B76A1" w14:textId="77777777" w:rsidR="00F244AE" w:rsidRPr="00971C71" w:rsidRDefault="00124AB6" w:rsidP="009D71F4">
            <w:pPr>
              <w:pStyle w:val="ListParagraph"/>
            </w:pPr>
            <w:r w:rsidRPr="00971C71">
              <w:t>Enter upon the owner or operator's premises where a Part 70 source is located or emissions-related activity is conducted, or where records must be kept under the conditions of the permit.</w:t>
            </w:r>
          </w:p>
          <w:p w14:paraId="6342F58C" w14:textId="77777777" w:rsidR="00F244AE" w:rsidRPr="00971C71" w:rsidRDefault="00124AB6" w:rsidP="00971C71">
            <w:pPr>
              <w:pStyle w:val="ListParagraph"/>
            </w:pPr>
            <w:r w:rsidRPr="00971C71">
              <w:t>Have access to and copy, at reasonable times, any records that must be kept under the conditions of the permit.</w:t>
            </w:r>
          </w:p>
          <w:p w14:paraId="1AD2EDD4" w14:textId="77777777" w:rsidR="00F244AE" w:rsidRPr="00971C71" w:rsidRDefault="00124AB6" w:rsidP="00971C71">
            <w:pPr>
              <w:pStyle w:val="ListParagraph"/>
            </w:pPr>
            <w:r w:rsidRPr="00971C71">
              <w:t>Inspect any facilities, equipment (including monitoring and air pollution control equipment), practices, or operations regulated or required under this permit.</w:t>
            </w:r>
          </w:p>
          <w:p w14:paraId="28FA9C0F" w14:textId="77777777" w:rsidR="00F244AE" w:rsidRPr="00971C71" w:rsidRDefault="00124AB6" w:rsidP="00971C71">
            <w:pPr>
              <w:pStyle w:val="ListParagraph"/>
            </w:pPr>
            <w:r w:rsidRPr="00971C71">
              <w:t>As authorized by the Act and/or the S.C. Pollution Control Act, sample or monitor</w:t>
            </w:r>
            <w:r w:rsidR="00DF31BE" w:rsidRPr="00971C71">
              <w:t>,</w:t>
            </w:r>
            <w:r w:rsidRPr="00971C71">
              <w:t xml:space="preserve"> at reasonable times</w:t>
            </w:r>
            <w:r w:rsidR="00DF31BE" w:rsidRPr="00971C71">
              <w:t>,</w:t>
            </w:r>
            <w:r w:rsidRPr="00971C71">
              <w:t xml:space="preserve"> substances or parameters for the purpose of assuring compliance with the permit or applicable requirements.</w:t>
            </w:r>
          </w:p>
        </w:tc>
      </w:tr>
      <w:tr w:rsidR="00D54368" w14:paraId="4AC56798" w14:textId="77777777" w:rsidTr="00BD4159">
        <w:trPr>
          <w:cantSplit w:val="0"/>
        </w:trPr>
        <w:tc>
          <w:tcPr>
            <w:tcW w:w="1368" w:type="dxa"/>
            <w:tcBorders>
              <w:top w:val="single" w:sz="2" w:space="0" w:color="auto"/>
              <w:left w:val="single" w:sz="2" w:space="0" w:color="auto"/>
              <w:bottom w:val="single" w:sz="2" w:space="0" w:color="auto"/>
              <w:right w:val="single" w:sz="2" w:space="0" w:color="auto"/>
            </w:tcBorders>
          </w:tcPr>
          <w:p w14:paraId="3FC52163" w14:textId="77777777" w:rsidR="00F244AE" w:rsidRDefault="00F244AE" w:rsidP="00971C71">
            <w:pPr>
              <w:pStyle w:val="DNum"/>
            </w:pPr>
          </w:p>
        </w:tc>
        <w:tc>
          <w:tcPr>
            <w:tcW w:w="9432" w:type="dxa"/>
            <w:tcBorders>
              <w:top w:val="single" w:sz="2" w:space="0" w:color="auto"/>
              <w:left w:val="single" w:sz="2" w:space="0" w:color="auto"/>
              <w:bottom w:val="single" w:sz="2" w:space="0" w:color="auto"/>
              <w:right w:val="single" w:sz="2" w:space="0" w:color="auto"/>
            </w:tcBorders>
            <w:hideMark/>
          </w:tcPr>
          <w:p w14:paraId="089EAFA8" w14:textId="77777777" w:rsidR="00F244AE" w:rsidRDefault="00124AB6">
            <w:pPr>
              <w:rPr>
                <w:rFonts w:cs="Open Sans"/>
                <w:szCs w:val="20"/>
              </w:rPr>
            </w:pPr>
            <w:r>
              <w:rPr>
                <w:rFonts w:cs="Open Sans"/>
                <w:szCs w:val="20"/>
              </w:rPr>
              <w:t>(S.C. Regulation 61-62.70.6(a)(1)(ii)) Where an applicable requirement of the Act is more stringent than an applicable requirement of regulations promulgated under Title IV of the Act, both provisions shall be incorporated into the permit and shall be enforceable by the Administrator.</w:t>
            </w:r>
          </w:p>
        </w:tc>
      </w:tr>
      <w:tr w:rsidR="00D54368" w14:paraId="4E063CE6" w14:textId="77777777" w:rsidTr="00BD4159">
        <w:trPr>
          <w:cantSplit w:val="0"/>
        </w:trPr>
        <w:tc>
          <w:tcPr>
            <w:tcW w:w="1368" w:type="dxa"/>
            <w:tcBorders>
              <w:top w:val="single" w:sz="2" w:space="0" w:color="auto"/>
              <w:left w:val="single" w:sz="2" w:space="0" w:color="auto"/>
              <w:bottom w:val="single" w:sz="2" w:space="0" w:color="auto"/>
              <w:right w:val="single" w:sz="2" w:space="0" w:color="auto"/>
            </w:tcBorders>
          </w:tcPr>
          <w:p w14:paraId="12240877" w14:textId="77777777" w:rsidR="00F244AE" w:rsidRDefault="00F244AE" w:rsidP="00971C71">
            <w:pPr>
              <w:pStyle w:val="DNum"/>
            </w:pPr>
          </w:p>
        </w:tc>
        <w:tc>
          <w:tcPr>
            <w:tcW w:w="9432" w:type="dxa"/>
            <w:tcBorders>
              <w:top w:val="single" w:sz="2" w:space="0" w:color="auto"/>
              <w:left w:val="single" w:sz="2" w:space="0" w:color="auto"/>
              <w:bottom w:val="single" w:sz="2" w:space="0" w:color="auto"/>
              <w:right w:val="single" w:sz="2" w:space="0" w:color="auto"/>
            </w:tcBorders>
            <w:hideMark/>
          </w:tcPr>
          <w:p w14:paraId="0B657355" w14:textId="77777777" w:rsidR="00F244AE" w:rsidRDefault="00124AB6">
            <w:pPr>
              <w:rPr>
                <w:rFonts w:cs="Open Sans"/>
                <w:szCs w:val="20"/>
              </w:rPr>
            </w:pPr>
            <w:r>
              <w:rPr>
                <w:rFonts w:cs="Open Sans"/>
                <w:szCs w:val="20"/>
              </w:rPr>
              <w:t xml:space="preserve">(S.C. Regulation 61-62.70.6(a)(4)) </w:t>
            </w:r>
            <w:r w:rsidR="0023193B">
              <w:rPr>
                <w:rFonts w:cs="Open Sans"/>
                <w:szCs w:val="20"/>
              </w:rPr>
              <w:t>T</w:t>
            </w:r>
            <w:r>
              <w:rPr>
                <w:rFonts w:cs="Open Sans"/>
                <w:szCs w:val="20"/>
              </w:rPr>
              <w:t>he owner or operator is prohibited from emissions exceeding any allowances that the source lawfully holds under Title IV of the Act or the regulations promulgated thereunder. No permit revision shall be required for increases in emissions that are authorized by allowances acquired pursuant to the acid rain program, provided that such increases do not require a permit revision under any other applicable requirement. No limit shall be placed on the number of allowances held by a source. The source may not, however, use allowances as a defense to noncompliance with any other applicable requirement. Any such allowances shall be accounted for according to the procedures established in regulations promulgated under Title IV of the Act.</w:t>
            </w:r>
          </w:p>
        </w:tc>
      </w:tr>
      <w:tr w:rsidR="00D54368" w14:paraId="0F9B9763" w14:textId="77777777" w:rsidTr="00BD4159">
        <w:trPr>
          <w:cantSplit w:val="0"/>
        </w:trPr>
        <w:tc>
          <w:tcPr>
            <w:tcW w:w="1368" w:type="dxa"/>
            <w:tcBorders>
              <w:top w:val="single" w:sz="2" w:space="0" w:color="auto"/>
              <w:left w:val="single" w:sz="2" w:space="0" w:color="auto"/>
              <w:bottom w:val="single" w:sz="2" w:space="0" w:color="auto"/>
              <w:right w:val="single" w:sz="2" w:space="0" w:color="auto"/>
            </w:tcBorders>
          </w:tcPr>
          <w:p w14:paraId="605B2629" w14:textId="77777777" w:rsidR="00F244AE" w:rsidRDefault="00F244AE" w:rsidP="00971C71">
            <w:pPr>
              <w:pStyle w:val="DNum"/>
            </w:pPr>
          </w:p>
        </w:tc>
        <w:tc>
          <w:tcPr>
            <w:tcW w:w="9432" w:type="dxa"/>
            <w:tcBorders>
              <w:top w:val="single" w:sz="2" w:space="0" w:color="auto"/>
              <w:left w:val="single" w:sz="2" w:space="0" w:color="auto"/>
              <w:bottom w:val="single" w:sz="2" w:space="0" w:color="auto"/>
              <w:right w:val="single" w:sz="2" w:space="0" w:color="auto"/>
            </w:tcBorders>
            <w:hideMark/>
          </w:tcPr>
          <w:p w14:paraId="23D3CE3C" w14:textId="77777777" w:rsidR="00F244AE" w:rsidRDefault="00124AB6">
            <w:pPr>
              <w:rPr>
                <w:rFonts w:cs="Open Sans"/>
                <w:szCs w:val="20"/>
              </w:rPr>
            </w:pPr>
            <w:r>
              <w:rPr>
                <w:rFonts w:cs="Open Sans"/>
                <w:szCs w:val="20"/>
              </w:rPr>
              <w:t>(S.C. Regulation 61-62.70.7(c)(1)(ii)) Permit expiration terminates the source's right to operate unless a timely and complete renewal application has been submitted consistent with S.C. Regulation 61-62.70.5(a)(1)(iii), 62.70.5(a)(2)(iv), and 62.70.7(b). In this case, the permit shall not expire until the renewal permit has been issued or denied. All terms and conditions of the permit including any permit shield that may be granted pursuant to S.C. Regulation 61-62.70.6(f) shall remain in effect until the renewal permit has been issued or denied.</w:t>
            </w:r>
          </w:p>
        </w:tc>
      </w:tr>
      <w:tr w:rsidR="00D54368" w14:paraId="31AEEB90" w14:textId="77777777" w:rsidTr="00BD4159">
        <w:trPr>
          <w:cantSplit w:val="0"/>
        </w:trPr>
        <w:tc>
          <w:tcPr>
            <w:tcW w:w="1368" w:type="dxa"/>
            <w:tcBorders>
              <w:top w:val="single" w:sz="2" w:space="0" w:color="auto"/>
              <w:left w:val="single" w:sz="2" w:space="0" w:color="auto"/>
              <w:bottom w:val="single" w:sz="2" w:space="0" w:color="auto"/>
              <w:right w:val="single" w:sz="2" w:space="0" w:color="auto"/>
            </w:tcBorders>
          </w:tcPr>
          <w:p w14:paraId="5F0B5E4B" w14:textId="77777777" w:rsidR="00F244AE" w:rsidRDefault="00F244AE" w:rsidP="00971C71">
            <w:pPr>
              <w:pStyle w:val="DNum"/>
            </w:pPr>
          </w:p>
        </w:tc>
        <w:tc>
          <w:tcPr>
            <w:tcW w:w="9432" w:type="dxa"/>
            <w:tcBorders>
              <w:top w:val="single" w:sz="2" w:space="0" w:color="auto"/>
              <w:left w:val="single" w:sz="2" w:space="0" w:color="auto"/>
              <w:bottom w:val="single" w:sz="2" w:space="0" w:color="auto"/>
              <w:right w:val="single" w:sz="2" w:space="0" w:color="auto"/>
            </w:tcBorders>
            <w:hideMark/>
          </w:tcPr>
          <w:p w14:paraId="522D5F54" w14:textId="77777777" w:rsidR="00F244AE" w:rsidRDefault="00124AB6">
            <w:pPr>
              <w:rPr>
                <w:rFonts w:cs="Open Sans"/>
                <w:szCs w:val="20"/>
              </w:rPr>
            </w:pPr>
            <w:r>
              <w:rPr>
                <w:rFonts w:cs="Open Sans"/>
                <w:szCs w:val="20"/>
              </w:rPr>
              <w:t>(S.C. Regulation 61-62.70.7) Requests for permit modification and amendments shall be submitted on the appropriate Department approved Title V Modification Form(s).</w:t>
            </w:r>
          </w:p>
        </w:tc>
      </w:tr>
      <w:tr w:rsidR="00D54368" w14:paraId="7DB77F49" w14:textId="77777777" w:rsidTr="00BD4159">
        <w:trPr>
          <w:cantSplit w:val="0"/>
        </w:trPr>
        <w:tc>
          <w:tcPr>
            <w:tcW w:w="1368" w:type="dxa"/>
            <w:tcBorders>
              <w:top w:val="single" w:sz="2" w:space="0" w:color="auto"/>
              <w:left w:val="single" w:sz="2" w:space="0" w:color="auto"/>
              <w:bottom w:val="single" w:sz="2" w:space="0" w:color="auto"/>
              <w:right w:val="single" w:sz="2" w:space="0" w:color="auto"/>
            </w:tcBorders>
          </w:tcPr>
          <w:p w14:paraId="1E8FC92F" w14:textId="77777777" w:rsidR="00F244AE" w:rsidRDefault="00F244AE" w:rsidP="00971C71">
            <w:pPr>
              <w:pStyle w:val="DNum"/>
            </w:pPr>
          </w:p>
        </w:tc>
        <w:tc>
          <w:tcPr>
            <w:tcW w:w="9432" w:type="dxa"/>
            <w:tcBorders>
              <w:top w:val="single" w:sz="2" w:space="0" w:color="auto"/>
              <w:left w:val="single" w:sz="2" w:space="0" w:color="auto"/>
              <w:bottom w:val="single" w:sz="2" w:space="0" w:color="auto"/>
              <w:right w:val="single" w:sz="2" w:space="0" w:color="auto"/>
            </w:tcBorders>
            <w:hideMark/>
          </w:tcPr>
          <w:p w14:paraId="0D25C9B3" w14:textId="77777777" w:rsidR="00F244AE" w:rsidRDefault="00124AB6">
            <w:pPr>
              <w:rPr>
                <w:rFonts w:cs="Open Sans"/>
                <w:szCs w:val="20"/>
              </w:rPr>
            </w:pPr>
            <w:r>
              <w:rPr>
                <w:rFonts w:cs="Open Sans"/>
                <w:szCs w:val="20"/>
              </w:rPr>
              <w:t>(S.C. Regulation 61-62.70.6(a)(7)) The owners or operators of Part 70 sources shall pay fees to the Department consistent with the fee schedule approved pursuant to S.C. Regulation 61-62.70.9</w:t>
            </w:r>
            <w:r w:rsidR="00EE43BA" w:rsidRPr="00AD65DD">
              <w:rPr>
                <w:rFonts w:cs="Open Sans"/>
              </w:rPr>
              <w:t>; and in accordance with S.C. Regulation 61-30, Environmental Protection Fees</w:t>
            </w:r>
            <w:r w:rsidR="00EE43BA" w:rsidRPr="6512C427">
              <w:rPr>
                <w:rFonts w:cs="Open Sans"/>
              </w:rPr>
              <w:t>.</w:t>
            </w:r>
            <w:r>
              <w:rPr>
                <w:rFonts w:cs="Open Sans"/>
                <w:szCs w:val="20"/>
              </w:rPr>
              <w:t xml:space="preserve"> Failure to pay applicable fee</w:t>
            </w:r>
            <w:r w:rsidR="00B8276F">
              <w:rPr>
                <w:rFonts w:cs="Open Sans"/>
                <w:szCs w:val="20"/>
              </w:rPr>
              <w:t>s</w:t>
            </w:r>
            <w:r>
              <w:rPr>
                <w:rFonts w:cs="Open Sans"/>
                <w:szCs w:val="20"/>
              </w:rPr>
              <w:t xml:space="preserve"> can be considered grounds for permit revocation.</w:t>
            </w:r>
          </w:p>
        </w:tc>
      </w:tr>
      <w:tr w:rsidR="00D54368" w14:paraId="079E4DA1" w14:textId="77777777" w:rsidTr="00BD4159">
        <w:trPr>
          <w:cantSplit w:val="0"/>
        </w:trPr>
        <w:tc>
          <w:tcPr>
            <w:tcW w:w="1368" w:type="dxa"/>
            <w:tcBorders>
              <w:top w:val="single" w:sz="2" w:space="0" w:color="auto"/>
              <w:left w:val="single" w:sz="2" w:space="0" w:color="auto"/>
              <w:bottom w:val="single" w:sz="2" w:space="0" w:color="auto"/>
              <w:right w:val="single" w:sz="2" w:space="0" w:color="auto"/>
            </w:tcBorders>
          </w:tcPr>
          <w:p w14:paraId="039B1A9F" w14:textId="77777777" w:rsidR="00F244AE" w:rsidRDefault="00F244AE" w:rsidP="00971C71">
            <w:pPr>
              <w:pStyle w:val="DNum"/>
            </w:pPr>
          </w:p>
        </w:tc>
        <w:tc>
          <w:tcPr>
            <w:tcW w:w="9432" w:type="dxa"/>
            <w:tcBorders>
              <w:top w:val="single" w:sz="2" w:space="0" w:color="auto"/>
              <w:left w:val="single" w:sz="2" w:space="0" w:color="auto"/>
              <w:bottom w:val="single" w:sz="2" w:space="0" w:color="auto"/>
              <w:right w:val="single" w:sz="2" w:space="0" w:color="auto"/>
            </w:tcBorders>
          </w:tcPr>
          <w:p w14:paraId="7058E60E" w14:textId="77777777" w:rsidR="00F244AE" w:rsidRDefault="00124AB6">
            <w:pPr>
              <w:rPr>
                <w:rFonts w:cs="Open Sans"/>
                <w:szCs w:val="20"/>
              </w:rPr>
            </w:pPr>
            <w:r>
              <w:rPr>
                <w:rFonts w:cs="Open Sans"/>
                <w:szCs w:val="20"/>
              </w:rPr>
              <w:t xml:space="preserve">(S.C. Regulation 61-62.1, Section III) The owners or operators of Part 70 sources shall complete and submit a new updated emissions inventory consistent with the schedule approved pursuant to S.C. Regulation 61-62.1, Section III. These </w:t>
            </w:r>
            <w:r w:rsidR="0023193B">
              <w:rPr>
                <w:rFonts w:cs="Open Sans"/>
                <w:szCs w:val="20"/>
              </w:rPr>
              <w:t>r</w:t>
            </w:r>
            <w:r>
              <w:rPr>
                <w:rFonts w:cs="Open Sans"/>
                <w:szCs w:val="20"/>
              </w:rPr>
              <w:t xml:space="preserve">eports shall be submitted to the </w:t>
            </w:r>
            <w:r w:rsidR="00DF31BE">
              <w:rPr>
                <w:rFonts w:cs="Open Sans"/>
                <w:szCs w:val="20"/>
              </w:rPr>
              <w:t>Department</w:t>
            </w:r>
            <w:r>
              <w:rPr>
                <w:rFonts w:cs="Open Sans"/>
                <w:szCs w:val="20"/>
              </w:rPr>
              <w:t>.</w:t>
            </w:r>
          </w:p>
          <w:p w14:paraId="1D7E8BF1" w14:textId="77777777" w:rsidR="00F244AE" w:rsidRDefault="00F244AE">
            <w:pPr>
              <w:rPr>
                <w:rFonts w:cs="Open Sans"/>
                <w:szCs w:val="20"/>
              </w:rPr>
            </w:pPr>
          </w:p>
          <w:p w14:paraId="1ACB62E9" w14:textId="77777777" w:rsidR="00F244AE" w:rsidRDefault="00124AB6">
            <w:pPr>
              <w:rPr>
                <w:rFonts w:cs="Open Sans"/>
                <w:szCs w:val="20"/>
              </w:rPr>
            </w:pPr>
            <w:r>
              <w:rPr>
                <w:rFonts w:cs="Open Sans"/>
                <w:szCs w:val="20"/>
              </w:rPr>
              <w:t>This requirement notwithstanding, an emissions inventory may be required at any time in order to determine the compliance status of any facility.</w:t>
            </w:r>
          </w:p>
        </w:tc>
      </w:tr>
      <w:tr w:rsidR="00D54368" w14:paraId="00377667" w14:textId="77777777" w:rsidTr="00BD4159">
        <w:trPr>
          <w:cantSplit w:val="0"/>
        </w:trPr>
        <w:tc>
          <w:tcPr>
            <w:tcW w:w="1368" w:type="dxa"/>
            <w:tcBorders>
              <w:top w:val="single" w:sz="2" w:space="0" w:color="auto"/>
              <w:left w:val="single" w:sz="2" w:space="0" w:color="auto"/>
              <w:bottom w:val="single" w:sz="2" w:space="0" w:color="auto"/>
              <w:right w:val="single" w:sz="2" w:space="0" w:color="auto"/>
            </w:tcBorders>
          </w:tcPr>
          <w:p w14:paraId="5F14C9D1" w14:textId="77777777" w:rsidR="00F244AE" w:rsidRDefault="00F244AE" w:rsidP="00971C71">
            <w:pPr>
              <w:pStyle w:val="DNum"/>
            </w:pPr>
          </w:p>
        </w:tc>
        <w:tc>
          <w:tcPr>
            <w:tcW w:w="9432" w:type="dxa"/>
            <w:tcBorders>
              <w:top w:val="single" w:sz="2" w:space="0" w:color="auto"/>
              <w:left w:val="single" w:sz="2" w:space="0" w:color="auto"/>
              <w:bottom w:val="single" w:sz="2" w:space="0" w:color="auto"/>
              <w:right w:val="single" w:sz="2" w:space="0" w:color="auto"/>
            </w:tcBorders>
            <w:hideMark/>
          </w:tcPr>
          <w:p w14:paraId="3B8F36D6" w14:textId="77777777" w:rsidR="00F244AE" w:rsidRDefault="00124AB6">
            <w:pPr>
              <w:rPr>
                <w:rFonts w:cs="Open Sans"/>
                <w:szCs w:val="20"/>
              </w:rPr>
            </w:pPr>
            <w:r>
              <w:rPr>
                <w:rFonts w:cs="Open Sans"/>
                <w:szCs w:val="20"/>
              </w:rPr>
              <w:t xml:space="preserve">This permit expressly incorporates insignificant activities. Emissions from </w:t>
            </w:r>
            <w:r w:rsidR="00DB4C7D">
              <w:rPr>
                <w:rFonts w:cs="Open Sans"/>
                <w:szCs w:val="20"/>
              </w:rPr>
              <w:t>insignificant</w:t>
            </w:r>
            <w:r>
              <w:rPr>
                <w:rFonts w:cs="Open Sans"/>
                <w:szCs w:val="20"/>
              </w:rPr>
              <w:t xml:space="preserve"> activities shall be included in the emissions inventory submittals as required by S.C. Regulation 61-62.1, Section III(B)(2)(g).</w:t>
            </w:r>
          </w:p>
        </w:tc>
      </w:tr>
      <w:tr w:rsidR="00D54368" w14:paraId="503E2E10" w14:textId="77777777" w:rsidTr="00BD4159">
        <w:trPr>
          <w:cantSplit w:val="0"/>
        </w:trPr>
        <w:tc>
          <w:tcPr>
            <w:tcW w:w="1368" w:type="dxa"/>
            <w:tcBorders>
              <w:top w:val="single" w:sz="2" w:space="0" w:color="auto"/>
              <w:left w:val="single" w:sz="2" w:space="0" w:color="auto"/>
              <w:bottom w:val="single" w:sz="2" w:space="0" w:color="auto"/>
              <w:right w:val="single" w:sz="2" w:space="0" w:color="auto"/>
            </w:tcBorders>
          </w:tcPr>
          <w:p w14:paraId="6AC60BE8" w14:textId="77777777" w:rsidR="00F244AE" w:rsidRDefault="00F244AE" w:rsidP="00971C71">
            <w:pPr>
              <w:pStyle w:val="DNum"/>
            </w:pPr>
          </w:p>
        </w:tc>
        <w:tc>
          <w:tcPr>
            <w:tcW w:w="9432" w:type="dxa"/>
            <w:tcBorders>
              <w:top w:val="single" w:sz="2" w:space="0" w:color="auto"/>
              <w:left w:val="single" w:sz="2" w:space="0" w:color="auto"/>
              <w:bottom w:val="single" w:sz="2" w:space="0" w:color="auto"/>
              <w:right w:val="single" w:sz="2" w:space="0" w:color="auto"/>
            </w:tcBorders>
            <w:hideMark/>
          </w:tcPr>
          <w:p w14:paraId="4AC3AFDA" w14:textId="77777777" w:rsidR="00F244AE" w:rsidRDefault="00124AB6">
            <w:pPr>
              <w:rPr>
                <w:rFonts w:cs="Open Sans"/>
                <w:szCs w:val="20"/>
              </w:rPr>
            </w:pPr>
            <w:r>
              <w:rPr>
                <w:rFonts w:cs="Open Sans"/>
                <w:szCs w:val="20"/>
              </w:rPr>
              <w:t>(S.C. Regulation 61-62.1, Section II(J)(1)(a)) No applicable law, regulation, or standard will be contravened.</w:t>
            </w:r>
          </w:p>
        </w:tc>
      </w:tr>
      <w:tr w:rsidR="00D54368" w14:paraId="6F39D776" w14:textId="77777777" w:rsidTr="00BD4159">
        <w:trPr>
          <w:cantSplit w:val="0"/>
        </w:trPr>
        <w:tc>
          <w:tcPr>
            <w:tcW w:w="1368" w:type="dxa"/>
            <w:tcBorders>
              <w:top w:val="single" w:sz="2" w:space="0" w:color="auto"/>
              <w:left w:val="single" w:sz="2" w:space="0" w:color="auto"/>
              <w:bottom w:val="single" w:sz="2" w:space="0" w:color="auto"/>
              <w:right w:val="single" w:sz="2" w:space="0" w:color="auto"/>
            </w:tcBorders>
          </w:tcPr>
          <w:p w14:paraId="7C79FCEB" w14:textId="77777777" w:rsidR="00F244AE" w:rsidRDefault="00F244AE" w:rsidP="00971C71">
            <w:pPr>
              <w:pStyle w:val="DNum"/>
            </w:pPr>
          </w:p>
        </w:tc>
        <w:tc>
          <w:tcPr>
            <w:tcW w:w="9432" w:type="dxa"/>
            <w:tcBorders>
              <w:top w:val="single" w:sz="2" w:space="0" w:color="auto"/>
              <w:left w:val="single" w:sz="2" w:space="0" w:color="auto"/>
              <w:bottom w:val="single" w:sz="2" w:space="0" w:color="auto"/>
              <w:right w:val="single" w:sz="2" w:space="0" w:color="auto"/>
            </w:tcBorders>
            <w:hideMark/>
          </w:tcPr>
          <w:p w14:paraId="6EE8ACCB" w14:textId="77777777" w:rsidR="00F244AE" w:rsidRDefault="00124AB6">
            <w:pPr>
              <w:rPr>
                <w:rFonts w:cs="Open Sans"/>
                <w:szCs w:val="20"/>
              </w:rPr>
            </w:pPr>
            <w:r>
              <w:rPr>
                <w:rFonts w:cs="Open Sans"/>
                <w:szCs w:val="20"/>
              </w:rPr>
              <w:t>(S.C. Regulation 61-62.1, Section II(J)(1)(e)) Any owner or operator who constructs or operates a source or modification not in accordance with the application submitted pursuant to S.C. Regulation 61-62.1 or with the terms of any approval to construct, or who commences construction after the effective date of S.C. Regulation 61-62.1 without applying for and receiving approval hereunder, shall be subject to enforcement action.</w:t>
            </w:r>
          </w:p>
        </w:tc>
      </w:tr>
    </w:tbl>
    <w:p w14:paraId="190BC37A" w14:textId="77777777" w:rsidR="00F244AE" w:rsidRDefault="00F244AE" w:rsidP="00F244AE">
      <w:pPr>
        <w:rPr>
          <w:rFonts w:cs="Open Sans"/>
          <w:szCs w:val="20"/>
        </w:rPr>
      </w:pPr>
    </w:p>
    <w:p w14:paraId="7356F1AA" w14:textId="77777777" w:rsidR="00F244AE" w:rsidRDefault="00F244AE" w:rsidP="00F244AE">
      <w:pPr>
        <w:rPr>
          <w:rFonts w:cs="Open Sans"/>
          <w:szCs w:val="20"/>
        </w:rPr>
      </w:pPr>
    </w:p>
    <w:tbl>
      <w:tblPr>
        <w:tblStyle w:val="TableGrid"/>
        <w:tblW w:w="10800" w:type="dxa"/>
        <w:tblLook w:val="04A0" w:firstRow="1" w:lastRow="0" w:firstColumn="1" w:lastColumn="0" w:noHBand="0" w:noVBand="1"/>
      </w:tblPr>
      <w:tblGrid>
        <w:gridCol w:w="1368"/>
        <w:gridCol w:w="9432"/>
      </w:tblGrid>
      <w:tr w:rsidR="00D54368" w14:paraId="08898CDF" w14:textId="77777777" w:rsidTr="00BD4159">
        <w:trPr>
          <w:cantSplit w:val="0"/>
          <w:tblHeader/>
        </w:trPr>
        <w:tc>
          <w:tcPr>
            <w:tcW w:w="10800" w:type="dxa"/>
            <w:gridSpan w:val="2"/>
            <w:tcBorders>
              <w:top w:val="single" w:sz="2" w:space="0" w:color="auto"/>
              <w:left w:val="single" w:sz="2" w:space="0" w:color="auto"/>
              <w:bottom w:val="single" w:sz="2" w:space="0" w:color="auto"/>
              <w:right w:val="single" w:sz="2" w:space="0" w:color="auto"/>
            </w:tcBorders>
          </w:tcPr>
          <w:p w14:paraId="6981F87F" w14:textId="77777777" w:rsidR="00F244AE" w:rsidRPr="00A3574E" w:rsidRDefault="00124AB6" w:rsidP="00971C71">
            <w:pPr>
              <w:pStyle w:val="TableHeading"/>
            </w:pPr>
            <w:r w:rsidRPr="00A3574E">
              <w:t>GENERAL RECORD KEEPING AND REPORTING</w:t>
            </w:r>
          </w:p>
          <w:p w14:paraId="3A271626" w14:textId="77777777" w:rsidR="00F244AE" w:rsidRDefault="00F244AE">
            <w:pPr>
              <w:rPr>
                <w:rFonts w:cs="Open Sans"/>
                <w:szCs w:val="20"/>
              </w:rPr>
            </w:pPr>
          </w:p>
        </w:tc>
      </w:tr>
      <w:tr w:rsidR="00D54368" w14:paraId="31364C8B" w14:textId="77777777" w:rsidTr="00BD4159">
        <w:trPr>
          <w:cantSplit w:val="0"/>
          <w:tblHeader/>
        </w:trPr>
        <w:tc>
          <w:tcPr>
            <w:tcW w:w="1368"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1FEDEB0E" w14:textId="77777777" w:rsidR="00F244AE" w:rsidRDefault="00124AB6">
            <w:pPr>
              <w:jc w:val="center"/>
              <w:rPr>
                <w:rFonts w:cs="Open Sans"/>
                <w:b/>
                <w:szCs w:val="20"/>
              </w:rPr>
            </w:pPr>
            <w:r>
              <w:rPr>
                <w:rFonts w:cs="Open Sans"/>
                <w:b/>
                <w:szCs w:val="20"/>
              </w:rPr>
              <w:t>Condition Number</w:t>
            </w:r>
          </w:p>
        </w:tc>
        <w:tc>
          <w:tcPr>
            <w:tcW w:w="9432"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055F39BA" w14:textId="77777777" w:rsidR="00F244AE" w:rsidRDefault="00124AB6">
            <w:pPr>
              <w:jc w:val="center"/>
              <w:rPr>
                <w:rFonts w:cs="Open Sans"/>
                <w:b/>
                <w:szCs w:val="20"/>
              </w:rPr>
            </w:pPr>
            <w:r>
              <w:rPr>
                <w:rFonts w:cs="Open Sans"/>
                <w:b/>
                <w:szCs w:val="20"/>
              </w:rPr>
              <w:t>Conditions</w:t>
            </w:r>
          </w:p>
        </w:tc>
      </w:tr>
      <w:tr w:rsidR="00D54368" w14:paraId="6C4CD000" w14:textId="77777777" w:rsidTr="00BD4159">
        <w:trPr>
          <w:cantSplit w:val="0"/>
        </w:trPr>
        <w:tc>
          <w:tcPr>
            <w:tcW w:w="1368" w:type="dxa"/>
            <w:tcBorders>
              <w:top w:val="single" w:sz="2" w:space="0" w:color="auto"/>
              <w:left w:val="single" w:sz="2" w:space="0" w:color="auto"/>
              <w:bottom w:val="single" w:sz="2" w:space="0" w:color="auto"/>
              <w:right w:val="single" w:sz="2" w:space="0" w:color="auto"/>
            </w:tcBorders>
          </w:tcPr>
          <w:p w14:paraId="0B233E46" w14:textId="77777777" w:rsidR="00F244AE" w:rsidRDefault="00F244AE" w:rsidP="009D71F4">
            <w:pPr>
              <w:pStyle w:val="ENum0"/>
            </w:pPr>
          </w:p>
        </w:tc>
        <w:tc>
          <w:tcPr>
            <w:tcW w:w="9432" w:type="dxa"/>
            <w:tcBorders>
              <w:top w:val="single" w:sz="2" w:space="0" w:color="auto"/>
              <w:left w:val="single" w:sz="2" w:space="0" w:color="auto"/>
              <w:bottom w:val="single" w:sz="2" w:space="0" w:color="auto"/>
              <w:right w:val="single" w:sz="2" w:space="0" w:color="auto"/>
            </w:tcBorders>
            <w:hideMark/>
          </w:tcPr>
          <w:p w14:paraId="6218CBBC" w14:textId="77777777" w:rsidR="00F244AE" w:rsidRDefault="00124AB6">
            <w:pPr>
              <w:rPr>
                <w:rFonts w:cs="Open Sans"/>
                <w:szCs w:val="20"/>
              </w:rPr>
            </w:pPr>
            <w:r>
              <w:rPr>
                <w:rFonts w:cs="Open Sans"/>
                <w:szCs w:val="20"/>
              </w:rPr>
              <w:t xml:space="preserve">(S.C. Regulation 61-62.1, Section II(J)(1)(g)) A copy of the Department issued construction and/or operating permit must be kept readily available at the facility at all times. The owner or operator shall maintain such operational records; make reports; install, use, and maintain monitoring equipment or methods; sample and analyze emissions or discharges in accordance with prescribed methods at locations, intervals, and procedures as the Department shall prescribe; and provide such other information as the Department reasonably may require. All records required to demonstrate compliance with the limits established under this permit shall be maintained on site for a period of at least </w:t>
            </w:r>
            <w:r w:rsidR="0023193B">
              <w:rPr>
                <w:rFonts w:cs="Open Sans"/>
                <w:szCs w:val="20"/>
              </w:rPr>
              <w:t>five (</w:t>
            </w:r>
            <w:r>
              <w:rPr>
                <w:rFonts w:cs="Open Sans"/>
                <w:szCs w:val="20"/>
              </w:rPr>
              <w:t>5</w:t>
            </w:r>
            <w:r w:rsidR="0023193B">
              <w:rPr>
                <w:rFonts w:cs="Open Sans"/>
                <w:szCs w:val="20"/>
              </w:rPr>
              <w:t>)</w:t>
            </w:r>
            <w:r>
              <w:rPr>
                <w:rFonts w:cs="Open Sans"/>
                <w:szCs w:val="20"/>
              </w:rPr>
              <w:t xml:space="preserve"> years from the date the record was generated and shall be made available to a Department representative upon request.</w:t>
            </w:r>
          </w:p>
        </w:tc>
      </w:tr>
      <w:tr w:rsidR="00D54368" w14:paraId="6736601E" w14:textId="77777777" w:rsidTr="00BD4159">
        <w:trPr>
          <w:cantSplit w:val="0"/>
        </w:trPr>
        <w:tc>
          <w:tcPr>
            <w:tcW w:w="1368" w:type="dxa"/>
            <w:tcBorders>
              <w:top w:val="single" w:sz="2" w:space="0" w:color="auto"/>
              <w:left w:val="single" w:sz="2" w:space="0" w:color="auto"/>
              <w:bottom w:val="single" w:sz="2" w:space="0" w:color="auto"/>
              <w:right w:val="single" w:sz="2" w:space="0" w:color="auto"/>
            </w:tcBorders>
          </w:tcPr>
          <w:p w14:paraId="59D46EA2" w14:textId="77777777" w:rsidR="00F244AE" w:rsidRDefault="00F244AE" w:rsidP="009D71F4">
            <w:pPr>
              <w:pStyle w:val="ENum0"/>
            </w:pPr>
          </w:p>
        </w:tc>
        <w:tc>
          <w:tcPr>
            <w:tcW w:w="9432" w:type="dxa"/>
            <w:tcBorders>
              <w:top w:val="single" w:sz="2" w:space="0" w:color="auto"/>
              <w:left w:val="single" w:sz="2" w:space="0" w:color="auto"/>
              <w:bottom w:val="single" w:sz="2" w:space="0" w:color="auto"/>
              <w:right w:val="single" w:sz="2" w:space="0" w:color="auto"/>
            </w:tcBorders>
          </w:tcPr>
          <w:p w14:paraId="45A52693" w14:textId="77777777" w:rsidR="00F244AE" w:rsidRDefault="00124AB6">
            <w:pPr>
              <w:rPr>
                <w:rFonts w:cs="Open Sans"/>
                <w:szCs w:val="20"/>
              </w:rPr>
            </w:pPr>
            <w:r>
              <w:t>(S.C. Regulation 61-62.70.6(a)(3)(iii)(A))</w:t>
            </w:r>
            <w:r w:rsidR="00EE43BA">
              <w:t xml:space="preserve"> </w:t>
            </w:r>
            <w:r>
              <w:t>The owner or operator shall submit reports required in this permit in a timely manner and according to the reporting schedule that has previously been established through the Department’s approved electronic permitting system.</w:t>
            </w:r>
          </w:p>
          <w:p w14:paraId="6BC5BA8E" w14:textId="77777777" w:rsidR="00F244AE" w:rsidRDefault="00F244AE">
            <w:pPr>
              <w:rPr>
                <w:rFonts w:cs="Open Sans"/>
                <w:szCs w:val="20"/>
              </w:rPr>
            </w:pPr>
          </w:p>
          <w:p w14:paraId="1B92BBAB" w14:textId="77777777" w:rsidR="00F244AE" w:rsidRDefault="00124AB6">
            <w:pPr>
              <w:rPr>
                <w:rFonts w:cs="Open Sans"/>
                <w:szCs w:val="20"/>
              </w:rPr>
            </w:pPr>
            <w:r>
              <w:rPr>
                <w:rFonts w:cs="Open Sans"/>
                <w:szCs w:val="20"/>
              </w:rPr>
              <w:t>All required reports must be certified by a responsible official consistent with S.C. Regulation 61-62.70.5(d).</w:t>
            </w:r>
          </w:p>
        </w:tc>
      </w:tr>
      <w:tr w:rsidR="00D54368" w14:paraId="61D2807A" w14:textId="77777777" w:rsidTr="00BD4159">
        <w:trPr>
          <w:cantSplit w:val="0"/>
        </w:trPr>
        <w:tc>
          <w:tcPr>
            <w:tcW w:w="1368" w:type="dxa"/>
            <w:tcBorders>
              <w:top w:val="single" w:sz="2" w:space="0" w:color="auto"/>
              <w:left w:val="single" w:sz="2" w:space="0" w:color="auto"/>
              <w:bottom w:val="single" w:sz="2" w:space="0" w:color="auto"/>
              <w:right w:val="single" w:sz="2" w:space="0" w:color="auto"/>
            </w:tcBorders>
          </w:tcPr>
          <w:p w14:paraId="2C12464D" w14:textId="77777777" w:rsidR="00F244AE" w:rsidRDefault="00F244AE" w:rsidP="009D71F4">
            <w:pPr>
              <w:pStyle w:val="ENum0"/>
            </w:pPr>
          </w:p>
        </w:tc>
        <w:tc>
          <w:tcPr>
            <w:tcW w:w="9432" w:type="dxa"/>
            <w:tcBorders>
              <w:top w:val="single" w:sz="2" w:space="0" w:color="auto"/>
              <w:left w:val="single" w:sz="2" w:space="0" w:color="auto"/>
              <w:bottom w:val="single" w:sz="2" w:space="0" w:color="auto"/>
              <w:right w:val="single" w:sz="2" w:space="0" w:color="auto"/>
            </w:tcBorders>
            <w:hideMark/>
          </w:tcPr>
          <w:p w14:paraId="541FC4EC" w14:textId="77777777" w:rsidR="00F244AE" w:rsidRDefault="00124AB6">
            <w:pPr>
              <w:rPr>
                <w:rFonts w:cs="Open Sans"/>
                <w:b/>
                <w:szCs w:val="20"/>
                <w:highlight w:val="yellow"/>
              </w:rPr>
            </w:pPr>
            <w:r>
              <w:rPr>
                <w:rFonts w:cs="Open Sans"/>
                <w:szCs w:val="20"/>
              </w:rPr>
              <w:t xml:space="preserve">(S.C. Regulation 61-62.70.6(a)(3)(iii)) All reports and notifications required under this permit shall be submitted to the </w:t>
            </w:r>
            <w:r w:rsidR="00DF31BE">
              <w:rPr>
                <w:rFonts w:cs="Open Sans"/>
                <w:szCs w:val="20"/>
              </w:rPr>
              <w:t>Department</w:t>
            </w:r>
            <w:r>
              <w:rPr>
                <w:rFonts w:cs="Open Sans"/>
                <w:szCs w:val="20"/>
              </w:rPr>
              <w:t>.</w:t>
            </w:r>
          </w:p>
        </w:tc>
      </w:tr>
      <w:tr w:rsidR="00D54368" w14:paraId="49A8960B" w14:textId="77777777" w:rsidTr="00355AFC">
        <w:trPr>
          <w:cantSplit w:val="0"/>
        </w:trPr>
        <w:tc>
          <w:tcPr>
            <w:tcW w:w="1368" w:type="dxa"/>
            <w:tcBorders>
              <w:top w:val="single" w:sz="2" w:space="0" w:color="auto"/>
              <w:left w:val="single" w:sz="2" w:space="0" w:color="auto"/>
              <w:bottom w:val="single" w:sz="2" w:space="0" w:color="auto"/>
              <w:right w:val="single" w:sz="2" w:space="0" w:color="auto"/>
            </w:tcBorders>
          </w:tcPr>
          <w:p w14:paraId="6397B3FE" w14:textId="77777777" w:rsidR="00F244AE" w:rsidRDefault="00F244AE" w:rsidP="009D71F4">
            <w:pPr>
              <w:pStyle w:val="ENum0"/>
            </w:pPr>
          </w:p>
        </w:tc>
        <w:tc>
          <w:tcPr>
            <w:tcW w:w="9432" w:type="dxa"/>
            <w:tcBorders>
              <w:top w:val="single" w:sz="2" w:space="0" w:color="auto"/>
              <w:left w:val="single" w:sz="2" w:space="0" w:color="auto"/>
              <w:bottom w:val="single" w:sz="2" w:space="0" w:color="auto"/>
              <w:right w:val="single" w:sz="2" w:space="0" w:color="auto"/>
            </w:tcBorders>
            <w:shd w:val="clear" w:color="auto" w:fill="auto"/>
            <w:hideMark/>
          </w:tcPr>
          <w:p w14:paraId="4DE0F1C9" w14:textId="77777777" w:rsidR="00F244AE" w:rsidRDefault="00124AB6">
            <w:pPr>
              <w:rPr>
                <w:rFonts w:cs="Open Sans"/>
                <w:szCs w:val="20"/>
              </w:rPr>
            </w:pPr>
            <w:r>
              <w:rPr>
                <w:rFonts w:cs="Open Sans"/>
                <w:szCs w:val="20"/>
              </w:rPr>
              <w:t>(S</w:t>
            </w:r>
            <w:r w:rsidRPr="00355AFC">
              <w:rPr>
                <w:rFonts w:cs="Open Sans"/>
                <w:szCs w:val="20"/>
              </w:rPr>
              <w:t xml:space="preserve">.C. Regulation 61-62.70.6(c)(5)(iv)) </w:t>
            </w:r>
            <w:r w:rsidR="00E957AB" w:rsidRPr="00355AFC">
              <w:rPr>
                <w:rStyle w:val="normaltextrun"/>
                <w:rFonts w:cs="Open Sans"/>
                <w:color w:val="000000"/>
                <w:szCs w:val="20"/>
              </w:rPr>
              <w:t xml:space="preserve">All Title V Annual Compliance Certifications shall be sent to the US EPA, Region 4, Air Enforcement Branch and to </w:t>
            </w:r>
            <w:r w:rsidR="00B51C5C" w:rsidRPr="00355AFC">
              <w:rPr>
                <w:rStyle w:val="normaltextrun"/>
                <w:rFonts w:cs="Open Sans"/>
                <w:color w:val="000000"/>
                <w:szCs w:val="20"/>
              </w:rPr>
              <w:t>t</w:t>
            </w:r>
            <w:r w:rsidR="00E957AB" w:rsidRPr="00355AFC">
              <w:rPr>
                <w:rStyle w:val="normaltextrun"/>
                <w:rFonts w:cs="Open Sans"/>
                <w:color w:val="000000"/>
                <w:szCs w:val="20"/>
              </w:rPr>
              <w:t>he Department. These reports can be submitted electronically to EPA through CED</w:t>
            </w:r>
            <w:r w:rsidR="00E957AB" w:rsidRPr="00E957AB">
              <w:rPr>
                <w:rStyle w:val="normaltextrun"/>
                <w:rFonts w:cs="Open Sans"/>
                <w:color w:val="000000"/>
                <w:szCs w:val="20"/>
                <w:shd w:val="clear" w:color="auto" w:fill="FFFFFF"/>
              </w:rPr>
              <w:t>RI.</w:t>
            </w:r>
          </w:p>
        </w:tc>
      </w:tr>
      <w:tr w:rsidR="00D54368" w14:paraId="4BB782E5" w14:textId="77777777" w:rsidTr="00BD4159">
        <w:trPr>
          <w:cantSplit w:val="0"/>
        </w:trPr>
        <w:tc>
          <w:tcPr>
            <w:tcW w:w="1368" w:type="dxa"/>
            <w:tcBorders>
              <w:top w:val="single" w:sz="2" w:space="0" w:color="auto"/>
              <w:left w:val="single" w:sz="2" w:space="0" w:color="auto"/>
              <w:bottom w:val="single" w:sz="2" w:space="0" w:color="auto"/>
              <w:right w:val="single" w:sz="2" w:space="0" w:color="auto"/>
            </w:tcBorders>
          </w:tcPr>
          <w:p w14:paraId="6390FEA8" w14:textId="77777777" w:rsidR="00F244AE" w:rsidRDefault="00F244AE" w:rsidP="009D71F4">
            <w:pPr>
              <w:pStyle w:val="ENum0"/>
            </w:pPr>
          </w:p>
        </w:tc>
        <w:tc>
          <w:tcPr>
            <w:tcW w:w="9432" w:type="dxa"/>
            <w:tcBorders>
              <w:top w:val="single" w:sz="2" w:space="0" w:color="auto"/>
              <w:left w:val="single" w:sz="2" w:space="0" w:color="auto"/>
              <w:bottom w:val="single" w:sz="2" w:space="0" w:color="auto"/>
              <w:right w:val="single" w:sz="2" w:space="0" w:color="auto"/>
            </w:tcBorders>
            <w:hideMark/>
          </w:tcPr>
          <w:p w14:paraId="4C866AFE" w14:textId="77777777" w:rsidR="00F244AE" w:rsidRDefault="00124AB6">
            <w:pPr>
              <w:rPr>
                <w:rFonts w:cs="Open Sans"/>
                <w:szCs w:val="20"/>
              </w:rPr>
            </w:pPr>
            <w:r>
              <w:rPr>
                <w:rFonts w:cs="Open Sans"/>
                <w:szCs w:val="20"/>
              </w:rPr>
              <w:t>(S.C. Regulation 61-62.70.6(a)(3)(ii)) The owner or operator shall comply, where applicable, with the following monitoring/support information collection and retention record keeping requirements:</w:t>
            </w:r>
          </w:p>
          <w:p w14:paraId="5BC364B1" w14:textId="77777777" w:rsidR="00971C71" w:rsidRPr="00971C71" w:rsidRDefault="00124AB6" w:rsidP="00971C71">
            <w:pPr>
              <w:pStyle w:val="ListParagraph"/>
              <w:numPr>
                <w:ilvl w:val="0"/>
                <w:numId w:val="18"/>
              </w:numPr>
            </w:pPr>
            <w:r w:rsidRPr="00971C71">
              <w:t>Records of required monitoring information shall include the following:</w:t>
            </w:r>
          </w:p>
          <w:p w14:paraId="71FAD302" w14:textId="77777777" w:rsidR="00F244AE" w:rsidRPr="00971C71" w:rsidRDefault="00124AB6" w:rsidP="009D71F4">
            <w:pPr>
              <w:pStyle w:val="ListParagraph"/>
              <w:numPr>
                <w:ilvl w:val="1"/>
                <w:numId w:val="16"/>
              </w:numPr>
            </w:pPr>
            <w:r w:rsidRPr="00971C71">
              <w:t>The date, place as defined in the permit, and time of sampling or measurements;</w:t>
            </w:r>
          </w:p>
          <w:p w14:paraId="3E7DE578" w14:textId="77777777" w:rsidR="00F244AE" w:rsidRPr="00971C71" w:rsidRDefault="00124AB6" w:rsidP="00971C71">
            <w:pPr>
              <w:pStyle w:val="ListParaeP"/>
              <w:numPr>
                <w:ilvl w:val="1"/>
                <w:numId w:val="16"/>
              </w:numPr>
            </w:pPr>
            <w:r w:rsidRPr="00971C71">
              <w:t>The date(s) analyses were performed;</w:t>
            </w:r>
          </w:p>
          <w:p w14:paraId="7ED8FC3D" w14:textId="77777777" w:rsidR="00F244AE" w:rsidRPr="00971C71" w:rsidRDefault="00124AB6" w:rsidP="00971C71">
            <w:pPr>
              <w:pStyle w:val="ListParaeP"/>
              <w:numPr>
                <w:ilvl w:val="1"/>
                <w:numId w:val="16"/>
              </w:numPr>
            </w:pPr>
            <w:r w:rsidRPr="00971C71">
              <w:t>The company or entity that performed the analyses;</w:t>
            </w:r>
          </w:p>
          <w:p w14:paraId="6551B395" w14:textId="77777777" w:rsidR="00F244AE" w:rsidRPr="00971C71" w:rsidRDefault="00124AB6" w:rsidP="00971C71">
            <w:pPr>
              <w:pStyle w:val="ListParaeP"/>
              <w:numPr>
                <w:ilvl w:val="1"/>
                <w:numId w:val="16"/>
              </w:numPr>
            </w:pPr>
            <w:r w:rsidRPr="00971C71">
              <w:t>The analytical techniques or methods used;</w:t>
            </w:r>
          </w:p>
          <w:p w14:paraId="0A634C0D" w14:textId="77777777" w:rsidR="00F244AE" w:rsidRPr="00971C71" w:rsidRDefault="00124AB6" w:rsidP="00971C71">
            <w:pPr>
              <w:pStyle w:val="ListParaeP"/>
              <w:numPr>
                <w:ilvl w:val="1"/>
                <w:numId w:val="16"/>
              </w:numPr>
            </w:pPr>
            <w:r w:rsidRPr="00971C71">
              <w:t>The results of such analyses; and</w:t>
            </w:r>
          </w:p>
          <w:p w14:paraId="1E6937F0" w14:textId="77777777" w:rsidR="00F244AE" w:rsidRPr="00971C71" w:rsidRDefault="00124AB6" w:rsidP="00971C71">
            <w:pPr>
              <w:pStyle w:val="ListParaeP"/>
              <w:numPr>
                <w:ilvl w:val="1"/>
                <w:numId w:val="16"/>
              </w:numPr>
            </w:pPr>
            <w:r w:rsidRPr="00971C71">
              <w:t>The operating conditions as existing at the time of sampling or measurement;</w:t>
            </w:r>
          </w:p>
          <w:p w14:paraId="4593A1EB" w14:textId="77777777" w:rsidR="00F244AE" w:rsidRPr="00971C71" w:rsidRDefault="00124AB6" w:rsidP="00971C71">
            <w:pPr>
              <w:pStyle w:val="ListParagraph"/>
            </w:pPr>
            <w:r w:rsidRPr="00971C71">
              <w:t xml:space="preserve">Records of all required monitoring data and support information shall be retained for a period of at least </w:t>
            </w:r>
            <w:r w:rsidR="0023193B" w:rsidRPr="00971C71">
              <w:t>five (</w:t>
            </w:r>
            <w:r w:rsidRPr="00971C71">
              <w:t>5</w:t>
            </w:r>
            <w:r w:rsidR="0023193B" w:rsidRPr="00971C71">
              <w:t>)</w:t>
            </w:r>
            <w:r w:rsidRPr="00971C71">
              <w:t xml:space="preserve">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tc>
      </w:tr>
      <w:tr w:rsidR="00D54368" w14:paraId="17239744" w14:textId="77777777" w:rsidTr="00BD4159">
        <w:trPr>
          <w:cantSplit w:val="0"/>
        </w:trPr>
        <w:tc>
          <w:tcPr>
            <w:tcW w:w="1368" w:type="dxa"/>
            <w:tcBorders>
              <w:top w:val="single" w:sz="2" w:space="0" w:color="auto"/>
              <w:left w:val="single" w:sz="2" w:space="0" w:color="auto"/>
              <w:bottom w:val="single" w:sz="2" w:space="0" w:color="auto"/>
              <w:right w:val="single" w:sz="2" w:space="0" w:color="auto"/>
            </w:tcBorders>
          </w:tcPr>
          <w:p w14:paraId="5A2572D1" w14:textId="77777777" w:rsidR="00F244AE" w:rsidRDefault="00F244AE" w:rsidP="009D71F4">
            <w:pPr>
              <w:pStyle w:val="ENum0"/>
            </w:pPr>
          </w:p>
        </w:tc>
        <w:tc>
          <w:tcPr>
            <w:tcW w:w="9432" w:type="dxa"/>
            <w:tcBorders>
              <w:top w:val="single" w:sz="2" w:space="0" w:color="auto"/>
              <w:left w:val="single" w:sz="2" w:space="0" w:color="auto"/>
              <w:bottom w:val="single" w:sz="2" w:space="0" w:color="auto"/>
              <w:right w:val="single" w:sz="2" w:space="0" w:color="auto"/>
            </w:tcBorders>
          </w:tcPr>
          <w:p w14:paraId="69B29DC8" w14:textId="77777777" w:rsidR="0023193B" w:rsidRDefault="00124AB6" w:rsidP="0023193B">
            <w:pPr>
              <w:rPr>
                <w:rFonts w:cs="Open Sans"/>
                <w:szCs w:val="20"/>
              </w:rPr>
            </w:pPr>
            <w:r>
              <w:rPr>
                <w:rFonts w:cs="Open Sans"/>
                <w:szCs w:val="20"/>
              </w:rPr>
              <w:t>(S.C. Regulation 61-62.1, Section II(J)(1)(c)) For sources not required to have continuous emission monitors, any malfunction of air pollution control equipment or system, process upset, or other equipment failure which results in discharges of air contaminants lasting for one (1) hour or more and which are greater than those discharges described for normal operation in the permit application, shall be reported to the Department within twenty-four (24) hours after the beginning of the occurrence and a written report shall be submitted to the Department within thirty (30) days. The written report shall include, at a minimum, the following:</w:t>
            </w:r>
          </w:p>
          <w:p w14:paraId="045BE40B" w14:textId="77777777" w:rsidR="0023193B" w:rsidRPr="00971C71" w:rsidRDefault="00124AB6" w:rsidP="00971C71">
            <w:pPr>
              <w:pStyle w:val="ListParagraph"/>
              <w:numPr>
                <w:ilvl w:val="0"/>
                <w:numId w:val="19"/>
              </w:numPr>
            </w:pPr>
            <w:r w:rsidRPr="00971C71">
              <w:t>The identity of the stack and/or emission point where the excess emissions occurred;</w:t>
            </w:r>
          </w:p>
          <w:p w14:paraId="54481A11" w14:textId="77777777" w:rsidR="0023193B" w:rsidRPr="00971C71" w:rsidRDefault="00124AB6" w:rsidP="00971C71">
            <w:pPr>
              <w:pStyle w:val="ListParagraph"/>
            </w:pPr>
            <w:r w:rsidRPr="00971C71">
              <w:t>The magnitude of excess emissions expressed in the units of the applicable emission limitation and the operating data and calculations used in determining the excess emissions;</w:t>
            </w:r>
          </w:p>
          <w:p w14:paraId="6D1CCE1F" w14:textId="77777777" w:rsidR="0023193B" w:rsidRPr="00971C71" w:rsidRDefault="00124AB6" w:rsidP="00971C71">
            <w:pPr>
              <w:pStyle w:val="ListParagraph"/>
            </w:pPr>
            <w:r w:rsidRPr="00971C71">
              <w:t>The time and duration of excess emissions;</w:t>
            </w:r>
          </w:p>
          <w:p w14:paraId="051C7433" w14:textId="77777777" w:rsidR="0023193B" w:rsidRPr="00971C71" w:rsidRDefault="00124AB6" w:rsidP="00971C71">
            <w:pPr>
              <w:pStyle w:val="ListParagraph"/>
            </w:pPr>
            <w:r w:rsidRPr="00971C71">
              <w:t>The identity of the equipment causing the excess emissions;</w:t>
            </w:r>
          </w:p>
          <w:p w14:paraId="2FA28299" w14:textId="77777777" w:rsidR="0023193B" w:rsidRPr="00971C71" w:rsidRDefault="00124AB6" w:rsidP="00971C71">
            <w:pPr>
              <w:pStyle w:val="ListParagraph"/>
            </w:pPr>
            <w:r w:rsidRPr="00971C71">
              <w:t>The nature and cause of such excess emissions;</w:t>
            </w:r>
          </w:p>
          <w:p w14:paraId="0878F8A8" w14:textId="77777777" w:rsidR="0023193B" w:rsidRPr="00971C71" w:rsidRDefault="00124AB6" w:rsidP="00971C71">
            <w:pPr>
              <w:pStyle w:val="ListParagraph"/>
            </w:pPr>
            <w:r w:rsidRPr="00971C71">
              <w:t>The steps taken to remedy the malfunction and the steps taken or planned to prevent the recurrence of such malfunction;</w:t>
            </w:r>
          </w:p>
          <w:p w14:paraId="23E80D0A" w14:textId="77777777" w:rsidR="0023193B" w:rsidRPr="00971C71" w:rsidRDefault="00124AB6" w:rsidP="00971C71">
            <w:pPr>
              <w:pStyle w:val="ListParagraph"/>
            </w:pPr>
            <w:r w:rsidRPr="00971C71">
              <w:t>The steps taken to limit the excess emissions; and,</w:t>
            </w:r>
          </w:p>
          <w:p w14:paraId="18490177" w14:textId="77777777" w:rsidR="0023193B" w:rsidRPr="00971C71" w:rsidRDefault="00124AB6" w:rsidP="00971C71">
            <w:pPr>
              <w:pStyle w:val="ListParagraph"/>
            </w:pPr>
            <w:r w:rsidRPr="00971C71">
              <w:t>Documentation that the air pollution control equipment, process equipment, or processes were at all times maintained and operated, to the maximum extent practicable, in a manner consistent with good practice for minimizing emissions.</w:t>
            </w:r>
          </w:p>
          <w:p w14:paraId="43C9FAFC" w14:textId="77777777" w:rsidR="00971C71" w:rsidRPr="00971C71" w:rsidRDefault="00971C71" w:rsidP="00971C71"/>
          <w:p w14:paraId="36AE7DB3" w14:textId="77777777" w:rsidR="0023193B" w:rsidRDefault="00124AB6" w:rsidP="0023193B">
            <w:pPr>
              <w:rPr>
                <w:rFonts w:cs="Open Sans"/>
                <w:szCs w:val="20"/>
              </w:rPr>
            </w:pPr>
            <w:r>
              <w:rPr>
                <w:rFonts w:cs="Open Sans"/>
                <w:szCs w:val="20"/>
              </w:rPr>
              <w:t>The initial twenty-four (24) hour notification should be made to the Department’s local Regional Office.</w:t>
            </w:r>
          </w:p>
          <w:p w14:paraId="5F1901EF" w14:textId="77777777" w:rsidR="0023193B" w:rsidRDefault="0023193B" w:rsidP="0023193B">
            <w:pPr>
              <w:rPr>
                <w:rFonts w:cs="Open Sans"/>
                <w:szCs w:val="20"/>
              </w:rPr>
            </w:pPr>
          </w:p>
          <w:p w14:paraId="5D6C19B8" w14:textId="77777777" w:rsidR="00F244AE" w:rsidRDefault="00124AB6" w:rsidP="0023193B">
            <w:pPr>
              <w:rPr>
                <w:rFonts w:cs="Open Sans"/>
                <w:szCs w:val="20"/>
              </w:rPr>
            </w:pPr>
            <w:r>
              <w:rPr>
                <w:rFonts w:cs="Open Sans"/>
                <w:szCs w:val="20"/>
              </w:rPr>
              <w:t>The written report should be sent to the Department.</w:t>
            </w:r>
          </w:p>
        </w:tc>
      </w:tr>
      <w:tr w:rsidR="00D54368" w14:paraId="05015B9E" w14:textId="77777777" w:rsidTr="00BD4159">
        <w:trPr>
          <w:cantSplit w:val="0"/>
        </w:trPr>
        <w:tc>
          <w:tcPr>
            <w:tcW w:w="1368" w:type="dxa"/>
            <w:tcBorders>
              <w:top w:val="single" w:sz="2" w:space="0" w:color="auto"/>
              <w:left w:val="single" w:sz="2" w:space="0" w:color="auto"/>
              <w:bottom w:val="single" w:sz="2" w:space="0" w:color="auto"/>
              <w:right w:val="single" w:sz="2" w:space="0" w:color="auto"/>
            </w:tcBorders>
          </w:tcPr>
          <w:p w14:paraId="4B6EC300" w14:textId="77777777" w:rsidR="00F244AE" w:rsidRDefault="00F244AE" w:rsidP="009D71F4">
            <w:pPr>
              <w:pStyle w:val="ENum0"/>
            </w:pPr>
          </w:p>
        </w:tc>
        <w:tc>
          <w:tcPr>
            <w:tcW w:w="9432" w:type="dxa"/>
            <w:tcBorders>
              <w:top w:val="single" w:sz="2" w:space="0" w:color="auto"/>
              <w:left w:val="single" w:sz="2" w:space="0" w:color="auto"/>
              <w:bottom w:val="single" w:sz="2" w:space="0" w:color="auto"/>
              <w:right w:val="single" w:sz="2" w:space="0" w:color="auto"/>
            </w:tcBorders>
            <w:hideMark/>
          </w:tcPr>
          <w:p w14:paraId="733BB2C9" w14:textId="77777777" w:rsidR="00F244AE" w:rsidRDefault="00124AB6" w:rsidP="00971C71">
            <w:pPr>
              <w:spacing w:after="120"/>
              <w:rPr>
                <w:rFonts w:cs="Open Sans"/>
                <w:szCs w:val="20"/>
              </w:rPr>
            </w:pPr>
            <w:r>
              <w:rPr>
                <w:rFonts w:cs="Open Sans"/>
                <w:szCs w:val="20"/>
              </w:rPr>
              <w:t>(S.C. Regulation 61-62.70.6(c)(5)(iii)) The responsible official shall certify annually, compliance with the conditions of this permit as required under S.C. Regulation 61-62.70.6(c). The compliance certification shall include the following:</w:t>
            </w:r>
          </w:p>
          <w:p w14:paraId="5446B66A" w14:textId="77777777" w:rsidR="00F244AE" w:rsidRPr="00971C71" w:rsidRDefault="00124AB6" w:rsidP="00971C71">
            <w:pPr>
              <w:pStyle w:val="ListParagraph"/>
              <w:numPr>
                <w:ilvl w:val="0"/>
                <w:numId w:val="20"/>
              </w:numPr>
            </w:pPr>
            <w:r w:rsidRPr="00971C71">
              <w:t>The identification of each term or condition of the permit that is the basis of the certification.</w:t>
            </w:r>
          </w:p>
          <w:p w14:paraId="37D0E1D7" w14:textId="77777777" w:rsidR="00F244AE" w:rsidRPr="00971C71" w:rsidRDefault="00124AB6" w:rsidP="00971C71">
            <w:pPr>
              <w:pStyle w:val="ListParagraph"/>
            </w:pPr>
            <w:r w:rsidRPr="00971C71">
              <w:t>The identification of the method(s) or means used by the owner or operator for determining the compliance status with each term and condition of the permit during the certification period.</w:t>
            </w:r>
          </w:p>
          <w:p w14:paraId="6374CD12" w14:textId="77777777" w:rsidR="00F244AE" w:rsidRPr="00971C71" w:rsidRDefault="00124AB6" w:rsidP="00971C71">
            <w:pPr>
              <w:pStyle w:val="ListParagraph"/>
            </w:pPr>
            <w:r w:rsidRPr="00971C71">
              <w:t>The status of compliance with the terms and conditions of the permit for the period covered by the certification, including whether compliance during the period was continuous or intermittent. The certification shall be based on the method or means designated in S.C. Regulation 61-62.70.6(c)(5)(iii)(B). The certification shall identify each deviation and take it into account in the compliance certification.</w:t>
            </w:r>
          </w:p>
          <w:p w14:paraId="12EC0ED2" w14:textId="77777777" w:rsidR="00F244AE" w:rsidRPr="00971C71" w:rsidRDefault="00124AB6" w:rsidP="00971C71">
            <w:pPr>
              <w:pStyle w:val="ListParagraph"/>
            </w:pPr>
            <w:r w:rsidRPr="00971C71">
              <w:t>Such other facts as the Department may require to determine the compliance status of the source.</w:t>
            </w:r>
          </w:p>
        </w:tc>
      </w:tr>
      <w:tr w:rsidR="00D54368" w14:paraId="40F8BA62" w14:textId="77777777" w:rsidTr="00BD4159">
        <w:trPr>
          <w:cantSplit w:val="0"/>
        </w:trPr>
        <w:tc>
          <w:tcPr>
            <w:tcW w:w="1368" w:type="dxa"/>
            <w:tcBorders>
              <w:top w:val="single" w:sz="2" w:space="0" w:color="auto"/>
              <w:left w:val="single" w:sz="2" w:space="0" w:color="auto"/>
              <w:bottom w:val="single" w:sz="2" w:space="0" w:color="auto"/>
              <w:right w:val="single" w:sz="2" w:space="0" w:color="auto"/>
            </w:tcBorders>
          </w:tcPr>
          <w:p w14:paraId="20248143" w14:textId="77777777" w:rsidR="00F244AE" w:rsidRDefault="00F244AE" w:rsidP="009D71F4">
            <w:pPr>
              <w:pStyle w:val="ENum0"/>
            </w:pPr>
          </w:p>
        </w:tc>
        <w:tc>
          <w:tcPr>
            <w:tcW w:w="9432" w:type="dxa"/>
            <w:tcBorders>
              <w:top w:val="single" w:sz="2" w:space="0" w:color="auto"/>
              <w:left w:val="single" w:sz="2" w:space="0" w:color="auto"/>
              <w:bottom w:val="single" w:sz="2" w:space="0" w:color="auto"/>
              <w:right w:val="single" w:sz="2" w:space="0" w:color="auto"/>
            </w:tcBorders>
            <w:hideMark/>
          </w:tcPr>
          <w:p w14:paraId="337F980B" w14:textId="77777777" w:rsidR="00F244AE" w:rsidRDefault="00124AB6">
            <w:pPr>
              <w:rPr>
                <w:rFonts w:cs="Open Sans"/>
                <w:szCs w:val="20"/>
              </w:rPr>
            </w:pPr>
            <w:r>
              <w:rPr>
                <w:rFonts w:cs="Open Sans"/>
                <w:szCs w:val="20"/>
              </w:rPr>
              <w:t xml:space="preserve">(S.C. Regulation 61-62.1, Section II(M)) Within </w:t>
            </w:r>
            <w:r w:rsidR="0023193B">
              <w:rPr>
                <w:rFonts w:cs="Open Sans"/>
                <w:szCs w:val="20"/>
              </w:rPr>
              <w:t>thirty (</w:t>
            </w:r>
            <w:r>
              <w:rPr>
                <w:rFonts w:cs="Open Sans"/>
                <w:szCs w:val="20"/>
              </w:rPr>
              <w:t>30</w:t>
            </w:r>
            <w:r w:rsidR="0023193B">
              <w:rPr>
                <w:rFonts w:cs="Open Sans"/>
                <w:szCs w:val="20"/>
              </w:rPr>
              <w:t>)</w:t>
            </w:r>
            <w:r>
              <w:rPr>
                <w:rFonts w:cs="Open Sans"/>
                <w:szCs w:val="20"/>
              </w:rPr>
              <w:t xml:space="preserve"> days of the transfer of ownership/operation of a facility, the current permit holder and prospective new owner or operator shall submit to the </w:t>
            </w:r>
            <w:r w:rsidR="00DF31BE">
              <w:rPr>
                <w:rFonts w:cs="Open Sans"/>
                <w:szCs w:val="20"/>
              </w:rPr>
              <w:t>Department</w:t>
            </w:r>
            <w:r>
              <w:rPr>
                <w:rFonts w:cs="Open Sans"/>
                <w:szCs w:val="20"/>
              </w:rPr>
              <w:t xml:space="preserve"> a written request for transfer of the source operating or construction permits. The written request for transfer of the source operating or construction permit shall include any changes pertaining to the facility name and mailing address; the name, mailing address, and telephone number of the owner or operator for the facility; and any proposed changes to the permitted activities of the source. Transfer of the operating or construction permits will be effective upon written approval by the Department.</w:t>
            </w:r>
          </w:p>
        </w:tc>
      </w:tr>
    </w:tbl>
    <w:p w14:paraId="21131A05" w14:textId="77777777" w:rsidR="00F244AE" w:rsidRDefault="00F244AE" w:rsidP="00F244AE">
      <w:pPr>
        <w:rPr>
          <w:rFonts w:cs="Open Sans"/>
          <w:szCs w:val="20"/>
        </w:rPr>
      </w:pPr>
    </w:p>
    <w:tbl>
      <w:tblPr>
        <w:tblStyle w:val="TableGrid"/>
        <w:tblW w:w="10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68"/>
        <w:gridCol w:w="9432"/>
      </w:tblGrid>
      <w:tr w:rsidR="00D54368" w14:paraId="1476191C" w14:textId="77777777" w:rsidTr="00BD4159">
        <w:trPr>
          <w:cantSplit w:val="0"/>
          <w:tblHeader/>
        </w:trPr>
        <w:tc>
          <w:tcPr>
            <w:tcW w:w="10800" w:type="dxa"/>
            <w:gridSpan w:val="2"/>
            <w:tcBorders>
              <w:top w:val="single" w:sz="2" w:space="0" w:color="auto"/>
              <w:left w:val="single" w:sz="2" w:space="0" w:color="auto"/>
              <w:bottom w:val="single" w:sz="2" w:space="0" w:color="auto"/>
              <w:right w:val="single" w:sz="2" w:space="0" w:color="auto"/>
            </w:tcBorders>
          </w:tcPr>
          <w:p w14:paraId="74D9F22D" w14:textId="77777777" w:rsidR="00F244AE" w:rsidRPr="00A3574E" w:rsidRDefault="00124AB6" w:rsidP="00971C71">
            <w:pPr>
              <w:pStyle w:val="TableHeading"/>
            </w:pPr>
            <w:r w:rsidRPr="00A3574E">
              <w:t>INSIGNIFICANT ACTIVITIES</w:t>
            </w:r>
          </w:p>
          <w:p w14:paraId="682CA9AC" w14:textId="77777777" w:rsidR="00F244AE" w:rsidRDefault="00F244AE">
            <w:pPr>
              <w:rPr>
                <w:rFonts w:cs="Open Sans"/>
                <w:szCs w:val="20"/>
              </w:rPr>
            </w:pPr>
          </w:p>
        </w:tc>
      </w:tr>
      <w:tr w:rsidR="00D54368" w14:paraId="1EBFE3C1" w14:textId="77777777" w:rsidTr="00BD4159">
        <w:trPr>
          <w:cantSplit w:val="0"/>
          <w:tblHeader/>
        </w:trPr>
        <w:tc>
          <w:tcPr>
            <w:tcW w:w="1368"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11ADF0AF" w14:textId="77777777" w:rsidR="00F244AE" w:rsidRDefault="00124AB6">
            <w:pPr>
              <w:jc w:val="center"/>
              <w:rPr>
                <w:rFonts w:cs="Open Sans"/>
                <w:b/>
                <w:szCs w:val="20"/>
              </w:rPr>
            </w:pPr>
            <w:r>
              <w:rPr>
                <w:rFonts w:cs="Open Sans"/>
                <w:b/>
                <w:szCs w:val="20"/>
              </w:rPr>
              <w:t>Condition Number</w:t>
            </w:r>
          </w:p>
        </w:tc>
        <w:tc>
          <w:tcPr>
            <w:tcW w:w="9432"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58F7352D" w14:textId="77777777" w:rsidR="00F244AE" w:rsidRDefault="00124AB6">
            <w:pPr>
              <w:jc w:val="center"/>
              <w:rPr>
                <w:rFonts w:cs="Open Sans"/>
                <w:b/>
                <w:szCs w:val="20"/>
              </w:rPr>
            </w:pPr>
            <w:r>
              <w:rPr>
                <w:rFonts w:cs="Open Sans"/>
                <w:b/>
                <w:szCs w:val="20"/>
              </w:rPr>
              <w:t>Conditions</w:t>
            </w:r>
          </w:p>
        </w:tc>
      </w:tr>
      <w:tr w:rsidR="00D54368" w14:paraId="65322620" w14:textId="77777777" w:rsidTr="00BD4159">
        <w:trPr>
          <w:cantSplit w:val="0"/>
        </w:trPr>
        <w:tc>
          <w:tcPr>
            <w:tcW w:w="1368" w:type="dxa"/>
            <w:tcBorders>
              <w:top w:val="single" w:sz="2" w:space="0" w:color="auto"/>
              <w:left w:val="single" w:sz="2" w:space="0" w:color="auto"/>
              <w:bottom w:val="single" w:sz="2" w:space="0" w:color="auto"/>
              <w:right w:val="single" w:sz="2" w:space="0" w:color="auto"/>
            </w:tcBorders>
            <w:hideMark/>
          </w:tcPr>
          <w:p w14:paraId="429125E0" w14:textId="77777777" w:rsidR="00F244AE" w:rsidRDefault="00F244AE" w:rsidP="009D71F4">
            <w:pPr>
              <w:pStyle w:val="FNum"/>
            </w:pPr>
          </w:p>
        </w:tc>
        <w:tc>
          <w:tcPr>
            <w:tcW w:w="9432" w:type="dxa"/>
            <w:tcBorders>
              <w:top w:val="single" w:sz="2" w:space="0" w:color="auto"/>
              <w:left w:val="single" w:sz="2" w:space="0" w:color="auto"/>
              <w:bottom w:val="single" w:sz="2" w:space="0" w:color="auto"/>
              <w:right w:val="single" w:sz="2" w:space="0" w:color="auto"/>
            </w:tcBorders>
            <w:hideMark/>
          </w:tcPr>
          <w:p w14:paraId="5566D625" w14:textId="77777777" w:rsidR="00F244AE" w:rsidRDefault="00124AB6">
            <w:pPr>
              <w:rPr>
                <w:rFonts w:cs="Open Sans"/>
                <w:szCs w:val="20"/>
              </w:rPr>
            </w:pPr>
            <w:r>
              <w:rPr>
                <w:rFonts w:cs="Open Sans"/>
                <w:szCs w:val="20"/>
              </w:rPr>
              <w:t xml:space="preserve">The facility may install, remove, and modify insignificant activities as defined in S.C. Regulation 61-62.70.5(c), without revising or reopening the Title V Operating Permit. A list of insignificant activities/exempt sources must be maintained on site, along with any necessary documentation to support the determination that the activity is </w:t>
            </w:r>
            <w:r w:rsidR="00DB4C7D">
              <w:rPr>
                <w:rFonts w:cs="Open Sans"/>
                <w:szCs w:val="20"/>
              </w:rPr>
              <w:t>insignificant and</w:t>
            </w:r>
            <w:r>
              <w:rPr>
                <w:rFonts w:cs="Open Sans"/>
                <w:szCs w:val="20"/>
              </w:rPr>
              <w:t xml:space="preserve"> shall be made available to a Department representative upon request. The list shall be submitted with the next renewal application.</w:t>
            </w:r>
          </w:p>
        </w:tc>
      </w:tr>
    </w:tbl>
    <w:p w14:paraId="4FED8DEA" w14:textId="77777777" w:rsidR="00F244AE" w:rsidRDefault="00F244AE" w:rsidP="00F244AE">
      <w:pPr>
        <w:rPr>
          <w:rFonts w:cs="Open Sans"/>
          <w:szCs w:val="20"/>
        </w:rPr>
      </w:pPr>
    </w:p>
    <w:tbl>
      <w:tblPr>
        <w:tblStyle w:val="TableGrid"/>
        <w:tblW w:w="10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68"/>
        <w:gridCol w:w="9432"/>
      </w:tblGrid>
      <w:tr w:rsidR="00D54368" w14:paraId="33550C81" w14:textId="77777777" w:rsidTr="00BD4159">
        <w:trPr>
          <w:cantSplit w:val="0"/>
          <w:tblHeader/>
        </w:trPr>
        <w:tc>
          <w:tcPr>
            <w:tcW w:w="10800" w:type="dxa"/>
            <w:gridSpan w:val="2"/>
            <w:tcBorders>
              <w:top w:val="single" w:sz="2" w:space="0" w:color="auto"/>
              <w:left w:val="single" w:sz="2" w:space="0" w:color="auto"/>
              <w:bottom w:val="single" w:sz="2" w:space="0" w:color="auto"/>
              <w:right w:val="single" w:sz="2" w:space="0" w:color="auto"/>
            </w:tcBorders>
          </w:tcPr>
          <w:p w14:paraId="676A2040" w14:textId="77777777" w:rsidR="00F244AE" w:rsidRPr="00A3574E" w:rsidRDefault="00124AB6" w:rsidP="00971C71">
            <w:pPr>
              <w:pStyle w:val="TableHeading"/>
            </w:pPr>
            <w:r w:rsidRPr="00A3574E">
              <w:t>PERMIT SHIELD</w:t>
            </w:r>
          </w:p>
          <w:p w14:paraId="6D6413B6" w14:textId="77777777" w:rsidR="00F244AE" w:rsidRDefault="00F244AE">
            <w:pPr>
              <w:rPr>
                <w:rFonts w:cs="Open Sans"/>
                <w:szCs w:val="20"/>
              </w:rPr>
            </w:pPr>
          </w:p>
        </w:tc>
      </w:tr>
      <w:tr w:rsidR="00D54368" w14:paraId="5E8A5F47" w14:textId="77777777" w:rsidTr="00BD4159">
        <w:trPr>
          <w:cantSplit w:val="0"/>
          <w:tblHeader/>
        </w:trPr>
        <w:tc>
          <w:tcPr>
            <w:tcW w:w="1368"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60CD6D2E" w14:textId="77777777" w:rsidR="00F244AE" w:rsidRDefault="00124AB6">
            <w:pPr>
              <w:jc w:val="center"/>
              <w:rPr>
                <w:rFonts w:cs="Open Sans"/>
                <w:b/>
                <w:szCs w:val="20"/>
              </w:rPr>
            </w:pPr>
            <w:r>
              <w:rPr>
                <w:rFonts w:cs="Open Sans"/>
                <w:b/>
                <w:szCs w:val="20"/>
              </w:rPr>
              <w:t>Condition Number</w:t>
            </w:r>
          </w:p>
        </w:tc>
        <w:tc>
          <w:tcPr>
            <w:tcW w:w="9432"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43E26004" w14:textId="77777777" w:rsidR="00F244AE" w:rsidRDefault="00124AB6">
            <w:pPr>
              <w:jc w:val="center"/>
              <w:rPr>
                <w:rFonts w:cs="Open Sans"/>
                <w:b/>
                <w:szCs w:val="20"/>
              </w:rPr>
            </w:pPr>
            <w:r>
              <w:rPr>
                <w:rFonts w:cs="Open Sans"/>
                <w:b/>
                <w:szCs w:val="20"/>
              </w:rPr>
              <w:t>Conditions</w:t>
            </w:r>
          </w:p>
        </w:tc>
      </w:tr>
      <w:tr w:rsidR="00D54368" w14:paraId="4EC0605C" w14:textId="77777777" w:rsidTr="00BD4159">
        <w:trPr>
          <w:cantSplit w:val="0"/>
        </w:trPr>
        <w:tc>
          <w:tcPr>
            <w:tcW w:w="1368" w:type="dxa"/>
            <w:tcBorders>
              <w:top w:val="single" w:sz="2" w:space="0" w:color="auto"/>
              <w:left w:val="single" w:sz="2" w:space="0" w:color="auto"/>
              <w:bottom w:val="single" w:sz="2" w:space="0" w:color="auto"/>
              <w:right w:val="single" w:sz="2" w:space="0" w:color="auto"/>
            </w:tcBorders>
            <w:hideMark/>
          </w:tcPr>
          <w:p w14:paraId="7D762139" w14:textId="77777777" w:rsidR="00F244AE" w:rsidRDefault="00F244AE" w:rsidP="009D71F4">
            <w:pPr>
              <w:pStyle w:val="GNum"/>
              <w:ind w:left="105"/>
            </w:pPr>
          </w:p>
        </w:tc>
        <w:tc>
          <w:tcPr>
            <w:tcW w:w="9432" w:type="dxa"/>
            <w:tcBorders>
              <w:top w:val="single" w:sz="2" w:space="0" w:color="auto"/>
              <w:left w:val="single" w:sz="2" w:space="0" w:color="auto"/>
              <w:bottom w:val="single" w:sz="2" w:space="0" w:color="auto"/>
              <w:right w:val="single" w:sz="2" w:space="0" w:color="auto"/>
            </w:tcBorders>
          </w:tcPr>
          <w:p w14:paraId="37E58044" w14:textId="77777777" w:rsidR="00F244AE" w:rsidRDefault="00124AB6">
            <w:pPr>
              <w:rPr>
                <w:rFonts w:cs="Open Sans"/>
                <w:szCs w:val="20"/>
              </w:rPr>
            </w:pPr>
            <w:r>
              <w:rPr>
                <w:rFonts w:cs="Open Sans"/>
                <w:szCs w:val="20"/>
              </w:rPr>
              <w:t>(S.C. Regulation 61-62.70.6(f)) A copy of the "applicability determination" submitted with the Part 70 permit application is included as Applicable and Non-Applicable Federal and State Regulations. With the exception of those listed below, compliance with the terms and conditions of this permit shall be deemed compliance with the applicable requirements specified in Applicable and Non-Applicable Federal and State Regulations as of the date of permit issuance provided that such applicable requirements are included and are specifically identified in the permit. The owner or operator shall also be shielded from the non-applicable requirements specified in Applicable and Non-Applicable Federal and State Regulations. Exceptions to this are stated below in the Permit Shield Exceptions Table. This permit shield does not extend to applicable requirements which are promulgated after permit issuance, unless the permit has been appropriately modified to reflect such new requirements.</w:t>
            </w:r>
          </w:p>
          <w:p w14:paraId="7A769494" w14:textId="77777777" w:rsidR="00F244AE" w:rsidRDefault="00F244AE">
            <w:pPr>
              <w:rPr>
                <w:rFonts w:cs="Open Sans"/>
                <w:szCs w:val="20"/>
              </w:rPr>
            </w:pPr>
          </w:p>
          <w:p w14:paraId="322EF6D7" w14:textId="77777777" w:rsidR="00F244AE" w:rsidRDefault="00124AB6">
            <w:pPr>
              <w:rPr>
                <w:rFonts w:cs="Open Sans"/>
                <w:szCs w:val="20"/>
              </w:rPr>
            </w:pPr>
            <w:r>
              <w:rPr>
                <w:rFonts w:cs="Open Sans"/>
                <w:szCs w:val="20"/>
              </w:rPr>
              <w:t>Nothing in the permit shield or in any Part 70 permit shall alter or affect the provisions of Section 303 of the Act, Emergency Orders of the Clean Air Act; the liability of the owner or operator for any violation of applicable requirements prior to or at the time of permit issuance; the applicable requirements of the Acid Rain Program, consistent with Section 408</w:t>
            </w:r>
            <w:r w:rsidR="0023193B">
              <w:rPr>
                <w:rFonts w:cs="Open Sans"/>
                <w:szCs w:val="20"/>
              </w:rPr>
              <w:t>(</w:t>
            </w:r>
            <w:r>
              <w:rPr>
                <w:rFonts w:cs="Open Sans"/>
                <w:szCs w:val="20"/>
              </w:rPr>
              <w:t>a</w:t>
            </w:r>
            <w:r w:rsidR="0023193B">
              <w:rPr>
                <w:rFonts w:cs="Open Sans"/>
                <w:szCs w:val="20"/>
              </w:rPr>
              <w:t>)</w:t>
            </w:r>
            <w:r>
              <w:rPr>
                <w:rFonts w:cs="Open Sans"/>
                <w:szCs w:val="20"/>
              </w:rPr>
              <w:t xml:space="preserve"> of the Clean Air Act; or the ability of US EPA to obtain information from a source pursuant to Section 114 of the Clean Air Act. In addition, the permit shield shall not apply to emission units in noncompliance at the time of permit issuance, minor permit modifications (S.C. Regulation 61-62.70.7(e)(2)), group processing of minor permit modifications (S.C. Regulation 61-62.70.7(e)(3)), or operational flexibility (S.C. Regulation 61-62.70.7(e)(5)(i)), except as specified in S.C. Regulation 61-62.70.7(e)(5)(iii).</w:t>
            </w:r>
          </w:p>
        </w:tc>
      </w:tr>
    </w:tbl>
    <w:p w14:paraId="453D837C" w14:textId="77777777" w:rsidR="00F244AE" w:rsidRDefault="00F244AE" w:rsidP="00F244AE">
      <w:pPr>
        <w:rPr>
          <w:rFonts w:cs="Open Sans"/>
          <w:sz w:val="4"/>
          <w:szCs w:val="4"/>
        </w:rPr>
      </w:pPr>
    </w:p>
    <w:tbl>
      <w:tblPr>
        <w:tblStyle w:val="TableGrid"/>
        <w:tblW w:w="10800" w:type="dxa"/>
        <w:tblLook w:val="04A0" w:firstRow="1" w:lastRow="0" w:firstColumn="1" w:lastColumn="0" w:noHBand="0" w:noVBand="1"/>
      </w:tblPr>
      <w:tblGrid>
        <w:gridCol w:w="10800"/>
      </w:tblGrid>
      <w:tr w:rsidR="00D54368" w14:paraId="25D95127" w14:textId="77777777" w:rsidTr="00124AB6">
        <w:trPr>
          <w:trHeight w:val="432"/>
          <w:tblHeader/>
        </w:trPr>
        <w:tc>
          <w:tcPr>
            <w:tcW w:w="108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3EA129F" w14:textId="77777777" w:rsidR="00F244AE" w:rsidRDefault="00124AB6">
            <w:pPr>
              <w:jc w:val="center"/>
              <w:rPr>
                <w:rFonts w:cs="Open Sans"/>
                <w:b/>
                <w:szCs w:val="20"/>
              </w:rPr>
            </w:pPr>
            <w:r>
              <w:rPr>
                <w:rFonts w:cs="Open Sans"/>
                <w:b/>
                <w:szCs w:val="20"/>
              </w:rPr>
              <w:t>Permit Shield Exceptions</w:t>
            </w:r>
          </w:p>
        </w:tc>
      </w:tr>
      <w:tr w:rsidR="00124AB6" w14:paraId="4D1EF381" w14:textId="77777777" w:rsidTr="00124AB6">
        <w:trPr>
          <w:trHeight w:val="432"/>
        </w:trPr>
        <w:tc>
          <w:tcPr>
            <w:tcW w:w="10800" w:type="dxa"/>
          </w:tcPr>
          <w:p w14:paraId="1D0B1485" w14:textId="77777777" w:rsidR="00124AB6" w:rsidRDefault="00124AB6" w:rsidP="004E3BFD">
            <w:pPr>
              <w:jc w:val="center"/>
            </w:pPr>
            <w:r w:rsidRPr="00217161">
              <w:t>SC Regulation 61-62.1</w:t>
            </w:r>
            <w:r>
              <w:t xml:space="preserve"> – Definitions and General Requirements</w:t>
            </w:r>
          </w:p>
        </w:tc>
      </w:tr>
      <w:tr w:rsidR="00124AB6" w14:paraId="70888A40" w14:textId="77777777" w:rsidTr="00124AB6">
        <w:trPr>
          <w:trHeight w:val="432"/>
        </w:trPr>
        <w:tc>
          <w:tcPr>
            <w:tcW w:w="10800" w:type="dxa"/>
          </w:tcPr>
          <w:p w14:paraId="377076C1" w14:textId="77777777" w:rsidR="00124AB6" w:rsidRDefault="00124AB6" w:rsidP="004E3BFD">
            <w:pPr>
              <w:jc w:val="center"/>
            </w:pPr>
            <w:r w:rsidRPr="00217161">
              <w:t>SC Regulation 61-62.</w:t>
            </w:r>
            <w:r>
              <w:t>3 – Air Pollution Episodes</w:t>
            </w:r>
          </w:p>
        </w:tc>
      </w:tr>
      <w:tr w:rsidR="00124AB6" w14:paraId="68DC8B07" w14:textId="77777777" w:rsidTr="00124AB6">
        <w:trPr>
          <w:trHeight w:val="432"/>
        </w:trPr>
        <w:tc>
          <w:tcPr>
            <w:tcW w:w="10800" w:type="dxa"/>
          </w:tcPr>
          <w:p w14:paraId="412CA5AC" w14:textId="77777777" w:rsidR="00124AB6" w:rsidRDefault="00124AB6" w:rsidP="004E3BFD">
            <w:pPr>
              <w:jc w:val="center"/>
            </w:pPr>
            <w:r w:rsidRPr="00217161">
              <w:t>SC Regulation 61-62.5, Standard 7 - Prevention of Significant Deterioration</w:t>
            </w:r>
          </w:p>
        </w:tc>
      </w:tr>
      <w:tr w:rsidR="00124AB6" w14:paraId="5F1F2F39" w14:textId="77777777" w:rsidTr="00124AB6">
        <w:trPr>
          <w:trHeight w:val="432"/>
        </w:trPr>
        <w:tc>
          <w:tcPr>
            <w:tcW w:w="10800" w:type="dxa"/>
          </w:tcPr>
          <w:p w14:paraId="6FCE79AF" w14:textId="77777777" w:rsidR="00124AB6" w:rsidRDefault="00124AB6" w:rsidP="004E3BFD">
            <w:pPr>
              <w:jc w:val="center"/>
            </w:pPr>
            <w:r w:rsidRPr="00217161">
              <w:t>SC Regulation 61-62.5, Standard 7.1 - Nonattainment New Source Review</w:t>
            </w:r>
          </w:p>
        </w:tc>
      </w:tr>
      <w:tr w:rsidR="00124AB6" w:rsidRPr="00217161" w14:paraId="69FB8D55" w14:textId="77777777" w:rsidTr="00124AB6">
        <w:trPr>
          <w:trHeight w:val="432"/>
        </w:trPr>
        <w:tc>
          <w:tcPr>
            <w:tcW w:w="10800" w:type="dxa"/>
          </w:tcPr>
          <w:p w14:paraId="4A639943" w14:textId="77777777" w:rsidR="00124AB6" w:rsidRPr="00217161" w:rsidRDefault="00124AB6" w:rsidP="004E3BFD">
            <w:pPr>
              <w:jc w:val="center"/>
            </w:pPr>
            <w:r w:rsidRPr="00217161">
              <w:t>SC Regulation 61-62.</w:t>
            </w:r>
            <w:r>
              <w:t xml:space="preserve">63 - </w:t>
            </w:r>
            <w:r w:rsidRPr="00F81E94">
              <w:rPr>
                <w:rFonts w:cs="Open Sans"/>
                <w:szCs w:val="20"/>
              </w:rPr>
              <w:t>NESHAPs MACT Standards (Subpart A –HHHHHHH)</w:t>
            </w:r>
          </w:p>
        </w:tc>
      </w:tr>
      <w:tr w:rsidR="00124AB6" w14:paraId="640CEC94" w14:textId="77777777" w:rsidTr="00124AB6">
        <w:trPr>
          <w:trHeight w:val="432"/>
        </w:trPr>
        <w:tc>
          <w:tcPr>
            <w:tcW w:w="10800" w:type="dxa"/>
          </w:tcPr>
          <w:p w14:paraId="7269E897" w14:textId="77777777" w:rsidR="00124AB6" w:rsidRDefault="00124AB6" w:rsidP="004E3BFD">
            <w:pPr>
              <w:jc w:val="center"/>
            </w:pPr>
            <w:r w:rsidRPr="00217161">
              <w:t>40 CFR 61, Subpart M - National Emission Standard for Asbestos</w:t>
            </w:r>
          </w:p>
        </w:tc>
      </w:tr>
      <w:tr w:rsidR="00124AB6" w:rsidRPr="00217161" w14:paraId="582BCD41" w14:textId="77777777" w:rsidTr="00124AB6">
        <w:trPr>
          <w:trHeight w:val="432"/>
        </w:trPr>
        <w:tc>
          <w:tcPr>
            <w:tcW w:w="10800" w:type="dxa"/>
          </w:tcPr>
          <w:p w14:paraId="5EDCD031" w14:textId="77777777" w:rsidR="00124AB6" w:rsidRPr="00217161" w:rsidRDefault="00124AB6" w:rsidP="004E3BFD">
            <w:pPr>
              <w:jc w:val="center"/>
            </w:pPr>
            <w:r>
              <w:t>40 CFR 70 – State Operating Permit Programs</w:t>
            </w:r>
          </w:p>
        </w:tc>
      </w:tr>
      <w:tr w:rsidR="00124AB6" w14:paraId="5023C7B1" w14:textId="77777777" w:rsidTr="00124AB6">
        <w:trPr>
          <w:trHeight w:val="432"/>
        </w:trPr>
        <w:tc>
          <w:tcPr>
            <w:tcW w:w="10800" w:type="dxa"/>
          </w:tcPr>
          <w:p w14:paraId="236E0E35" w14:textId="77777777" w:rsidR="00124AB6" w:rsidRDefault="00124AB6" w:rsidP="004E3BFD">
            <w:pPr>
              <w:jc w:val="center"/>
            </w:pPr>
            <w:r w:rsidRPr="009E7CBC">
              <w:t xml:space="preserve">40 CFR 82 </w:t>
            </w:r>
            <w:r>
              <w:t>- Protection of Stratospheric Ozone</w:t>
            </w:r>
          </w:p>
        </w:tc>
      </w:tr>
    </w:tbl>
    <w:p w14:paraId="07B0B33C" w14:textId="77777777" w:rsidR="00F244AE" w:rsidRDefault="00F244AE" w:rsidP="00F244AE">
      <w:pPr>
        <w:rPr>
          <w:rFonts w:cs="Open Sans"/>
          <w:szCs w:val="20"/>
        </w:rPr>
      </w:pPr>
    </w:p>
    <w:tbl>
      <w:tblPr>
        <w:tblStyle w:val="TableGrid"/>
        <w:tblW w:w="10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68"/>
        <w:gridCol w:w="9432"/>
      </w:tblGrid>
      <w:tr w:rsidR="00D54368" w14:paraId="25328934" w14:textId="77777777" w:rsidTr="00BD4159">
        <w:trPr>
          <w:cantSplit w:val="0"/>
          <w:tblHeader/>
        </w:trPr>
        <w:tc>
          <w:tcPr>
            <w:tcW w:w="10800" w:type="dxa"/>
            <w:gridSpan w:val="2"/>
            <w:tcBorders>
              <w:top w:val="single" w:sz="2" w:space="0" w:color="auto"/>
              <w:left w:val="single" w:sz="2" w:space="0" w:color="auto"/>
              <w:bottom w:val="single" w:sz="2" w:space="0" w:color="auto"/>
              <w:right w:val="single" w:sz="2" w:space="0" w:color="auto"/>
            </w:tcBorders>
          </w:tcPr>
          <w:p w14:paraId="20D8C7C9" w14:textId="77777777" w:rsidR="00F244AE" w:rsidRPr="00A3574E" w:rsidRDefault="00124AB6" w:rsidP="00971C71">
            <w:pPr>
              <w:pStyle w:val="TableHeading"/>
            </w:pPr>
            <w:r w:rsidRPr="00A3574E">
              <w:t>AMBIENT AIR STANDARDS</w:t>
            </w:r>
          </w:p>
          <w:p w14:paraId="37752C55" w14:textId="77777777" w:rsidR="00F244AE" w:rsidRDefault="00F244AE">
            <w:pPr>
              <w:rPr>
                <w:rFonts w:cs="Open Sans"/>
                <w:szCs w:val="20"/>
              </w:rPr>
            </w:pPr>
          </w:p>
        </w:tc>
      </w:tr>
      <w:tr w:rsidR="00D54368" w14:paraId="7D960F70" w14:textId="77777777" w:rsidTr="00BD4159">
        <w:trPr>
          <w:cantSplit w:val="0"/>
          <w:tblHeader/>
        </w:trPr>
        <w:tc>
          <w:tcPr>
            <w:tcW w:w="1368"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1EC65EF1" w14:textId="77777777" w:rsidR="00F244AE" w:rsidRDefault="00124AB6">
            <w:pPr>
              <w:jc w:val="center"/>
              <w:rPr>
                <w:rFonts w:cs="Open Sans"/>
                <w:b/>
                <w:szCs w:val="20"/>
              </w:rPr>
            </w:pPr>
            <w:r>
              <w:rPr>
                <w:rFonts w:cs="Open Sans"/>
                <w:b/>
                <w:szCs w:val="20"/>
              </w:rPr>
              <w:t>Condition Number</w:t>
            </w:r>
          </w:p>
        </w:tc>
        <w:tc>
          <w:tcPr>
            <w:tcW w:w="9432" w:type="dxa"/>
            <w:tcBorders>
              <w:top w:val="single" w:sz="2" w:space="0" w:color="auto"/>
              <w:left w:val="single" w:sz="2" w:space="0" w:color="auto"/>
              <w:bottom w:val="single" w:sz="2" w:space="0" w:color="auto"/>
              <w:right w:val="single" w:sz="2" w:space="0" w:color="auto"/>
            </w:tcBorders>
            <w:shd w:val="clear" w:color="auto" w:fill="E7E6E6" w:themeFill="background2"/>
            <w:hideMark/>
          </w:tcPr>
          <w:p w14:paraId="3B350F3B" w14:textId="77777777" w:rsidR="00F244AE" w:rsidRDefault="00124AB6">
            <w:pPr>
              <w:jc w:val="center"/>
              <w:rPr>
                <w:rFonts w:cs="Open Sans"/>
                <w:b/>
                <w:szCs w:val="20"/>
              </w:rPr>
            </w:pPr>
            <w:r>
              <w:rPr>
                <w:rFonts w:cs="Open Sans"/>
                <w:b/>
                <w:szCs w:val="20"/>
              </w:rPr>
              <w:t>Conditions</w:t>
            </w:r>
          </w:p>
        </w:tc>
      </w:tr>
      <w:tr w:rsidR="00D54368" w14:paraId="3440F5E7" w14:textId="77777777" w:rsidTr="00BD4159">
        <w:trPr>
          <w:cantSplit w:val="0"/>
        </w:trPr>
        <w:tc>
          <w:tcPr>
            <w:tcW w:w="1368" w:type="dxa"/>
            <w:tcBorders>
              <w:top w:val="single" w:sz="2" w:space="0" w:color="auto"/>
              <w:left w:val="single" w:sz="2" w:space="0" w:color="auto"/>
              <w:bottom w:val="single" w:sz="2" w:space="0" w:color="auto"/>
              <w:right w:val="single" w:sz="2" w:space="0" w:color="auto"/>
            </w:tcBorders>
            <w:hideMark/>
          </w:tcPr>
          <w:p w14:paraId="00DB470F" w14:textId="77777777" w:rsidR="00F244AE" w:rsidRPr="00971C71" w:rsidRDefault="00F244AE" w:rsidP="009D71F4">
            <w:pPr>
              <w:pStyle w:val="HNum"/>
            </w:pPr>
          </w:p>
        </w:tc>
        <w:tc>
          <w:tcPr>
            <w:tcW w:w="9432" w:type="dxa"/>
            <w:tcBorders>
              <w:top w:val="single" w:sz="2" w:space="0" w:color="auto"/>
              <w:left w:val="single" w:sz="2" w:space="0" w:color="auto"/>
              <w:bottom w:val="single" w:sz="2" w:space="0" w:color="auto"/>
              <w:right w:val="single" w:sz="2" w:space="0" w:color="auto"/>
            </w:tcBorders>
          </w:tcPr>
          <w:p w14:paraId="7741B83A" w14:textId="77777777" w:rsidR="0023193B" w:rsidRDefault="00124AB6" w:rsidP="0023193B">
            <w:pPr>
              <w:rPr>
                <w:rFonts w:cs="Open Sans"/>
                <w:szCs w:val="20"/>
              </w:rPr>
            </w:pPr>
            <w:r>
              <w:rPr>
                <w:rFonts w:cs="Open Sans"/>
                <w:szCs w:val="20"/>
              </w:rPr>
              <w:t>(S.C. Regulation 61-62.1, Section II(J)(2)) Air dispersion modeling (or other method) has previously demonstrated that this facility’s operation will not interfere with the attainment and maintenance of any state or federal ambient air standard. Any changes in the parameters used in this demonstration may require a review by the facility to determine continuing compliance with these standards. These potential changes include any decrease in stack height, decrease in stack velocity, increase in stack diameter, decrease in stack exit temperature, increase in building height or building additions, increase in emission rates, decrease in distance between stack and property line, changes in vertical stack orientation, and installation of a rain cap that impedes vertical flow. Parameters that are not required in the determination will not invalidate the demonstration if they are modified. Variations from the input parameters in the demonstration shall not constitute a violation unless the maximum allowable ambient concentrations identified in the standard are exceeded.</w:t>
            </w:r>
          </w:p>
          <w:p w14:paraId="2F45889A" w14:textId="77777777" w:rsidR="0023193B" w:rsidRDefault="0023193B" w:rsidP="0023193B">
            <w:pPr>
              <w:rPr>
                <w:rFonts w:cs="Open Sans"/>
                <w:szCs w:val="20"/>
              </w:rPr>
            </w:pPr>
          </w:p>
          <w:p w14:paraId="199640CF" w14:textId="77777777" w:rsidR="00F244AE" w:rsidRDefault="00124AB6" w:rsidP="0023193B">
            <w:pPr>
              <w:rPr>
                <w:rFonts w:cs="Open Sans"/>
              </w:rPr>
            </w:pPr>
            <w:r>
              <w:rPr>
                <w:rFonts w:cs="Open Sans"/>
                <w:szCs w:val="20"/>
              </w:rPr>
              <w:t>The owner or operator shall maintain this facility at or below the emission rates used in the most recent air dispersion modeling (or other method) demonstration submitted to and approved by the Department, not to exceed the pollutant limitations of this permit. Should the facility wish to increase the emission rates used in the demonstration, not to exceed the pollutant limitations in the body of this permit, it may do so by submitting a new demonstration for approval. This condition along with the referenced modeling demonstration will also serve to meet the intent of S.C. Regulation 61-62.5, Standard No. 8, Section II(D). This is a State Only enforceable requirement.</w:t>
            </w:r>
          </w:p>
        </w:tc>
      </w:tr>
    </w:tbl>
    <w:p w14:paraId="3B267B4E" w14:textId="77777777" w:rsidR="00F244AE" w:rsidRDefault="00F244AE" w:rsidP="00F244AE">
      <w:pPr>
        <w:rPr>
          <w:rFonts w:cs="Open Sans"/>
          <w:szCs w:val="20"/>
        </w:rPr>
      </w:pPr>
    </w:p>
    <w:tbl>
      <w:tblPr>
        <w:tblStyle w:val="TableGrid"/>
        <w:tblW w:w="10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800"/>
      </w:tblGrid>
      <w:tr w:rsidR="00D54368" w14:paraId="1C4DCE49" w14:textId="77777777" w:rsidTr="00BD4159">
        <w:trPr>
          <w:cantSplit w:val="0"/>
          <w:tblHeader/>
        </w:trPr>
        <w:tc>
          <w:tcPr>
            <w:tcW w:w="10800" w:type="dxa"/>
            <w:tcBorders>
              <w:top w:val="single" w:sz="2" w:space="0" w:color="auto"/>
              <w:left w:val="single" w:sz="2" w:space="0" w:color="auto"/>
              <w:bottom w:val="single" w:sz="2" w:space="0" w:color="auto"/>
              <w:right w:val="single" w:sz="2" w:space="0" w:color="auto"/>
            </w:tcBorders>
          </w:tcPr>
          <w:p w14:paraId="4E5537C0" w14:textId="77777777" w:rsidR="00F244AE" w:rsidRPr="00A3574E" w:rsidRDefault="00124AB6" w:rsidP="00971C71">
            <w:pPr>
              <w:pStyle w:val="TableHeading"/>
            </w:pPr>
            <w:r w:rsidRPr="00A3574E">
              <w:t>COMPLIANCE SCHEDULE</w:t>
            </w:r>
            <w:r>
              <w:t xml:space="preserve"> – RESERVED</w:t>
            </w:r>
          </w:p>
          <w:p w14:paraId="3648A77A" w14:textId="77777777" w:rsidR="00F244AE" w:rsidRDefault="00F244AE">
            <w:pPr>
              <w:rPr>
                <w:rFonts w:cs="Open Sans"/>
                <w:szCs w:val="20"/>
              </w:rPr>
            </w:pPr>
          </w:p>
        </w:tc>
      </w:tr>
    </w:tbl>
    <w:p w14:paraId="6FEF8DA0" w14:textId="77777777" w:rsidR="00A25F97" w:rsidRPr="005F66A2" w:rsidRDefault="00A25F97" w:rsidP="00F244AE">
      <w:pPr>
        <w:rPr>
          <w:rFonts w:cs="Open Sans"/>
          <w:szCs w:val="20"/>
        </w:rPr>
      </w:pPr>
    </w:p>
    <w:sectPr w:rsidR="00A25F97" w:rsidRPr="005F66A2" w:rsidSect="00500532">
      <w:headerReference w:type="even" r:id="rId59"/>
      <w:headerReference w:type="default" r:id="rId60"/>
      <w:headerReference w:type="first" r:id="rId61"/>
      <w:pgSz w:w="12240" w:h="15840"/>
      <w:pgMar w:top="1440" w:right="1440" w:bottom="1440" w:left="1440" w:header="720" w:footer="720" w:gutter="0"/>
      <w:pgBorders w:display="firstPage" w:offsetFrom="page">
        <w:top w:val="thickThinSmallGap" w:sz="24" w:space="24" w:color="356584"/>
        <w:left w:val="thickThinSmallGap" w:sz="24" w:space="24" w:color="356584"/>
        <w:bottom w:val="thinThickSmallGap" w:sz="24" w:space="24" w:color="356584"/>
        <w:right w:val="thinThickSmallGap" w:sz="24" w:space="24" w:color="356584"/>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C2508" w14:textId="77777777" w:rsidR="00124AB6" w:rsidRDefault="00124AB6">
      <w:r>
        <w:separator/>
      </w:r>
    </w:p>
  </w:endnote>
  <w:endnote w:type="continuationSeparator" w:id="0">
    <w:p w14:paraId="3604BBF1" w14:textId="77777777" w:rsidR="00124AB6" w:rsidRDefault="0012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Ebrima">
    <w:panose1 w:val="02000000000000000000"/>
    <w:charset w:val="00"/>
    <w:family w:val="auto"/>
    <w:pitch w:val="variable"/>
    <w:sig w:usb0="A000005F" w:usb1="02000041" w:usb2="000008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8EB8F" w14:textId="77777777" w:rsidR="00124AB6" w:rsidRDefault="00124AB6">
      <w:r>
        <w:separator/>
      </w:r>
    </w:p>
  </w:footnote>
  <w:footnote w:type="continuationSeparator" w:id="0">
    <w:p w14:paraId="3A0FAA7D" w14:textId="77777777" w:rsidR="00124AB6" w:rsidRDefault="00124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8D335" w14:textId="77777777" w:rsidR="00A25F97" w:rsidRDefault="00520604">
    <w:pPr>
      <w:pStyle w:val="Header"/>
    </w:pPr>
    <w:r>
      <w:rPr>
        <w:noProof/>
      </w:rPr>
      <w:pict w14:anchorId="795C8E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424063"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Open San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E914" w14:textId="77777777" w:rsidR="00A25F97" w:rsidRPr="002D3BC3" w:rsidRDefault="00520604" w:rsidP="00A25F97">
    <w:pPr>
      <w:pStyle w:val="Header"/>
      <w:jc w:val="center"/>
      <w:rPr>
        <w:b/>
        <w:szCs w:val="20"/>
      </w:rPr>
    </w:pPr>
    <w:r>
      <w:rPr>
        <w:noProof/>
        <w:szCs w:val="20"/>
      </w:rPr>
      <w:pict w14:anchorId="6EDAC1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424064" o:spid="_x0000_s2050"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Open Sans&quot;;font-size:1pt" string="DRAFT"/>
          <w10:wrap anchorx="margin" anchory="margin"/>
        </v:shape>
      </w:pict>
    </w:r>
    <w:r w:rsidR="00124AB6" w:rsidRPr="002D3BC3">
      <w:rPr>
        <w:b/>
        <w:szCs w:val="20"/>
      </w:rPr>
      <w:t>BASF Chemical Corporation White Stone Site</w:t>
    </w:r>
  </w:p>
  <w:p w14:paraId="3A52AB36" w14:textId="77777777" w:rsidR="00A25F97" w:rsidRPr="002D3BC3" w:rsidRDefault="00124AB6" w:rsidP="00A25F97">
    <w:pPr>
      <w:pStyle w:val="Header"/>
      <w:jc w:val="center"/>
      <w:rPr>
        <w:b/>
        <w:szCs w:val="20"/>
      </w:rPr>
    </w:pPr>
    <w:r w:rsidRPr="002D3BC3">
      <w:rPr>
        <w:b/>
        <w:szCs w:val="20"/>
      </w:rPr>
      <w:t>TV-2060-0068 v1.2</w:t>
    </w:r>
  </w:p>
  <w:p w14:paraId="107F15B4" w14:textId="39E50E75" w:rsidR="00A25F97" w:rsidRPr="002D3BC3" w:rsidRDefault="00520604" w:rsidP="00A25F97">
    <w:pPr>
      <w:pStyle w:val="Header"/>
      <w:jc w:val="center"/>
      <w:rPr>
        <w:b/>
        <w:szCs w:val="20"/>
      </w:rPr>
    </w:pPr>
    <w:sdt>
      <w:sdtPr>
        <w:rPr>
          <w:b/>
          <w:szCs w:val="20"/>
        </w:rPr>
        <w:id w:val="673924340"/>
        <w:docPartObj>
          <w:docPartGallery w:val="Page Numbers (Top of Page)"/>
          <w:docPartUnique/>
        </w:docPartObj>
      </w:sdtPr>
      <w:sdtEndPr/>
      <w:sdtContent>
        <w:r w:rsidR="00124AB6" w:rsidRPr="002D3BC3">
          <w:rPr>
            <w:b/>
            <w:szCs w:val="20"/>
          </w:rPr>
          <w:t xml:space="preserve">Page </w:t>
        </w:r>
        <w:r w:rsidR="00124AB6" w:rsidRPr="002D3BC3">
          <w:rPr>
            <w:b/>
            <w:bCs/>
            <w:szCs w:val="20"/>
          </w:rPr>
          <w:fldChar w:fldCharType="begin"/>
        </w:r>
        <w:r w:rsidR="00124AB6" w:rsidRPr="002D3BC3">
          <w:rPr>
            <w:b/>
            <w:bCs/>
            <w:szCs w:val="20"/>
          </w:rPr>
          <w:instrText xml:space="preserve"> PAGE </w:instrText>
        </w:r>
        <w:r w:rsidR="00124AB6" w:rsidRPr="002D3BC3">
          <w:rPr>
            <w:b/>
            <w:bCs/>
            <w:szCs w:val="20"/>
          </w:rPr>
          <w:fldChar w:fldCharType="separate"/>
        </w:r>
        <w:r w:rsidR="00124AB6" w:rsidRPr="002D3BC3">
          <w:rPr>
            <w:b/>
            <w:bCs/>
            <w:szCs w:val="20"/>
          </w:rPr>
          <w:t>12</w:t>
        </w:r>
        <w:r w:rsidR="00124AB6" w:rsidRPr="002D3BC3">
          <w:rPr>
            <w:b/>
            <w:bCs/>
            <w:szCs w:val="20"/>
          </w:rPr>
          <w:fldChar w:fldCharType="end"/>
        </w:r>
        <w:r w:rsidR="00124AB6" w:rsidRPr="002D3BC3">
          <w:rPr>
            <w:b/>
            <w:szCs w:val="20"/>
          </w:rPr>
          <w:t xml:space="preserve"> of </w:t>
        </w:r>
        <w:r w:rsidR="00124AB6" w:rsidRPr="002D3BC3">
          <w:rPr>
            <w:b/>
            <w:bCs/>
            <w:szCs w:val="20"/>
          </w:rPr>
          <w:fldChar w:fldCharType="begin"/>
        </w:r>
        <w:r w:rsidR="00124AB6" w:rsidRPr="002D3BC3">
          <w:rPr>
            <w:b/>
            <w:bCs/>
            <w:szCs w:val="20"/>
          </w:rPr>
          <w:instrText xml:space="preserve"> SECTIONPAGES  </w:instrText>
        </w:r>
        <w:r w:rsidR="00124AB6" w:rsidRPr="002D3BC3">
          <w:rPr>
            <w:b/>
            <w:bCs/>
            <w:szCs w:val="20"/>
          </w:rPr>
          <w:fldChar w:fldCharType="separate"/>
        </w:r>
        <w:r>
          <w:rPr>
            <w:b/>
            <w:bCs/>
            <w:noProof/>
            <w:szCs w:val="20"/>
          </w:rPr>
          <w:t>79</w:t>
        </w:r>
        <w:r w:rsidR="00124AB6" w:rsidRPr="002D3BC3">
          <w:rPr>
            <w:b/>
            <w:bCs/>
            <w:szCs w:val="20"/>
          </w:rPr>
          <w:fldChar w:fldCharType="end"/>
        </w:r>
      </w:sdtContent>
    </w:sdt>
  </w:p>
  <w:p w14:paraId="7670611F" w14:textId="77777777" w:rsidR="00EE43BA" w:rsidRPr="009633EB" w:rsidRDefault="00EE43BA" w:rsidP="009633EB">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E427" w14:textId="77777777" w:rsidR="00A25F97" w:rsidRDefault="00124AB6">
    <w:pPr>
      <w:pStyle w:val="Header"/>
    </w:pPr>
    <w:r>
      <w:rPr>
        <w:noProof/>
        <w14:ligatures w14:val="standardContextual"/>
      </w:rPr>
      <w:drawing>
        <wp:anchor distT="0" distB="0" distL="114300" distR="114300" simplePos="0" relativeHeight="251661312" behindDoc="0" locked="0" layoutInCell="1" allowOverlap="1" wp14:anchorId="5950EED6" wp14:editId="10E75F30">
          <wp:simplePos x="0" y="0"/>
          <wp:positionH relativeFrom="margin">
            <wp:align>center</wp:align>
          </wp:positionH>
          <wp:positionV relativeFrom="page">
            <wp:posOffset>7388225</wp:posOffset>
          </wp:positionV>
          <wp:extent cx="2304288" cy="2304288"/>
          <wp:effectExtent l="0" t="0" r="0" b="0"/>
          <wp:wrapNone/>
          <wp:docPr id="1428864373"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864373" name="Picture 2" descr="A picture containing logo&#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2304288" cy="2304288"/>
                  </a:xfrm>
                  <a:prstGeom prst="rect">
                    <a:avLst/>
                  </a:prstGeom>
                </pic:spPr>
              </pic:pic>
            </a:graphicData>
          </a:graphic>
          <wp14:sizeRelH relativeFrom="margin">
            <wp14:pctWidth>0</wp14:pctWidth>
          </wp14:sizeRelH>
          <wp14:sizeRelV relativeFrom="margin">
            <wp14:pctHeight>0</wp14:pctHeight>
          </wp14:sizeRelV>
        </wp:anchor>
      </w:drawing>
    </w:r>
    <w:r w:rsidR="00520604">
      <w:rPr>
        <w:noProof/>
      </w:rPr>
      <w:pict w14:anchorId="173B6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424062" o:spid="_x0000_s2051"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Open San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201"/>
    <w:multiLevelType w:val="hybridMultilevel"/>
    <w:tmpl w:val="5712E1B4"/>
    <w:lvl w:ilvl="0" w:tplc="6122D784">
      <w:start w:val="1"/>
      <w:numFmt w:val="decimal"/>
      <w:pStyle w:val="CNum"/>
      <w:lvlText w:val="%1"/>
      <w:lvlJc w:val="center"/>
      <w:pPr>
        <w:ind w:left="720" w:hanging="360"/>
      </w:pPr>
      <w:rPr>
        <w:rFonts w:hint="default"/>
      </w:rPr>
    </w:lvl>
    <w:lvl w:ilvl="1" w:tplc="839EE7D4" w:tentative="1">
      <w:start w:val="1"/>
      <w:numFmt w:val="lowerLetter"/>
      <w:lvlText w:val="%2."/>
      <w:lvlJc w:val="left"/>
      <w:pPr>
        <w:ind w:left="1440" w:hanging="360"/>
      </w:pPr>
    </w:lvl>
    <w:lvl w:ilvl="2" w:tplc="68C017E8" w:tentative="1">
      <w:start w:val="1"/>
      <w:numFmt w:val="lowerRoman"/>
      <w:lvlText w:val="%3."/>
      <w:lvlJc w:val="right"/>
      <w:pPr>
        <w:ind w:left="2160" w:hanging="180"/>
      </w:pPr>
    </w:lvl>
    <w:lvl w:ilvl="3" w:tplc="A08CBF4C" w:tentative="1">
      <w:start w:val="1"/>
      <w:numFmt w:val="decimal"/>
      <w:lvlText w:val="%4."/>
      <w:lvlJc w:val="left"/>
      <w:pPr>
        <w:ind w:left="2880" w:hanging="360"/>
      </w:pPr>
    </w:lvl>
    <w:lvl w:ilvl="4" w:tplc="6C50C51C" w:tentative="1">
      <w:start w:val="1"/>
      <w:numFmt w:val="lowerLetter"/>
      <w:lvlText w:val="%5."/>
      <w:lvlJc w:val="left"/>
      <w:pPr>
        <w:ind w:left="3600" w:hanging="360"/>
      </w:pPr>
    </w:lvl>
    <w:lvl w:ilvl="5" w:tplc="7C8ED542" w:tentative="1">
      <w:start w:val="1"/>
      <w:numFmt w:val="lowerRoman"/>
      <w:lvlText w:val="%6."/>
      <w:lvlJc w:val="right"/>
      <w:pPr>
        <w:ind w:left="4320" w:hanging="180"/>
      </w:pPr>
    </w:lvl>
    <w:lvl w:ilvl="6" w:tplc="C114B124" w:tentative="1">
      <w:start w:val="1"/>
      <w:numFmt w:val="decimal"/>
      <w:lvlText w:val="%7."/>
      <w:lvlJc w:val="left"/>
      <w:pPr>
        <w:ind w:left="5040" w:hanging="360"/>
      </w:pPr>
    </w:lvl>
    <w:lvl w:ilvl="7" w:tplc="302093E0" w:tentative="1">
      <w:start w:val="1"/>
      <w:numFmt w:val="lowerLetter"/>
      <w:lvlText w:val="%8."/>
      <w:lvlJc w:val="left"/>
      <w:pPr>
        <w:ind w:left="5760" w:hanging="360"/>
      </w:pPr>
    </w:lvl>
    <w:lvl w:ilvl="8" w:tplc="9092CD36" w:tentative="1">
      <w:start w:val="1"/>
      <w:numFmt w:val="lowerRoman"/>
      <w:lvlText w:val="%9."/>
      <w:lvlJc w:val="right"/>
      <w:pPr>
        <w:ind w:left="6480" w:hanging="180"/>
      </w:pPr>
    </w:lvl>
  </w:abstractNum>
  <w:abstractNum w:abstractNumId="1" w15:restartNumberingAfterBreak="0">
    <w:nsid w:val="05BF299D"/>
    <w:multiLevelType w:val="hybridMultilevel"/>
    <w:tmpl w:val="18E0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D58DD"/>
    <w:multiLevelType w:val="hybridMultilevel"/>
    <w:tmpl w:val="43FC836A"/>
    <w:lvl w:ilvl="0" w:tplc="D7C680F4">
      <w:start w:val="1"/>
      <w:numFmt w:val="decimal"/>
      <w:pStyle w:val="DNum"/>
      <w:suff w:val="nothing"/>
      <w:lvlText w:val="D.%1"/>
      <w:lvlJc w:val="center"/>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81762C3E" w:tentative="1">
      <w:start w:val="1"/>
      <w:numFmt w:val="lowerLetter"/>
      <w:lvlText w:val="%2."/>
      <w:lvlJc w:val="left"/>
      <w:pPr>
        <w:ind w:left="1440" w:hanging="360"/>
      </w:pPr>
    </w:lvl>
    <w:lvl w:ilvl="2" w:tplc="9AA4364A" w:tentative="1">
      <w:start w:val="1"/>
      <w:numFmt w:val="lowerRoman"/>
      <w:lvlText w:val="%3."/>
      <w:lvlJc w:val="right"/>
      <w:pPr>
        <w:ind w:left="2160" w:hanging="180"/>
      </w:pPr>
    </w:lvl>
    <w:lvl w:ilvl="3" w:tplc="3DE291C6" w:tentative="1">
      <w:start w:val="1"/>
      <w:numFmt w:val="decimal"/>
      <w:lvlText w:val="%4."/>
      <w:lvlJc w:val="left"/>
      <w:pPr>
        <w:ind w:left="2880" w:hanging="360"/>
      </w:pPr>
    </w:lvl>
    <w:lvl w:ilvl="4" w:tplc="FC46964C" w:tentative="1">
      <w:start w:val="1"/>
      <w:numFmt w:val="lowerLetter"/>
      <w:lvlText w:val="%5."/>
      <w:lvlJc w:val="left"/>
      <w:pPr>
        <w:ind w:left="3600" w:hanging="360"/>
      </w:pPr>
    </w:lvl>
    <w:lvl w:ilvl="5" w:tplc="69AE93F0" w:tentative="1">
      <w:start w:val="1"/>
      <w:numFmt w:val="lowerRoman"/>
      <w:lvlText w:val="%6."/>
      <w:lvlJc w:val="right"/>
      <w:pPr>
        <w:ind w:left="4320" w:hanging="180"/>
      </w:pPr>
    </w:lvl>
    <w:lvl w:ilvl="6" w:tplc="EA7AEC3E" w:tentative="1">
      <w:start w:val="1"/>
      <w:numFmt w:val="decimal"/>
      <w:lvlText w:val="%7."/>
      <w:lvlJc w:val="left"/>
      <w:pPr>
        <w:ind w:left="5040" w:hanging="360"/>
      </w:pPr>
    </w:lvl>
    <w:lvl w:ilvl="7" w:tplc="9D0E99F2" w:tentative="1">
      <w:start w:val="1"/>
      <w:numFmt w:val="lowerLetter"/>
      <w:lvlText w:val="%8."/>
      <w:lvlJc w:val="left"/>
      <w:pPr>
        <w:ind w:left="5760" w:hanging="360"/>
      </w:pPr>
    </w:lvl>
    <w:lvl w:ilvl="8" w:tplc="690C91B4" w:tentative="1">
      <w:start w:val="1"/>
      <w:numFmt w:val="lowerRoman"/>
      <w:lvlText w:val="%9."/>
      <w:lvlJc w:val="right"/>
      <w:pPr>
        <w:ind w:left="6480" w:hanging="180"/>
      </w:pPr>
    </w:lvl>
  </w:abstractNum>
  <w:abstractNum w:abstractNumId="3" w15:restartNumberingAfterBreak="0">
    <w:nsid w:val="076C6264"/>
    <w:multiLevelType w:val="hybridMultilevel"/>
    <w:tmpl w:val="D53ACCEC"/>
    <w:lvl w:ilvl="0" w:tplc="A434CBF6">
      <w:start w:val="1"/>
      <w:numFmt w:val="decimal"/>
      <w:pStyle w:val="ATables"/>
      <w:lvlText w:val="A.%1"/>
      <w:lvlJc w:val="left"/>
      <w:pPr>
        <w:ind w:left="720" w:hanging="720"/>
      </w:pPr>
      <w:rPr>
        <w:rFonts w:ascii="Open Sans" w:hAnsi="Open Sans" w:cs="Times New Roman"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4DE6F212" w:tentative="1">
      <w:start w:val="1"/>
      <w:numFmt w:val="lowerLetter"/>
      <w:lvlText w:val="%2."/>
      <w:lvlJc w:val="left"/>
      <w:pPr>
        <w:ind w:left="1440" w:hanging="360"/>
      </w:pPr>
    </w:lvl>
    <w:lvl w:ilvl="2" w:tplc="5C102D66" w:tentative="1">
      <w:start w:val="1"/>
      <w:numFmt w:val="lowerRoman"/>
      <w:lvlText w:val="%3."/>
      <w:lvlJc w:val="right"/>
      <w:pPr>
        <w:ind w:left="2160" w:hanging="180"/>
      </w:pPr>
    </w:lvl>
    <w:lvl w:ilvl="3" w:tplc="2F6CB790" w:tentative="1">
      <w:start w:val="1"/>
      <w:numFmt w:val="decimal"/>
      <w:lvlText w:val="%4."/>
      <w:lvlJc w:val="left"/>
      <w:pPr>
        <w:ind w:left="2880" w:hanging="360"/>
      </w:pPr>
    </w:lvl>
    <w:lvl w:ilvl="4" w:tplc="8E20D108" w:tentative="1">
      <w:start w:val="1"/>
      <w:numFmt w:val="lowerLetter"/>
      <w:lvlText w:val="%5."/>
      <w:lvlJc w:val="left"/>
      <w:pPr>
        <w:ind w:left="3600" w:hanging="360"/>
      </w:pPr>
    </w:lvl>
    <w:lvl w:ilvl="5" w:tplc="BE5C591E" w:tentative="1">
      <w:start w:val="1"/>
      <w:numFmt w:val="lowerRoman"/>
      <w:lvlText w:val="%6."/>
      <w:lvlJc w:val="right"/>
      <w:pPr>
        <w:ind w:left="4320" w:hanging="180"/>
      </w:pPr>
    </w:lvl>
    <w:lvl w:ilvl="6" w:tplc="68F62E12" w:tentative="1">
      <w:start w:val="1"/>
      <w:numFmt w:val="decimal"/>
      <w:lvlText w:val="%7."/>
      <w:lvlJc w:val="left"/>
      <w:pPr>
        <w:ind w:left="5040" w:hanging="360"/>
      </w:pPr>
    </w:lvl>
    <w:lvl w:ilvl="7" w:tplc="D102BEF0" w:tentative="1">
      <w:start w:val="1"/>
      <w:numFmt w:val="lowerLetter"/>
      <w:lvlText w:val="%8."/>
      <w:lvlJc w:val="left"/>
      <w:pPr>
        <w:ind w:left="5760" w:hanging="360"/>
      </w:pPr>
    </w:lvl>
    <w:lvl w:ilvl="8" w:tplc="A3C8AB14" w:tentative="1">
      <w:start w:val="1"/>
      <w:numFmt w:val="lowerRoman"/>
      <w:lvlText w:val="%9."/>
      <w:lvlJc w:val="right"/>
      <w:pPr>
        <w:ind w:left="6480" w:hanging="180"/>
      </w:pPr>
    </w:lvl>
  </w:abstractNum>
  <w:abstractNum w:abstractNumId="4" w15:restartNumberingAfterBreak="0">
    <w:nsid w:val="0BA26C05"/>
    <w:multiLevelType w:val="hybridMultilevel"/>
    <w:tmpl w:val="D6949438"/>
    <w:lvl w:ilvl="0" w:tplc="52C0126A">
      <w:start w:val="1"/>
      <w:numFmt w:val="decimal"/>
      <w:pStyle w:val="ENum"/>
      <w:lvlText w:val="E.%1"/>
      <w:lvlJc w:val="center"/>
      <w:pPr>
        <w:ind w:left="720" w:hanging="360"/>
      </w:pPr>
      <w:rPr>
        <w:rFonts w:hint="default"/>
      </w:rPr>
    </w:lvl>
    <w:lvl w:ilvl="1" w:tplc="E16A57B4" w:tentative="1">
      <w:start w:val="1"/>
      <w:numFmt w:val="lowerLetter"/>
      <w:lvlText w:val="%2."/>
      <w:lvlJc w:val="left"/>
      <w:pPr>
        <w:ind w:left="1440" w:hanging="360"/>
      </w:pPr>
    </w:lvl>
    <w:lvl w:ilvl="2" w:tplc="2D104AF8" w:tentative="1">
      <w:start w:val="1"/>
      <w:numFmt w:val="lowerRoman"/>
      <w:lvlText w:val="%3."/>
      <w:lvlJc w:val="right"/>
      <w:pPr>
        <w:ind w:left="2160" w:hanging="180"/>
      </w:pPr>
    </w:lvl>
    <w:lvl w:ilvl="3" w:tplc="58C25EA4" w:tentative="1">
      <w:start w:val="1"/>
      <w:numFmt w:val="decimal"/>
      <w:lvlText w:val="%4."/>
      <w:lvlJc w:val="left"/>
      <w:pPr>
        <w:ind w:left="2880" w:hanging="360"/>
      </w:pPr>
    </w:lvl>
    <w:lvl w:ilvl="4" w:tplc="16F65C34" w:tentative="1">
      <w:start w:val="1"/>
      <w:numFmt w:val="lowerLetter"/>
      <w:lvlText w:val="%5."/>
      <w:lvlJc w:val="left"/>
      <w:pPr>
        <w:ind w:left="3600" w:hanging="360"/>
      </w:pPr>
    </w:lvl>
    <w:lvl w:ilvl="5" w:tplc="9D1A8712" w:tentative="1">
      <w:start w:val="1"/>
      <w:numFmt w:val="lowerRoman"/>
      <w:lvlText w:val="%6."/>
      <w:lvlJc w:val="right"/>
      <w:pPr>
        <w:ind w:left="4320" w:hanging="180"/>
      </w:pPr>
    </w:lvl>
    <w:lvl w:ilvl="6" w:tplc="64349C3C" w:tentative="1">
      <w:start w:val="1"/>
      <w:numFmt w:val="decimal"/>
      <w:lvlText w:val="%7."/>
      <w:lvlJc w:val="left"/>
      <w:pPr>
        <w:ind w:left="5040" w:hanging="360"/>
      </w:pPr>
    </w:lvl>
    <w:lvl w:ilvl="7" w:tplc="48F8D6AA" w:tentative="1">
      <w:start w:val="1"/>
      <w:numFmt w:val="lowerLetter"/>
      <w:lvlText w:val="%8."/>
      <w:lvlJc w:val="left"/>
      <w:pPr>
        <w:ind w:left="5760" w:hanging="360"/>
      </w:pPr>
    </w:lvl>
    <w:lvl w:ilvl="8" w:tplc="C8E23298" w:tentative="1">
      <w:start w:val="1"/>
      <w:numFmt w:val="lowerRoman"/>
      <w:lvlText w:val="%9."/>
      <w:lvlJc w:val="right"/>
      <w:pPr>
        <w:ind w:left="6480" w:hanging="180"/>
      </w:pPr>
    </w:lvl>
  </w:abstractNum>
  <w:abstractNum w:abstractNumId="5" w15:restartNumberingAfterBreak="0">
    <w:nsid w:val="1A2D70F5"/>
    <w:multiLevelType w:val="hybridMultilevel"/>
    <w:tmpl w:val="E4A651F4"/>
    <w:lvl w:ilvl="0" w:tplc="6C5A436A">
      <w:start w:val="1"/>
      <w:numFmt w:val="decimal"/>
      <w:pStyle w:val="BNum"/>
      <w:suff w:val="nothing"/>
      <w:lvlText w:val="B.%1"/>
      <w:lvlJc w:val="center"/>
      <w:pPr>
        <w:ind w:left="0" w:firstLine="0"/>
      </w:pPr>
      <w:rPr>
        <w:rFonts w:ascii="Open Sans" w:hAnsi="Open Sans" w:cs="Times New Roman" w:hint="default"/>
        <w:b w:val="0"/>
        <w:bCs/>
        <w:i w:val="0"/>
        <w:iCs w:val="0"/>
        <w:caps w:val="0"/>
        <w:strike w:val="0"/>
        <w:dstrike w:val="0"/>
        <w:outline w:val="0"/>
        <w:shadow w:val="0"/>
        <w:emboss w:val="0"/>
        <w:imprint w:val="0"/>
        <w:vanish w:val="0"/>
        <w:spacing w:val="0"/>
        <w:kern w:val="0"/>
        <w:position w:val="0"/>
        <w:sz w:val="20"/>
        <w:u w:val="none"/>
        <w:effect w:val="none"/>
        <w:vertAlign w:val="baseline"/>
        <w14:ligatures w14:val="none"/>
        <w14:numForm w14:val="default"/>
        <w14:numSpacing w14:val="default"/>
        <w14:stylisticSets/>
        <w14:cntxtAlts w14:val="0"/>
      </w:rPr>
    </w:lvl>
    <w:lvl w:ilvl="1" w:tplc="97A067D8" w:tentative="1">
      <w:start w:val="1"/>
      <w:numFmt w:val="lowerLetter"/>
      <w:lvlText w:val="%2."/>
      <w:lvlJc w:val="left"/>
      <w:pPr>
        <w:ind w:left="1440" w:hanging="360"/>
      </w:pPr>
    </w:lvl>
    <w:lvl w:ilvl="2" w:tplc="679EA2B6" w:tentative="1">
      <w:start w:val="1"/>
      <w:numFmt w:val="lowerRoman"/>
      <w:lvlText w:val="%3."/>
      <w:lvlJc w:val="right"/>
      <w:pPr>
        <w:ind w:left="2160" w:hanging="180"/>
      </w:pPr>
    </w:lvl>
    <w:lvl w:ilvl="3" w:tplc="A5D46470" w:tentative="1">
      <w:start w:val="1"/>
      <w:numFmt w:val="decimal"/>
      <w:lvlText w:val="%4."/>
      <w:lvlJc w:val="left"/>
      <w:pPr>
        <w:ind w:left="2880" w:hanging="360"/>
      </w:pPr>
    </w:lvl>
    <w:lvl w:ilvl="4" w:tplc="96FA798E" w:tentative="1">
      <w:start w:val="1"/>
      <w:numFmt w:val="lowerLetter"/>
      <w:lvlText w:val="%5."/>
      <w:lvlJc w:val="left"/>
      <w:pPr>
        <w:ind w:left="3600" w:hanging="360"/>
      </w:pPr>
    </w:lvl>
    <w:lvl w:ilvl="5" w:tplc="BE00B126" w:tentative="1">
      <w:start w:val="1"/>
      <w:numFmt w:val="lowerRoman"/>
      <w:lvlText w:val="%6."/>
      <w:lvlJc w:val="right"/>
      <w:pPr>
        <w:ind w:left="4320" w:hanging="180"/>
      </w:pPr>
    </w:lvl>
    <w:lvl w:ilvl="6" w:tplc="6F349C12" w:tentative="1">
      <w:start w:val="1"/>
      <w:numFmt w:val="decimal"/>
      <w:lvlText w:val="%7."/>
      <w:lvlJc w:val="left"/>
      <w:pPr>
        <w:ind w:left="5040" w:hanging="360"/>
      </w:pPr>
    </w:lvl>
    <w:lvl w:ilvl="7" w:tplc="CD5AA308" w:tentative="1">
      <w:start w:val="1"/>
      <w:numFmt w:val="lowerLetter"/>
      <w:lvlText w:val="%8."/>
      <w:lvlJc w:val="left"/>
      <w:pPr>
        <w:ind w:left="5760" w:hanging="360"/>
      </w:pPr>
    </w:lvl>
    <w:lvl w:ilvl="8" w:tplc="DDCEB0F4" w:tentative="1">
      <w:start w:val="1"/>
      <w:numFmt w:val="lowerRoman"/>
      <w:lvlText w:val="%9."/>
      <w:lvlJc w:val="right"/>
      <w:pPr>
        <w:ind w:left="6480" w:hanging="180"/>
      </w:pPr>
    </w:lvl>
  </w:abstractNum>
  <w:abstractNum w:abstractNumId="6" w15:restartNumberingAfterBreak="0">
    <w:nsid w:val="1FC74029"/>
    <w:multiLevelType w:val="hybridMultilevel"/>
    <w:tmpl w:val="34343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1849C0"/>
    <w:multiLevelType w:val="hybridMultilevel"/>
    <w:tmpl w:val="0CAA4040"/>
    <w:lvl w:ilvl="0" w:tplc="A3A4638C">
      <w:start w:val="1"/>
      <w:numFmt w:val="decimal"/>
      <w:pStyle w:val="FNum"/>
      <w:suff w:val="nothing"/>
      <w:lvlText w:val="F.%1"/>
      <w:lvlJc w:val="center"/>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76E0DE62" w:tentative="1">
      <w:start w:val="1"/>
      <w:numFmt w:val="lowerLetter"/>
      <w:lvlText w:val="%2."/>
      <w:lvlJc w:val="left"/>
      <w:pPr>
        <w:ind w:left="1440" w:hanging="360"/>
      </w:pPr>
    </w:lvl>
    <w:lvl w:ilvl="2" w:tplc="02EA46A2" w:tentative="1">
      <w:start w:val="1"/>
      <w:numFmt w:val="lowerRoman"/>
      <w:lvlText w:val="%3."/>
      <w:lvlJc w:val="right"/>
      <w:pPr>
        <w:ind w:left="2160" w:hanging="180"/>
      </w:pPr>
    </w:lvl>
    <w:lvl w:ilvl="3" w:tplc="04C8AE38" w:tentative="1">
      <w:start w:val="1"/>
      <w:numFmt w:val="decimal"/>
      <w:lvlText w:val="%4."/>
      <w:lvlJc w:val="left"/>
      <w:pPr>
        <w:ind w:left="2880" w:hanging="360"/>
      </w:pPr>
    </w:lvl>
    <w:lvl w:ilvl="4" w:tplc="4DD41FD2" w:tentative="1">
      <w:start w:val="1"/>
      <w:numFmt w:val="lowerLetter"/>
      <w:lvlText w:val="%5."/>
      <w:lvlJc w:val="left"/>
      <w:pPr>
        <w:ind w:left="3600" w:hanging="360"/>
      </w:pPr>
    </w:lvl>
    <w:lvl w:ilvl="5" w:tplc="10B2FAEE" w:tentative="1">
      <w:start w:val="1"/>
      <w:numFmt w:val="lowerRoman"/>
      <w:lvlText w:val="%6."/>
      <w:lvlJc w:val="right"/>
      <w:pPr>
        <w:ind w:left="4320" w:hanging="180"/>
      </w:pPr>
    </w:lvl>
    <w:lvl w:ilvl="6" w:tplc="3CBEA062" w:tentative="1">
      <w:start w:val="1"/>
      <w:numFmt w:val="decimal"/>
      <w:lvlText w:val="%7."/>
      <w:lvlJc w:val="left"/>
      <w:pPr>
        <w:ind w:left="5040" w:hanging="360"/>
      </w:pPr>
    </w:lvl>
    <w:lvl w:ilvl="7" w:tplc="3D06730E" w:tentative="1">
      <w:start w:val="1"/>
      <w:numFmt w:val="lowerLetter"/>
      <w:lvlText w:val="%8."/>
      <w:lvlJc w:val="left"/>
      <w:pPr>
        <w:ind w:left="5760" w:hanging="360"/>
      </w:pPr>
    </w:lvl>
    <w:lvl w:ilvl="8" w:tplc="5DF0278E" w:tentative="1">
      <w:start w:val="1"/>
      <w:numFmt w:val="lowerRoman"/>
      <w:lvlText w:val="%9."/>
      <w:lvlJc w:val="right"/>
      <w:pPr>
        <w:ind w:left="6480" w:hanging="180"/>
      </w:pPr>
    </w:lvl>
  </w:abstractNum>
  <w:abstractNum w:abstractNumId="8" w15:restartNumberingAfterBreak="0">
    <w:nsid w:val="325D45D8"/>
    <w:multiLevelType w:val="hybridMultilevel"/>
    <w:tmpl w:val="84F2C452"/>
    <w:lvl w:ilvl="0" w:tplc="47B67B22">
      <w:start w:val="1"/>
      <w:numFmt w:val="decimal"/>
      <w:pStyle w:val="ENum0"/>
      <w:suff w:val="nothing"/>
      <w:lvlText w:val="E.%1"/>
      <w:lvlJc w:val="center"/>
      <w:pPr>
        <w:ind w:left="0" w:firstLine="0"/>
      </w:pPr>
      <w:rPr>
        <w:rFonts w:ascii="Open Sans" w:hAnsi="Open Sans" w:cs="Times New Roman" w:hint="default"/>
        <w:b w:val="0"/>
        <w:bCs/>
        <w:i w:val="0"/>
        <w:iCs w:val="0"/>
        <w:caps w:val="0"/>
        <w:strike w:val="0"/>
        <w:dstrike w:val="0"/>
        <w:outline w:val="0"/>
        <w:shadow w:val="0"/>
        <w:emboss w:val="0"/>
        <w:imprint w:val="0"/>
        <w:vanish w:val="0"/>
        <w:spacing w:val="0"/>
        <w:kern w:val="0"/>
        <w:position w:val="0"/>
        <w:sz w:val="20"/>
        <w:u w:val="none"/>
        <w:effect w:val="none"/>
        <w:vertAlign w:val="baseline"/>
        <w14:ligatures w14:val="none"/>
        <w14:numForm w14:val="default"/>
        <w14:numSpacing w14:val="default"/>
        <w14:stylisticSets/>
        <w14:cntxtAlts w14:val="0"/>
      </w:rPr>
    </w:lvl>
    <w:lvl w:ilvl="1" w:tplc="25B2A7AA" w:tentative="1">
      <w:start w:val="1"/>
      <w:numFmt w:val="lowerLetter"/>
      <w:lvlText w:val="%2."/>
      <w:lvlJc w:val="left"/>
      <w:pPr>
        <w:ind w:left="1440" w:hanging="360"/>
      </w:pPr>
    </w:lvl>
    <w:lvl w:ilvl="2" w:tplc="9DE01E76" w:tentative="1">
      <w:start w:val="1"/>
      <w:numFmt w:val="lowerRoman"/>
      <w:lvlText w:val="%3."/>
      <w:lvlJc w:val="right"/>
      <w:pPr>
        <w:ind w:left="2160" w:hanging="180"/>
      </w:pPr>
    </w:lvl>
    <w:lvl w:ilvl="3" w:tplc="061824E8" w:tentative="1">
      <w:start w:val="1"/>
      <w:numFmt w:val="decimal"/>
      <w:lvlText w:val="%4."/>
      <w:lvlJc w:val="left"/>
      <w:pPr>
        <w:ind w:left="2880" w:hanging="360"/>
      </w:pPr>
    </w:lvl>
    <w:lvl w:ilvl="4" w:tplc="3E9AE8AE" w:tentative="1">
      <w:start w:val="1"/>
      <w:numFmt w:val="lowerLetter"/>
      <w:lvlText w:val="%5."/>
      <w:lvlJc w:val="left"/>
      <w:pPr>
        <w:ind w:left="3600" w:hanging="360"/>
      </w:pPr>
    </w:lvl>
    <w:lvl w:ilvl="5" w:tplc="F5740FE8" w:tentative="1">
      <w:start w:val="1"/>
      <w:numFmt w:val="lowerRoman"/>
      <w:lvlText w:val="%6."/>
      <w:lvlJc w:val="right"/>
      <w:pPr>
        <w:ind w:left="4320" w:hanging="180"/>
      </w:pPr>
    </w:lvl>
    <w:lvl w:ilvl="6" w:tplc="BAE47764" w:tentative="1">
      <w:start w:val="1"/>
      <w:numFmt w:val="decimal"/>
      <w:lvlText w:val="%7."/>
      <w:lvlJc w:val="left"/>
      <w:pPr>
        <w:ind w:left="5040" w:hanging="360"/>
      </w:pPr>
    </w:lvl>
    <w:lvl w:ilvl="7" w:tplc="965AA8FA" w:tentative="1">
      <w:start w:val="1"/>
      <w:numFmt w:val="lowerLetter"/>
      <w:lvlText w:val="%8."/>
      <w:lvlJc w:val="left"/>
      <w:pPr>
        <w:ind w:left="5760" w:hanging="360"/>
      </w:pPr>
    </w:lvl>
    <w:lvl w:ilvl="8" w:tplc="200029F6" w:tentative="1">
      <w:start w:val="1"/>
      <w:numFmt w:val="lowerRoman"/>
      <w:lvlText w:val="%9."/>
      <w:lvlJc w:val="right"/>
      <w:pPr>
        <w:ind w:left="6480" w:hanging="180"/>
      </w:pPr>
    </w:lvl>
  </w:abstractNum>
  <w:abstractNum w:abstractNumId="9" w15:restartNumberingAfterBreak="0">
    <w:nsid w:val="34696F99"/>
    <w:multiLevelType w:val="hybridMultilevel"/>
    <w:tmpl w:val="E3DAB188"/>
    <w:lvl w:ilvl="0" w:tplc="D048E3CA">
      <w:start w:val="1"/>
      <w:numFmt w:val="decimal"/>
      <w:pStyle w:val="BTables"/>
      <w:lvlText w:val="B.%1"/>
      <w:lvlJc w:val="left"/>
      <w:pPr>
        <w:ind w:left="720" w:hanging="720"/>
      </w:pPr>
      <w:rPr>
        <w:rFonts w:hint="default"/>
      </w:rPr>
    </w:lvl>
    <w:lvl w:ilvl="1" w:tplc="46361C90" w:tentative="1">
      <w:start w:val="1"/>
      <w:numFmt w:val="lowerLetter"/>
      <w:lvlText w:val="%2."/>
      <w:lvlJc w:val="left"/>
      <w:pPr>
        <w:ind w:left="1440" w:hanging="360"/>
      </w:pPr>
    </w:lvl>
    <w:lvl w:ilvl="2" w:tplc="3EBC38CC" w:tentative="1">
      <w:start w:val="1"/>
      <w:numFmt w:val="lowerRoman"/>
      <w:lvlText w:val="%3."/>
      <w:lvlJc w:val="right"/>
      <w:pPr>
        <w:ind w:left="2160" w:hanging="180"/>
      </w:pPr>
    </w:lvl>
    <w:lvl w:ilvl="3" w:tplc="3E2C9E94" w:tentative="1">
      <w:start w:val="1"/>
      <w:numFmt w:val="decimal"/>
      <w:lvlText w:val="%4."/>
      <w:lvlJc w:val="left"/>
      <w:pPr>
        <w:ind w:left="2880" w:hanging="360"/>
      </w:pPr>
    </w:lvl>
    <w:lvl w:ilvl="4" w:tplc="F96E8164" w:tentative="1">
      <w:start w:val="1"/>
      <w:numFmt w:val="lowerLetter"/>
      <w:lvlText w:val="%5."/>
      <w:lvlJc w:val="left"/>
      <w:pPr>
        <w:ind w:left="3600" w:hanging="360"/>
      </w:pPr>
    </w:lvl>
    <w:lvl w:ilvl="5" w:tplc="76B6AD36" w:tentative="1">
      <w:start w:val="1"/>
      <w:numFmt w:val="lowerRoman"/>
      <w:lvlText w:val="%6."/>
      <w:lvlJc w:val="right"/>
      <w:pPr>
        <w:ind w:left="4320" w:hanging="180"/>
      </w:pPr>
    </w:lvl>
    <w:lvl w:ilvl="6" w:tplc="8D58E67C" w:tentative="1">
      <w:start w:val="1"/>
      <w:numFmt w:val="decimal"/>
      <w:lvlText w:val="%7."/>
      <w:lvlJc w:val="left"/>
      <w:pPr>
        <w:ind w:left="5040" w:hanging="360"/>
      </w:pPr>
    </w:lvl>
    <w:lvl w:ilvl="7" w:tplc="BF50122A" w:tentative="1">
      <w:start w:val="1"/>
      <w:numFmt w:val="lowerLetter"/>
      <w:lvlText w:val="%8."/>
      <w:lvlJc w:val="left"/>
      <w:pPr>
        <w:ind w:left="5760" w:hanging="360"/>
      </w:pPr>
    </w:lvl>
    <w:lvl w:ilvl="8" w:tplc="439635A6" w:tentative="1">
      <w:start w:val="1"/>
      <w:numFmt w:val="lowerRoman"/>
      <w:lvlText w:val="%9."/>
      <w:lvlJc w:val="right"/>
      <w:pPr>
        <w:ind w:left="6480" w:hanging="180"/>
      </w:pPr>
    </w:lvl>
  </w:abstractNum>
  <w:abstractNum w:abstractNumId="10" w15:restartNumberingAfterBreak="0">
    <w:nsid w:val="3EE92940"/>
    <w:multiLevelType w:val="hybridMultilevel"/>
    <w:tmpl w:val="C8FAD280"/>
    <w:lvl w:ilvl="0" w:tplc="7794F92C">
      <w:start w:val="1"/>
      <w:numFmt w:val="decimal"/>
      <w:pStyle w:val="GNum"/>
      <w:suff w:val="nothing"/>
      <w:lvlText w:val="G.%1"/>
      <w:lvlJc w:val="center"/>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95C630E6" w:tentative="1">
      <w:start w:val="1"/>
      <w:numFmt w:val="lowerLetter"/>
      <w:lvlText w:val="%2."/>
      <w:lvlJc w:val="left"/>
      <w:pPr>
        <w:ind w:left="1440" w:hanging="360"/>
      </w:pPr>
    </w:lvl>
    <w:lvl w:ilvl="2" w:tplc="3C1A297A" w:tentative="1">
      <w:start w:val="1"/>
      <w:numFmt w:val="lowerRoman"/>
      <w:lvlText w:val="%3."/>
      <w:lvlJc w:val="right"/>
      <w:pPr>
        <w:ind w:left="2160" w:hanging="180"/>
      </w:pPr>
    </w:lvl>
    <w:lvl w:ilvl="3" w:tplc="A0DCC568" w:tentative="1">
      <w:start w:val="1"/>
      <w:numFmt w:val="decimal"/>
      <w:lvlText w:val="%4."/>
      <w:lvlJc w:val="left"/>
      <w:pPr>
        <w:ind w:left="2880" w:hanging="360"/>
      </w:pPr>
    </w:lvl>
    <w:lvl w:ilvl="4" w:tplc="C2886918" w:tentative="1">
      <w:start w:val="1"/>
      <w:numFmt w:val="lowerLetter"/>
      <w:lvlText w:val="%5."/>
      <w:lvlJc w:val="left"/>
      <w:pPr>
        <w:ind w:left="3600" w:hanging="360"/>
      </w:pPr>
    </w:lvl>
    <w:lvl w:ilvl="5" w:tplc="47A04F28" w:tentative="1">
      <w:start w:val="1"/>
      <w:numFmt w:val="lowerRoman"/>
      <w:lvlText w:val="%6."/>
      <w:lvlJc w:val="right"/>
      <w:pPr>
        <w:ind w:left="4320" w:hanging="180"/>
      </w:pPr>
    </w:lvl>
    <w:lvl w:ilvl="6" w:tplc="3BDE17CC" w:tentative="1">
      <w:start w:val="1"/>
      <w:numFmt w:val="decimal"/>
      <w:lvlText w:val="%7."/>
      <w:lvlJc w:val="left"/>
      <w:pPr>
        <w:ind w:left="5040" w:hanging="360"/>
      </w:pPr>
    </w:lvl>
    <w:lvl w:ilvl="7" w:tplc="5E50BA5A" w:tentative="1">
      <w:start w:val="1"/>
      <w:numFmt w:val="lowerLetter"/>
      <w:lvlText w:val="%8."/>
      <w:lvlJc w:val="left"/>
      <w:pPr>
        <w:ind w:left="5760" w:hanging="360"/>
      </w:pPr>
    </w:lvl>
    <w:lvl w:ilvl="8" w:tplc="899A7D00" w:tentative="1">
      <w:start w:val="1"/>
      <w:numFmt w:val="lowerRoman"/>
      <w:lvlText w:val="%9."/>
      <w:lvlJc w:val="right"/>
      <w:pPr>
        <w:ind w:left="6480" w:hanging="180"/>
      </w:pPr>
    </w:lvl>
  </w:abstractNum>
  <w:abstractNum w:abstractNumId="11" w15:restartNumberingAfterBreak="0">
    <w:nsid w:val="4E7D4CA2"/>
    <w:multiLevelType w:val="hybridMultilevel"/>
    <w:tmpl w:val="6FB4C26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49591D"/>
    <w:multiLevelType w:val="multilevel"/>
    <w:tmpl w:val="BAD64AB6"/>
    <w:lvl w:ilvl="0">
      <w:start w:val="1"/>
      <w:numFmt w:val="decimal"/>
      <w:pStyle w:val="ListParagraph"/>
      <w:lvlText w:val="%1."/>
      <w:lvlJc w:val="left"/>
      <w:pPr>
        <w:tabs>
          <w:tab w:val="num" w:pos="576"/>
        </w:tabs>
        <w:ind w:left="576"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lowerLetter"/>
      <w:lvlText w:val="%2."/>
      <w:lvlJc w:val="left"/>
      <w:pPr>
        <w:tabs>
          <w:tab w:val="num" w:pos="1008"/>
        </w:tabs>
        <w:ind w:left="1008" w:hanging="432"/>
      </w:pPr>
      <w:rPr>
        <w:rFonts w:hint="default"/>
      </w:rPr>
    </w:lvl>
    <w:lvl w:ilvl="2">
      <w:start w:val="1"/>
      <w:numFmt w:val="lowerRoman"/>
      <w:lvlText w:val="%3."/>
      <w:lvlJc w:val="left"/>
      <w:pPr>
        <w:tabs>
          <w:tab w:val="num" w:pos="1440"/>
        </w:tabs>
        <w:ind w:left="1440" w:hanging="43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AE31202"/>
    <w:multiLevelType w:val="hybridMultilevel"/>
    <w:tmpl w:val="2D7A00BC"/>
    <w:lvl w:ilvl="0" w:tplc="8EACE332">
      <w:start w:val="1"/>
      <w:numFmt w:val="decimal"/>
      <w:pStyle w:val="HNum"/>
      <w:suff w:val="nothing"/>
      <w:lvlText w:val="H.%1"/>
      <w:lvlJc w:val="center"/>
      <w:pPr>
        <w:ind w:left="0" w:firstLine="0"/>
      </w:pPr>
      <w:rPr>
        <w:rFonts w:ascii="Open Sans" w:hAnsi="Open Sans" w:hint="default"/>
        <w:b w:val="0"/>
        <w:i w:val="0"/>
        <w:sz w:val="20"/>
      </w:rPr>
    </w:lvl>
    <w:lvl w:ilvl="1" w:tplc="916C5516" w:tentative="1">
      <w:start w:val="1"/>
      <w:numFmt w:val="lowerLetter"/>
      <w:lvlText w:val="%2."/>
      <w:lvlJc w:val="left"/>
      <w:pPr>
        <w:ind w:left="1440" w:hanging="360"/>
      </w:pPr>
    </w:lvl>
    <w:lvl w:ilvl="2" w:tplc="89340752" w:tentative="1">
      <w:start w:val="1"/>
      <w:numFmt w:val="lowerRoman"/>
      <w:lvlText w:val="%3."/>
      <w:lvlJc w:val="right"/>
      <w:pPr>
        <w:ind w:left="2160" w:hanging="180"/>
      </w:pPr>
    </w:lvl>
    <w:lvl w:ilvl="3" w:tplc="26BEC708" w:tentative="1">
      <w:start w:val="1"/>
      <w:numFmt w:val="decimal"/>
      <w:lvlText w:val="%4."/>
      <w:lvlJc w:val="left"/>
      <w:pPr>
        <w:ind w:left="2880" w:hanging="360"/>
      </w:pPr>
    </w:lvl>
    <w:lvl w:ilvl="4" w:tplc="0C6251BE" w:tentative="1">
      <w:start w:val="1"/>
      <w:numFmt w:val="lowerLetter"/>
      <w:lvlText w:val="%5."/>
      <w:lvlJc w:val="left"/>
      <w:pPr>
        <w:ind w:left="3600" w:hanging="360"/>
      </w:pPr>
    </w:lvl>
    <w:lvl w:ilvl="5" w:tplc="628C091E" w:tentative="1">
      <w:start w:val="1"/>
      <w:numFmt w:val="lowerRoman"/>
      <w:lvlText w:val="%6."/>
      <w:lvlJc w:val="right"/>
      <w:pPr>
        <w:ind w:left="4320" w:hanging="180"/>
      </w:pPr>
    </w:lvl>
    <w:lvl w:ilvl="6" w:tplc="443E7B82" w:tentative="1">
      <w:start w:val="1"/>
      <w:numFmt w:val="decimal"/>
      <w:lvlText w:val="%7."/>
      <w:lvlJc w:val="left"/>
      <w:pPr>
        <w:ind w:left="5040" w:hanging="360"/>
      </w:pPr>
    </w:lvl>
    <w:lvl w:ilvl="7" w:tplc="876E3242" w:tentative="1">
      <w:start w:val="1"/>
      <w:numFmt w:val="lowerLetter"/>
      <w:lvlText w:val="%8."/>
      <w:lvlJc w:val="left"/>
      <w:pPr>
        <w:ind w:left="5760" w:hanging="360"/>
      </w:pPr>
    </w:lvl>
    <w:lvl w:ilvl="8" w:tplc="7D385D54" w:tentative="1">
      <w:start w:val="1"/>
      <w:numFmt w:val="lowerRoman"/>
      <w:lvlText w:val="%9."/>
      <w:lvlJc w:val="right"/>
      <w:pPr>
        <w:ind w:left="6480" w:hanging="180"/>
      </w:pPr>
    </w:lvl>
  </w:abstractNum>
  <w:abstractNum w:abstractNumId="14" w15:restartNumberingAfterBreak="0">
    <w:nsid w:val="61A71C0D"/>
    <w:multiLevelType w:val="hybridMultilevel"/>
    <w:tmpl w:val="C20CD67A"/>
    <w:lvl w:ilvl="0" w:tplc="B5CE2594">
      <w:start w:val="1"/>
      <w:numFmt w:val="decimal"/>
      <w:pStyle w:val="CNum0"/>
      <w:suff w:val="nothing"/>
      <w:lvlText w:val="C.%1"/>
      <w:lvlJc w:val="center"/>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1388C414" w:tentative="1">
      <w:start w:val="1"/>
      <w:numFmt w:val="lowerLetter"/>
      <w:lvlText w:val="%2."/>
      <w:lvlJc w:val="left"/>
      <w:pPr>
        <w:ind w:left="1440" w:hanging="360"/>
      </w:pPr>
    </w:lvl>
    <w:lvl w:ilvl="2" w:tplc="B358C9EC" w:tentative="1">
      <w:start w:val="1"/>
      <w:numFmt w:val="lowerRoman"/>
      <w:lvlText w:val="%3."/>
      <w:lvlJc w:val="right"/>
      <w:pPr>
        <w:ind w:left="2160" w:hanging="180"/>
      </w:pPr>
    </w:lvl>
    <w:lvl w:ilvl="3" w:tplc="E1AAE17A" w:tentative="1">
      <w:start w:val="1"/>
      <w:numFmt w:val="decimal"/>
      <w:lvlText w:val="%4."/>
      <w:lvlJc w:val="left"/>
      <w:pPr>
        <w:ind w:left="2880" w:hanging="360"/>
      </w:pPr>
    </w:lvl>
    <w:lvl w:ilvl="4" w:tplc="7F66E756" w:tentative="1">
      <w:start w:val="1"/>
      <w:numFmt w:val="lowerLetter"/>
      <w:lvlText w:val="%5."/>
      <w:lvlJc w:val="left"/>
      <w:pPr>
        <w:ind w:left="3600" w:hanging="360"/>
      </w:pPr>
    </w:lvl>
    <w:lvl w:ilvl="5" w:tplc="7166E9D2" w:tentative="1">
      <w:start w:val="1"/>
      <w:numFmt w:val="lowerRoman"/>
      <w:lvlText w:val="%6."/>
      <w:lvlJc w:val="right"/>
      <w:pPr>
        <w:ind w:left="4320" w:hanging="180"/>
      </w:pPr>
    </w:lvl>
    <w:lvl w:ilvl="6" w:tplc="D6BC7C7A" w:tentative="1">
      <w:start w:val="1"/>
      <w:numFmt w:val="decimal"/>
      <w:lvlText w:val="%7."/>
      <w:lvlJc w:val="left"/>
      <w:pPr>
        <w:ind w:left="5040" w:hanging="360"/>
      </w:pPr>
    </w:lvl>
    <w:lvl w:ilvl="7" w:tplc="E910D2EC" w:tentative="1">
      <w:start w:val="1"/>
      <w:numFmt w:val="lowerLetter"/>
      <w:lvlText w:val="%8."/>
      <w:lvlJc w:val="left"/>
      <w:pPr>
        <w:ind w:left="5760" w:hanging="360"/>
      </w:pPr>
    </w:lvl>
    <w:lvl w:ilvl="8" w:tplc="33D602CE" w:tentative="1">
      <w:start w:val="1"/>
      <w:numFmt w:val="lowerRoman"/>
      <w:lvlText w:val="%9."/>
      <w:lvlJc w:val="right"/>
      <w:pPr>
        <w:ind w:left="6480" w:hanging="180"/>
      </w:pPr>
    </w:lvl>
  </w:abstractNum>
  <w:abstractNum w:abstractNumId="15" w15:restartNumberingAfterBreak="0">
    <w:nsid w:val="6272789D"/>
    <w:multiLevelType w:val="hybridMultilevel"/>
    <w:tmpl w:val="D5F237E2"/>
    <w:lvl w:ilvl="0" w:tplc="02C69EEA">
      <w:start w:val="1"/>
      <w:numFmt w:val="decimal"/>
      <w:pStyle w:val="INum"/>
      <w:suff w:val="nothing"/>
      <w:lvlText w:val="I.%1"/>
      <w:lvlJc w:val="center"/>
      <w:pPr>
        <w:ind w:left="0" w:firstLine="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w14:cntxtAlts w14:val="0"/>
      </w:rPr>
    </w:lvl>
    <w:lvl w:ilvl="1" w:tplc="DE7CD976" w:tentative="1">
      <w:start w:val="1"/>
      <w:numFmt w:val="lowerLetter"/>
      <w:lvlText w:val="%2."/>
      <w:lvlJc w:val="left"/>
      <w:pPr>
        <w:ind w:left="1440" w:hanging="360"/>
      </w:pPr>
    </w:lvl>
    <w:lvl w:ilvl="2" w:tplc="25082DA0" w:tentative="1">
      <w:start w:val="1"/>
      <w:numFmt w:val="lowerRoman"/>
      <w:lvlText w:val="%3."/>
      <w:lvlJc w:val="right"/>
      <w:pPr>
        <w:ind w:left="2160" w:hanging="180"/>
      </w:pPr>
    </w:lvl>
    <w:lvl w:ilvl="3" w:tplc="97FAD10A" w:tentative="1">
      <w:start w:val="1"/>
      <w:numFmt w:val="decimal"/>
      <w:lvlText w:val="%4."/>
      <w:lvlJc w:val="left"/>
      <w:pPr>
        <w:ind w:left="2880" w:hanging="360"/>
      </w:pPr>
    </w:lvl>
    <w:lvl w:ilvl="4" w:tplc="E8D6EB90" w:tentative="1">
      <w:start w:val="1"/>
      <w:numFmt w:val="lowerLetter"/>
      <w:lvlText w:val="%5."/>
      <w:lvlJc w:val="left"/>
      <w:pPr>
        <w:ind w:left="3600" w:hanging="360"/>
      </w:pPr>
    </w:lvl>
    <w:lvl w:ilvl="5" w:tplc="A1BE89D0" w:tentative="1">
      <w:start w:val="1"/>
      <w:numFmt w:val="lowerRoman"/>
      <w:lvlText w:val="%6."/>
      <w:lvlJc w:val="right"/>
      <w:pPr>
        <w:ind w:left="4320" w:hanging="180"/>
      </w:pPr>
    </w:lvl>
    <w:lvl w:ilvl="6" w:tplc="5E5676EE" w:tentative="1">
      <w:start w:val="1"/>
      <w:numFmt w:val="decimal"/>
      <w:lvlText w:val="%7."/>
      <w:lvlJc w:val="left"/>
      <w:pPr>
        <w:ind w:left="5040" w:hanging="360"/>
      </w:pPr>
    </w:lvl>
    <w:lvl w:ilvl="7" w:tplc="0EB6C07C" w:tentative="1">
      <w:start w:val="1"/>
      <w:numFmt w:val="lowerLetter"/>
      <w:lvlText w:val="%8."/>
      <w:lvlJc w:val="left"/>
      <w:pPr>
        <w:ind w:left="5760" w:hanging="360"/>
      </w:pPr>
    </w:lvl>
    <w:lvl w:ilvl="8" w:tplc="FB3A9C36" w:tentative="1">
      <w:start w:val="1"/>
      <w:numFmt w:val="lowerRoman"/>
      <w:lvlText w:val="%9."/>
      <w:lvlJc w:val="right"/>
      <w:pPr>
        <w:ind w:left="6480" w:hanging="180"/>
      </w:pPr>
    </w:lvl>
  </w:abstractNum>
  <w:abstractNum w:abstractNumId="16" w15:restartNumberingAfterBreak="0">
    <w:nsid w:val="76A56A0A"/>
    <w:multiLevelType w:val="hybridMultilevel"/>
    <w:tmpl w:val="9F76156E"/>
    <w:lvl w:ilvl="0" w:tplc="B816994C">
      <w:start w:val="1"/>
      <w:numFmt w:val="upperLetter"/>
      <w:pStyle w:val="TableHeading"/>
      <w:lvlText w:val="%1."/>
      <w:lvlJc w:val="left"/>
      <w:pPr>
        <w:ind w:left="720" w:hanging="360"/>
      </w:pPr>
      <w:rPr>
        <w:rFonts w:hint="default"/>
      </w:rPr>
    </w:lvl>
    <w:lvl w:ilvl="1" w:tplc="677422A4" w:tentative="1">
      <w:start w:val="1"/>
      <w:numFmt w:val="lowerLetter"/>
      <w:lvlText w:val="%2."/>
      <w:lvlJc w:val="left"/>
      <w:pPr>
        <w:ind w:left="1440" w:hanging="360"/>
      </w:pPr>
    </w:lvl>
    <w:lvl w:ilvl="2" w:tplc="4A3A1D36" w:tentative="1">
      <w:start w:val="1"/>
      <w:numFmt w:val="lowerRoman"/>
      <w:lvlText w:val="%3."/>
      <w:lvlJc w:val="right"/>
      <w:pPr>
        <w:ind w:left="2160" w:hanging="180"/>
      </w:pPr>
    </w:lvl>
    <w:lvl w:ilvl="3" w:tplc="1CA41316" w:tentative="1">
      <w:start w:val="1"/>
      <w:numFmt w:val="decimal"/>
      <w:lvlText w:val="%4."/>
      <w:lvlJc w:val="left"/>
      <w:pPr>
        <w:ind w:left="2880" w:hanging="360"/>
      </w:pPr>
    </w:lvl>
    <w:lvl w:ilvl="4" w:tplc="7F9626DE" w:tentative="1">
      <w:start w:val="1"/>
      <w:numFmt w:val="lowerLetter"/>
      <w:lvlText w:val="%5."/>
      <w:lvlJc w:val="left"/>
      <w:pPr>
        <w:ind w:left="3600" w:hanging="360"/>
      </w:pPr>
    </w:lvl>
    <w:lvl w:ilvl="5" w:tplc="63868E9A" w:tentative="1">
      <w:start w:val="1"/>
      <w:numFmt w:val="lowerRoman"/>
      <w:lvlText w:val="%6."/>
      <w:lvlJc w:val="right"/>
      <w:pPr>
        <w:ind w:left="4320" w:hanging="180"/>
      </w:pPr>
    </w:lvl>
    <w:lvl w:ilvl="6" w:tplc="4B5A20C0" w:tentative="1">
      <w:start w:val="1"/>
      <w:numFmt w:val="decimal"/>
      <w:lvlText w:val="%7."/>
      <w:lvlJc w:val="left"/>
      <w:pPr>
        <w:ind w:left="5040" w:hanging="360"/>
      </w:pPr>
    </w:lvl>
    <w:lvl w:ilvl="7" w:tplc="AFDE4B8E" w:tentative="1">
      <w:start w:val="1"/>
      <w:numFmt w:val="lowerLetter"/>
      <w:lvlText w:val="%8."/>
      <w:lvlJc w:val="left"/>
      <w:pPr>
        <w:ind w:left="5760" w:hanging="360"/>
      </w:pPr>
    </w:lvl>
    <w:lvl w:ilvl="8" w:tplc="1A78DF78" w:tentative="1">
      <w:start w:val="1"/>
      <w:numFmt w:val="lowerRoman"/>
      <w:lvlText w:val="%9."/>
      <w:lvlJc w:val="right"/>
      <w:pPr>
        <w:ind w:left="6480" w:hanging="180"/>
      </w:pPr>
    </w:lvl>
  </w:abstractNum>
  <w:abstractNum w:abstractNumId="17" w15:restartNumberingAfterBreak="0">
    <w:nsid w:val="776D542E"/>
    <w:multiLevelType w:val="hybridMultilevel"/>
    <w:tmpl w:val="81B45D0E"/>
    <w:lvl w:ilvl="0" w:tplc="290E6E08">
      <w:start w:val="1"/>
      <w:numFmt w:val="decimal"/>
      <w:pStyle w:val="BTables0"/>
      <w:lvlText w:val="B.%1"/>
      <w:lvlJc w:val="left"/>
      <w:pPr>
        <w:ind w:left="720" w:hanging="720"/>
      </w:pPr>
      <w:rPr>
        <w:rFonts w:ascii="Open Sans" w:hAnsi="Open Sans" w:cs="Times New Roman" w:hint="default"/>
        <w:b/>
        <w:bCs/>
        <w:i w:val="0"/>
        <w:iCs w:val="0"/>
        <w:caps w:val="0"/>
        <w:smallCaps w:val="0"/>
        <w:strike w:val="0"/>
        <w:dstrike w:val="0"/>
        <w:outline w:val="0"/>
        <w:shadow w:val="0"/>
        <w:emboss w:val="0"/>
        <w:imprint w:val="0"/>
        <w:noProof w:val="0"/>
        <w:vanish w:val="0"/>
        <w:spacing w:val="0"/>
        <w:kern w:val="0"/>
        <w:position w:val="0"/>
        <w:sz w:val="2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B0F6502E" w:tentative="1">
      <w:start w:val="1"/>
      <w:numFmt w:val="lowerLetter"/>
      <w:lvlText w:val="%2."/>
      <w:lvlJc w:val="left"/>
      <w:pPr>
        <w:ind w:left="1440" w:hanging="360"/>
      </w:pPr>
    </w:lvl>
    <w:lvl w:ilvl="2" w:tplc="4376764C" w:tentative="1">
      <w:start w:val="1"/>
      <w:numFmt w:val="lowerRoman"/>
      <w:lvlText w:val="%3."/>
      <w:lvlJc w:val="right"/>
      <w:pPr>
        <w:ind w:left="2160" w:hanging="180"/>
      </w:pPr>
    </w:lvl>
    <w:lvl w:ilvl="3" w:tplc="AA60B66C" w:tentative="1">
      <w:start w:val="1"/>
      <w:numFmt w:val="decimal"/>
      <w:lvlText w:val="%4."/>
      <w:lvlJc w:val="left"/>
      <w:pPr>
        <w:ind w:left="2880" w:hanging="360"/>
      </w:pPr>
    </w:lvl>
    <w:lvl w:ilvl="4" w:tplc="D7CC64AC" w:tentative="1">
      <w:start w:val="1"/>
      <w:numFmt w:val="lowerLetter"/>
      <w:lvlText w:val="%5."/>
      <w:lvlJc w:val="left"/>
      <w:pPr>
        <w:ind w:left="3600" w:hanging="360"/>
      </w:pPr>
    </w:lvl>
    <w:lvl w:ilvl="5" w:tplc="B764139E" w:tentative="1">
      <w:start w:val="1"/>
      <w:numFmt w:val="lowerRoman"/>
      <w:lvlText w:val="%6."/>
      <w:lvlJc w:val="right"/>
      <w:pPr>
        <w:ind w:left="4320" w:hanging="180"/>
      </w:pPr>
    </w:lvl>
    <w:lvl w:ilvl="6" w:tplc="12BE66B0" w:tentative="1">
      <w:start w:val="1"/>
      <w:numFmt w:val="decimal"/>
      <w:lvlText w:val="%7."/>
      <w:lvlJc w:val="left"/>
      <w:pPr>
        <w:ind w:left="5040" w:hanging="360"/>
      </w:pPr>
    </w:lvl>
    <w:lvl w:ilvl="7" w:tplc="F54AA69E" w:tentative="1">
      <w:start w:val="1"/>
      <w:numFmt w:val="lowerLetter"/>
      <w:lvlText w:val="%8."/>
      <w:lvlJc w:val="left"/>
      <w:pPr>
        <w:ind w:left="5760" w:hanging="360"/>
      </w:pPr>
    </w:lvl>
    <w:lvl w:ilvl="8" w:tplc="6C64BAE4" w:tentative="1">
      <w:start w:val="1"/>
      <w:numFmt w:val="lowerRoman"/>
      <w:lvlText w:val="%9."/>
      <w:lvlJc w:val="right"/>
      <w:pPr>
        <w:ind w:left="6480" w:hanging="180"/>
      </w:pPr>
    </w:lvl>
  </w:abstractNum>
  <w:num w:numId="1" w16cid:durableId="304748068">
    <w:abstractNumId w:val="9"/>
  </w:num>
  <w:num w:numId="2" w16cid:durableId="512887807">
    <w:abstractNumId w:val="4"/>
  </w:num>
  <w:num w:numId="3" w16cid:durableId="1465809045">
    <w:abstractNumId w:val="0"/>
  </w:num>
  <w:num w:numId="4" w16cid:durableId="1708599044">
    <w:abstractNumId w:val="16"/>
  </w:num>
  <w:num w:numId="5" w16cid:durableId="1872066668">
    <w:abstractNumId w:val="3"/>
  </w:num>
  <w:num w:numId="6" w16cid:durableId="761687515">
    <w:abstractNumId w:val="5"/>
  </w:num>
  <w:num w:numId="7" w16cid:durableId="752121425">
    <w:abstractNumId w:val="17"/>
  </w:num>
  <w:num w:numId="8" w16cid:durableId="439955966">
    <w:abstractNumId w:val="14"/>
  </w:num>
  <w:num w:numId="9" w16cid:durableId="1320235690">
    <w:abstractNumId w:val="2"/>
  </w:num>
  <w:num w:numId="10" w16cid:durableId="855994881">
    <w:abstractNumId w:val="8"/>
  </w:num>
  <w:num w:numId="11" w16cid:durableId="1765683738">
    <w:abstractNumId w:val="7"/>
  </w:num>
  <w:num w:numId="12" w16cid:durableId="762384884">
    <w:abstractNumId w:val="10"/>
  </w:num>
  <w:num w:numId="13" w16cid:durableId="896165432">
    <w:abstractNumId w:val="10"/>
    <w:lvlOverride w:ilvl="0">
      <w:startOverride w:val="1"/>
    </w:lvlOverride>
  </w:num>
  <w:num w:numId="14" w16cid:durableId="671833647">
    <w:abstractNumId w:val="13"/>
  </w:num>
  <w:num w:numId="15" w16cid:durableId="1474562070">
    <w:abstractNumId w:val="15"/>
  </w:num>
  <w:num w:numId="16" w16cid:durableId="744032706">
    <w:abstractNumId w:val="12"/>
  </w:num>
  <w:num w:numId="17" w16cid:durableId="2797313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12331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68536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00753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0036920">
    <w:abstractNumId w:val="1"/>
  </w:num>
  <w:num w:numId="22" w16cid:durableId="2037734659">
    <w:abstractNumId w:val="6"/>
  </w:num>
  <w:num w:numId="23" w16cid:durableId="1651325615">
    <w:abstractNumId w:val="11"/>
  </w:num>
  <w:num w:numId="24" w16cid:durableId="1808890113">
    <w:abstractNumId w:val="14"/>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revisionView w:markup="0"/>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D2B"/>
    <w:rsid w:val="000944F2"/>
    <w:rsid w:val="000B4EE8"/>
    <w:rsid w:val="000F0E62"/>
    <w:rsid w:val="00124AB6"/>
    <w:rsid w:val="0016061C"/>
    <w:rsid w:val="00172712"/>
    <w:rsid w:val="001C2177"/>
    <w:rsid w:val="001F2A0E"/>
    <w:rsid w:val="002022FA"/>
    <w:rsid w:val="00212454"/>
    <w:rsid w:val="00220AED"/>
    <w:rsid w:val="00222DBC"/>
    <w:rsid w:val="0023193B"/>
    <w:rsid w:val="00267B27"/>
    <w:rsid w:val="002C57B4"/>
    <w:rsid w:val="002D3BC3"/>
    <w:rsid w:val="002F4341"/>
    <w:rsid w:val="0032443C"/>
    <w:rsid w:val="00355AFC"/>
    <w:rsid w:val="003F0F8C"/>
    <w:rsid w:val="00402777"/>
    <w:rsid w:val="0041697E"/>
    <w:rsid w:val="0044351E"/>
    <w:rsid w:val="0046529F"/>
    <w:rsid w:val="004672FB"/>
    <w:rsid w:val="004B43EF"/>
    <w:rsid w:val="004B610C"/>
    <w:rsid w:val="004F085A"/>
    <w:rsid w:val="00500532"/>
    <w:rsid w:val="00520604"/>
    <w:rsid w:val="005801A4"/>
    <w:rsid w:val="005D0F3E"/>
    <w:rsid w:val="005D3B4B"/>
    <w:rsid w:val="005E00D1"/>
    <w:rsid w:val="005E78B7"/>
    <w:rsid w:val="005F66A2"/>
    <w:rsid w:val="00600438"/>
    <w:rsid w:val="00611DD0"/>
    <w:rsid w:val="00644253"/>
    <w:rsid w:val="00674704"/>
    <w:rsid w:val="00691584"/>
    <w:rsid w:val="006B6A8A"/>
    <w:rsid w:val="006D4DA8"/>
    <w:rsid w:val="006E050D"/>
    <w:rsid w:val="00701A7C"/>
    <w:rsid w:val="00706430"/>
    <w:rsid w:val="00722D8D"/>
    <w:rsid w:val="00785727"/>
    <w:rsid w:val="0080085D"/>
    <w:rsid w:val="00875381"/>
    <w:rsid w:val="008832DD"/>
    <w:rsid w:val="008B31CE"/>
    <w:rsid w:val="008F32B0"/>
    <w:rsid w:val="00900358"/>
    <w:rsid w:val="009258FE"/>
    <w:rsid w:val="0094064E"/>
    <w:rsid w:val="009633EB"/>
    <w:rsid w:val="00963838"/>
    <w:rsid w:val="00971C71"/>
    <w:rsid w:val="009950E1"/>
    <w:rsid w:val="009D4C65"/>
    <w:rsid w:val="009D71F4"/>
    <w:rsid w:val="00A176AB"/>
    <w:rsid w:val="00A25F97"/>
    <w:rsid w:val="00A301AF"/>
    <w:rsid w:val="00A3574E"/>
    <w:rsid w:val="00A55A1E"/>
    <w:rsid w:val="00AD65DD"/>
    <w:rsid w:val="00B114D7"/>
    <w:rsid w:val="00B51C5C"/>
    <w:rsid w:val="00B61A52"/>
    <w:rsid w:val="00B6477D"/>
    <w:rsid w:val="00B732D8"/>
    <w:rsid w:val="00B8276F"/>
    <w:rsid w:val="00BD4159"/>
    <w:rsid w:val="00D516D1"/>
    <w:rsid w:val="00D54368"/>
    <w:rsid w:val="00D55126"/>
    <w:rsid w:val="00D90938"/>
    <w:rsid w:val="00DB4C7D"/>
    <w:rsid w:val="00DF31BE"/>
    <w:rsid w:val="00E254E3"/>
    <w:rsid w:val="00E957AB"/>
    <w:rsid w:val="00EA0B69"/>
    <w:rsid w:val="00EE12EC"/>
    <w:rsid w:val="00EE43BA"/>
    <w:rsid w:val="00EF7EE0"/>
    <w:rsid w:val="00F244AE"/>
    <w:rsid w:val="00F45D2B"/>
    <w:rsid w:val="00F46313"/>
    <w:rsid w:val="00F66676"/>
    <w:rsid w:val="00F87866"/>
    <w:rsid w:val="00F93B6F"/>
    <w:rsid w:val="00FD2867"/>
    <w:rsid w:val="6512C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hapeDefaults>
    <o:shapedefaults v:ext="edit" spidmax="3074"/>
    <o:shapelayout v:ext="edit">
      <o:idmap v:ext="edit" data="3"/>
    </o:shapelayout>
  </w:shapeDefaults>
  <w:decimalSymbol w:val="."/>
  <w:listSeparator w:val=","/>
  <w14:docId w14:val="6F338505"/>
  <w15:chartTrackingRefBased/>
  <w15:docId w15:val="{0C7FC3F2-F98A-4A5B-824C-BD7B79C1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51E"/>
    <w:pPr>
      <w:autoSpaceDE w:val="0"/>
      <w:autoSpaceDN w:val="0"/>
      <w:adjustRightInd w:val="0"/>
      <w:spacing w:after="0" w:line="240" w:lineRule="auto"/>
      <w:jc w:val="both"/>
    </w:pPr>
    <w:rPr>
      <w:rFonts w:ascii="Open Sans" w:eastAsia="Times New Roman" w:hAnsi="Open Sans" w:cs="Times New Roman"/>
      <w:sz w:val="20"/>
      <w:szCs w:val="24"/>
    </w:rPr>
  </w:style>
  <w:style w:type="paragraph" w:styleId="Heading2">
    <w:name w:val="heading 2"/>
    <w:basedOn w:val="Normal"/>
    <w:next w:val="Normal"/>
    <w:link w:val="Heading2Char"/>
    <w:uiPriority w:val="9"/>
    <w:semiHidden/>
    <w:unhideWhenUsed/>
    <w:qFormat/>
    <w:rsid w:val="00A3574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32D8"/>
    <w:pPr>
      <w:widowControl w:val="0"/>
      <w:autoSpaceDE w:val="0"/>
      <w:autoSpaceDN w:val="0"/>
      <w:adjustRightInd w:val="0"/>
      <w:spacing w:after="0" w:line="240" w:lineRule="auto"/>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cantSplit/>
      <w:jc w:val="center"/>
    </w:trPr>
    <w:tcPr>
      <w:vAlign w:val="center"/>
    </w:tcPr>
  </w:style>
  <w:style w:type="paragraph" w:styleId="ListParagraph">
    <w:name w:val="List Paragraph"/>
    <w:aliases w:val="List Paragraph eP"/>
    <w:basedOn w:val="Normal"/>
    <w:link w:val="ListParagraphChar"/>
    <w:uiPriority w:val="34"/>
    <w:qFormat/>
    <w:rsid w:val="00971C71"/>
    <w:pPr>
      <w:widowControl w:val="0"/>
      <w:numPr>
        <w:numId w:val="16"/>
      </w:numPr>
      <w:spacing w:before="120" w:after="120"/>
    </w:pPr>
    <w:rPr>
      <w:rFonts w:cs="Open Sans"/>
      <w:szCs w:val="20"/>
    </w:rPr>
  </w:style>
  <w:style w:type="paragraph" w:styleId="Header">
    <w:name w:val="header"/>
    <w:basedOn w:val="Normal"/>
    <w:link w:val="HeaderChar"/>
    <w:uiPriority w:val="99"/>
    <w:unhideWhenUsed/>
    <w:rsid w:val="00B732D8"/>
    <w:pPr>
      <w:tabs>
        <w:tab w:val="center" w:pos="4680"/>
        <w:tab w:val="right" w:pos="9360"/>
      </w:tabs>
    </w:pPr>
  </w:style>
  <w:style w:type="character" w:customStyle="1" w:styleId="HeaderChar">
    <w:name w:val="Header Char"/>
    <w:basedOn w:val="DefaultParagraphFont"/>
    <w:link w:val="Header"/>
    <w:uiPriority w:val="99"/>
    <w:rsid w:val="00B732D8"/>
    <w:rPr>
      <w:rFonts w:ascii="Open Sans" w:eastAsia="Times New Roman" w:hAnsi="Open Sans" w:cs="Times New Roman"/>
      <w:sz w:val="20"/>
      <w:szCs w:val="24"/>
    </w:rPr>
  </w:style>
  <w:style w:type="paragraph" w:styleId="Footer">
    <w:name w:val="footer"/>
    <w:basedOn w:val="Normal"/>
    <w:link w:val="FooterChar"/>
    <w:uiPriority w:val="99"/>
    <w:unhideWhenUsed/>
    <w:rsid w:val="00B732D8"/>
    <w:pPr>
      <w:tabs>
        <w:tab w:val="center" w:pos="4680"/>
        <w:tab w:val="right" w:pos="9360"/>
      </w:tabs>
    </w:pPr>
  </w:style>
  <w:style w:type="character" w:customStyle="1" w:styleId="FooterChar">
    <w:name w:val="Footer Char"/>
    <w:basedOn w:val="DefaultParagraphFont"/>
    <w:link w:val="Footer"/>
    <w:uiPriority w:val="99"/>
    <w:rsid w:val="00B732D8"/>
    <w:rPr>
      <w:rFonts w:ascii="Open Sans" w:eastAsia="Times New Roman" w:hAnsi="Open Sans" w:cs="Times New Roman"/>
      <w:sz w:val="20"/>
      <w:szCs w:val="24"/>
    </w:rPr>
  </w:style>
  <w:style w:type="character" w:styleId="CommentReference">
    <w:name w:val="annotation reference"/>
    <w:basedOn w:val="DefaultParagraphFont"/>
    <w:uiPriority w:val="99"/>
    <w:semiHidden/>
    <w:unhideWhenUsed/>
    <w:rsid w:val="00B732D8"/>
    <w:rPr>
      <w:sz w:val="16"/>
      <w:szCs w:val="16"/>
    </w:rPr>
  </w:style>
  <w:style w:type="paragraph" w:styleId="CommentText">
    <w:name w:val="annotation text"/>
    <w:basedOn w:val="Normal"/>
    <w:link w:val="CommentTextChar"/>
    <w:uiPriority w:val="99"/>
    <w:unhideWhenUsed/>
    <w:rsid w:val="00B732D8"/>
    <w:rPr>
      <w:szCs w:val="20"/>
    </w:rPr>
  </w:style>
  <w:style w:type="character" w:customStyle="1" w:styleId="CommentTextChar">
    <w:name w:val="Comment Text Char"/>
    <w:basedOn w:val="DefaultParagraphFont"/>
    <w:link w:val="CommentText"/>
    <w:uiPriority w:val="99"/>
    <w:rsid w:val="00B732D8"/>
    <w:rPr>
      <w:rFonts w:ascii="Open Sans" w:eastAsia="Times New Roman" w:hAnsi="Open Sans" w:cs="Times New Roman"/>
      <w:sz w:val="20"/>
      <w:szCs w:val="20"/>
    </w:rPr>
  </w:style>
  <w:style w:type="character" w:styleId="PlaceholderText">
    <w:name w:val="Placeholder Text"/>
    <w:basedOn w:val="DefaultParagraphFont"/>
    <w:uiPriority w:val="99"/>
    <w:semiHidden/>
    <w:rsid w:val="00B732D8"/>
    <w:rPr>
      <w:color w:val="808080"/>
    </w:rPr>
  </w:style>
  <w:style w:type="character" w:customStyle="1" w:styleId="Style1">
    <w:name w:val="Style1"/>
    <w:basedOn w:val="DefaultParagraphFont"/>
    <w:uiPriority w:val="1"/>
    <w:rsid w:val="00B732D8"/>
    <w:rPr>
      <w:rFonts w:ascii="Open Sans" w:hAnsi="Open Sans"/>
      <w:b/>
      <w:sz w:val="24"/>
    </w:rPr>
  </w:style>
  <w:style w:type="paragraph" w:customStyle="1" w:styleId="BTables">
    <w:name w:val="BTables"/>
    <w:basedOn w:val="ListParagraph"/>
    <w:link w:val="BTablesChar"/>
    <w:qFormat/>
    <w:rsid w:val="00B732D8"/>
    <w:pPr>
      <w:numPr>
        <w:numId w:val="1"/>
      </w:numPr>
    </w:pPr>
    <w:rPr>
      <w:b/>
    </w:rPr>
  </w:style>
  <w:style w:type="paragraph" w:customStyle="1" w:styleId="ENum">
    <w:name w:val="ENum"/>
    <w:basedOn w:val="ListParagraph"/>
    <w:link w:val="ENumChar"/>
    <w:qFormat/>
    <w:rsid w:val="00B732D8"/>
    <w:pPr>
      <w:numPr>
        <w:numId w:val="2"/>
      </w:numPr>
      <w:jc w:val="center"/>
    </w:pPr>
  </w:style>
  <w:style w:type="character" w:customStyle="1" w:styleId="ListParagraphChar">
    <w:name w:val="List Paragraph Char"/>
    <w:aliases w:val="List Paragraph eP Char"/>
    <w:basedOn w:val="DefaultParagraphFont"/>
    <w:link w:val="ListParagraph"/>
    <w:uiPriority w:val="34"/>
    <w:rsid w:val="00971C71"/>
    <w:rPr>
      <w:rFonts w:ascii="Open Sans" w:eastAsia="Times New Roman" w:hAnsi="Open Sans" w:cs="Open Sans"/>
      <w:sz w:val="20"/>
      <w:szCs w:val="20"/>
    </w:rPr>
  </w:style>
  <w:style w:type="character" w:customStyle="1" w:styleId="BTablesChar">
    <w:name w:val="BTables Char"/>
    <w:basedOn w:val="ListParagraphChar"/>
    <w:link w:val="BTables"/>
    <w:rsid w:val="00B732D8"/>
    <w:rPr>
      <w:rFonts w:ascii="Open Sans" w:eastAsia="Times New Roman" w:hAnsi="Open Sans" w:cs="Open Sans"/>
      <w:b/>
      <w:sz w:val="20"/>
      <w:szCs w:val="20"/>
    </w:rPr>
  </w:style>
  <w:style w:type="paragraph" w:customStyle="1" w:styleId="CNum">
    <w:name w:val="CNum"/>
    <w:basedOn w:val="ListParagraph"/>
    <w:link w:val="CNumChar"/>
    <w:qFormat/>
    <w:rsid w:val="00B732D8"/>
    <w:pPr>
      <w:numPr>
        <w:numId w:val="3"/>
      </w:numPr>
      <w:jc w:val="center"/>
    </w:pPr>
  </w:style>
  <w:style w:type="character" w:customStyle="1" w:styleId="ENumChar">
    <w:name w:val="ENum Char"/>
    <w:basedOn w:val="ListParagraphChar"/>
    <w:link w:val="ENum"/>
    <w:rsid w:val="00B732D8"/>
    <w:rPr>
      <w:rFonts w:ascii="Open Sans" w:eastAsia="Times New Roman" w:hAnsi="Open Sans" w:cs="Open Sans"/>
      <w:sz w:val="20"/>
      <w:szCs w:val="20"/>
    </w:rPr>
  </w:style>
  <w:style w:type="character" w:customStyle="1" w:styleId="CNumChar">
    <w:name w:val="CNum Char"/>
    <w:basedOn w:val="ListParagraphChar"/>
    <w:link w:val="CNum"/>
    <w:rsid w:val="00B732D8"/>
    <w:rPr>
      <w:rFonts w:ascii="Open Sans" w:eastAsia="Times New Roman" w:hAnsi="Open Sans" w:cs="Open Sans"/>
      <w:sz w:val="20"/>
      <w:szCs w:val="20"/>
    </w:rPr>
  </w:style>
  <w:style w:type="character" w:customStyle="1" w:styleId="normaltextrun">
    <w:name w:val="normaltextrun"/>
    <w:basedOn w:val="DefaultParagraphFont"/>
    <w:rsid w:val="009D4C65"/>
  </w:style>
  <w:style w:type="character" w:customStyle="1" w:styleId="eop">
    <w:name w:val="eop"/>
    <w:basedOn w:val="DefaultParagraphFont"/>
    <w:rsid w:val="00D90938"/>
  </w:style>
  <w:style w:type="paragraph" w:styleId="HTMLPreformatted">
    <w:name w:val="HTML Preformatted"/>
    <w:basedOn w:val="Normal"/>
    <w:link w:val="HTMLPreformattedChar"/>
    <w:uiPriority w:val="99"/>
    <w:semiHidden/>
    <w:unhideWhenUsed/>
    <w:rsid w:val="00A301AF"/>
    <w:rPr>
      <w:rFonts w:ascii="Consolas" w:hAnsi="Consolas"/>
      <w:szCs w:val="20"/>
    </w:rPr>
  </w:style>
  <w:style w:type="character" w:customStyle="1" w:styleId="HTMLPreformattedChar">
    <w:name w:val="HTML Preformatted Char"/>
    <w:basedOn w:val="DefaultParagraphFont"/>
    <w:link w:val="HTMLPreformatted"/>
    <w:uiPriority w:val="99"/>
    <w:semiHidden/>
    <w:rsid w:val="00A301AF"/>
    <w:rPr>
      <w:rFonts w:ascii="Consolas" w:eastAsia="Times New Roman" w:hAnsi="Consolas" w:cs="Times New Roman"/>
      <w:sz w:val="20"/>
      <w:szCs w:val="20"/>
    </w:rPr>
  </w:style>
  <w:style w:type="paragraph" w:customStyle="1" w:styleId="TableHeading">
    <w:name w:val="Table Heading"/>
    <w:basedOn w:val="ListParagraph"/>
    <w:link w:val="TableHeadingChar"/>
    <w:qFormat/>
    <w:rsid w:val="00971C71"/>
    <w:pPr>
      <w:numPr>
        <w:numId w:val="4"/>
      </w:numPr>
      <w:spacing w:before="0" w:after="0"/>
      <w:ind w:left="735" w:hanging="735"/>
    </w:pPr>
    <w:rPr>
      <w:b/>
    </w:rPr>
  </w:style>
  <w:style w:type="character" w:customStyle="1" w:styleId="TableHeadingChar">
    <w:name w:val="Table Heading Char"/>
    <w:basedOn w:val="Heading2Char"/>
    <w:link w:val="TableHeading"/>
    <w:rsid w:val="00971C71"/>
    <w:rPr>
      <w:rFonts w:ascii="Open Sans" w:eastAsia="Times New Roman" w:hAnsi="Open Sans" w:cs="Open Sans"/>
      <w:b/>
      <w:color w:val="2E74B5" w:themeColor="accent1" w:themeShade="BF"/>
      <w:sz w:val="20"/>
      <w:szCs w:val="20"/>
    </w:rPr>
  </w:style>
  <w:style w:type="character" w:customStyle="1" w:styleId="Heading2Char">
    <w:name w:val="Heading 2 Char"/>
    <w:basedOn w:val="DefaultParagraphFont"/>
    <w:link w:val="Heading2"/>
    <w:uiPriority w:val="9"/>
    <w:semiHidden/>
    <w:rsid w:val="00A3574E"/>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A3574E"/>
    <w:rPr>
      <w:b/>
      <w:bCs/>
    </w:rPr>
  </w:style>
  <w:style w:type="character" w:customStyle="1" w:styleId="CommentSubjectChar">
    <w:name w:val="Comment Subject Char"/>
    <w:basedOn w:val="CommentTextChar"/>
    <w:link w:val="CommentSubject"/>
    <w:uiPriority w:val="99"/>
    <w:semiHidden/>
    <w:rsid w:val="00A3574E"/>
    <w:rPr>
      <w:rFonts w:ascii="Open Sans" w:eastAsia="Times New Roman" w:hAnsi="Open Sans" w:cs="Times New Roman"/>
      <w:b/>
      <w:bCs/>
      <w:sz w:val="20"/>
      <w:szCs w:val="20"/>
    </w:rPr>
  </w:style>
  <w:style w:type="paragraph" w:customStyle="1" w:styleId="ATables">
    <w:name w:val="A Tables"/>
    <w:basedOn w:val="Normal"/>
    <w:qFormat/>
    <w:rsid w:val="00971C71"/>
    <w:pPr>
      <w:keepNext/>
      <w:keepLines/>
      <w:widowControl w:val="0"/>
      <w:numPr>
        <w:numId w:val="5"/>
      </w:numPr>
      <w:ind w:left="735" w:hanging="735"/>
    </w:pPr>
    <w:rPr>
      <w:rFonts w:eastAsiaTheme="majorEastAsia" w:cstheme="majorBidi"/>
      <w:b/>
      <w:szCs w:val="26"/>
    </w:rPr>
  </w:style>
  <w:style w:type="paragraph" w:customStyle="1" w:styleId="BNum">
    <w:name w:val="B Num"/>
    <w:basedOn w:val="ListParagraph"/>
    <w:qFormat/>
    <w:rsid w:val="009D71F4"/>
    <w:pPr>
      <w:numPr>
        <w:numId w:val="6"/>
      </w:numPr>
      <w:spacing w:before="0" w:after="0"/>
      <w:ind w:left="105"/>
      <w:jc w:val="center"/>
    </w:pPr>
  </w:style>
  <w:style w:type="paragraph" w:customStyle="1" w:styleId="BTables0">
    <w:name w:val="B Tables"/>
    <w:basedOn w:val="ListParagraph"/>
    <w:link w:val="BTablesChar0"/>
    <w:qFormat/>
    <w:rsid w:val="008832DD"/>
    <w:pPr>
      <w:numPr>
        <w:numId w:val="7"/>
      </w:numPr>
    </w:pPr>
    <w:rPr>
      <w:b/>
    </w:rPr>
  </w:style>
  <w:style w:type="character" w:customStyle="1" w:styleId="BTablesChar0">
    <w:name w:val="B Tables Char"/>
    <w:basedOn w:val="DefaultParagraphFont"/>
    <w:link w:val="BTables0"/>
    <w:rsid w:val="008832DD"/>
    <w:rPr>
      <w:rFonts w:ascii="Open Sans" w:eastAsia="Times New Roman" w:hAnsi="Open Sans" w:cs="Open Sans"/>
      <w:b/>
      <w:sz w:val="20"/>
      <w:szCs w:val="20"/>
    </w:rPr>
  </w:style>
  <w:style w:type="paragraph" w:customStyle="1" w:styleId="CNum0">
    <w:name w:val="C Num"/>
    <w:basedOn w:val="Normal"/>
    <w:link w:val="CNumChar0"/>
    <w:rsid w:val="009D71F4"/>
    <w:pPr>
      <w:widowControl w:val="0"/>
      <w:numPr>
        <w:numId w:val="8"/>
      </w:numPr>
      <w:ind w:left="105"/>
      <w:jc w:val="center"/>
    </w:pPr>
  </w:style>
  <w:style w:type="character" w:customStyle="1" w:styleId="CNumChar0">
    <w:name w:val="C Num Char"/>
    <w:basedOn w:val="DefaultParagraphFont"/>
    <w:link w:val="CNum0"/>
    <w:rsid w:val="009D71F4"/>
    <w:rPr>
      <w:rFonts w:ascii="Open Sans" w:eastAsia="Times New Roman" w:hAnsi="Open Sans" w:cs="Times New Roman"/>
      <w:sz w:val="20"/>
      <w:szCs w:val="24"/>
    </w:rPr>
  </w:style>
  <w:style w:type="paragraph" w:customStyle="1" w:styleId="DNum">
    <w:name w:val="D Num"/>
    <w:basedOn w:val="ListParagraph"/>
    <w:qFormat/>
    <w:rsid w:val="009D71F4"/>
    <w:pPr>
      <w:numPr>
        <w:numId w:val="9"/>
      </w:numPr>
      <w:spacing w:before="0" w:after="0"/>
      <w:ind w:left="101"/>
      <w:jc w:val="center"/>
    </w:pPr>
  </w:style>
  <w:style w:type="paragraph" w:customStyle="1" w:styleId="ENum0">
    <w:name w:val="E Num"/>
    <w:basedOn w:val="ListParagraph"/>
    <w:link w:val="ENumChar0"/>
    <w:qFormat/>
    <w:rsid w:val="009D71F4"/>
    <w:pPr>
      <w:numPr>
        <w:numId w:val="10"/>
      </w:numPr>
      <w:spacing w:before="0" w:after="0"/>
      <w:ind w:left="105"/>
      <w:jc w:val="center"/>
    </w:pPr>
  </w:style>
  <w:style w:type="character" w:customStyle="1" w:styleId="ENumChar0">
    <w:name w:val="E Num Char"/>
    <w:basedOn w:val="DefaultParagraphFont"/>
    <w:link w:val="ENum0"/>
    <w:rsid w:val="009D71F4"/>
    <w:rPr>
      <w:rFonts w:ascii="Open Sans" w:eastAsia="Times New Roman" w:hAnsi="Open Sans" w:cs="Open Sans"/>
      <w:sz w:val="20"/>
      <w:szCs w:val="20"/>
    </w:rPr>
  </w:style>
  <w:style w:type="paragraph" w:customStyle="1" w:styleId="FNum">
    <w:name w:val="F Num"/>
    <w:basedOn w:val="ListParagraph"/>
    <w:link w:val="FNumChar"/>
    <w:qFormat/>
    <w:rsid w:val="009D71F4"/>
    <w:pPr>
      <w:numPr>
        <w:numId w:val="11"/>
      </w:numPr>
      <w:spacing w:before="0" w:after="0"/>
      <w:ind w:left="105"/>
      <w:jc w:val="center"/>
    </w:pPr>
  </w:style>
  <w:style w:type="paragraph" w:customStyle="1" w:styleId="GNum">
    <w:name w:val="G Num"/>
    <w:basedOn w:val="ListParagraph"/>
    <w:link w:val="GNumChar"/>
    <w:qFormat/>
    <w:rsid w:val="009D71F4"/>
    <w:pPr>
      <w:numPr>
        <w:numId w:val="12"/>
      </w:numPr>
      <w:spacing w:before="0" w:after="0"/>
      <w:ind w:left="202"/>
      <w:jc w:val="center"/>
    </w:pPr>
    <w:rPr>
      <w:bCs/>
    </w:rPr>
  </w:style>
  <w:style w:type="character" w:customStyle="1" w:styleId="GNumChar">
    <w:name w:val="G Num Char"/>
    <w:basedOn w:val="ListParagraphChar"/>
    <w:link w:val="GNum"/>
    <w:rsid w:val="009D71F4"/>
    <w:rPr>
      <w:rFonts w:ascii="Open Sans" w:eastAsia="Times New Roman" w:hAnsi="Open Sans" w:cs="Open Sans"/>
      <w:bCs/>
      <w:sz w:val="20"/>
      <w:szCs w:val="20"/>
    </w:rPr>
  </w:style>
  <w:style w:type="paragraph" w:customStyle="1" w:styleId="HNum">
    <w:name w:val="H Num"/>
    <w:basedOn w:val="ListParagraph"/>
    <w:link w:val="HNumChar"/>
    <w:qFormat/>
    <w:rsid w:val="009D71F4"/>
    <w:pPr>
      <w:numPr>
        <w:numId w:val="14"/>
      </w:numPr>
      <w:spacing w:before="0" w:after="0"/>
      <w:ind w:left="105"/>
      <w:jc w:val="center"/>
    </w:pPr>
  </w:style>
  <w:style w:type="character" w:customStyle="1" w:styleId="HNumChar">
    <w:name w:val="H Num Char"/>
    <w:basedOn w:val="ListParagraphChar"/>
    <w:link w:val="HNum"/>
    <w:rsid w:val="009D71F4"/>
    <w:rPr>
      <w:rFonts w:ascii="Open Sans" w:eastAsia="Times New Roman" w:hAnsi="Open Sans" w:cs="Open Sans"/>
      <w:sz w:val="20"/>
      <w:szCs w:val="20"/>
    </w:rPr>
  </w:style>
  <w:style w:type="paragraph" w:customStyle="1" w:styleId="INum">
    <w:name w:val="I Num"/>
    <w:basedOn w:val="ListParagraph"/>
    <w:link w:val="INumChar"/>
    <w:qFormat/>
    <w:rsid w:val="009D71F4"/>
    <w:pPr>
      <w:numPr>
        <w:numId w:val="15"/>
      </w:numPr>
      <w:spacing w:before="0" w:after="0"/>
      <w:ind w:left="105"/>
      <w:jc w:val="center"/>
    </w:pPr>
  </w:style>
  <w:style w:type="paragraph" w:customStyle="1" w:styleId="ListParaeP">
    <w:name w:val="ListPara eP"/>
    <w:basedOn w:val="ListParagraph"/>
    <w:qFormat/>
    <w:rsid w:val="00971C71"/>
  </w:style>
  <w:style w:type="character" w:customStyle="1" w:styleId="FNumChar">
    <w:name w:val="F Num Char"/>
    <w:basedOn w:val="ListParagraphChar"/>
    <w:link w:val="FNum"/>
    <w:rsid w:val="009D71F4"/>
    <w:rPr>
      <w:rFonts w:ascii="Open Sans" w:eastAsia="Times New Roman" w:hAnsi="Open Sans" w:cs="Open Sans"/>
      <w:sz w:val="20"/>
      <w:szCs w:val="20"/>
    </w:rPr>
  </w:style>
  <w:style w:type="character" w:customStyle="1" w:styleId="INumChar">
    <w:name w:val="I Num Char"/>
    <w:basedOn w:val="FNumChar"/>
    <w:link w:val="INum"/>
    <w:rsid w:val="009D71F4"/>
    <w:rPr>
      <w:rFonts w:ascii="Open Sans" w:eastAsia="Times New Roman" w:hAnsi="Open Sans" w:cs="Open Sans"/>
      <w:sz w:val="20"/>
      <w:szCs w:val="20"/>
    </w:rPr>
  </w:style>
  <w:style w:type="paragraph" w:styleId="Revision">
    <w:name w:val="Revision"/>
    <w:hidden/>
    <w:uiPriority w:val="99"/>
    <w:semiHidden/>
    <w:rsid w:val="00A176AB"/>
    <w:pPr>
      <w:spacing w:after="0" w:line="240" w:lineRule="auto"/>
    </w:pPr>
    <w:rPr>
      <w:rFonts w:ascii="Open Sans" w:eastAsia="Times New Roman" w:hAnsi="Open Sans" w:cs="Times New Roman"/>
      <w:sz w:val="20"/>
      <w:szCs w:val="24"/>
    </w:rPr>
  </w:style>
  <w:style w:type="paragraph" w:styleId="NormalWeb">
    <w:name w:val="Normal (Web)"/>
    <w:basedOn w:val="Normal"/>
    <w:uiPriority w:val="99"/>
    <w:rsid w:val="00124AB6"/>
    <w:pPr>
      <w:autoSpaceDE/>
      <w:autoSpaceDN/>
      <w:adjustRightInd/>
      <w:spacing w:before="100" w:beforeAutospacing="1" w:after="100" w:afterAutospacing="1"/>
      <w:jc w:val="left"/>
    </w:pPr>
    <w:rPr>
      <w:rFonts w:ascii="Times New Roman" w:hAnsi="Times New Roman"/>
      <w:sz w:val="24"/>
    </w:rPr>
  </w:style>
  <w:style w:type="table" w:customStyle="1" w:styleId="TableGrid1">
    <w:name w:val="Table Grid1"/>
    <w:basedOn w:val="TableNormal"/>
    <w:next w:val="TableGrid"/>
    <w:rsid w:val="00124AB6"/>
    <w:pPr>
      <w:widowControl w:val="0"/>
      <w:autoSpaceDE w:val="0"/>
      <w:autoSpaceDN w:val="0"/>
      <w:adjustRightInd w:val="0"/>
      <w:spacing w:after="0" w:line="240" w:lineRule="auto"/>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cantSplit/>
      <w:jc w:val="center"/>
    </w:trPr>
    <w:tcPr>
      <w:vAlign w:val="center"/>
    </w:tcPr>
  </w:style>
  <w:style w:type="paragraph" w:customStyle="1" w:styleId="indent-1">
    <w:name w:val="indent-1"/>
    <w:basedOn w:val="Normal"/>
    <w:rsid w:val="00124AB6"/>
    <w:pPr>
      <w:autoSpaceDE/>
      <w:autoSpaceDN/>
      <w:adjustRightInd/>
      <w:spacing w:before="100" w:beforeAutospacing="1" w:after="100" w:afterAutospacing="1"/>
      <w:jc w:val="left"/>
    </w:pPr>
    <w:rPr>
      <w:rFonts w:ascii="Times New Roman" w:hAnsi="Times New Roman"/>
      <w:sz w:val="24"/>
    </w:rPr>
  </w:style>
  <w:style w:type="character" w:customStyle="1" w:styleId="paragraph-hierarchy">
    <w:name w:val="paragraph-hierarchy"/>
    <w:basedOn w:val="DefaultParagraphFont"/>
    <w:rsid w:val="00124AB6"/>
  </w:style>
  <w:style w:type="character" w:customStyle="1" w:styleId="paren">
    <w:name w:val="paren"/>
    <w:basedOn w:val="DefaultParagraphFont"/>
    <w:rsid w:val="00124AB6"/>
  </w:style>
  <w:style w:type="character" w:styleId="Hyperlink">
    <w:name w:val="Hyperlink"/>
    <w:basedOn w:val="DefaultParagraphFont"/>
    <w:uiPriority w:val="99"/>
    <w:unhideWhenUsed/>
    <w:rsid w:val="00124AB6"/>
    <w:rPr>
      <w:color w:val="0000FF"/>
      <w:u w:val="single"/>
    </w:rPr>
  </w:style>
  <w:style w:type="character" w:styleId="FollowedHyperlink">
    <w:name w:val="FollowedHyperlink"/>
    <w:basedOn w:val="DefaultParagraphFont"/>
    <w:uiPriority w:val="99"/>
    <w:semiHidden/>
    <w:unhideWhenUsed/>
    <w:rsid w:val="00124AB6"/>
    <w:rPr>
      <w:color w:val="954F72" w:themeColor="followedHyperlink"/>
      <w:u w:val="single"/>
    </w:rPr>
  </w:style>
  <w:style w:type="paragraph" w:customStyle="1" w:styleId="indent-2">
    <w:name w:val="indent-2"/>
    <w:basedOn w:val="Normal"/>
    <w:rsid w:val="00124AB6"/>
    <w:pPr>
      <w:autoSpaceDE/>
      <w:autoSpaceDN/>
      <w:adjustRightInd/>
      <w:spacing w:before="100" w:beforeAutospacing="1" w:after="100" w:afterAutospacing="1"/>
      <w:jc w:val="left"/>
    </w:pPr>
    <w:rPr>
      <w:rFonts w:ascii="Times New Roman" w:hAnsi="Times New Roman"/>
      <w:sz w:val="24"/>
    </w:rPr>
  </w:style>
  <w:style w:type="paragraph" w:customStyle="1" w:styleId="indent-3">
    <w:name w:val="indent-3"/>
    <w:basedOn w:val="Normal"/>
    <w:rsid w:val="00124AB6"/>
    <w:pPr>
      <w:autoSpaceDE/>
      <w:autoSpaceDN/>
      <w:adjustRightInd/>
      <w:spacing w:before="100" w:beforeAutospacing="1" w:after="100" w:afterAutospacing="1"/>
      <w:jc w:val="left"/>
    </w:pPr>
    <w:rPr>
      <w:rFonts w:ascii="Times New Roman" w:hAnsi="Times New Roman"/>
      <w:sz w:val="24"/>
    </w:rPr>
  </w:style>
  <w:style w:type="character" w:styleId="UnresolvedMention">
    <w:name w:val="Unresolved Mention"/>
    <w:basedOn w:val="DefaultParagraphFont"/>
    <w:uiPriority w:val="99"/>
    <w:semiHidden/>
    <w:unhideWhenUsed/>
    <w:rsid w:val="00124AB6"/>
    <w:rPr>
      <w:color w:val="605E5C"/>
      <w:shd w:val="clear" w:color="auto" w:fill="E1DFDD"/>
    </w:rPr>
  </w:style>
  <w:style w:type="paragraph" w:styleId="BodyText">
    <w:name w:val="Body Text"/>
    <w:link w:val="BodyTextChar"/>
    <w:qFormat/>
    <w:rsid w:val="00124AB6"/>
    <w:pPr>
      <w:spacing w:after="0" w:line="260" w:lineRule="atLeast"/>
    </w:pPr>
    <w:rPr>
      <w:rFonts w:ascii="Tahoma" w:eastAsia="Times New Roman" w:hAnsi="Tahoma" w:cs="Times New Roman"/>
      <w:sz w:val="21"/>
      <w:szCs w:val="20"/>
    </w:rPr>
  </w:style>
  <w:style w:type="character" w:customStyle="1" w:styleId="BodyTextChar">
    <w:name w:val="Body Text Char"/>
    <w:basedOn w:val="DefaultParagraphFont"/>
    <w:link w:val="BodyText"/>
    <w:rsid w:val="00124AB6"/>
    <w:rPr>
      <w:rFonts w:ascii="Tahoma" w:eastAsia="Times New Roman" w:hAnsi="Tahoma"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cfr.gov/current/title-40/section-60.47c" TargetMode="External"/><Relationship Id="rId21" Type="http://schemas.openxmlformats.org/officeDocument/2006/relationships/hyperlink" Target="https://www.ecfr.gov/current/title-40/section-60.47c" TargetMode="External"/><Relationship Id="rId34" Type="http://schemas.openxmlformats.org/officeDocument/2006/relationships/hyperlink" Target="https://www.ecfr.gov/current/title-40/section-60.47c" TargetMode="External"/><Relationship Id="rId42" Type="http://schemas.openxmlformats.org/officeDocument/2006/relationships/hyperlink" Target="https://www.ecfr.gov/current/title-40/section-60.45c" TargetMode="External"/><Relationship Id="rId47" Type="http://schemas.openxmlformats.org/officeDocument/2006/relationships/hyperlink" Target="https://www.ecfr.gov/current/title-40/section-60.7" TargetMode="External"/><Relationship Id="rId50" Type="http://schemas.openxmlformats.org/officeDocument/2006/relationships/hyperlink" Target="https://www.ecfr.gov/current/title-40/section-60.48c" TargetMode="External"/><Relationship Id="rId55" Type="http://schemas.openxmlformats.org/officeDocument/2006/relationships/hyperlink" Target="https://www.ecfr.gov/current/title-40/section-60.48c" TargetMode="External"/><Relationship Id="rId63" Type="http://schemas.openxmlformats.org/officeDocument/2006/relationships/glossaryDocument" Target="glossary/document.xml"/><Relationship Id="rId68" Type="http://schemas.openxmlformats.org/officeDocument/2006/relationships/customXml" Target="../customXml/item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cfr.gov/current/title-40/section-60.43c" TargetMode="External"/><Relationship Id="rId29" Type="http://schemas.openxmlformats.org/officeDocument/2006/relationships/hyperlink" Target="https://www.ecfr.gov/current/title-40/section-60.11" TargetMode="External"/><Relationship Id="rId11" Type="http://schemas.openxmlformats.org/officeDocument/2006/relationships/hyperlink" Target="https://www.ecfr.gov/current/title-40/section-60.40c" TargetMode="External"/><Relationship Id="rId24" Type="http://schemas.openxmlformats.org/officeDocument/2006/relationships/hyperlink" Target="https://www.ecfr.gov/current/title-40/section-60.43c" TargetMode="External"/><Relationship Id="rId32" Type="http://schemas.openxmlformats.org/officeDocument/2006/relationships/hyperlink" Target="https://www.ecfr.gov/current/title-40/section-60.47c" TargetMode="External"/><Relationship Id="rId37" Type="http://schemas.openxmlformats.org/officeDocument/2006/relationships/hyperlink" Target="https://www.ecfr.gov/current/title-40/section-60.47c" TargetMode="External"/><Relationship Id="rId40" Type="http://schemas.openxmlformats.org/officeDocument/2006/relationships/hyperlink" Target="https://www.ecfr.gov/current/title-40/section-60.47c" TargetMode="External"/><Relationship Id="rId45" Type="http://schemas.openxmlformats.org/officeDocument/2006/relationships/hyperlink" Target="https://www.ecfr.gov/current/title-40/section-60.48c" TargetMode="External"/><Relationship Id="rId53" Type="http://schemas.openxmlformats.org/officeDocument/2006/relationships/hyperlink" Target="https://www.ecfr.gov/current/title-40/section-60.48c" TargetMode="External"/><Relationship Id="rId58" Type="http://schemas.openxmlformats.org/officeDocument/2006/relationships/hyperlink" Target="https://www.ecfr.gov/current/title-40/section-60.48c" TargetMode="External"/><Relationship Id="rId66" Type="http://schemas.openxmlformats.org/officeDocument/2006/relationships/customXml" Target="../customXml/item3.xml"/><Relationship Id="rId5" Type="http://schemas.openxmlformats.org/officeDocument/2006/relationships/webSettings" Target="webSettings.xml"/><Relationship Id="rId61" Type="http://schemas.openxmlformats.org/officeDocument/2006/relationships/header" Target="header3.xml"/><Relationship Id="rId19" Type="http://schemas.openxmlformats.org/officeDocument/2006/relationships/hyperlink" Target="https://www.ecfr.gov/current/title-40/section-60.47c" TargetMode="External"/><Relationship Id="rId14" Type="http://schemas.openxmlformats.org/officeDocument/2006/relationships/hyperlink" Target="https://www.ecfr.gov/current/title-40/section-60.8" TargetMode="External"/><Relationship Id="rId22" Type="http://schemas.openxmlformats.org/officeDocument/2006/relationships/hyperlink" Target="https://www.ecfr.gov/current/title-40/section-60.47c" TargetMode="External"/><Relationship Id="rId27" Type="http://schemas.openxmlformats.org/officeDocument/2006/relationships/hyperlink" Target="https://www.ecfr.gov/current/title-40/section-60.47c" TargetMode="External"/><Relationship Id="rId30" Type="http://schemas.openxmlformats.org/officeDocument/2006/relationships/hyperlink" Target="https://www.ecfr.gov/current/title-40/section-60.43c" TargetMode="External"/><Relationship Id="rId35" Type="http://schemas.openxmlformats.org/officeDocument/2006/relationships/hyperlink" Target="https://www.ecfr.gov/current/title-40/section-60.47c" TargetMode="External"/><Relationship Id="rId43" Type="http://schemas.openxmlformats.org/officeDocument/2006/relationships/hyperlink" Target="https://www.ecfr.gov/current/title-40/section-60.47c" TargetMode="External"/><Relationship Id="rId48" Type="http://schemas.openxmlformats.org/officeDocument/2006/relationships/hyperlink" Target="https://www.ecfr.gov/current/title-40/section-60.48c" TargetMode="External"/><Relationship Id="rId56" Type="http://schemas.openxmlformats.org/officeDocument/2006/relationships/hyperlink" Target="https://www.ecfr.gov/current/title-40/section-60.48c"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ecfr.gov/current/title-40/section-60.48c" TargetMode="External"/><Relationship Id="rId3" Type="http://schemas.openxmlformats.org/officeDocument/2006/relationships/styles" Target="styles.xml"/><Relationship Id="rId12" Type="http://schemas.openxmlformats.org/officeDocument/2006/relationships/hyperlink" Target="https://www.ecfr.gov/current/title-40/section-60.40c" TargetMode="External"/><Relationship Id="rId17" Type="http://schemas.openxmlformats.org/officeDocument/2006/relationships/hyperlink" Target="https://www.ecfr.gov/current/title-40/section-60.8" TargetMode="External"/><Relationship Id="rId25" Type="http://schemas.openxmlformats.org/officeDocument/2006/relationships/hyperlink" Target="https://www.ecfr.gov/current/title-40/section-60.47c" TargetMode="External"/><Relationship Id="rId33" Type="http://schemas.openxmlformats.org/officeDocument/2006/relationships/hyperlink" Target="https://www.ecfr.gov/current/title-40/section-60.47c" TargetMode="External"/><Relationship Id="rId38" Type="http://schemas.openxmlformats.org/officeDocument/2006/relationships/hyperlink" Target="https://www.ecfr.gov/current/title-40/section-60.47c" TargetMode="External"/><Relationship Id="rId46" Type="http://schemas.openxmlformats.org/officeDocument/2006/relationships/hyperlink" Target="https://www.ecfr.gov/current/title-40/part-60/appendix-Appendix%20B%20to%20Part%2060" TargetMode="External"/><Relationship Id="rId59" Type="http://schemas.openxmlformats.org/officeDocument/2006/relationships/header" Target="header1.xml"/><Relationship Id="rId67" Type="http://schemas.openxmlformats.org/officeDocument/2006/relationships/customXml" Target="../customXml/item4.xml"/><Relationship Id="rId20" Type="http://schemas.openxmlformats.org/officeDocument/2006/relationships/hyperlink" Target="https://www.ecfr.gov/current/title-40/section-60.47c" TargetMode="External"/><Relationship Id="rId41" Type="http://schemas.openxmlformats.org/officeDocument/2006/relationships/hyperlink" Target="https://www.ecfr.gov/current/title-40/section-60.47c" TargetMode="External"/><Relationship Id="rId54" Type="http://schemas.openxmlformats.org/officeDocument/2006/relationships/hyperlink" Target="https://www.ecfr.gov/current/title-40/section-60.48c"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cfr.gov/current/title-40/section-60.43c" TargetMode="External"/><Relationship Id="rId23" Type="http://schemas.openxmlformats.org/officeDocument/2006/relationships/hyperlink" Target="https://www.ecfr.gov/current/title-40/section-60.43c" TargetMode="External"/><Relationship Id="rId28" Type="http://schemas.openxmlformats.org/officeDocument/2006/relationships/hyperlink" Target="https://www.ecfr.gov/current/title-40/section-60.47c" TargetMode="External"/><Relationship Id="rId36" Type="http://schemas.openxmlformats.org/officeDocument/2006/relationships/hyperlink" Target="https://www.ecfr.gov/current/title-40/section-60.47c" TargetMode="External"/><Relationship Id="rId49" Type="http://schemas.openxmlformats.org/officeDocument/2006/relationships/hyperlink" Target="https://www.ecfr.gov/current/title-40/section-60.48c" TargetMode="External"/><Relationship Id="rId57" Type="http://schemas.openxmlformats.org/officeDocument/2006/relationships/hyperlink" Target="https://www.ecfr.gov/current/title-40/section-60.48c" TargetMode="External"/><Relationship Id="rId10" Type="http://schemas.openxmlformats.org/officeDocument/2006/relationships/hyperlink" Target="https://www.ecfr.gov/current/title-40/section-60.40c" TargetMode="External"/><Relationship Id="rId31" Type="http://schemas.openxmlformats.org/officeDocument/2006/relationships/hyperlink" Target="https://www.ecfr.gov/current/title-40/section-60.47c" TargetMode="External"/><Relationship Id="rId44" Type="http://schemas.openxmlformats.org/officeDocument/2006/relationships/hyperlink" Target="https://www.ecfr.gov/current/title-40/section-60.43c" TargetMode="External"/><Relationship Id="rId52" Type="http://schemas.openxmlformats.org/officeDocument/2006/relationships/hyperlink" Target="https://www.ecfr.gov/current/title-40/section-60.48c" TargetMode="External"/><Relationship Id="rId60" Type="http://schemas.openxmlformats.org/officeDocument/2006/relationships/header" Target="header2.xml"/><Relationship Id="rId65"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ecfr.gov/current/title-40/section-60.40c" TargetMode="External"/><Relationship Id="rId13" Type="http://schemas.openxmlformats.org/officeDocument/2006/relationships/hyperlink" Target="https://www.ecfr.gov/current/title-40/section-60.8" TargetMode="External"/><Relationship Id="rId18" Type="http://schemas.openxmlformats.org/officeDocument/2006/relationships/hyperlink" Target="https://www.ecfr.gov/current/title-40/section-60.45c" TargetMode="External"/><Relationship Id="rId39" Type="http://schemas.openxmlformats.org/officeDocument/2006/relationships/hyperlink" Target="https://www.ecfr.gov/current/title-40/section-60.47c"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03FAE8948F4A65ACC9F438241A60EF"/>
        <w:category>
          <w:name w:val="General"/>
          <w:gallery w:val="placeholder"/>
        </w:category>
        <w:types>
          <w:type w:val="bbPlcHdr"/>
        </w:types>
        <w:behaviors>
          <w:behavior w:val="content"/>
        </w:behaviors>
        <w:guid w:val="{D57D6351-A424-4756-B5EC-95D31977DD81}"/>
      </w:docPartPr>
      <w:docPartBody>
        <w:p w:rsidR="00ED067C" w:rsidRDefault="00ED067C" w:rsidP="00ED067C">
          <w:pPr>
            <w:pStyle w:val="2203FAE8948F4A65ACC9F438241A60EF"/>
          </w:pPr>
          <w:r>
            <w:rPr>
              <w:rStyle w:val="PlaceholderText"/>
            </w:rPr>
            <w:t>Click or tap to enter a date.</w:t>
          </w:r>
        </w:p>
      </w:docPartBody>
    </w:docPart>
    <w:docPart>
      <w:docPartPr>
        <w:name w:val="73EF5EF6A47A4F82B0928253BB616898"/>
        <w:category>
          <w:name w:val="General"/>
          <w:gallery w:val="placeholder"/>
        </w:category>
        <w:types>
          <w:type w:val="bbPlcHdr"/>
        </w:types>
        <w:behaviors>
          <w:behavior w:val="content"/>
        </w:behaviors>
        <w:guid w:val="{035047B4-5694-4C6D-95A6-5EE9E6F7E714}"/>
      </w:docPartPr>
      <w:docPartBody>
        <w:p w:rsidR="00ED067C" w:rsidRDefault="00ED067C" w:rsidP="00ED067C">
          <w:pPr>
            <w:pStyle w:val="73EF5EF6A47A4F82B0928253BB616898"/>
          </w:pPr>
          <w:r w:rsidRPr="00DA65D1">
            <w:rPr>
              <w:rStyle w:val="PlaceholderText"/>
            </w:rPr>
            <w:t>Choose an item.</w:t>
          </w:r>
        </w:p>
      </w:docPartBody>
    </w:docPart>
    <w:docPart>
      <w:docPartPr>
        <w:name w:val="C5DFE0DCC8194581B4D739470C6D8835"/>
        <w:category>
          <w:name w:val="General"/>
          <w:gallery w:val="placeholder"/>
        </w:category>
        <w:types>
          <w:type w:val="bbPlcHdr"/>
        </w:types>
        <w:behaviors>
          <w:behavior w:val="content"/>
        </w:behaviors>
        <w:guid w:val="{5A697389-4ADC-4AFC-ABB5-7584212A5453}"/>
      </w:docPartPr>
      <w:docPartBody>
        <w:p w:rsidR="00ED067C" w:rsidRDefault="00ED067C" w:rsidP="00ED067C">
          <w:pPr>
            <w:pStyle w:val="C5DFE0DCC8194581B4D739470C6D8835"/>
          </w:pPr>
          <w:r w:rsidRPr="00DA65D1">
            <w:rPr>
              <w:rStyle w:val="PlaceholderText"/>
            </w:rPr>
            <w:t>Choose an item.</w:t>
          </w:r>
        </w:p>
      </w:docPartBody>
    </w:docPart>
    <w:docPart>
      <w:docPartPr>
        <w:name w:val="84891D294D3F4466A8C08ABC73611ABA"/>
        <w:category>
          <w:name w:val="General"/>
          <w:gallery w:val="placeholder"/>
        </w:category>
        <w:types>
          <w:type w:val="bbPlcHdr"/>
        </w:types>
        <w:behaviors>
          <w:behavior w:val="content"/>
        </w:behaviors>
        <w:guid w:val="{5055E217-562D-4635-9E2B-1849770ED446}"/>
      </w:docPartPr>
      <w:docPartBody>
        <w:p w:rsidR="00ED067C" w:rsidRDefault="00ED067C" w:rsidP="00ED067C">
          <w:pPr>
            <w:pStyle w:val="84891D294D3F4466A8C08ABC73611ABA"/>
          </w:pPr>
          <w:r w:rsidRPr="00DA65D1">
            <w:rPr>
              <w:rStyle w:val="PlaceholderText"/>
            </w:rPr>
            <w:t>Choose an item.</w:t>
          </w:r>
        </w:p>
      </w:docPartBody>
    </w:docPart>
    <w:docPart>
      <w:docPartPr>
        <w:name w:val="D13C420D17FF4046886F3B0875CC4C4B"/>
        <w:category>
          <w:name w:val="General"/>
          <w:gallery w:val="placeholder"/>
        </w:category>
        <w:types>
          <w:type w:val="bbPlcHdr"/>
        </w:types>
        <w:behaviors>
          <w:behavior w:val="content"/>
        </w:behaviors>
        <w:guid w:val="{AD25C04C-5461-47CC-8EEE-24AA3E99DA88}"/>
      </w:docPartPr>
      <w:docPartBody>
        <w:p w:rsidR="00ED067C" w:rsidRDefault="00ED067C" w:rsidP="00ED067C">
          <w:pPr>
            <w:pStyle w:val="D13C420D17FF4046886F3B0875CC4C4B"/>
          </w:pPr>
          <w:r w:rsidRPr="00DA65D1">
            <w:rPr>
              <w:rStyle w:val="PlaceholderText"/>
            </w:rPr>
            <w:t>Choose an item.</w:t>
          </w:r>
        </w:p>
      </w:docPartBody>
    </w:docPart>
    <w:docPart>
      <w:docPartPr>
        <w:name w:val="B0C795F36ED64F398537C7716C78E564"/>
        <w:category>
          <w:name w:val="General"/>
          <w:gallery w:val="placeholder"/>
        </w:category>
        <w:types>
          <w:type w:val="bbPlcHdr"/>
        </w:types>
        <w:behaviors>
          <w:behavior w:val="content"/>
        </w:behaviors>
        <w:guid w:val="{7593F019-A593-401A-8F2A-A7169B502DFF}"/>
      </w:docPartPr>
      <w:docPartBody>
        <w:p w:rsidR="00ED067C" w:rsidRDefault="00ED067C" w:rsidP="00ED067C">
          <w:pPr>
            <w:pStyle w:val="B0C795F36ED64F398537C7716C78E564"/>
          </w:pPr>
          <w:r w:rsidRPr="00DA65D1">
            <w:rPr>
              <w:rStyle w:val="PlaceholderText"/>
            </w:rPr>
            <w:t>Choose an item.</w:t>
          </w:r>
        </w:p>
      </w:docPartBody>
    </w:docPart>
    <w:docPart>
      <w:docPartPr>
        <w:name w:val="70EE5334F5CD4AD48399D4BC388B31B1"/>
        <w:category>
          <w:name w:val="General"/>
          <w:gallery w:val="placeholder"/>
        </w:category>
        <w:types>
          <w:type w:val="bbPlcHdr"/>
        </w:types>
        <w:behaviors>
          <w:behavior w:val="content"/>
        </w:behaviors>
        <w:guid w:val="{5FC04F18-5322-4480-B674-AAD67D3021ED}"/>
      </w:docPartPr>
      <w:docPartBody>
        <w:p w:rsidR="00ED067C" w:rsidRDefault="00ED067C" w:rsidP="00ED067C">
          <w:pPr>
            <w:pStyle w:val="70EE5334F5CD4AD48399D4BC388B31B1"/>
          </w:pPr>
          <w:r w:rsidRPr="00DA65D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Ebrima">
    <w:panose1 w:val="02000000000000000000"/>
    <w:charset w:val="00"/>
    <w:family w:val="auto"/>
    <w:pitch w:val="variable"/>
    <w:sig w:usb0="A000005F" w:usb1="02000041" w:usb2="000008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67C"/>
    <w:rsid w:val="00ED0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67C"/>
    <w:rPr>
      <w:color w:val="808080"/>
    </w:rPr>
  </w:style>
  <w:style w:type="paragraph" w:customStyle="1" w:styleId="2203FAE8948F4A65ACC9F438241A60EF">
    <w:name w:val="2203FAE8948F4A65ACC9F438241A60EF"/>
    <w:rsid w:val="00ED067C"/>
  </w:style>
  <w:style w:type="paragraph" w:customStyle="1" w:styleId="73EF5EF6A47A4F82B0928253BB616898">
    <w:name w:val="73EF5EF6A47A4F82B0928253BB616898"/>
    <w:rsid w:val="00ED067C"/>
  </w:style>
  <w:style w:type="paragraph" w:customStyle="1" w:styleId="C5DFE0DCC8194581B4D739470C6D8835">
    <w:name w:val="C5DFE0DCC8194581B4D739470C6D8835"/>
    <w:rsid w:val="00ED067C"/>
  </w:style>
  <w:style w:type="paragraph" w:customStyle="1" w:styleId="84891D294D3F4466A8C08ABC73611ABA">
    <w:name w:val="84891D294D3F4466A8C08ABC73611ABA"/>
    <w:rsid w:val="00ED067C"/>
  </w:style>
  <w:style w:type="paragraph" w:customStyle="1" w:styleId="D13C420D17FF4046886F3B0875CC4C4B">
    <w:name w:val="D13C420D17FF4046886F3B0875CC4C4B"/>
    <w:rsid w:val="00ED067C"/>
  </w:style>
  <w:style w:type="paragraph" w:customStyle="1" w:styleId="B0C795F36ED64F398537C7716C78E564">
    <w:name w:val="B0C795F36ED64F398537C7716C78E564"/>
    <w:rsid w:val="00ED067C"/>
  </w:style>
  <w:style w:type="paragraph" w:customStyle="1" w:styleId="70EE5334F5CD4AD48399D4BC388B31B1">
    <w:name w:val="70EE5334F5CD4AD48399D4BC388B31B1"/>
    <w:rsid w:val="00ED06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31192321D66A42B66BFB454B191ECB" ma:contentTypeVersion="17" ma:contentTypeDescription="Create a new document." ma:contentTypeScope="" ma:versionID="ffd9ec8cbab8152e4719a44485e65e3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98c234ed-907f-45cb-8adf-c2bb47c49795" xmlns:ns6="6e730a82-3d06-408e-9651-2b5cf1c81a9b" targetNamespace="http://schemas.microsoft.com/office/2006/metadata/properties" ma:root="true" ma:fieldsID="116054ad1814a93548728b6c57458126" ns1:_="" ns2:_="" ns3:_="" ns4:_="" ns5:_="" ns6:_="">
    <xsd:import namespace="http://schemas.microsoft.com/sharepoint/v3"/>
    <xsd:import namespace="4ffa91fb-a0ff-4ac5-b2db-65c790d184a4"/>
    <xsd:import namespace="http://schemas.microsoft.com/sharepoint.v3"/>
    <xsd:import namespace="http://schemas.microsoft.com/sharepoint/v3/fields"/>
    <xsd:import namespace="98c234ed-907f-45cb-8adf-c2bb47c49795"/>
    <xsd:import namespace="6e730a82-3d06-408e-9651-2b5cf1c81a9b"/>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DateTaken" minOccurs="0"/>
                <xsd:element ref="ns5:MediaLengthInSeconds" minOccurs="0"/>
                <xsd:element ref="ns1:_ip_UnifiedCompliancePolicyProperties" minOccurs="0"/>
                <xsd:element ref="ns1:_ip_UnifiedCompliancePolicyUIAction" minOccurs="0"/>
                <xsd:element ref="ns5:lcf76f155ced4ddcb4097134ff3c332f"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54c82387-1431-4208-80d7-bace41ba73ae}" ma:internalName="TaxCatchAllLabel" ma:readOnly="true" ma:showField="CatchAllDataLabel" ma:web="6e730a82-3d06-408e-9651-2b5cf1c81a9b">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54c82387-1431-4208-80d7-bace41ba73ae}" ma:internalName="TaxCatchAll" ma:showField="CatchAllData" ma:web="6e730a82-3d06-408e-9651-2b5cf1c81a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234ed-907f-45cb-8adf-c2bb47c4979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730a82-3d06-408e-9651-2b5cf1c81a9b"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2025-01-27T21:41:03+00:00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lcf76f155ced4ddcb4097134ff3c332f xmlns="98c234ed-907f-45cb-8adf-c2bb47c49795">
      <Terms xmlns="http://schemas.microsoft.com/office/infopath/2007/PartnerControls"/>
    </lcf76f155ced4ddcb4097134ff3c332f>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2E1637EE-DA5D-4EA0-B509-E991E90E5FEA}">
  <ds:schemaRefs>
    <ds:schemaRef ds:uri="http://schemas.openxmlformats.org/officeDocument/2006/bibliography"/>
  </ds:schemaRefs>
</ds:datastoreItem>
</file>

<file path=customXml/itemProps2.xml><?xml version="1.0" encoding="utf-8"?>
<ds:datastoreItem xmlns:ds="http://schemas.openxmlformats.org/officeDocument/2006/customXml" ds:itemID="{002E9DB6-4A9C-47A5-AD17-6F2EA5854500}"/>
</file>

<file path=customXml/itemProps3.xml><?xml version="1.0" encoding="utf-8"?>
<ds:datastoreItem xmlns:ds="http://schemas.openxmlformats.org/officeDocument/2006/customXml" ds:itemID="{79BA902E-C6E4-4E9A-9A6F-978D91D66E00}"/>
</file>

<file path=customXml/itemProps4.xml><?xml version="1.0" encoding="utf-8"?>
<ds:datastoreItem xmlns:ds="http://schemas.openxmlformats.org/officeDocument/2006/customXml" ds:itemID="{3CBEA668-ECA4-4453-98B7-DB737EFEAA4B}"/>
</file>

<file path=customXml/itemProps5.xml><?xml version="1.0" encoding="utf-8"?>
<ds:datastoreItem xmlns:ds="http://schemas.openxmlformats.org/officeDocument/2006/customXml" ds:itemID="{C744A8C2-5712-4654-8F73-23BFB5D9FB53}"/>
</file>

<file path=docProps/app.xml><?xml version="1.0" encoding="utf-8"?>
<Properties xmlns="http://schemas.openxmlformats.org/officeDocument/2006/extended-properties" xmlns:vt="http://schemas.openxmlformats.org/officeDocument/2006/docPropsVTypes">
  <Template>Normal</Template>
  <TotalTime>1929</TotalTime>
  <Pages>79</Pages>
  <Words>28082</Words>
  <Characters>149121</Characters>
  <Application>Microsoft Office Word</Application>
  <DocSecurity>0</DocSecurity>
  <Lines>3728</Lines>
  <Paragraphs>1947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Morris</dc:creator>
  <cp:lastModifiedBy>Marsha P. Collins</cp:lastModifiedBy>
  <cp:revision>213</cp:revision>
  <dcterms:created xsi:type="dcterms:W3CDTF">2016-03-02T02:12:00Z</dcterms:created>
  <dcterms:modified xsi:type="dcterms:W3CDTF">2025-01-24T12:46:00Z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0x010100CB31192321D66A42B66BFB454B191ECB</vt:lpwstr>
  </property>
</Properties>
</file>