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972E" w14:textId="77777777" w:rsidR="008C75ED" w:rsidRDefault="0011120F" w:rsidP="00C97D56">
      <w:pPr>
        <w:spacing w:after="0" w:line="240" w:lineRule="auto"/>
        <w:jc w:val="center"/>
        <w:rPr>
          <w:b/>
          <w:bCs/>
        </w:rPr>
      </w:pPr>
      <w:r w:rsidRPr="008C75ED">
        <w:rPr>
          <w:b/>
          <w:bCs/>
        </w:rPr>
        <w:t xml:space="preserve">FY22 BROWNFIELDS REVOLVING LOAN FUND </w:t>
      </w:r>
      <w:r w:rsidR="008C75ED">
        <w:rPr>
          <w:b/>
          <w:bCs/>
        </w:rPr>
        <w:t>(RLF)</w:t>
      </w:r>
    </w:p>
    <w:p w14:paraId="7BE18BDC" w14:textId="67127F74" w:rsidR="00582C52" w:rsidRPr="008C75ED" w:rsidRDefault="0011120F" w:rsidP="0011120F">
      <w:pPr>
        <w:spacing w:after="0" w:line="240" w:lineRule="auto"/>
        <w:jc w:val="center"/>
        <w:rPr>
          <w:b/>
          <w:bCs/>
        </w:rPr>
      </w:pPr>
      <w:r w:rsidRPr="008C75ED">
        <w:rPr>
          <w:b/>
          <w:bCs/>
        </w:rPr>
        <w:t xml:space="preserve">CLOSEOUT AGREEMENT </w:t>
      </w:r>
      <w:r w:rsidR="008C75ED">
        <w:rPr>
          <w:b/>
          <w:bCs/>
        </w:rPr>
        <w:t xml:space="preserve">(COA) </w:t>
      </w:r>
      <w:r w:rsidRPr="008C75ED">
        <w:rPr>
          <w:b/>
          <w:bCs/>
        </w:rPr>
        <w:t>TEMPLATE</w:t>
      </w:r>
    </w:p>
    <w:p w14:paraId="628C270F" w14:textId="35C367BB" w:rsidR="0011120F" w:rsidRPr="007F4674" w:rsidRDefault="0011120F" w:rsidP="0011120F">
      <w:pPr>
        <w:spacing w:after="0" w:line="240" w:lineRule="auto"/>
        <w:rPr>
          <w:sz w:val="12"/>
          <w:szCs w:val="12"/>
        </w:rPr>
      </w:pPr>
    </w:p>
    <w:p w14:paraId="12DB0F2E" w14:textId="11E00DF2" w:rsidR="00406690" w:rsidRPr="00276055" w:rsidRDefault="00406690" w:rsidP="007F4674">
      <w:pPr>
        <w:spacing w:after="0" w:line="240" w:lineRule="auto"/>
        <w:rPr>
          <w:u w:val="single"/>
        </w:rPr>
      </w:pPr>
      <w:r w:rsidRPr="00276055">
        <w:rPr>
          <w:u w:val="single"/>
        </w:rPr>
        <w:t>Background:</w:t>
      </w:r>
    </w:p>
    <w:p w14:paraId="3B984B45" w14:textId="0EEA95BA" w:rsidR="00406690" w:rsidRPr="008C75ED" w:rsidRDefault="00406690" w:rsidP="007F4674">
      <w:pPr>
        <w:pStyle w:val="ListParagraph"/>
        <w:numPr>
          <w:ilvl w:val="0"/>
          <w:numId w:val="1"/>
        </w:numPr>
        <w:spacing w:after="0" w:line="240" w:lineRule="auto"/>
        <w:ind w:left="360"/>
      </w:pPr>
      <w:r w:rsidRPr="008C75ED">
        <w:t>2 CFR § 1500.8(c) allows RLF grant recipients to keep program income</w:t>
      </w:r>
      <w:r w:rsidR="008C75ED">
        <w:t xml:space="preserve"> (PI)</w:t>
      </w:r>
      <w:r w:rsidRPr="008C75ED">
        <w:t xml:space="preserve"> at the end of the cooperative agreement (CA) </w:t>
      </w:r>
      <w:r w:rsidRPr="00D766EE">
        <w:t xml:space="preserve">only if they </w:t>
      </w:r>
      <w:r w:rsidRPr="00D766EE">
        <w:rPr>
          <w:u w:val="single"/>
        </w:rPr>
        <w:t>use</w:t>
      </w:r>
      <w:r w:rsidRPr="00D766EE">
        <w:t xml:space="preserve"> those funds for continued operation of the RLF or for other brownfields purposes, as outlined in their COAs</w:t>
      </w:r>
      <w:r w:rsidRPr="008C75ED">
        <w:t xml:space="preserve">. </w:t>
      </w:r>
      <w:r w:rsidR="00226418">
        <w:t xml:space="preserve"> This is consistent with </w:t>
      </w:r>
      <w:hyperlink r:id="rId11" w:history="1">
        <w:r w:rsidR="005B0DD4">
          <w:rPr>
            <w:rStyle w:val="Hyperlink"/>
          </w:rPr>
          <w:t>2 CFR § 200.307(f)</w:t>
        </w:r>
      </w:hyperlink>
      <w:r w:rsidR="0010227F" w:rsidRPr="0010227F">
        <w:t>.</w:t>
      </w:r>
    </w:p>
    <w:p w14:paraId="5785C820" w14:textId="77777777" w:rsidR="00406690" w:rsidRPr="008C75ED" w:rsidRDefault="00406690" w:rsidP="007F4674">
      <w:pPr>
        <w:pStyle w:val="ListParagraph"/>
        <w:numPr>
          <w:ilvl w:val="0"/>
          <w:numId w:val="1"/>
        </w:numPr>
        <w:spacing w:after="0" w:line="240" w:lineRule="auto"/>
        <w:ind w:left="360"/>
      </w:pPr>
      <w:r w:rsidRPr="008C75ED">
        <w:t xml:space="preserve">The content of Brownfields RLF COAs over the past 20+ years varies significantly. </w:t>
      </w:r>
    </w:p>
    <w:p w14:paraId="3933E619" w14:textId="337C38B1" w:rsidR="00406690" w:rsidRPr="008C75ED" w:rsidRDefault="00406690" w:rsidP="00AA3007">
      <w:pPr>
        <w:pStyle w:val="ListParagraph"/>
        <w:numPr>
          <w:ilvl w:val="1"/>
          <w:numId w:val="6"/>
        </w:numPr>
        <w:spacing w:after="0" w:line="240" w:lineRule="auto"/>
        <w:ind w:left="1260"/>
      </w:pPr>
      <w:r w:rsidRPr="008C75ED">
        <w:t>Early on, COAs were stand-alone agreements executed after the CA ended. These COAs were written differently in each</w:t>
      </w:r>
      <w:r w:rsidR="00B75F28">
        <w:t xml:space="preserve"> EPA</w:t>
      </w:r>
      <w:r w:rsidRPr="008C75ED">
        <w:t xml:space="preserve"> </w:t>
      </w:r>
      <w:r w:rsidR="00B75F28">
        <w:t>R</w:t>
      </w:r>
      <w:r w:rsidRPr="008C75ED">
        <w:t xml:space="preserve">egion and often the terms and conditions (T&amp;Cs) didn’t require reporting. </w:t>
      </w:r>
    </w:p>
    <w:p w14:paraId="22B086B8" w14:textId="373AA68D" w:rsidR="00406690" w:rsidRPr="008C75ED" w:rsidRDefault="00406690" w:rsidP="00AA3007">
      <w:pPr>
        <w:pStyle w:val="ListParagraph"/>
        <w:numPr>
          <w:ilvl w:val="1"/>
          <w:numId w:val="6"/>
        </w:numPr>
        <w:spacing w:after="0" w:line="240" w:lineRule="auto"/>
        <w:ind w:left="1260"/>
      </w:pPr>
      <w:r w:rsidRPr="008C75ED">
        <w:t xml:space="preserve">After an Office of Inspector General (OIG) audit in FY16-17, the Office of Brownfields and Land Revitalization (OBLR) established policy in FY18 requiring the </w:t>
      </w:r>
      <w:r w:rsidR="00523735">
        <w:t xml:space="preserve">Regions to </w:t>
      </w:r>
      <w:r w:rsidRPr="008C75ED">
        <w:t xml:space="preserve">use </w:t>
      </w:r>
      <w:r w:rsidR="000C556A">
        <w:t xml:space="preserve">a </w:t>
      </w:r>
      <w:r w:rsidRPr="008C75ED">
        <w:t xml:space="preserve">model COA template, </w:t>
      </w:r>
      <w:r w:rsidR="00523735">
        <w:t>with</w:t>
      </w:r>
      <w:r w:rsidRPr="008C75ED">
        <w:t xml:space="preserve"> the </w:t>
      </w:r>
      <w:r w:rsidR="000C556A">
        <w:t xml:space="preserve">terms </w:t>
      </w:r>
      <w:r w:rsidRPr="008C75ED">
        <w:t xml:space="preserve">embedded in the model CA T&amp;Cs so that the COA would automatically execute starting the day after the CA’s period of performance ended. </w:t>
      </w:r>
    </w:p>
    <w:p w14:paraId="5189B8C0" w14:textId="6E783BAF" w:rsidR="008C75ED" w:rsidRDefault="00406690" w:rsidP="007F4674">
      <w:pPr>
        <w:pStyle w:val="ListParagraph"/>
        <w:numPr>
          <w:ilvl w:val="0"/>
          <w:numId w:val="1"/>
        </w:numPr>
        <w:spacing w:after="0" w:line="240" w:lineRule="auto"/>
        <w:ind w:left="360"/>
      </w:pPr>
      <w:r w:rsidRPr="008C75ED">
        <w:t xml:space="preserve">A follow-up OIG audit on the Brownfields RLF Program </w:t>
      </w:r>
      <w:r w:rsidR="00EB7D7C">
        <w:t xml:space="preserve">in FY20-22 </w:t>
      </w:r>
      <w:r w:rsidRPr="008C75ED">
        <w:t xml:space="preserve">again cited issues with inconsistencies between COAs across the program. For example, some older COAs don’t require any reporting, and even some of the newer COAs no longer require annual reporting after 5 years. </w:t>
      </w:r>
    </w:p>
    <w:p w14:paraId="5B83BFC0" w14:textId="6014422B" w:rsidR="00406690" w:rsidRDefault="008C75ED" w:rsidP="00AA3007">
      <w:pPr>
        <w:pStyle w:val="ListParagraph"/>
        <w:numPr>
          <w:ilvl w:val="1"/>
          <w:numId w:val="6"/>
        </w:numPr>
        <w:spacing w:after="0" w:line="240" w:lineRule="auto"/>
        <w:ind w:left="1260"/>
      </w:pPr>
      <w:r>
        <w:t>The OIG report determined</w:t>
      </w:r>
      <w:r w:rsidR="000C556A">
        <w:t>:</w:t>
      </w:r>
      <w:r>
        <w:t xml:space="preserve"> </w:t>
      </w:r>
      <w:r w:rsidRPr="000E7C88">
        <w:rPr>
          <w:i/>
          <w:iCs/>
        </w:rPr>
        <w:t>“</w:t>
      </w:r>
      <w:r w:rsidR="00406690" w:rsidRPr="000E7C88">
        <w:rPr>
          <w:i/>
          <w:iCs/>
        </w:rPr>
        <w:t xml:space="preserve">Without tracking and monitoring </w:t>
      </w:r>
      <w:r w:rsidR="00276055" w:rsidRPr="000E7C88">
        <w:rPr>
          <w:i/>
          <w:iCs/>
        </w:rPr>
        <w:t>PI</w:t>
      </w:r>
      <w:r w:rsidR="00406690" w:rsidRPr="000E7C88">
        <w:rPr>
          <w:i/>
          <w:iCs/>
        </w:rPr>
        <w:t xml:space="preserve"> and recipient compliance with post-closeout reporting requirements, there is no assurance that the recipients have fulfilled the </w:t>
      </w:r>
      <w:r w:rsidR="00276055" w:rsidRPr="000E7C88">
        <w:rPr>
          <w:i/>
          <w:iCs/>
        </w:rPr>
        <w:t>T&amp;Cs</w:t>
      </w:r>
      <w:r w:rsidR="00406690" w:rsidRPr="000E7C88">
        <w:rPr>
          <w:i/>
          <w:iCs/>
        </w:rPr>
        <w:t xml:space="preserve"> of the </w:t>
      </w:r>
      <w:r w:rsidRPr="000E7C88">
        <w:rPr>
          <w:i/>
          <w:iCs/>
        </w:rPr>
        <w:t>COA</w:t>
      </w:r>
      <w:r w:rsidR="00406690" w:rsidRPr="000E7C88">
        <w:rPr>
          <w:i/>
          <w:iCs/>
        </w:rPr>
        <w:t>, as required in 2 C.F.R. § 1500.8(c).</w:t>
      </w:r>
      <w:r w:rsidRPr="000E7C88">
        <w:rPr>
          <w:i/>
          <w:iCs/>
        </w:rPr>
        <w:t>”</w:t>
      </w:r>
    </w:p>
    <w:p w14:paraId="166618FD" w14:textId="77777777" w:rsidR="00406690" w:rsidRPr="00AA3007" w:rsidRDefault="00406690" w:rsidP="00AA3007">
      <w:pPr>
        <w:spacing w:after="0" w:line="240" w:lineRule="auto"/>
        <w:rPr>
          <w:sz w:val="12"/>
          <w:szCs w:val="12"/>
        </w:rPr>
      </w:pPr>
    </w:p>
    <w:p w14:paraId="0F642DFA" w14:textId="77777777" w:rsidR="00276055" w:rsidRDefault="0011120F" w:rsidP="007F4674">
      <w:pPr>
        <w:spacing w:after="0" w:line="240" w:lineRule="auto"/>
      </w:pPr>
      <w:r w:rsidRPr="00276055">
        <w:rPr>
          <w:u w:val="single"/>
        </w:rPr>
        <w:t>Purpose</w:t>
      </w:r>
      <w:r w:rsidR="008C75ED" w:rsidRPr="00276055">
        <w:rPr>
          <w:u w:val="single"/>
        </w:rPr>
        <w:t xml:space="preserve"> of the FY22 COA Template</w:t>
      </w:r>
      <w:r w:rsidRPr="00276055">
        <w:rPr>
          <w:u w:val="single"/>
        </w:rPr>
        <w:t>:</w:t>
      </w:r>
      <w:r w:rsidR="008C75ED">
        <w:t xml:space="preserve">  </w:t>
      </w:r>
    </w:p>
    <w:p w14:paraId="38E2BF37" w14:textId="5509652D" w:rsidR="00B12D71" w:rsidRPr="00B12D71" w:rsidRDefault="004B5AF4" w:rsidP="007F4674">
      <w:pPr>
        <w:pStyle w:val="ListParagraph"/>
        <w:numPr>
          <w:ilvl w:val="0"/>
          <w:numId w:val="1"/>
        </w:numPr>
        <w:spacing w:after="0" w:line="240" w:lineRule="auto"/>
        <w:ind w:left="360"/>
      </w:pPr>
      <w:r>
        <w:rPr>
          <w:rFonts w:eastAsia="Times New Roman"/>
        </w:rPr>
        <w:t xml:space="preserve">EPA created the FY22 COA Template with the intent of using it to replace as many existing RLF COAs as possible. This will allow for all RLF programs with post-closeout PI to be operating under the same T&amp;Cs, which will be a benefit to both </w:t>
      </w:r>
      <w:r w:rsidR="00AD20E8">
        <w:t>cooperative agreement recipients (CARs)</w:t>
      </w:r>
      <w:r>
        <w:rPr>
          <w:rFonts w:eastAsia="Times New Roman"/>
        </w:rPr>
        <w:t xml:space="preserve"> and EPA.  </w:t>
      </w:r>
    </w:p>
    <w:p w14:paraId="71DD22B0" w14:textId="75A6C1A5" w:rsidR="004B5AF4" w:rsidRPr="008C75ED" w:rsidRDefault="004B5AF4" w:rsidP="007F4674">
      <w:pPr>
        <w:pStyle w:val="ListParagraph"/>
        <w:numPr>
          <w:ilvl w:val="0"/>
          <w:numId w:val="1"/>
        </w:numPr>
        <w:spacing w:after="0" w:line="240" w:lineRule="auto"/>
        <w:ind w:left="360"/>
      </w:pPr>
      <w:r w:rsidRPr="00B50DA3">
        <w:rPr>
          <w:rFonts w:eastAsia="Times New Roman"/>
        </w:rPr>
        <w:t>For the next 5 years, RLF COAs will be based on th</w:t>
      </w:r>
      <w:r>
        <w:rPr>
          <w:rFonts w:eastAsia="Times New Roman"/>
        </w:rPr>
        <w:t>e</w:t>
      </w:r>
      <w:r w:rsidRPr="00B50DA3">
        <w:rPr>
          <w:rFonts w:eastAsia="Times New Roman"/>
        </w:rPr>
        <w:t xml:space="preserve"> FY22 COA Template</w:t>
      </w:r>
      <w:r w:rsidR="00B12D71">
        <w:rPr>
          <w:rFonts w:eastAsia="Times New Roman"/>
        </w:rPr>
        <w:t xml:space="preserve"> (i.e., next COA Template change will be in FY27).  The FY22 COA Template:</w:t>
      </w:r>
    </w:p>
    <w:p w14:paraId="231542C4" w14:textId="67CD9274" w:rsidR="00B12D71" w:rsidRDefault="00B12D71" w:rsidP="007F4674">
      <w:pPr>
        <w:pStyle w:val="ListParagraph"/>
        <w:numPr>
          <w:ilvl w:val="0"/>
          <w:numId w:val="5"/>
        </w:numPr>
        <w:spacing w:after="0" w:line="240" w:lineRule="auto"/>
        <w:ind w:left="900"/>
      </w:pPr>
      <w:r>
        <w:t xml:space="preserve">Makes administrative and financial tracking easier for both </w:t>
      </w:r>
      <w:r w:rsidR="00B75F28">
        <w:t>CARs</w:t>
      </w:r>
      <w:r>
        <w:t xml:space="preserve"> and EPA by </w:t>
      </w:r>
      <w:r w:rsidRPr="00DB37C2">
        <w:rPr>
          <w:rFonts w:eastAsia="Times New Roman"/>
          <w:b/>
          <w:bCs/>
          <w:u w:val="single"/>
        </w:rPr>
        <w:t>combining all COAs for a CAR into a single COA</w:t>
      </w:r>
      <w:r w:rsidRPr="00B12D71">
        <w:rPr>
          <w:rFonts w:eastAsia="Times New Roman"/>
        </w:rPr>
        <w:t>.</w:t>
      </w:r>
    </w:p>
    <w:p w14:paraId="198EA264" w14:textId="18858BF7" w:rsidR="000C556A" w:rsidRPr="006524EF" w:rsidRDefault="00B12D71" w:rsidP="00AA3007">
      <w:pPr>
        <w:pStyle w:val="ListParagraph"/>
        <w:numPr>
          <w:ilvl w:val="1"/>
          <w:numId w:val="6"/>
        </w:numPr>
        <w:spacing w:after="0" w:line="240" w:lineRule="auto"/>
        <w:ind w:left="1260"/>
      </w:pPr>
      <w:proofErr w:type="gramStart"/>
      <w:r w:rsidRPr="006524EF">
        <w:t>Through the use of</w:t>
      </w:r>
      <w:proofErr w:type="gramEnd"/>
      <w:r w:rsidRPr="006524EF">
        <w:t xml:space="preserve"> an Attachment to the COA which lists all applicable assistance agreement numbers, the CAR will have one COA for all its RLF grants. </w:t>
      </w:r>
    </w:p>
    <w:p w14:paraId="01AF0F3B" w14:textId="1CF5B788" w:rsidR="00B12D71" w:rsidRPr="006524EF" w:rsidRDefault="00B12D71" w:rsidP="00AA3007">
      <w:pPr>
        <w:pStyle w:val="ListParagraph"/>
        <w:numPr>
          <w:ilvl w:val="1"/>
          <w:numId w:val="6"/>
        </w:numPr>
        <w:spacing w:after="0" w:line="240" w:lineRule="auto"/>
        <w:ind w:left="1260"/>
      </w:pPr>
      <w:r w:rsidRPr="006524EF">
        <w:t xml:space="preserve">The single COA terminates the CAR’s previous COAs, and all management and reporting of post-closeout </w:t>
      </w:r>
      <w:r w:rsidR="00B75F28" w:rsidRPr="006524EF">
        <w:t>PI</w:t>
      </w:r>
      <w:r w:rsidRPr="006524EF">
        <w:t xml:space="preserve"> is tracked under one grant number. </w:t>
      </w:r>
    </w:p>
    <w:p w14:paraId="6AAC0770" w14:textId="468E6530" w:rsidR="00B75F28" w:rsidRPr="0082123C" w:rsidRDefault="00B75F28" w:rsidP="00AA3007">
      <w:pPr>
        <w:pStyle w:val="ListParagraph"/>
        <w:numPr>
          <w:ilvl w:val="1"/>
          <w:numId w:val="6"/>
        </w:numPr>
        <w:spacing w:after="0" w:line="240" w:lineRule="auto"/>
        <w:ind w:left="1260"/>
        <w:rPr>
          <w:i/>
          <w:iCs/>
        </w:rPr>
      </w:pPr>
      <w:r w:rsidRPr="006524EF">
        <w:t xml:space="preserve">Post-closeout PI </w:t>
      </w:r>
      <w:r w:rsidR="000C556A" w:rsidRPr="006524EF">
        <w:t xml:space="preserve">from multiple grants </w:t>
      </w:r>
      <w:r w:rsidR="002837D1" w:rsidRPr="006524EF">
        <w:t xml:space="preserve">will </w:t>
      </w:r>
      <w:r w:rsidR="000C556A" w:rsidRPr="006524EF">
        <w:t>be combined and kept</w:t>
      </w:r>
      <w:r w:rsidRPr="006524EF">
        <w:t xml:space="preserve"> in a </w:t>
      </w:r>
      <w:r w:rsidR="000C556A" w:rsidRPr="006524EF">
        <w:t>single</w:t>
      </w:r>
      <w:r w:rsidRPr="006524EF">
        <w:t xml:space="preserve"> bank account</w:t>
      </w:r>
      <w:r w:rsidR="000C556A" w:rsidRPr="006524EF">
        <w:t xml:space="preserve">. </w:t>
      </w:r>
      <w:r w:rsidR="000C556A" w:rsidRPr="0082123C">
        <w:rPr>
          <w:i/>
          <w:iCs/>
        </w:rPr>
        <w:t>Note that R</w:t>
      </w:r>
      <w:r w:rsidRPr="0082123C">
        <w:rPr>
          <w:i/>
          <w:iCs/>
        </w:rPr>
        <w:t>LF funds for open grants</w:t>
      </w:r>
      <w:r w:rsidR="000C556A" w:rsidRPr="0082123C">
        <w:rPr>
          <w:i/>
          <w:iCs/>
        </w:rPr>
        <w:t xml:space="preserve"> must each still have their own separate bank accounts.</w:t>
      </w:r>
    </w:p>
    <w:p w14:paraId="471C9097" w14:textId="0358A5B0" w:rsidR="004B5AF4" w:rsidRDefault="00B12D71" w:rsidP="007F4674">
      <w:pPr>
        <w:pStyle w:val="ListParagraph"/>
        <w:numPr>
          <w:ilvl w:val="0"/>
          <w:numId w:val="5"/>
        </w:numPr>
        <w:spacing w:after="0" w:line="240" w:lineRule="auto"/>
        <w:ind w:left="900"/>
      </w:pPr>
      <w:r>
        <w:t>S</w:t>
      </w:r>
      <w:r w:rsidR="008C75ED">
        <w:t>tandardize</w:t>
      </w:r>
      <w:r w:rsidR="00B75F28">
        <w:t>s</w:t>
      </w:r>
      <w:r w:rsidR="008C75ED">
        <w:t xml:space="preserve"> Brownfields COA requirements</w:t>
      </w:r>
      <w:r w:rsidR="00276055">
        <w:t xml:space="preserve">, which will </w:t>
      </w:r>
      <w:r w:rsidR="004B5AF4">
        <w:t xml:space="preserve">allow all CARs to use </w:t>
      </w:r>
      <w:r w:rsidR="00DB37C2">
        <w:t xml:space="preserve">post-closeout </w:t>
      </w:r>
      <w:r w:rsidR="004B5AF4">
        <w:t>PI more expeditiously</w:t>
      </w:r>
      <w:r>
        <w:t xml:space="preserve"> and EPA to track </w:t>
      </w:r>
      <w:r w:rsidR="00DB37C2">
        <w:t xml:space="preserve">post-closeout </w:t>
      </w:r>
      <w:r>
        <w:t xml:space="preserve">PI </w:t>
      </w:r>
      <w:r w:rsidR="00AD20E8">
        <w:t xml:space="preserve">more </w:t>
      </w:r>
      <w:r>
        <w:t>accurately</w:t>
      </w:r>
      <w:r w:rsidR="00DB37C2">
        <w:t>.</w:t>
      </w:r>
    </w:p>
    <w:p w14:paraId="22E36566" w14:textId="12F98661" w:rsidR="00B12D71" w:rsidRPr="00AA3007" w:rsidRDefault="00B12D71" w:rsidP="00AA3007">
      <w:pPr>
        <w:pStyle w:val="ListParagraph"/>
        <w:numPr>
          <w:ilvl w:val="1"/>
          <w:numId w:val="6"/>
        </w:numPr>
        <w:spacing w:after="0" w:line="240" w:lineRule="auto"/>
        <w:ind w:left="1260"/>
      </w:pPr>
      <w:r w:rsidRPr="00252F98">
        <w:rPr>
          <w:b/>
          <w:bCs/>
        </w:rPr>
        <w:t>A</w:t>
      </w:r>
      <w:r w:rsidR="00231332" w:rsidRPr="00252F98">
        <w:rPr>
          <w:b/>
          <w:bCs/>
        </w:rPr>
        <w:t>llows a</w:t>
      </w:r>
      <w:r w:rsidRPr="00252F98">
        <w:rPr>
          <w:b/>
          <w:bCs/>
        </w:rPr>
        <w:t xml:space="preserve">dditional flexibility on how post-closeout </w:t>
      </w:r>
      <w:r w:rsidR="00DB37C2" w:rsidRPr="00252F98">
        <w:rPr>
          <w:b/>
          <w:bCs/>
        </w:rPr>
        <w:t>PI</w:t>
      </w:r>
      <w:r w:rsidRPr="00252F98">
        <w:rPr>
          <w:b/>
          <w:bCs/>
        </w:rPr>
        <w:t xml:space="preserve"> can be used</w:t>
      </w:r>
      <w:r w:rsidRPr="00AA3007">
        <w:t xml:space="preserve"> (see #6 on pg 2 of FY22 COA Template) </w:t>
      </w:r>
      <w:r w:rsidRPr="00252F98">
        <w:rPr>
          <w:b/>
          <w:bCs/>
        </w:rPr>
        <w:t>and where it can be used</w:t>
      </w:r>
      <w:r w:rsidRPr="00AA3007">
        <w:t xml:space="preserve"> (see #13 on pg 4).</w:t>
      </w:r>
    </w:p>
    <w:p w14:paraId="08B5C237" w14:textId="705CD3D7" w:rsidR="00B12D71" w:rsidRPr="00AA3007" w:rsidRDefault="008B3784" w:rsidP="00AA3007">
      <w:pPr>
        <w:pStyle w:val="ListParagraph"/>
        <w:numPr>
          <w:ilvl w:val="1"/>
          <w:numId w:val="6"/>
        </w:numPr>
        <w:spacing w:after="0" w:line="240" w:lineRule="auto"/>
        <w:ind w:left="1260"/>
      </w:pPr>
      <w:r w:rsidRPr="00252F98">
        <w:rPr>
          <w:b/>
          <w:bCs/>
        </w:rPr>
        <w:t>Provid</w:t>
      </w:r>
      <w:r w:rsidR="00231332" w:rsidRPr="00252F98">
        <w:rPr>
          <w:b/>
          <w:bCs/>
        </w:rPr>
        <w:t>es p</w:t>
      </w:r>
      <w:r w:rsidR="00B12D71" w:rsidRPr="00252F98">
        <w:rPr>
          <w:b/>
          <w:bCs/>
        </w:rPr>
        <w:t>arameters for eventual closure of the COA</w:t>
      </w:r>
      <w:r w:rsidR="00B12D71" w:rsidRPr="00AA3007">
        <w:t xml:space="preserve"> (see #17 on pg 5).  </w:t>
      </w:r>
    </w:p>
    <w:p w14:paraId="3FE86862" w14:textId="3E993C95" w:rsidR="00B12D71" w:rsidRPr="00AA3007" w:rsidRDefault="008B3784" w:rsidP="00AA3007">
      <w:pPr>
        <w:pStyle w:val="ListParagraph"/>
        <w:numPr>
          <w:ilvl w:val="1"/>
          <w:numId w:val="6"/>
        </w:numPr>
        <w:spacing w:after="0" w:line="240" w:lineRule="auto"/>
        <w:ind w:left="1260"/>
      </w:pPr>
      <w:r w:rsidRPr="00252F98">
        <w:rPr>
          <w:b/>
          <w:bCs/>
        </w:rPr>
        <w:t xml:space="preserve">Includes </w:t>
      </w:r>
      <w:r w:rsidR="00ED64AC" w:rsidRPr="00252F98">
        <w:rPr>
          <w:b/>
          <w:bCs/>
        </w:rPr>
        <w:t>a</w:t>
      </w:r>
      <w:r w:rsidR="00B12D71" w:rsidRPr="00252F98">
        <w:rPr>
          <w:b/>
          <w:bCs/>
        </w:rPr>
        <w:t xml:space="preserve">nnual progress reporting and </w:t>
      </w:r>
      <w:r w:rsidR="00D21A02" w:rsidRPr="00252F98">
        <w:rPr>
          <w:b/>
          <w:bCs/>
        </w:rPr>
        <w:t>Assessment, Cleanup and Redevelopment Exchange System (</w:t>
      </w:r>
      <w:r w:rsidR="00B12D71" w:rsidRPr="00252F98">
        <w:rPr>
          <w:b/>
          <w:bCs/>
        </w:rPr>
        <w:t>ACRES</w:t>
      </w:r>
      <w:r w:rsidR="00D21A02" w:rsidRPr="00252F98">
        <w:rPr>
          <w:b/>
          <w:bCs/>
        </w:rPr>
        <w:t>)</w:t>
      </w:r>
      <w:r w:rsidR="00B12D71" w:rsidRPr="00252F98">
        <w:rPr>
          <w:b/>
          <w:bCs/>
        </w:rPr>
        <w:t xml:space="preserve"> reporting</w:t>
      </w:r>
      <w:r w:rsidR="00B12D71" w:rsidRPr="00AA3007">
        <w:t xml:space="preserve"> (see #15 on pg 4). </w:t>
      </w:r>
      <w:r w:rsidR="00B12D71" w:rsidRPr="00697857">
        <w:rPr>
          <w:i/>
          <w:iCs/>
        </w:rPr>
        <w:t xml:space="preserve">Note that </w:t>
      </w:r>
      <w:proofErr w:type="gramStart"/>
      <w:r w:rsidR="00B12D71" w:rsidRPr="00697857">
        <w:rPr>
          <w:i/>
          <w:iCs/>
        </w:rPr>
        <w:t>ACRES</w:t>
      </w:r>
      <w:proofErr w:type="gramEnd"/>
      <w:r w:rsidR="00B12D71" w:rsidRPr="00697857">
        <w:rPr>
          <w:i/>
          <w:iCs/>
        </w:rPr>
        <w:t xml:space="preserve"> enhancements for RLF data are in progress, with rollout expected in early 2023.  Recorded webinar training will be provided to RLF CARs on all new </w:t>
      </w:r>
      <w:proofErr w:type="gramStart"/>
      <w:r w:rsidR="00B12D71" w:rsidRPr="00697857">
        <w:rPr>
          <w:i/>
          <w:iCs/>
        </w:rPr>
        <w:t>ACRES</w:t>
      </w:r>
      <w:proofErr w:type="gramEnd"/>
      <w:r w:rsidR="00B12D71" w:rsidRPr="00697857">
        <w:rPr>
          <w:i/>
          <w:iCs/>
        </w:rPr>
        <w:t xml:space="preserve"> requirements for RLFs.</w:t>
      </w:r>
    </w:p>
    <w:p w14:paraId="4AAE7C4D" w14:textId="77777777" w:rsidR="00B12D71" w:rsidRPr="00DD16A2" w:rsidRDefault="00B12D71" w:rsidP="007F4674">
      <w:pPr>
        <w:pStyle w:val="ListParagraph"/>
        <w:spacing w:after="0" w:line="240" w:lineRule="auto"/>
        <w:ind w:left="360"/>
        <w:rPr>
          <w:sz w:val="10"/>
          <w:szCs w:val="10"/>
        </w:rPr>
      </w:pPr>
    </w:p>
    <w:p w14:paraId="3BE90DED" w14:textId="5F8437F1" w:rsidR="00AD20E8" w:rsidRDefault="00AD20E8" w:rsidP="007F4674">
      <w:pPr>
        <w:spacing w:after="0" w:line="240" w:lineRule="auto"/>
      </w:pPr>
      <w:r>
        <w:rPr>
          <w:u w:val="single"/>
        </w:rPr>
        <w:t>How this affects existing</w:t>
      </w:r>
      <w:r w:rsidR="00ED64AC">
        <w:rPr>
          <w:u w:val="single"/>
        </w:rPr>
        <w:t xml:space="preserve"> and former</w:t>
      </w:r>
      <w:r>
        <w:rPr>
          <w:u w:val="single"/>
        </w:rPr>
        <w:t xml:space="preserve"> RLF CARs</w:t>
      </w:r>
      <w:r w:rsidRPr="00276055">
        <w:rPr>
          <w:u w:val="single"/>
        </w:rPr>
        <w:t>:</w:t>
      </w:r>
      <w:r>
        <w:t xml:space="preserve">  </w:t>
      </w:r>
    </w:p>
    <w:p w14:paraId="186159AC" w14:textId="327776FB" w:rsidR="0011120F" w:rsidRPr="00523735" w:rsidRDefault="00523735" w:rsidP="007F4674">
      <w:pPr>
        <w:pStyle w:val="ListParagraph"/>
        <w:numPr>
          <w:ilvl w:val="0"/>
          <w:numId w:val="1"/>
        </w:numPr>
        <w:spacing w:after="0" w:line="240" w:lineRule="auto"/>
        <w:ind w:left="360"/>
      </w:pPr>
      <w:bookmarkStart w:id="0" w:name="_Hlk102402625"/>
      <w:r>
        <w:rPr>
          <w:rFonts w:eastAsia="Times New Roman"/>
        </w:rPr>
        <w:t>A</w:t>
      </w:r>
      <w:r w:rsidRPr="004A57C2">
        <w:rPr>
          <w:rFonts w:eastAsia="Times New Roman"/>
        </w:rPr>
        <w:t xml:space="preserve">dopting the FY22 COA will be a condition of </w:t>
      </w:r>
      <w:r>
        <w:rPr>
          <w:rFonts w:eastAsia="Times New Roman"/>
        </w:rPr>
        <w:t xml:space="preserve">all new RLF grant awards </w:t>
      </w:r>
      <w:r w:rsidRPr="00DC2E19">
        <w:rPr>
          <w:rFonts w:eastAsia="Times New Roman"/>
          <w:u w:val="single"/>
        </w:rPr>
        <w:t>and</w:t>
      </w:r>
      <w:r>
        <w:rPr>
          <w:rFonts w:eastAsia="Times New Roman"/>
        </w:rPr>
        <w:t xml:space="preserve"> </w:t>
      </w:r>
      <w:r w:rsidRPr="004A57C2">
        <w:rPr>
          <w:rFonts w:eastAsia="Times New Roman"/>
        </w:rPr>
        <w:t xml:space="preserve">all amendments to open </w:t>
      </w:r>
      <w:r>
        <w:rPr>
          <w:rFonts w:eastAsia="Times New Roman"/>
        </w:rPr>
        <w:t xml:space="preserve">RLF </w:t>
      </w:r>
      <w:r w:rsidRPr="004A57C2">
        <w:rPr>
          <w:rFonts w:eastAsia="Times New Roman"/>
        </w:rPr>
        <w:t>cooperative agreements</w:t>
      </w:r>
      <w:bookmarkEnd w:id="0"/>
      <w:r>
        <w:rPr>
          <w:rFonts w:eastAsia="Times New Roman"/>
        </w:rPr>
        <w:t xml:space="preserve"> (e.g., no-cost extensions, supplemental funding).</w:t>
      </w:r>
    </w:p>
    <w:p w14:paraId="41250E0E" w14:textId="3A4716B4" w:rsidR="00AD7618" w:rsidRPr="00AD7618" w:rsidRDefault="00E772AF" w:rsidP="00AA3007">
      <w:pPr>
        <w:pStyle w:val="ListParagraph"/>
        <w:numPr>
          <w:ilvl w:val="1"/>
          <w:numId w:val="6"/>
        </w:numPr>
        <w:spacing w:after="0" w:line="240" w:lineRule="auto"/>
        <w:ind w:left="1260"/>
      </w:pPr>
      <w:r w:rsidRPr="00E62221">
        <w:t xml:space="preserve">The </w:t>
      </w:r>
      <w:r w:rsidR="00AC4D7B" w:rsidRPr="00E62221">
        <w:t xml:space="preserve">FY22 CA T&amp;Cs include the </w:t>
      </w:r>
      <w:r w:rsidRPr="00E62221">
        <w:t xml:space="preserve">FY22 COA </w:t>
      </w:r>
      <w:r w:rsidR="009923FD" w:rsidRPr="00E62221">
        <w:t xml:space="preserve">(filled in </w:t>
      </w:r>
      <w:r w:rsidR="00C036EF" w:rsidRPr="00E62221">
        <w:t>with CAR-specific grant numbers</w:t>
      </w:r>
      <w:r w:rsidR="009923FD" w:rsidRPr="00E62221">
        <w:t>)</w:t>
      </w:r>
      <w:r w:rsidR="00C036EF" w:rsidRPr="00E62221">
        <w:t xml:space="preserve"> </w:t>
      </w:r>
      <w:r w:rsidR="00AC4D7B" w:rsidRPr="00E62221">
        <w:t>as</w:t>
      </w:r>
      <w:r w:rsidRPr="00E62221">
        <w:t xml:space="preserve"> an attachment</w:t>
      </w:r>
      <w:r w:rsidR="004A1A33" w:rsidRPr="00E62221">
        <w:t>.</w:t>
      </w:r>
    </w:p>
    <w:p w14:paraId="00A4BA6A" w14:textId="4F36F9A3" w:rsidR="00523735" w:rsidRDefault="00523735" w:rsidP="00AA3007">
      <w:pPr>
        <w:pStyle w:val="ListParagraph"/>
        <w:numPr>
          <w:ilvl w:val="1"/>
          <w:numId w:val="6"/>
        </w:numPr>
        <w:spacing w:after="0" w:line="240" w:lineRule="auto"/>
        <w:ind w:left="1260"/>
      </w:pPr>
      <w:r w:rsidRPr="00E62221">
        <w:t>CARs</w:t>
      </w:r>
      <w:r>
        <w:t xml:space="preserve"> must sign and return their new COA to EPA</w:t>
      </w:r>
      <w:r w:rsidR="00226418">
        <w:t>’s Project Officer</w:t>
      </w:r>
      <w:r>
        <w:t xml:space="preserve"> </w:t>
      </w:r>
      <w:r w:rsidR="000C556A">
        <w:t>no later than</w:t>
      </w:r>
      <w:r>
        <w:t xml:space="preserve"> 30 days </w:t>
      </w:r>
      <w:r w:rsidR="000C556A">
        <w:t xml:space="preserve">after </w:t>
      </w:r>
      <w:r>
        <w:t>award</w:t>
      </w:r>
      <w:r w:rsidR="00455C0A">
        <w:t>/amendment</w:t>
      </w:r>
      <w:r>
        <w:t>.</w:t>
      </w:r>
    </w:p>
    <w:p w14:paraId="0627B2D3" w14:textId="4F78B77D" w:rsidR="00455C0A" w:rsidRPr="008C75ED" w:rsidRDefault="000A13CC" w:rsidP="007F4674">
      <w:pPr>
        <w:pStyle w:val="ListParagraph"/>
        <w:numPr>
          <w:ilvl w:val="0"/>
          <w:numId w:val="1"/>
        </w:numPr>
        <w:spacing w:after="0" w:line="240" w:lineRule="auto"/>
        <w:ind w:left="360"/>
      </w:pPr>
      <w:r>
        <w:t xml:space="preserve">Former </w:t>
      </w:r>
      <w:r w:rsidR="00455C0A">
        <w:t xml:space="preserve">CARs with </w:t>
      </w:r>
      <w:r>
        <w:t xml:space="preserve">only post-closeout PI (i.e., </w:t>
      </w:r>
      <w:r w:rsidR="00455C0A">
        <w:t>no open</w:t>
      </w:r>
      <w:r>
        <w:t xml:space="preserve"> RLF</w:t>
      </w:r>
      <w:r w:rsidR="00455C0A">
        <w:t xml:space="preserve"> grant</w:t>
      </w:r>
      <w:r>
        <w:t>) are also highly encouraged to update</w:t>
      </w:r>
      <w:r w:rsidR="00455C0A">
        <w:t xml:space="preserve"> to the </w:t>
      </w:r>
      <w:r>
        <w:t>FY22</w:t>
      </w:r>
      <w:r w:rsidR="00455C0A">
        <w:t xml:space="preserve"> COA</w:t>
      </w:r>
      <w:r>
        <w:t xml:space="preserve"> </w:t>
      </w:r>
      <w:proofErr w:type="gramStart"/>
      <w:r>
        <w:t>in order to</w:t>
      </w:r>
      <w:proofErr w:type="gramEnd"/>
      <w:r>
        <w:t xml:space="preserve"> gain more flexibility on how post-closeout PI can be used</w:t>
      </w:r>
      <w:r w:rsidR="00455C0A">
        <w:t>.</w:t>
      </w:r>
    </w:p>
    <w:sectPr w:rsidR="00455C0A" w:rsidRPr="008C75ED" w:rsidSect="00D737FA">
      <w:headerReference w:type="even" r:id="rId12"/>
      <w:headerReference w:type="default" r:id="rId13"/>
      <w:footerReference w:type="even" r:id="rId14"/>
      <w:footerReference w:type="default" r:id="rId15"/>
      <w:headerReference w:type="first" r:id="rId16"/>
      <w:footerReference w:type="first" r:id="rId17"/>
      <w:pgSz w:w="12240" w:h="15840"/>
      <w:pgMar w:top="1008"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5358" w14:textId="77777777" w:rsidR="00055D7F" w:rsidRDefault="00055D7F" w:rsidP="007A4F86">
      <w:pPr>
        <w:spacing w:after="0" w:line="240" w:lineRule="auto"/>
      </w:pPr>
      <w:r>
        <w:separator/>
      </w:r>
    </w:p>
  </w:endnote>
  <w:endnote w:type="continuationSeparator" w:id="0">
    <w:p w14:paraId="4B379F0A" w14:textId="77777777" w:rsidR="00055D7F" w:rsidRDefault="00055D7F" w:rsidP="007A4F86">
      <w:pPr>
        <w:spacing w:after="0" w:line="240" w:lineRule="auto"/>
      </w:pPr>
      <w:r>
        <w:continuationSeparator/>
      </w:r>
    </w:p>
  </w:endnote>
  <w:endnote w:type="continuationNotice" w:id="1">
    <w:p w14:paraId="501025D6" w14:textId="77777777" w:rsidR="00055D7F" w:rsidRDefault="00055D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F0B9" w14:textId="77777777" w:rsidR="007A4F86" w:rsidRDefault="007A4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BE9A" w14:textId="77777777" w:rsidR="007A4F86" w:rsidRDefault="007A4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000A" w14:textId="77777777" w:rsidR="007A4F86" w:rsidRDefault="007A4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6EE7C" w14:textId="77777777" w:rsidR="00055D7F" w:rsidRDefault="00055D7F" w:rsidP="007A4F86">
      <w:pPr>
        <w:spacing w:after="0" w:line="240" w:lineRule="auto"/>
      </w:pPr>
      <w:r>
        <w:separator/>
      </w:r>
    </w:p>
  </w:footnote>
  <w:footnote w:type="continuationSeparator" w:id="0">
    <w:p w14:paraId="5208489A" w14:textId="77777777" w:rsidR="00055D7F" w:rsidRDefault="00055D7F" w:rsidP="007A4F86">
      <w:pPr>
        <w:spacing w:after="0" w:line="240" w:lineRule="auto"/>
      </w:pPr>
      <w:r>
        <w:continuationSeparator/>
      </w:r>
    </w:p>
  </w:footnote>
  <w:footnote w:type="continuationNotice" w:id="1">
    <w:p w14:paraId="0953BA1A" w14:textId="77777777" w:rsidR="00055D7F" w:rsidRDefault="00055D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2140" w14:textId="77777777" w:rsidR="007A4F86" w:rsidRDefault="007A4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FFFA" w14:textId="146DE540" w:rsidR="007A4F86" w:rsidRDefault="007A4F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3BD5" w14:textId="77777777" w:rsidR="007A4F86" w:rsidRDefault="007A4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165D"/>
    <w:multiLevelType w:val="hybridMultilevel"/>
    <w:tmpl w:val="4416963C"/>
    <w:lvl w:ilvl="0" w:tplc="13B2D0E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C5754"/>
    <w:multiLevelType w:val="hybridMultilevel"/>
    <w:tmpl w:val="C950A3E4"/>
    <w:lvl w:ilvl="0" w:tplc="F07A281E">
      <w:start w:val="1"/>
      <w:numFmt w:val="decimal"/>
      <w:lvlText w:val="%1."/>
      <w:lvlJc w:val="left"/>
      <w:pPr>
        <w:ind w:left="2520" w:hanging="360"/>
      </w:pPr>
      <w:rPr>
        <w:strike w:val="0"/>
        <w:dstrike w:val="0"/>
        <w:u w:val="none"/>
        <w:effect w:val="non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3E3C4BA2"/>
    <w:multiLevelType w:val="hybridMultilevel"/>
    <w:tmpl w:val="AEB00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1B0DAB"/>
    <w:multiLevelType w:val="hybridMultilevel"/>
    <w:tmpl w:val="37227628"/>
    <w:lvl w:ilvl="0" w:tplc="13B2D0EE">
      <w:numFmt w:val="bullet"/>
      <w:lvlText w:val="-"/>
      <w:lvlJc w:val="left"/>
      <w:pPr>
        <w:ind w:left="720" w:hanging="360"/>
      </w:pPr>
      <w:rPr>
        <w:rFonts w:ascii="Calibri" w:eastAsiaTheme="minorHAnsi" w:hAnsi="Calibri" w:cs="Calibri"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20AB0"/>
    <w:multiLevelType w:val="hybridMultilevel"/>
    <w:tmpl w:val="B5749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B76E2B"/>
    <w:multiLevelType w:val="hybridMultilevel"/>
    <w:tmpl w:val="86C0D6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0F"/>
    <w:rsid w:val="00020886"/>
    <w:rsid w:val="00040CD9"/>
    <w:rsid w:val="00055D7F"/>
    <w:rsid w:val="000A13CC"/>
    <w:rsid w:val="000C556A"/>
    <w:rsid w:val="000E7C88"/>
    <w:rsid w:val="000F05B4"/>
    <w:rsid w:val="0010227F"/>
    <w:rsid w:val="0011120F"/>
    <w:rsid w:val="00175DBB"/>
    <w:rsid w:val="00195B06"/>
    <w:rsid w:val="00197A9B"/>
    <w:rsid w:val="00206BBB"/>
    <w:rsid w:val="002117FA"/>
    <w:rsid w:val="00226418"/>
    <w:rsid w:val="00231332"/>
    <w:rsid w:val="002421CC"/>
    <w:rsid w:val="00245A2D"/>
    <w:rsid w:val="00252F98"/>
    <w:rsid w:val="00266E46"/>
    <w:rsid w:val="00276055"/>
    <w:rsid w:val="002837D1"/>
    <w:rsid w:val="002967D2"/>
    <w:rsid w:val="002D3905"/>
    <w:rsid w:val="00324B4F"/>
    <w:rsid w:val="0038347D"/>
    <w:rsid w:val="003A7259"/>
    <w:rsid w:val="003B2B39"/>
    <w:rsid w:val="00406690"/>
    <w:rsid w:val="00455C0A"/>
    <w:rsid w:val="00471184"/>
    <w:rsid w:val="004800E2"/>
    <w:rsid w:val="004A1A33"/>
    <w:rsid w:val="004B5AF4"/>
    <w:rsid w:val="004C6D3E"/>
    <w:rsid w:val="004F2D34"/>
    <w:rsid w:val="004F4471"/>
    <w:rsid w:val="00523735"/>
    <w:rsid w:val="00526B77"/>
    <w:rsid w:val="005274F8"/>
    <w:rsid w:val="00547CDF"/>
    <w:rsid w:val="00582C52"/>
    <w:rsid w:val="005B0629"/>
    <w:rsid w:val="005B0DD4"/>
    <w:rsid w:val="006236AA"/>
    <w:rsid w:val="00636F00"/>
    <w:rsid w:val="006524EF"/>
    <w:rsid w:val="00697857"/>
    <w:rsid w:val="006A242A"/>
    <w:rsid w:val="00704306"/>
    <w:rsid w:val="00714DFA"/>
    <w:rsid w:val="00727DA0"/>
    <w:rsid w:val="007632C6"/>
    <w:rsid w:val="007A31FC"/>
    <w:rsid w:val="007A4F86"/>
    <w:rsid w:val="007F4674"/>
    <w:rsid w:val="008058FE"/>
    <w:rsid w:val="0081458A"/>
    <w:rsid w:val="0082123C"/>
    <w:rsid w:val="00825425"/>
    <w:rsid w:val="00892C1C"/>
    <w:rsid w:val="008A753D"/>
    <w:rsid w:val="008B3784"/>
    <w:rsid w:val="008C75ED"/>
    <w:rsid w:val="009806DB"/>
    <w:rsid w:val="00985849"/>
    <w:rsid w:val="00985C90"/>
    <w:rsid w:val="009923FD"/>
    <w:rsid w:val="009F2679"/>
    <w:rsid w:val="009F3708"/>
    <w:rsid w:val="009F57DA"/>
    <w:rsid w:val="00A10287"/>
    <w:rsid w:val="00A23455"/>
    <w:rsid w:val="00A320B0"/>
    <w:rsid w:val="00A605AF"/>
    <w:rsid w:val="00A7184B"/>
    <w:rsid w:val="00A9671A"/>
    <w:rsid w:val="00A96948"/>
    <w:rsid w:val="00AA3007"/>
    <w:rsid w:val="00AC4037"/>
    <w:rsid w:val="00AC4D7B"/>
    <w:rsid w:val="00AD20E8"/>
    <w:rsid w:val="00AD7618"/>
    <w:rsid w:val="00B12D71"/>
    <w:rsid w:val="00B75F28"/>
    <w:rsid w:val="00B803A1"/>
    <w:rsid w:val="00B805B9"/>
    <w:rsid w:val="00BD2894"/>
    <w:rsid w:val="00BE2E3D"/>
    <w:rsid w:val="00C036EF"/>
    <w:rsid w:val="00C3149A"/>
    <w:rsid w:val="00C97D56"/>
    <w:rsid w:val="00CB345D"/>
    <w:rsid w:val="00D207CE"/>
    <w:rsid w:val="00D21A02"/>
    <w:rsid w:val="00D257AE"/>
    <w:rsid w:val="00D32226"/>
    <w:rsid w:val="00D61624"/>
    <w:rsid w:val="00D737FA"/>
    <w:rsid w:val="00D766EE"/>
    <w:rsid w:val="00DB37C2"/>
    <w:rsid w:val="00DB390E"/>
    <w:rsid w:val="00DD16A2"/>
    <w:rsid w:val="00DE6662"/>
    <w:rsid w:val="00E62221"/>
    <w:rsid w:val="00E772AF"/>
    <w:rsid w:val="00EB5A8C"/>
    <w:rsid w:val="00EB7D7C"/>
    <w:rsid w:val="00ED64AC"/>
    <w:rsid w:val="00EE0EFE"/>
    <w:rsid w:val="00F16266"/>
    <w:rsid w:val="00F736FC"/>
    <w:rsid w:val="2F4C0E6C"/>
    <w:rsid w:val="40C0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32D968"/>
  <w15:chartTrackingRefBased/>
  <w15:docId w15:val="{C344FC5B-B981-4964-AE9E-28C79C1B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690"/>
    <w:pPr>
      <w:ind w:left="720"/>
      <w:contextualSpacing/>
    </w:pPr>
  </w:style>
  <w:style w:type="paragraph" w:customStyle="1" w:styleId="Default">
    <w:name w:val="Default"/>
    <w:rsid w:val="0040669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A4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F86"/>
  </w:style>
  <w:style w:type="paragraph" w:styleId="Footer">
    <w:name w:val="footer"/>
    <w:basedOn w:val="Normal"/>
    <w:link w:val="FooterChar"/>
    <w:uiPriority w:val="99"/>
    <w:unhideWhenUsed/>
    <w:rsid w:val="007A4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F86"/>
  </w:style>
  <w:style w:type="character" w:styleId="CommentReference">
    <w:name w:val="annotation reference"/>
    <w:basedOn w:val="DefaultParagraphFont"/>
    <w:uiPriority w:val="99"/>
    <w:semiHidden/>
    <w:unhideWhenUsed/>
    <w:rsid w:val="00226418"/>
    <w:rPr>
      <w:sz w:val="16"/>
      <w:szCs w:val="16"/>
    </w:rPr>
  </w:style>
  <w:style w:type="paragraph" w:styleId="CommentText">
    <w:name w:val="annotation text"/>
    <w:basedOn w:val="Normal"/>
    <w:link w:val="CommentTextChar"/>
    <w:uiPriority w:val="99"/>
    <w:semiHidden/>
    <w:unhideWhenUsed/>
    <w:rsid w:val="00226418"/>
    <w:pPr>
      <w:spacing w:line="240" w:lineRule="auto"/>
    </w:pPr>
    <w:rPr>
      <w:sz w:val="20"/>
      <w:szCs w:val="20"/>
    </w:rPr>
  </w:style>
  <w:style w:type="character" w:customStyle="1" w:styleId="CommentTextChar">
    <w:name w:val="Comment Text Char"/>
    <w:basedOn w:val="DefaultParagraphFont"/>
    <w:link w:val="CommentText"/>
    <w:uiPriority w:val="99"/>
    <w:semiHidden/>
    <w:rsid w:val="00226418"/>
    <w:rPr>
      <w:sz w:val="20"/>
      <w:szCs w:val="20"/>
    </w:rPr>
  </w:style>
  <w:style w:type="paragraph" w:styleId="CommentSubject">
    <w:name w:val="annotation subject"/>
    <w:basedOn w:val="CommentText"/>
    <w:next w:val="CommentText"/>
    <w:link w:val="CommentSubjectChar"/>
    <w:uiPriority w:val="99"/>
    <w:semiHidden/>
    <w:unhideWhenUsed/>
    <w:rsid w:val="00226418"/>
    <w:rPr>
      <w:b/>
      <w:bCs/>
    </w:rPr>
  </w:style>
  <w:style w:type="character" w:customStyle="1" w:styleId="CommentSubjectChar">
    <w:name w:val="Comment Subject Char"/>
    <w:basedOn w:val="CommentTextChar"/>
    <w:link w:val="CommentSubject"/>
    <w:uiPriority w:val="99"/>
    <w:semiHidden/>
    <w:rsid w:val="00226418"/>
    <w:rPr>
      <w:b/>
      <w:bCs/>
      <w:sz w:val="20"/>
      <w:szCs w:val="20"/>
    </w:rPr>
  </w:style>
  <w:style w:type="character" w:styleId="UnresolvedMention">
    <w:name w:val="Unresolved Mention"/>
    <w:basedOn w:val="DefaultParagraphFont"/>
    <w:uiPriority w:val="99"/>
    <w:unhideWhenUsed/>
    <w:rsid w:val="00A320B0"/>
    <w:rPr>
      <w:color w:val="605E5C"/>
      <w:shd w:val="clear" w:color="auto" w:fill="E1DFDD"/>
    </w:rPr>
  </w:style>
  <w:style w:type="character" w:styleId="Mention">
    <w:name w:val="Mention"/>
    <w:basedOn w:val="DefaultParagraphFont"/>
    <w:uiPriority w:val="99"/>
    <w:unhideWhenUsed/>
    <w:rsid w:val="00A320B0"/>
    <w:rPr>
      <w:color w:val="2B579A"/>
      <w:shd w:val="clear" w:color="auto" w:fill="E1DFDD"/>
    </w:rPr>
  </w:style>
  <w:style w:type="character" w:styleId="Hyperlink">
    <w:name w:val="Hyperlink"/>
    <w:basedOn w:val="DefaultParagraphFont"/>
    <w:uiPriority w:val="99"/>
    <w:unhideWhenUsed/>
    <w:rsid w:val="00175D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cfr/text/2/200.30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Document_x0020_Creation_x0020_Date xmlns="4ffa91fb-a0ff-4ac5-b2db-65c790d184a4">2022-05-13T10:53:26+00:00</Document_x0020_Creation_x0020_Date>
    <EPA_x0020_Related_x0020_Documents xmlns="4ffa91fb-a0ff-4ac5-b2db-65c790d184a4" xsi:nil="true"/>
    <_Source xmlns="http://schemas.microsoft.com/sharepoint/v3/fields" xsi:nil="true"/>
    <CategoryDescription xmlns="http://schemas.microsoft.com/sharepoint.v3" xsi:nil="true"/>
    <EPA_x0020_Contributor xmlns="4ffa91fb-a0ff-4ac5-b2db-65c790d184a4">
      <UserInfo>
        <DisplayName/>
        <AccountId xsi:nil="true"/>
        <AccountType/>
      </UserInfo>
    </EPA_x0020_Contributor>
    <TaxCatchAll xmlns="4ffa91fb-a0ff-4ac5-b2db-65c790d184a4" xsi:nil="true"/>
    <TaxKeywordTaxHTField xmlns="4ffa91fb-a0ff-4ac5-b2db-65c790d184a4">
      <Terms xmlns="http://schemas.microsoft.com/office/infopath/2007/PartnerControls"/>
    </TaxKeywordTaxHTField>
    <Rights xmlns="4ffa91fb-a0ff-4ac5-b2db-65c790d184a4" xsi:nil="true"/>
    <e3f09c3df709400db2417a7161762d62 xmlns="4ffa91fb-a0ff-4ac5-b2db-65c790d184a4">
      <Terms xmlns="http://schemas.microsoft.com/office/infopath/2007/PartnerControls"/>
    </e3f09c3df709400db2417a7161762d62>
    <External_x0020_Contributor xmlns="4ffa91fb-a0ff-4ac5-b2db-65c790d184a4" xsi:nil="true"/>
    <Identifier xmlns="4ffa91fb-a0ff-4ac5-b2db-65c790d184a4" xsi:nil="true"/>
    <_ip_UnifiedCompliancePolicyUIAction xmlns="http://schemas.microsoft.com/sharepoint/v3" xsi:nil="true"/>
    <Creator xmlns="4ffa91fb-a0ff-4ac5-b2db-65c790d184a4">
      <UserInfo>
        <DisplayName/>
        <AccountId xsi:nil="true"/>
        <AccountType/>
      </UserInfo>
    </Creator>
    <_ip_UnifiedCompliancePolicyProperties xmlns="http://schemas.microsoft.com/sharepoint/v3" xsi:nil="true"/>
    <Language xmlns="http://schemas.microsoft.com/sharepoint/v3">English</Language>
    <j747ac98061d40f0aa7bd47e1db5675d xmlns="4ffa91fb-a0ff-4ac5-b2db-65c790d184a4">
      <Terms xmlns="http://schemas.microsoft.com/office/infopath/2007/PartnerControls"/>
    </j747ac98061d40f0aa7bd47e1db5675d>
    <lcf76f155ced4ddcb4097134ff3c332f xmlns="a091d5e1-1cba-4450-a442-184f4e177768">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5877132341EB48A6EA73DEDA3C6D9B" ma:contentTypeVersion="44" ma:contentTypeDescription="Create a new document." ma:contentTypeScope="" ma:versionID="4d0a5ecee4f5d5ed8d16474b12a3961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4a53b34c-a9c4-438d-b196-3472b46531c4" xmlns:ns6="a091d5e1-1cba-4450-a442-184f4e177768" targetNamespace="http://schemas.microsoft.com/office/2006/metadata/properties" ma:root="true" ma:fieldsID="394de2490d7e2338c28d18fe130e44b8" ns1:_="" ns2:_="" ns3:_="" ns4:_="" ns5:_="" ns6:_="">
    <xsd:import namespace="http://schemas.microsoft.com/sharepoint/v3"/>
    <xsd:import namespace="4ffa91fb-a0ff-4ac5-b2db-65c790d184a4"/>
    <xsd:import namespace="http://schemas.microsoft.com/sharepoint.v3"/>
    <xsd:import namespace="http://schemas.microsoft.com/sharepoint/v3/fields"/>
    <xsd:import namespace="4a53b34c-a9c4-438d-b196-3472b46531c4"/>
    <xsd:import namespace="a091d5e1-1cba-4450-a442-184f4e177768"/>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ingHintHash" minOccurs="0"/>
                <xsd:element ref="ns5:SharedWithDetails" minOccurs="0"/>
                <xsd:element ref="ns5:LastSharedByUser" minOccurs="0"/>
                <xsd:element ref="ns5:LastSharedByTime" minOccurs="0"/>
                <xsd:element ref="ns6:MediaServiceMetadata" minOccurs="0"/>
                <xsd:element ref="ns6:MediaServiceFastMetadata" minOccurs="0"/>
                <xsd:element ref="ns6:MediaServiceDateTaken" minOccurs="0"/>
                <xsd:element ref="ns1:_ip_UnifiedCompliancePolicyProperties" minOccurs="0"/>
                <xsd:element ref="ns1:_ip_UnifiedCompliancePolicyUIAction" minOccurs="0"/>
                <xsd:element ref="ns6:MediaServiceAutoTags" minOccurs="0"/>
                <xsd:element ref="ns6:MediaServiceLocation" minOccurs="0"/>
                <xsd:element ref="ns6:MediaServiceOCR" minOccurs="0"/>
                <xsd:element ref="ns6:MediaServiceEventHashCode" minOccurs="0"/>
                <xsd:element ref="ns6:MediaServiceGenerationTime" minOccurs="0"/>
                <xsd:element ref="ns6:MediaServiceAutoKeyPoints" minOccurs="0"/>
                <xsd:element ref="ns6:MediaServiceKeyPoints" minOccurs="0"/>
                <xsd:element ref="ns6:MediaLengthInSecond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description="" ma:hidden="true" ma:internalName="_ip_UnifiedCompliancePolicyProperties">
      <xsd:simpleType>
        <xsd:restriction base="dms:Note"/>
      </xsd:simpleType>
    </xsd:element>
    <xsd:element name="_ip_UnifiedCompliancePolicyUIAction" ma:index="3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fa96e4f8-3797-44fd-a617-4920dcc968a8}" ma:internalName="TaxCatchAllLabel" ma:readOnly="true" ma:showField="CatchAllDataLabel" ma:web="7b853237-49c4-4fca-80f6-51ad32aadab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fa96e4f8-3797-44fd-a617-4920dcc968a8}" ma:internalName="TaxCatchAll" ma:showField="CatchAllData" ma:web="7b853237-49c4-4fca-80f6-51ad32aadab4">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53b34c-a9c4-438d-b196-3472b46531c4"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0" nillable="true" ma:displayName="Sharing Hint Hash" ma:internalName="SharingHintHash" ma:readOnly="true">
      <xsd:simpleType>
        <xsd:restriction base="dms:Text"/>
      </xsd:simpleType>
    </xsd:element>
    <xsd:element name="SharedWithDetails" ma:index="31" nillable="true" ma:displayName="Shared With Details" ma:internalName="SharedWithDetails" ma:readOnly="true">
      <xsd:simpleType>
        <xsd:restriction base="dms:Note">
          <xsd:maxLength value="255"/>
        </xsd:restriction>
      </xsd:simpleType>
    </xsd:element>
    <xsd:element name="LastSharedByUser" ma:index="32" nillable="true" ma:displayName="Last Shared By User" ma:description="" ma:internalName="LastSharedByUser" ma:readOnly="true">
      <xsd:simpleType>
        <xsd:restriction base="dms:Note">
          <xsd:maxLength value="255"/>
        </xsd:restriction>
      </xsd:simpleType>
    </xsd:element>
    <xsd:element name="LastSharedByTime" ma:index="3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091d5e1-1cba-4450-a442-184f4e177768" elementFormDefault="qualified">
    <xsd:import namespace="http://schemas.microsoft.com/office/2006/documentManagement/types"/>
    <xsd:import namespace="http://schemas.microsoft.com/office/infopath/2007/PartnerControls"/>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description="" ma:hidden="true" ma:internalName="MediaServiceDateTaken" ma:readOnly="true">
      <xsd:simpleType>
        <xsd:restriction base="dms:Text"/>
      </xsd:simpleType>
    </xsd:element>
    <xsd:element name="MediaServiceAutoTags" ma:index="39" nillable="true" ma:displayName="MediaServiceAutoTags" ma:internalName="MediaServiceAutoTags" ma:readOnly="true">
      <xsd:simpleType>
        <xsd:restriction base="dms:Text"/>
      </xsd:simpleType>
    </xsd:element>
    <xsd:element name="MediaServiceLocation" ma:index="40" nillable="true" ma:displayName="MediaServiceLocation" ma:internalName="MediaServiceLocation" ma:readOnly="true">
      <xsd:simpleType>
        <xsd:restriction base="dms:Text"/>
      </xsd:simpleType>
    </xsd:element>
    <xsd:element name="MediaServiceOCR" ma:index="41" nillable="true" ma:displayName="MediaServiceOCR" ma:internalName="MediaServiceOCR" ma:readOnly="true">
      <xsd:simpleType>
        <xsd:restriction base="dms:Note">
          <xsd:maxLength value="255"/>
        </xsd:restriction>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5CAC7-B60D-4A78-A6D9-9A73D9E01DA9}">
  <ds:schemaRefs>
    <ds:schemaRef ds:uri="http://schemas.microsoft.com/office/2006/metadata/properties"/>
    <ds:schemaRef ds:uri="http://schemas.microsoft.com/office/infopath/2007/PartnerControls"/>
    <ds:schemaRef ds:uri="http://schemas.microsoft.com/sharepoint/v3/fields"/>
    <ds:schemaRef ds:uri="4ffa91fb-a0ff-4ac5-b2db-65c790d184a4"/>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A4B28C57-22C2-4395-944E-6C8A6AE7C066}">
  <ds:schemaRefs>
    <ds:schemaRef ds:uri="Microsoft.SharePoint.Taxonomy.ContentTypeSync"/>
  </ds:schemaRefs>
</ds:datastoreItem>
</file>

<file path=customXml/itemProps3.xml><?xml version="1.0" encoding="utf-8"?>
<ds:datastoreItem xmlns:ds="http://schemas.openxmlformats.org/officeDocument/2006/customXml" ds:itemID="{CF309416-BA03-4157-997B-1E2EC1162DC3}">
  <ds:schemaRefs>
    <ds:schemaRef ds:uri="http://schemas.microsoft.com/sharepoint/v3/contenttype/forms"/>
  </ds:schemaRefs>
</ds:datastoreItem>
</file>

<file path=customXml/itemProps4.xml><?xml version="1.0" encoding="utf-8"?>
<ds:datastoreItem xmlns:ds="http://schemas.openxmlformats.org/officeDocument/2006/customXml" ds:itemID="{6193042A-2E70-4A11-92A4-BE4435A14822}"/>
</file>

<file path=docProps/app.xml><?xml version="1.0" encoding="utf-8"?>
<Properties xmlns="http://schemas.openxmlformats.org/officeDocument/2006/extended-properties" xmlns:vt="http://schemas.openxmlformats.org/officeDocument/2006/docPropsVTypes">
  <Template>Normal.dotm</Template>
  <TotalTime>307</TotalTime>
  <Pages>1</Pages>
  <Words>680</Words>
  <Characters>3312</Characters>
  <Application>Microsoft Office Word</Application>
  <DocSecurity>0</DocSecurity>
  <Lines>54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Links>
    <vt:vector size="6" baseType="variant">
      <vt:variant>
        <vt:i4>6488160</vt:i4>
      </vt:variant>
      <vt:variant>
        <vt:i4>0</vt:i4>
      </vt:variant>
      <vt:variant>
        <vt:i4>0</vt:i4>
      </vt:variant>
      <vt:variant>
        <vt:i4>5</vt:i4>
      </vt:variant>
      <vt:variant>
        <vt:lpwstr>https://www.law.cornell.edu/cfr/text/2/200.307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Wireman, Nicole</dc:creator>
  <cp:keywords/>
  <dc:description/>
  <cp:lastModifiedBy>Wireman, Nicole</cp:lastModifiedBy>
  <cp:revision>86</cp:revision>
  <dcterms:created xsi:type="dcterms:W3CDTF">2022-05-13T11:37:00Z</dcterms:created>
  <dcterms:modified xsi:type="dcterms:W3CDTF">2022-06-08T18:08:00Z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0x010100365877132341EB48A6EA73DEDA3C6D9B</vt:lpwstr>
  </property>
  <property fmtid="{D5CDD505-2E9C-101B-9397-08002B2CF9AE}" pid="4" name="EPA Subject">
    <vt:lpwstr/>
  </property>
  <property fmtid="{D5CDD505-2E9C-101B-9397-08002B2CF9AE}" pid="5" name="Document Type">
    <vt:lpwstr/>
  </property>
</Properties>
</file>