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B0B" w14:textId="687C77A1" w:rsidR="0023533A" w:rsidRDefault="0023533A" w:rsidP="0023533A">
      <w:pPr>
        <w:tabs>
          <w:tab w:val="left" w:pos="2790"/>
        </w:tabs>
        <w:spacing w:after="0" w:line="240" w:lineRule="auto"/>
        <w:jc w:val="center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>
        <w:rPr>
          <w:rFonts w:eastAsia="Times New Roman" w:cs="Calibri"/>
          <w:b/>
          <w:bCs/>
          <w:kern w:val="0"/>
          <w:szCs w:val="24"/>
          <w14:ligatures w14:val="none"/>
        </w:rPr>
        <w:t>Model</w:t>
      </w:r>
    </w:p>
    <w:p w14:paraId="557FDC4E" w14:textId="005718A4" w:rsidR="0023533A" w:rsidRDefault="0023533A" w:rsidP="0023533A">
      <w:pPr>
        <w:tabs>
          <w:tab w:val="left" w:pos="2790"/>
        </w:tabs>
        <w:spacing w:after="0" w:line="240" w:lineRule="auto"/>
        <w:jc w:val="center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>
        <w:rPr>
          <w:rFonts w:eastAsia="Times New Roman" w:cs="Calibri"/>
          <w:b/>
          <w:bCs/>
          <w:kern w:val="0"/>
          <w:szCs w:val="24"/>
          <w14:ligatures w14:val="none"/>
        </w:rPr>
        <w:t>Enforcement Discretion Language Inserts</w:t>
      </w:r>
    </w:p>
    <w:p w14:paraId="2D8BAE6B" w14:textId="76A883C8" w:rsidR="009B7926" w:rsidRDefault="00DB47DB" w:rsidP="0023533A">
      <w:pPr>
        <w:tabs>
          <w:tab w:val="left" w:pos="2790"/>
        </w:tabs>
        <w:spacing w:after="0" w:line="240" w:lineRule="auto"/>
        <w:jc w:val="center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>
        <w:rPr>
          <w:rFonts w:eastAsia="Times New Roman" w:cs="Calibri"/>
          <w:b/>
          <w:bCs/>
          <w:kern w:val="0"/>
          <w:szCs w:val="24"/>
          <w14:ligatures w14:val="none"/>
        </w:rPr>
        <w:t>f</w:t>
      </w:r>
      <w:r w:rsidR="009B7926">
        <w:rPr>
          <w:rFonts w:eastAsia="Times New Roman" w:cs="Calibri"/>
          <w:b/>
          <w:bCs/>
          <w:kern w:val="0"/>
          <w:szCs w:val="24"/>
          <w14:ligatures w14:val="none"/>
        </w:rPr>
        <w:t>or Comfort/Status Letters</w:t>
      </w:r>
    </w:p>
    <w:p w14:paraId="1A85B9F9" w14:textId="5FF4E223" w:rsidR="00965A4D" w:rsidRDefault="0004414B" w:rsidP="0023533A">
      <w:pPr>
        <w:tabs>
          <w:tab w:val="left" w:pos="2790"/>
        </w:tabs>
        <w:spacing w:after="0" w:line="240" w:lineRule="auto"/>
        <w:jc w:val="center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>
        <w:rPr>
          <w:rFonts w:eastAsia="Times New Roman" w:cs="Calibri"/>
          <w:b/>
          <w:bCs/>
          <w:kern w:val="0"/>
          <w:szCs w:val="24"/>
          <w14:ligatures w14:val="none"/>
        </w:rPr>
        <w:t>September 2025</w:t>
      </w:r>
    </w:p>
    <w:p w14:paraId="468AE878" w14:textId="77777777" w:rsidR="0023533A" w:rsidRDefault="0023533A" w:rsidP="00A445F6">
      <w:pPr>
        <w:tabs>
          <w:tab w:val="left" w:pos="2790"/>
        </w:tabs>
        <w:spacing w:after="0" w:line="240" w:lineRule="auto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</w:p>
    <w:p w14:paraId="63B28BB0" w14:textId="25339293" w:rsidR="000F7B7D" w:rsidRPr="006D57B1" w:rsidRDefault="00200693" w:rsidP="00A445F6">
      <w:pPr>
        <w:tabs>
          <w:tab w:val="left" w:pos="2790"/>
        </w:tabs>
        <w:spacing w:after="0" w:line="240" w:lineRule="auto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>For parties concerned about lender liability</w:t>
      </w:r>
      <w:r w:rsidR="005B3C4E" w:rsidRPr="006D57B1">
        <w:rPr>
          <w:rFonts w:eastAsia="Times New Roman" w:cs="Calibri"/>
          <w:b/>
          <w:bCs/>
          <w:kern w:val="0"/>
          <w:szCs w:val="24"/>
          <w14:ligatures w14:val="none"/>
        </w:rPr>
        <w:t>:</w:t>
      </w:r>
    </w:p>
    <w:p w14:paraId="698FEB0B" w14:textId="77777777" w:rsidR="00501C2D" w:rsidRPr="006D57B1" w:rsidRDefault="00501C2D" w:rsidP="00A445F6">
      <w:pPr>
        <w:tabs>
          <w:tab w:val="left" w:pos="2790"/>
        </w:tabs>
        <w:spacing w:after="0" w:line="240" w:lineRule="auto"/>
        <w:textAlignment w:val="center"/>
        <w:rPr>
          <w:rFonts w:eastAsia="Times New Roman" w:cs="Calibri"/>
          <w:b/>
          <w:bCs/>
          <w:kern w:val="0"/>
          <w:szCs w:val="24"/>
          <w14:ligatures w14:val="none"/>
        </w:rPr>
      </w:pPr>
    </w:p>
    <w:p w14:paraId="740C6015" w14:textId="5577739B" w:rsidR="00200693" w:rsidRPr="006D57B1" w:rsidRDefault="00B82132" w:rsidP="00AC5565">
      <w:pPr>
        <w:spacing w:line="240" w:lineRule="auto"/>
        <w:textAlignment w:val="center"/>
        <w:rPr>
          <w:rFonts w:eastAsia="Times New Roman" w:cs="Calibri"/>
          <w:kern w:val="0"/>
          <w:szCs w:val="24"/>
          <w14:ligatures w14:val="none"/>
        </w:rPr>
      </w:pPr>
      <w:r w:rsidRPr="006D57B1">
        <w:rPr>
          <w:rFonts w:eastAsia="Times New Roman" w:cs="Calibri"/>
          <w:kern w:val="0"/>
          <w:szCs w:val="24"/>
          <w14:ligatures w14:val="none"/>
        </w:rPr>
        <w:t>[</w:t>
      </w:r>
      <w:r w:rsidR="00B75D9B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Optional: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Because you expressed 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 xml:space="preserve">your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difficulty 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 xml:space="preserve">in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securing a loan on the Property in the past, </w:t>
      </w:r>
      <w:r w:rsidR="00293206">
        <w:rPr>
          <w:rFonts w:eastAsia="Times New Roman" w:cs="Calibri"/>
          <w:kern w:val="0"/>
          <w:szCs w:val="24"/>
          <w14:ligatures w14:val="none"/>
        </w:rPr>
        <w:t>please be advised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that a lender that holds a mortgage on a property as a secured creditor is </w:t>
      </w:r>
      <w:r w:rsidR="00645B69" w:rsidRPr="006D57B1">
        <w:rPr>
          <w:rFonts w:eastAsia="Times New Roman" w:cs="Calibri"/>
          <w:kern w:val="0"/>
          <w:szCs w:val="24"/>
          <w14:ligatures w14:val="none"/>
        </w:rPr>
        <w:t>exempt</w:t>
      </w:r>
      <w:r w:rsidR="00DD3880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from CERCLA liability if certain conditions are met.] 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CERCLA §§ 101(20)(F)-(H) include </w:t>
      </w:r>
      <w:r w:rsidR="000D09F2" w:rsidRPr="006D57B1">
        <w:rPr>
          <w:rFonts w:eastAsia="Times New Roman" w:cs="Calibri"/>
          <w:kern w:val="0"/>
          <w:szCs w:val="24"/>
          <w14:ligatures w14:val="none"/>
        </w:rPr>
        <w:t xml:space="preserve">a 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liability </w:t>
      </w:r>
      <w:r w:rsidR="000D09F2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specifically for secured creditors</w:t>
      </w:r>
      <w:r w:rsidR="00041E76" w:rsidRPr="006D57B1">
        <w:rPr>
          <w:rFonts w:eastAsia="Times New Roman" w:cs="Calibri"/>
          <w:kern w:val="0"/>
          <w:szCs w:val="24"/>
          <w14:ligatures w14:val="none"/>
        </w:rPr>
        <w:t>,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such as lenders</w:t>
      </w:r>
      <w:r w:rsidR="00041E76" w:rsidRPr="006D57B1">
        <w:rPr>
          <w:rFonts w:eastAsia="Times New Roman" w:cs="Calibri"/>
          <w:kern w:val="0"/>
          <w:szCs w:val="24"/>
          <w14:ligatures w14:val="none"/>
        </w:rPr>
        <w:t>,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that </w:t>
      </w:r>
      <w:r w:rsidR="39EBD731" w:rsidRPr="006D57B1">
        <w:rPr>
          <w:rFonts w:eastAsia="Times New Roman" w:cs="Calibri"/>
          <w:kern w:val="0"/>
          <w:szCs w:val="24"/>
          <w14:ligatures w14:val="none"/>
        </w:rPr>
        <w:t>do</w:t>
      </w:r>
      <w:r w:rsidR="33BABC86" w:rsidRPr="006D57B1">
        <w:rPr>
          <w:rFonts w:eastAsia="Times New Roman" w:cs="Calibri"/>
          <w:szCs w:val="24"/>
        </w:rPr>
        <w:t xml:space="preserve"> </w:t>
      </w:r>
      <w:r w:rsidR="39EBD731" w:rsidRPr="006D57B1">
        <w:rPr>
          <w:rFonts w:eastAsia="Times New Roman" w:cs="Calibri"/>
          <w:kern w:val="0"/>
          <w:szCs w:val="24"/>
          <w14:ligatures w14:val="none"/>
        </w:rPr>
        <w:t>n</w:t>
      </w:r>
      <w:r w:rsidR="33BABC86" w:rsidRPr="006D57B1">
        <w:rPr>
          <w:rFonts w:eastAsia="Times New Roman" w:cs="Calibri"/>
          <w:szCs w:val="24"/>
        </w:rPr>
        <w:t>o</w:t>
      </w:r>
      <w:r w:rsidR="39EBD731" w:rsidRPr="006D57B1">
        <w:rPr>
          <w:rFonts w:eastAsia="Times New Roman" w:cs="Calibri"/>
          <w:kern w:val="0"/>
          <w:szCs w:val="24"/>
          <w14:ligatures w14:val="none"/>
        </w:rPr>
        <w:t>t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participate in the management of a contaminated property but simply hold </w:t>
      </w:r>
      <w:r w:rsidR="00D4332F" w:rsidRPr="006D57B1">
        <w:rPr>
          <w:rFonts w:eastAsia="Times New Roman" w:cs="Calibri"/>
          <w:kern w:val="0"/>
          <w:szCs w:val="24"/>
          <w14:ligatures w14:val="none"/>
        </w:rPr>
        <w:t xml:space="preserve">ownership </w:t>
      </w:r>
      <w:r w:rsidR="00EF5051" w:rsidRPr="006D57B1">
        <w:rPr>
          <w:rFonts w:eastAsia="Times New Roman" w:cs="Calibri"/>
          <w:kern w:val="0"/>
          <w:szCs w:val="24"/>
          <w14:ligatures w14:val="none"/>
        </w:rPr>
        <w:t xml:space="preserve">in the property </w:t>
      </w:r>
      <w:r w:rsidR="00D4332F" w:rsidRPr="006D57B1">
        <w:rPr>
          <w:rFonts w:eastAsia="Times New Roman" w:cs="Calibri"/>
          <w:kern w:val="0"/>
          <w:szCs w:val="24"/>
          <w14:ligatures w14:val="none"/>
        </w:rPr>
        <w:t xml:space="preserve">to protect their 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>security interest in it.</w:t>
      </w:r>
      <w:r w:rsidR="00343874" w:rsidRPr="006D57B1">
        <w:rPr>
          <w:rStyle w:val="FootnoteReference"/>
          <w:rFonts w:eastAsia="Times New Roman" w:cs="Calibri"/>
          <w:kern w:val="0"/>
          <w:szCs w:val="24"/>
          <w14:ligatures w14:val="none"/>
        </w:rPr>
        <w:footnoteReference w:id="1"/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For example, depending on the circumstances, a lender may foreclose on a contaminated property and then sell, re-lease, liquidate, maintain business activities, stop operations, or do the cleanup work and remain </w:t>
      </w:r>
      <w:r w:rsidR="00741E6E" w:rsidRPr="006D57B1">
        <w:rPr>
          <w:rFonts w:eastAsia="Times New Roman" w:cs="Calibri"/>
          <w:kern w:val="0"/>
          <w:szCs w:val="24"/>
          <w14:ligatures w14:val="none"/>
        </w:rPr>
        <w:t>exempt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from </w:t>
      </w:r>
      <w:r w:rsidR="00FB0DD8" w:rsidRPr="006D57B1">
        <w:rPr>
          <w:rFonts w:eastAsia="Times New Roman" w:cs="Calibri"/>
          <w:kern w:val="0"/>
          <w:szCs w:val="24"/>
          <w14:ligatures w14:val="none"/>
        </w:rPr>
        <w:t>CERCLA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liability even though it holds title to the property. This liability </w:t>
      </w:r>
      <w:r w:rsidR="00B86D48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200693" w:rsidRPr="006D57B1">
        <w:rPr>
          <w:rFonts w:eastAsia="Times New Roman" w:cs="Calibri"/>
          <w:kern w:val="0"/>
          <w:szCs w:val="24"/>
          <w14:ligatures w14:val="none"/>
        </w:rPr>
        <w:t xml:space="preserve"> complements the BFPP protection that can protect a purchaser’s ability to repay a lender. </w:t>
      </w:r>
      <w:r w:rsidR="00BB08AF" w:rsidRPr="006D57B1">
        <w:rPr>
          <w:rFonts w:eastAsia="Times New Roman" w:cs="Calibri"/>
          <w:kern w:val="0"/>
          <w:szCs w:val="24"/>
          <w14:ligatures w14:val="none"/>
        </w:rPr>
        <w:t>[</w:t>
      </w:r>
      <w:r w:rsidR="00BB08AF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Optional: 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Based </w:t>
      </w:r>
      <w:r w:rsidR="00A2595D" w:rsidRPr="006D57B1">
        <w:rPr>
          <w:rFonts w:eastAsia="Times New Roman" w:cs="Calibri"/>
          <w:kern w:val="0"/>
          <w:szCs w:val="24"/>
          <w14:ligatures w14:val="none"/>
        </w:rPr>
        <w:t>up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on </w:t>
      </w:r>
      <w:r w:rsidR="00841862" w:rsidRPr="006D57B1">
        <w:rPr>
          <w:rFonts w:eastAsia="Times New Roman" w:cs="Calibri"/>
          <w:kern w:val="0"/>
          <w:szCs w:val="24"/>
          <w14:ligatures w14:val="none"/>
        </w:rPr>
        <w:t xml:space="preserve">[the information you have shared with </w:t>
      </w:r>
      <w:r w:rsidR="006952B0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841862" w:rsidRPr="006D57B1">
        <w:rPr>
          <w:rFonts w:eastAsia="Times New Roman" w:cs="Calibri"/>
          <w:kern w:val="0"/>
          <w:szCs w:val="24"/>
          <w14:ligatures w14:val="none"/>
        </w:rPr>
        <w:t xml:space="preserve">EPA or information </w:t>
      </w:r>
      <w:r w:rsidR="006952B0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FA1A6E" w:rsidRPr="006D57B1">
        <w:rPr>
          <w:rFonts w:eastAsia="Times New Roman" w:cs="Calibri"/>
          <w:kern w:val="0"/>
          <w:szCs w:val="24"/>
          <w14:ligatures w14:val="none"/>
        </w:rPr>
        <w:t xml:space="preserve">EPA has </w:t>
      </w:r>
      <w:r w:rsidR="00A61681" w:rsidRPr="006D57B1">
        <w:rPr>
          <w:rFonts w:eastAsia="Times New Roman" w:cs="Calibri"/>
          <w:kern w:val="0"/>
          <w:szCs w:val="24"/>
          <w14:ligatures w14:val="none"/>
        </w:rPr>
        <w:t>independently verified</w:t>
      </w:r>
      <w:r w:rsidR="00E90E36" w:rsidRPr="006D57B1">
        <w:rPr>
          <w:rFonts w:eastAsia="Times New Roman" w:cs="Calibri"/>
          <w:kern w:val="0"/>
          <w:szCs w:val="24"/>
          <w14:ligatures w14:val="none"/>
        </w:rPr>
        <w:t>]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, the secured creditor </w:t>
      </w:r>
      <w:r w:rsidR="00BA3141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may apply</w:t>
      </w:r>
      <w:r w:rsidR="5869B723" w:rsidRPr="006D57B1">
        <w:rPr>
          <w:rFonts w:eastAsia="Times New Roman" w:cs="Calibri"/>
          <w:szCs w:val="24"/>
        </w:rPr>
        <w:t xml:space="preserve"> to your lender</w:t>
      </w:r>
      <w:r w:rsidR="3EE655E0" w:rsidRPr="006D57B1">
        <w:rPr>
          <w:rFonts w:eastAsia="Times New Roman" w:cs="Calibri"/>
          <w:kern w:val="0"/>
          <w:szCs w:val="24"/>
          <w14:ligatures w14:val="none"/>
        </w:rPr>
        <w:t>.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142056" w:rsidRPr="006D57B1">
        <w:rPr>
          <w:rFonts w:eastAsia="Times New Roman" w:cs="Calibri"/>
          <w:kern w:val="0"/>
          <w:szCs w:val="24"/>
          <w14:ligatures w14:val="none"/>
        </w:rPr>
        <w:t>[</w:t>
      </w:r>
      <w:r w:rsidR="00E05D5C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Optional: 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Note that a court, rather than the EPA, determines whether a lender who has foreclosed on a property meets the criteria for the </w:t>
      </w:r>
      <w:r w:rsidR="00B86D48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. Thus, 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 xml:space="preserve">if you share this information with your lender, 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>the EPA recommends that you</w:t>
      </w:r>
      <w:r w:rsidR="002A5691" w:rsidRPr="006D57B1">
        <w:rPr>
          <w:rFonts w:eastAsia="Times New Roman" w:cs="Calibri"/>
          <w:kern w:val="0"/>
          <w:szCs w:val="24"/>
          <w14:ligatures w14:val="none"/>
        </w:rPr>
        <w:t>r lender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consult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>s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with</w:t>
      </w:r>
      <w:r w:rsidR="001F354D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570536" w:rsidRPr="006D57B1">
        <w:rPr>
          <w:rFonts w:eastAsia="Times New Roman" w:cs="Calibri"/>
          <w:kern w:val="0"/>
          <w:szCs w:val="24"/>
          <w14:ligatures w14:val="none"/>
        </w:rPr>
        <w:t>it</w:t>
      </w:r>
      <w:r w:rsidR="001F354D" w:rsidRPr="006D57B1">
        <w:rPr>
          <w:rFonts w:eastAsia="Times New Roman" w:cs="Calibri"/>
          <w:kern w:val="0"/>
          <w:szCs w:val="24"/>
          <w14:ligatures w14:val="none"/>
        </w:rPr>
        <w:t>s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legal counsel to assess whether </w:t>
      </w:r>
      <w:r w:rsidR="007D0BE2" w:rsidRPr="006D57B1">
        <w:rPr>
          <w:rFonts w:eastAsia="Times New Roman" w:cs="Calibri"/>
          <w:kern w:val="0"/>
          <w:szCs w:val="24"/>
          <w14:ligatures w14:val="none"/>
        </w:rPr>
        <w:t xml:space="preserve">it 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>satisf</w:t>
      </w:r>
      <w:r w:rsidR="007D0BE2" w:rsidRPr="006D57B1">
        <w:rPr>
          <w:rFonts w:eastAsia="Times New Roman" w:cs="Calibri"/>
          <w:kern w:val="0"/>
          <w:szCs w:val="24"/>
          <w14:ligatures w14:val="none"/>
        </w:rPr>
        <w:t>ies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 xml:space="preserve"> the statutory requirements of the </w:t>
      </w:r>
      <w:r w:rsidR="00B86D48" w:rsidRPr="006D57B1">
        <w:rPr>
          <w:rFonts w:eastAsia="Times New Roman" w:cs="Calibri"/>
          <w:kern w:val="0"/>
          <w:szCs w:val="24"/>
          <w14:ligatures w14:val="none"/>
        </w:rPr>
        <w:t>exemption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>.</w:t>
      </w:r>
      <w:r w:rsidR="00391149" w:rsidRPr="006D57B1">
        <w:rPr>
          <w:rFonts w:eastAsia="Times New Roman" w:cs="Calibri"/>
          <w:kern w:val="0"/>
          <w:szCs w:val="24"/>
          <w14:ligatures w14:val="none"/>
        </w:rPr>
        <w:t>]</w:t>
      </w:r>
      <w:r w:rsidR="00AC5565" w:rsidRPr="006D57B1">
        <w:rPr>
          <w:rFonts w:eastAsia="Times New Roman" w:cs="Calibri"/>
          <w:kern w:val="0"/>
          <w:szCs w:val="24"/>
          <w14:ligatures w14:val="none"/>
        </w:rPr>
        <w:t>]</w:t>
      </w:r>
    </w:p>
    <w:p w14:paraId="19CEF6B3" w14:textId="77777777" w:rsidR="00200693" w:rsidRPr="006D57B1" w:rsidRDefault="00200693" w:rsidP="00200693">
      <w:pPr>
        <w:spacing w:after="0" w:line="240" w:lineRule="auto"/>
        <w:rPr>
          <w:rFonts w:eastAsia="Times New Roman" w:cs="Calibri"/>
          <w:kern w:val="0"/>
          <w:szCs w:val="24"/>
          <w14:ligatures w14:val="none"/>
        </w:rPr>
      </w:pPr>
      <w:r w:rsidRPr="006D57B1">
        <w:rPr>
          <w:rFonts w:eastAsia="Times New Roman" w:cs="Calibri"/>
          <w:kern w:val="0"/>
          <w:szCs w:val="24"/>
          <w14:ligatures w14:val="none"/>
        </w:rPr>
        <w:t> </w:t>
      </w:r>
    </w:p>
    <w:p w14:paraId="0EBC1C01" w14:textId="23FF9AB2" w:rsidR="00200693" w:rsidRPr="006D57B1" w:rsidRDefault="00200693" w:rsidP="00200693">
      <w:pPr>
        <w:spacing w:after="0" w:line="240" w:lineRule="auto"/>
        <w:rPr>
          <w:rFonts w:eastAsia="Times New Roman" w:cs="Calibri"/>
          <w:b/>
          <w:bCs/>
          <w:kern w:val="0"/>
          <w:szCs w:val="24"/>
          <w14:ligatures w14:val="none"/>
        </w:rPr>
      </w:pP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For parties concerned about </w:t>
      </w:r>
      <w:r w:rsidR="00570037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contaminated </w:t>
      </w: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>groundwater migrat</w:t>
      </w:r>
      <w:r w:rsidR="00570037" w:rsidRPr="006D57B1">
        <w:rPr>
          <w:rFonts w:eastAsia="Times New Roman" w:cs="Calibri"/>
          <w:b/>
          <w:bCs/>
          <w:kern w:val="0"/>
          <w:szCs w:val="24"/>
          <w14:ligatures w14:val="none"/>
        </w:rPr>
        <w:t>ion</w:t>
      </w: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 under their property</w:t>
      </w:r>
      <w:r w:rsidR="005B3C4E" w:rsidRPr="006D57B1">
        <w:rPr>
          <w:rFonts w:eastAsia="Times New Roman" w:cs="Calibri"/>
          <w:b/>
          <w:bCs/>
          <w:kern w:val="0"/>
          <w:szCs w:val="24"/>
          <w14:ligatures w14:val="none"/>
        </w:rPr>
        <w:t>:</w:t>
      </w:r>
    </w:p>
    <w:p w14:paraId="3320F14A" w14:textId="77777777" w:rsidR="005B3C4E" w:rsidRPr="006D57B1" w:rsidRDefault="005B3C4E" w:rsidP="00200693">
      <w:pPr>
        <w:spacing w:after="0" w:line="240" w:lineRule="auto"/>
        <w:rPr>
          <w:rFonts w:eastAsia="Times New Roman" w:cs="Calibri"/>
          <w:b/>
          <w:bCs/>
          <w:kern w:val="0"/>
          <w:szCs w:val="24"/>
          <w14:ligatures w14:val="none"/>
        </w:rPr>
      </w:pPr>
    </w:p>
    <w:p w14:paraId="33DAE840" w14:textId="1B2E43A9" w:rsidR="00200693" w:rsidRPr="006D57B1" w:rsidRDefault="00200693" w:rsidP="76FF8627">
      <w:pPr>
        <w:spacing w:after="0" w:line="240" w:lineRule="auto"/>
        <w:textAlignment w:val="center"/>
        <w:rPr>
          <w:rFonts w:eastAsia="Times New Roman" w:cs="Calibri"/>
          <w:kern w:val="0"/>
          <w:szCs w:val="24"/>
          <w14:ligatures w14:val="none"/>
        </w:rPr>
      </w:pPr>
      <w:r w:rsidRPr="006D57B1">
        <w:rPr>
          <w:rFonts w:eastAsia="Times New Roman" w:cs="Calibri"/>
          <w:kern w:val="0"/>
          <w:szCs w:val="24"/>
          <w14:ligatures w14:val="none"/>
        </w:rPr>
        <w:t>In 199</w:t>
      </w:r>
      <w:r w:rsidR="00832871" w:rsidRPr="006D57B1">
        <w:rPr>
          <w:rFonts w:eastAsia="Times New Roman" w:cs="Calibri"/>
          <w:kern w:val="0"/>
          <w:szCs w:val="24"/>
          <w14:ligatures w14:val="none"/>
        </w:rPr>
        <w:t>5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, </w:t>
      </w:r>
      <w:r w:rsidR="007F223B" w:rsidRPr="006D57B1">
        <w:rPr>
          <w:rFonts w:eastAsia="Times New Roman" w:cs="Calibri"/>
          <w:szCs w:val="24"/>
        </w:rPr>
        <w:t>the</w:t>
      </w:r>
      <w:r w:rsidRPr="006D57B1">
        <w:rPr>
          <w:rFonts w:eastAsia="Times New Roman" w:cs="Calibri"/>
          <w:szCs w:val="24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EPA issued the </w:t>
      </w:r>
      <w:r w:rsidRPr="00AA53F4">
        <w:rPr>
          <w:rFonts w:eastAsia="Times New Roman" w:cs="Calibri"/>
          <w:i/>
          <w:iCs/>
          <w:kern w:val="0"/>
          <w:szCs w:val="24"/>
          <w14:ligatures w14:val="none"/>
        </w:rPr>
        <w:t>Final Policy Toward Owners of Property Containing Contaminated Aquifers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CD66A7" w:rsidRPr="006D57B1">
        <w:rPr>
          <w:rFonts w:eastAsia="Times New Roman" w:cs="Calibri"/>
          <w:kern w:val="0"/>
          <w:szCs w:val="24"/>
          <w14:ligatures w14:val="none"/>
        </w:rPr>
        <w:t>(“Policy”)</w:t>
      </w:r>
      <w:r w:rsidR="003E7A71" w:rsidRPr="006D57B1">
        <w:rPr>
          <w:rStyle w:val="FootnoteReference"/>
          <w:rFonts w:eastAsia="Times New Roman" w:cs="Calibri"/>
          <w:kern w:val="0"/>
          <w:szCs w:val="24"/>
          <w14:ligatures w14:val="none"/>
        </w:rPr>
        <w:footnoteReference w:id="2"/>
      </w:r>
      <w:r w:rsidR="00CD66A7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to address </w:t>
      </w:r>
      <w:r w:rsidR="00A41AF7"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CERCLA liability concerns of </w:t>
      </w:r>
      <w:r w:rsidR="00A41AF7" w:rsidRPr="006D57B1">
        <w:rPr>
          <w:rFonts w:eastAsia="Times New Roman" w:cs="Calibri"/>
          <w:kern w:val="0"/>
          <w:szCs w:val="24"/>
          <w14:ligatures w14:val="none"/>
        </w:rPr>
        <w:t xml:space="preserve">an </w:t>
      </w:r>
      <w:r w:rsidRPr="006D57B1">
        <w:rPr>
          <w:rFonts w:eastAsia="Times New Roman" w:cs="Calibri"/>
          <w:kern w:val="0"/>
          <w:szCs w:val="24"/>
          <w14:ligatures w14:val="none"/>
        </w:rPr>
        <w:t>owner of propert</w:t>
      </w:r>
      <w:r w:rsidR="00A41AF7" w:rsidRPr="006D57B1">
        <w:rPr>
          <w:rFonts w:eastAsia="Times New Roman" w:cs="Calibri"/>
          <w:kern w:val="0"/>
          <w:szCs w:val="24"/>
          <w14:ligatures w14:val="none"/>
        </w:rPr>
        <w:t>y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that </w:t>
      </w:r>
      <w:r w:rsidR="00A41AF7" w:rsidRPr="006D57B1">
        <w:rPr>
          <w:rFonts w:eastAsia="Times New Roman" w:cs="Calibri"/>
          <w:kern w:val="0"/>
          <w:szCs w:val="24"/>
          <w14:ligatures w14:val="none"/>
        </w:rPr>
        <w:t xml:space="preserve">is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contaminated </w:t>
      </w:r>
      <w:proofErr w:type="gramStart"/>
      <w:r w:rsidRPr="006D57B1">
        <w:rPr>
          <w:rFonts w:eastAsia="Times New Roman" w:cs="Calibri"/>
          <w:kern w:val="0"/>
          <w:szCs w:val="24"/>
          <w14:ligatures w14:val="none"/>
        </w:rPr>
        <w:t>as a result of</w:t>
      </w:r>
      <w:proofErr w:type="gramEnd"/>
      <w:r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="00EE635D" w:rsidRPr="006D57B1">
        <w:rPr>
          <w:rFonts w:eastAsia="Times New Roman" w:cs="Calibri"/>
          <w:kern w:val="0"/>
          <w:szCs w:val="24"/>
          <w14:ligatures w14:val="none"/>
        </w:rPr>
        <w:t xml:space="preserve">groundwater </w:t>
      </w:r>
      <w:r w:rsidRPr="006D57B1">
        <w:rPr>
          <w:rFonts w:eastAsia="Times New Roman" w:cs="Calibri"/>
          <w:kern w:val="0"/>
          <w:szCs w:val="24"/>
          <w14:ligatures w14:val="none"/>
        </w:rPr>
        <w:t>migration from a source outside the property.</w:t>
      </w:r>
      <w:r w:rsidR="003E7A71" w:rsidRPr="006D57B1">
        <w:rPr>
          <w:rFonts w:eastAsia="Times New Roman" w:cs="Calibri"/>
          <w:kern w:val="0"/>
          <w:szCs w:val="24"/>
          <w14:ligatures w14:val="none"/>
        </w:rPr>
        <w:t xml:space="preserve">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The </w:t>
      </w:r>
      <w:r w:rsidR="00874DCA" w:rsidRPr="006D57B1">
        <w:rPr>
          <w:rFonts w:eastAsia="Times New Roman" w:cs="Calibri"/>
          <w:kern w:val="0"/>
          <w:szCs w:val="24"/>
          <w14:ligatures w14:val="none"/>
        </w:rPr>
        <w:t>P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olicy provides that </w:t>
      </w:r>
      <w:r w:rsidR="007F223B" w:rsidRPr="006D57B1">
        <w:rPr>
          <w:rFonts w:eastAsia="Times New Roman" w:cs="Calibri"/>
          <w:szCs w:val="24"/>
        </w:rPr>
        <w:t xml:space="preserve">the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EPA would not require cleanup or payment of cleanup costs if </w:t>
      </w:r>
      <w:r w:rsidR="00E4173A" w:rsidRPr="006D57B1">
        <w:rPr>
          <w:rFonts w:eastAsia="Times New Roman" w:cs="Calibri"/>
          <w:kern w:val="0"/>
          <w:szCs w:val="24"/>
          <w14:ligatures w14:val="none"/>
        </w:rPr>
        <w:t xml:space="preserve">such a </w:t>
      </w:r>
      <w:r w:rsidR="0008366F" w:rsidRPr="006D57B1">
        <w:rPr>
          <w:rFonts w:eastAsia="Times New Roman" w:cs="Calibri"/>
          <w:kern w:val="0"/>
          <w:szCs w:val="24"/>
          <w14:ligatures w14:val="none"/>
        </w:rPr>
        <w:t xml:space="preserve">property owner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did not cause or contribute to the contamination. </w:t>
      </w:r>
      <w:r w:rsidR="00874DCA" w:rsidRPr="006D57B1">
        <w:rPr>
          <w:rFonts w:eastAsia="Times New Roman" w:cs="Calibri"/>
          <w:kern w:val="0"/>
          <w:szCs w:val="24"/>
          <w14:ligatures w14:val="none"/>
        </w:rPr>
        <w:t xml:space="preserve">The Policy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also provides that if a third party sued or threatened to sue </w:t>
      </w:r>
      <w:r w:rsidR="00E4173A" w:rsidRPr="006D57B1">
        <w:rPr>
          <w:rFonts w:eastAsia="Times New Roman" w:cs="Calibri"/>
          <w:kern w:val="0"/>
          <w:szCs w:val="24"/>
          <w14:ligatures w14:val="none"/>
        </w:rPr>
        <w:t>such a property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 owner, </w:t>
      </w:r>
      <w:r w:rsidR="007F223B" w:rsidRPr="006D57B1">
        <w:rPr>
          <w:rFonts w:eastAsia="Times New Roman" w:cs="Calibri"/>
          <w:szCs w:val="24"/>
        </w:rPr>
        <w:t xml:space="preserve">the </w:t>
      </w:r>
      <w:r w:rsidRPr="006D57B1">
        <w:rPr>
          <w:rFonts w:eastAsia="Times New Roman" w:cs="Calibri"/>
          <w:kern w:val="0"/>
          <w:szCs w:val="24"/>
          <w14:ligatures w14:val="none"/>
        </w:rPr>
        <w:t xml:space="preserve">EPA would consider </w:t>
      </w:r>
      <w:proofErr w:type="gramStart"/>
      <w:r w:rsidRPr="006D57B1">
        <w:rPr>
          <w:rFonts w:eastAsia="Times New Roman" w:cs="Calibri"/>
          <w:kern w:val="0"/>
          <w:szCs w:val="24"/>
          <w14:ligatures w14:val="none"/>
        </w:rPr>
        <w:t>entering into</w:t>
      </w:r>
      <w:proofErr w:type="gramEnd"/>
      <w:r w:rsidRPr="006D57B1">
        <w:rPr>
          <w:rFonts w:eastAsia="Times New Roman" w:cs="Calibri"/>
          <w:kern w:val="0"/>
          <w:szCs w:val="24"/>
          <w14:ligatures w14:val="none"/>
        </w:rPr>
        <w:t xml:space="preserve"> a settlement with </w:t>
      </w:r>
      <w:r w:rsidR="00446A14" w:rsidRPr="006D57B1">
        <w:rPr>
          <w:rFonts w:eastAsia="Times New Roman" w:cs="Calibri"/>
          <w:kern w:val="0"/>
          <w:szCs w:val="24"/>
          <w14:ligatures w14:val="none"/>
        </w:rPr>
        <w:t>the p</w:t>
      </w:r>
      <w:r w:rsidR="002B3428" w:rsidRPr="006D57B1">
        <w:rPr>
          <w:rFonts w:eastAsia="Times New Roman" w:cs="Calibri"/>
          <w:kern w:val="0"/>
          <w:szCs w:val="24"/>
          <w14:ligatures w14:val="none"/>
        </w:rPr>
        <w:t xml:space="preserve">roperty </w:t>
      </w:r>
      <w:r w:rsidRPr="006D57B1">
        <w:rPr>
          <w:rFonts w:eastAsia="Times New Roman" w:cs="Calibri"/>
          <w:kern w:val="0"/>
          <w:szCs w:val="24"/>
          <w14:ligatures w14:val="none"/>
        </w:rPr>
        <w:t>owner to prevent third party damages from being awarded</w:t>
      </w:r>
      <w:r w:rsidR="005320E7" w:rsidRPr="006D57B1">
        <w:rPr>
          <w:rFonts w:eastAsia="Times New Roman" w:cs="Calibri"/>
          <w:kern w:val="0"/>
          <w:szCs w:val="24"/>
          <w14:ligatures w14:val="none"/>
        </w:rPr>
        <w:t>. [</w:t>
      </w:r>
      <w:r w:rsidR="003D0145" w:rsidRPr="006D57B1">
        <w:rPr>
          <w:rFonts w:eastAsia="Times New Roman" w:cs="Calibri"/>
          <w:b/>
          <w:bCs/>
          <w:kern w:val="0"/>
          <w:szCs w:val="24"/>
          <w14:ligatures w14:val="none"/>
        </w:rPr>
        <w:t xml:space="preserve">Optional: </w:t>
      </w:r>
      <w:r w:rsidR="003378E6" w:rsidRPr="006D57B1">
        <w:rPr>
          <w:rFonts w:eastAsia="Times New Roman" w:cs="Calibri"/>
          <w:kern w:val="0"/>
          <w:szCs w:val="24"/>
          <w14:ligatures w14:val="none"/>
        </w:rPr>
        <w:t xml:space="preserve">Based </w:t>
      </w:r>
      <w:r w:rsidR="003D0145" w:rsidRPr="006D57B1">
        <w:rPr>
          <w:rFonts w:eastAsia="Times New Roman" w:cs="Calibri"/>
          <w:kern w:val="0"/>
          <w:szCs w:val="24"/>
          <w14:ligatures w14:val="none"/>
        </w:rPr>
        <w:t>up</w:t>
      </w:r>
      <w:r w:rsidR="003378E6" w:rsidRPr="006D57B1">
        <w:rPr>
          <w:rFonts w:eastAsia="Times New Roman" w:cs="Calibri"/>
          <w:kern w:val="0"/>
          <w:szCs w:val="24"/>
          <w14:ligatures w14:val="none"/>
        </w:rPr>
        <w:t>on [the information you have shared with the EPA or information the EPA has independently verified]</w:t>
      </w:r>
      <w:r w:rsidR="005320E7" w:rsidRPr="006D57B1">
        <w:rPr>
          <w:rFonts w:eastAsia="Times New Roman" w:cs="Calibri"/>
          <w:kern w:val="0"/>
          <w:szCs w:val="24"/>
          <w14:ligatures w14:val="none"/>
        </w:rPr>
        <w:t>, th</w:t>
      </w:r>
      <w:r w:rsidR="00CD66A7" w:rsidRPr="006D57B1">
        <w:rPr>
          <w:rFonts w:eastAsia="Times New Roman" w:cs="Calibri"/>
          <w:kern w:val="0"/>
          <w:szCs w:val="24"/>
          <w14:ligatures w14:val="none"/>
        </w:rPr>
        <w:t>e P</w:t>
      </w:r>
      <w:r w:rsidR="00AD393B" w:rsidRPr="006D57B1">
        <w:rPr>
          <w:rFonts w:eastAsia="Times New Roman" w:cs="Calibri"/>
          <w:kern w:val="0"/>
          <w:szCs w:val="24"/>
          <w14:ligatures w14:val="none"/>
        </w:rPr>
        <w:t xml:space="preserve">olicy </w:t>
      </w:r>
      <w:r w:rsidR="005320E7" w:rsidRPr="006D57B1">
        <w:rPr>
          <w:rFonts w:eastAsia="Times New Roman" w:cs="Calibri"/>
          <w:kern w:val="0"/>
          <w:szCs w:val="24"/>
          <w14:ligatures w14:val="none"/>
        </w:rPr>
        <w:t>may apply.]</w:t>
      </w:r>
    </w:p>
    <w:p w14:paraId="700CB411" w14:textId="77777777" w:rsidR="00200693" w:rsidRPr="006D57B1" w:rsidRDefault="00200693" w:rsidP="00200693">
      <w:pPr>
        <w:spacing w:after="0" w:line="240" w:lineRule="auto"/>
        <w:ind w:left="1080"/>
        <w:rPr>
          <w:rFonts w:eastAsia="Times New Roman" w:cs="Calibri"/>
          <w:kern w:val="0"/>
          <w:szCs w:val="24"/>
          <w14:ligatures w14:val="none"/>
        </w:rPr>
      </w:pPr>
      <w:r w:rsidRPr="006D57B1">
        <w:rPr>
          <w:rFonts w:eastAsia="Times New Roman" w:cs="Calibri"/>
          <w:kern w:val="0"/>
          <w:szCs w:val="24"/>
          <w14:ligatures w14:val="none"/>
        </w:rPr>
        <w:t> </w:t>
      </w:r>
    </w:p>
    <w:p w14:paraId="1C493F98" w14:textId="11D56D04" w:rsidR="00200693" w:rsidRPr="006D57B1" w:rsidRDefault="00200693" w:rsidP="00200693">
      <w:pPr>
        <w:spacing w:after="0" w:line="240" w:lineRule="auto"/>
        <w:rPr>
          <w:rFonts w:eastAsia="Times New Roman" w:cs="Calibri"/>
          <w:b/>
          <w:bCs/>
          <w:kern w:val="0"/>
          <w:szCs w:val="24"/>
          <w14:ligatures w14:val="none"/>
        </w:rPr>
      </w:pPr>
      <w:r w:rsidRPr="006D57B1">
        <w:rPr>
          <w:rFonts w:eastAsia="Times New Roman" w:cs="Calibri"/>
          <w:b/>
          <w:bCs/>
          <w:kern w:val="0"/>
          <w:szCs w:val="24"/>
          <w14:ligatures w14:val="none"/>
        </w:rPr>
        <w:t>For parties concerned about liability for residents</w:t>
      </w:r>
      <w:r w:rsidR="005B3C4E" w:rsidRPr="006D57B1">
        <w:rPr>
          <w:rFonts w:eastAsia="Times New Roman" w:cs="Calibri"/>
          <w:b/>
          <w:bCs/>
          <w:kern w:val="0"/>
          <w:szCs w:val="24"/>
          <w14:ligatures w14:val="none"/>
        </w:rPr>
        <w:t>:</w:t>
      </w:r>
    </w:p>
    <w:p w14:paraId="4EF69A82" w14:textId="77777777" w:rsidR="005B3C4E" w:rsidRPr="006D57B1" w:rsidRDefault="005B3C4E" w:rsidP="00200693">
      <w:pPr>
        <w:spacing w:after="0" w:line="240" w:lineRule="auto"/>
        <w:rPr>
          <w:rFonts w:eastAsia="Times New Roman" w:cs="Calibri"/>
          <w:b/>
          <w:bCs/>
          <w:kern w:val="0"/>
          <w:szCs w:val="24"/>
          <w14:ligatures w14:val="none"/>
        </w:rPr>
      </w:pPr>
    </w:p>
    <w:p w14:paraId="63332455" w14:textId="304202DB" w:rsidR="00200693" w:rsidRPr="006D57B1" w:rsidRDefault="00200693" w:rsidP="06275A3F">
      <w:pPr>
        <w:spacing w:after="0" w:line="240" w:lineRule="auto"/>
        <w:rPr>
          <w:rFonts w:eastAsia="Times New Roman" w:cs="Calibri"/>
          <w:kern w:val="0"/>
          <w14:ligatures w14:val="none"/>
        </w:rPr>
      </w:pPr>
      <w:r w:rsidRPr="06275A3F">
        <w:rPr>
          <w:rFonts w:eastAsia="Times New Roman" w:cs="Calibri"/>
          <w:kern w:val="0"/>
          <w14:ligatures w14:val="none"/>
        </w:rPr>
        <w:lastRenderedPageBreak/>
        <w:t>In 199</w:t>
      </w:r>
      <w:r w:rsidR="00A03EEC" w:rsidRPr="06275A3F">
        <w:rPr>
          <w:rFonts w:eastAsia="Times New Roman" w:cs="Calibri"/>
          <w:kern w:val="0"/>
          <w14:ligatures w14:val="none"/>
        </w:rPr>
        <w:t>5</w:t>
      </w:r>
      <w:r w:rsidRPr="06275A3F">
        <w:rPr>
          <w:rFonts w:eastAsia="Times New Roman" w:cs="Calibri"/>
          <w:kern w:val="0"/>
          <w14:ligatures w14:val="none"/>
        </w:rPr>
        <w:t xml:space="preserve">, </w:t>
      </w:r>
      <w:r w:rsidR="007F223B" w:rsidRPr="06275A3F">
        <w:rPr>
          <w:rFonts w:eastAsia="Times New Roman" w:cs="Calibri"/>
          <w:kern w:val="0"/>
          <w14:ligatures w14:val="none"/>
        </w:rPr>
        <w:t>the</w:t>
      </w:r>
      <w:r w:rsidRPr="06275A3F">
        <w:rPr>
          <w:rFonts w:eastAsia="Times New Roman" w:cs="Calibri"/>
          <w:kern w:val="0"/>
          <w14:ligatures w14:val="none"/>
        </w:rPr>
        <w:t xml:space="preserve"> EPA issued the </w:t>
      </w:r>
      <w:r w:rsidRPr="06275A3F">
        <w:rPr>
          <w:rFonts w:eastAsia="Times New Roman" w:cs="Calibri"/>
          <w:i/>
          <w:iCs/>
          <w:kern w:val="0"/>
          <w14:ligatures w14:val="none"/>
        </w:rPr>
        <w:t>Policy Towards Owners of Residential Property at Superfund Sites</w:t>
      </w:r>
      <w:r w:rsidR="00EF52D8" w:rsidRPr="06275A3F">
        <w:rPr>
          <w:rFonts w:eastAsia="Times New Roman" w:cs="Calibri"/>
          <w:kern w:val="0"/>
          <w14:ligatures w14:val="none"/>
        </w:rPr>
        <w:t xml:space="preserve"> (“Policy”)</w:t>
      </w:r>
      <w:r w:rsidR="008869A1" w:rsidRPr="06275A3F">
        <w:rPr>
          <w:rStyle w:val="FootnoteReference"/>
          <w:rFonts w:eastAsia="Times New Roman" w:cs="Calibri"/>
          <w:kern w:val="0"/>
          <w14:ligatures w14:val="none"/>
        </w:rPr>
        <w:footnoteReference w:id="3"/>
      </w:r>
      <w:r w:rsidR="00EF52D8" w:rsidRPr="06275A3F">
        <w:rPr>
          <w:rFonts w:eastAsia="Times New Roman" w:cs="Calibri"/>
          <w:kern w:val="0"/>
          <w14:ligatures w14:val="none"/>
        </w:rPr>
        <w:t xml:space="preserve"> </w:t>
      </w:r>
      <w:r w:rsidRPr="06275A3F">
        <w:rPr>
          <w:rFonts w:eastAsia="Times New Roman" w:cs="Calibri"/>
          <w:kern w:val="0"/>
          <w14:ligatures w14:val="none"/>
        </w:rPr>
        <w:t xml:space="preserve">to address the CERCLA liability concerns of residential </w:t>
      </w:r>
      <w:r w:rsidR="002D0218" w:rsidRPr="06275A3F">
        <w:rPr>
          <w:rFonts w:eastAsia="Times New Roman" w:cs="Calibri"/>
          <w:kern w:val="0"/>
          <w14:ligatures w14:val="none"/>
        </w:rPr>
        <w:t xml:space="preserve">property </w:t>
      </w:r>
      <w:r w:rsidRPr="06275A3F">
        <w:rPr>
          <w:rFonts w:eastAsia="Times New Roman" w:cs="Calibri"/>
          <w:kern w:val="0"/>
          <w14:ligatures w14:val="none"/>
        </w:rPr>
        <w:t>owners who had not caused the contamination on their propert</w:t>
      </w:r>
      <w:r w:rsidR="00970379" w:rsidRPr="06275A3F">
        <w:rPr>
          <w:rFonts w:eastAsia="Times New Roman" w:cs="Calibri"/>
          <w:kern w:val="0"/>
          <w14:ligatures w14:val="none"/>
        </w:rPr>
        <w:t>ies</w:t>
      </w:r>
      <w:r w:rsidRPr="06275A3F">
        <w:rPr>
          <w:rFonts w:eastAsia="Times New Roman" w:cs="Calibri"/>
          <w:kern w:val="0"/>
          <w14:ligatures w14:val="none"/>
        </w:rPr>
        <w:t xml:space="preserve">. </w:t>
      </w:r>
      <w:r w:rsidR="006815FE" w:rsidRPr="06275A3F">
        <w:rPr>
          <w:rFonts w:eastAsia="Times New Roman" w:cs="Calibri"/>
          <w:kern w:val="0"/>
          <w14:ligatures w14:val="none"/>
        </w:rPr>
        <w:t xml:space="preserve">The </w:t>
      </w:r>
      <w:r w:rsidR="00B873AE" w:rsidRPr="06275A3F">
        <w:rPr>
          <w:rFonts w:eastAsia="Times New Roman" w:cs="Calibri"/>
          <w:kern w:val="0"/>
          <w14:ligatures w14:val="none"/>
        </w:rPr>
        <w:t>P</w:t>
      </w:r>
      <w:r w:rsidR="006815FE" w:rsidRPr="06275A3F">
        <w:rPr>
          <w:rFonts w:eastAsia="Times New Roman" w:cs="Calibri"/>
          <w:kern w:val="0"/>
          <w14:ligatures w14:val="none"/>
        </w:rPr>
        <w:t xml:space="preserve">olicy provides that </w:t>
      </w:r>
      <w:r w:rsidR="00630D05" w:rsidRPr="06275A3F">
        <w:rPr>
          <w:rFonts w:eastAsia="Times New Roman" w:cs="Calibri"/>
          <w:kern w:val="0"/>
          <w14:ligatures w14:val="none"/>
        </w:rPr>
        <w:t xml:space="preserve">the </w:t>
      </w:r>
      <w:r w:rsidR="006815FE" w:rsidRPr="06275A3F">
        <w:rPr>
          <w:rFonts w:eastAsia="Times New Roman" w:cs="Calibri"/>
          <w:kern w:val="0"/>
          <w14:ligatures w14:val="none"/>
        </w:rPr>
        <w:t xml:space="preserve">EPA generally will not require cleanup or payment of cleanup costs if the residential </w:t>
      </w:r>
      <w:r w:rsidR="00EC206E" w:rsidRPr="06275A3F">
        <w:rPr>
          <w:rFonts w:eastAsia="Times New Roman" w:cs="Calibri"/>
          <w:kern w:val="0"/>
          <w14:ligatures w14:val="none"/>
        </w:rPr>
        <w:t xml:space="preserve">property </w:t>
      </w:r>
      <w:r w:rsidR="006815FE" w:rsidRPr="06275A3F">
        <w:rPr>
          <w:rFonts w:eastAsia="Times New Roman" w:cs="Calibri"/>
          <w:kern w:val="0"/>
          <w14:ligatures w14:val="none"/>
        </w:rPr>
        <w:t>owner</w:t>
      </w:r>
      <w:r w:rsidR="007F223B" w:rsidRPr="06275A3F">
        <w:rPr>
          <w:rFonts w:eastAsia="Times New Roman" w:cs="Calibri"/>
          <w:kern w:val="0"/>
          <w14:ligatures w14:val="none"/>
        </w:rPr>
        <w:t>’</w:t>
      </w:r>
      <w:r w:rsidR="006815FE" w:rsidRPr="06275A3F">
        <w:rPr>
          <w:rFonts w:eastAsia="Times New Roman" w:cs="Calibri"/>
          <w:kern w:val="0"/>
          <w14:ligatures w14:val="none"/>
        </w:rPr>
        <w:t>s activities did not lead to a release or threat of release of hazardous substances</w:t>
      </w:r>
      <w:r w:rsidR="009051CB" w:rsidRPr="06275A3F">
        <w:rPr>
          <w:rFonts w:eastAsia="Times New Roman" w:cs="Calibri"/>
          <w:kern w:val="0"/>
          <w14:ligatures w14:val="none"/>
        </w:rPr>
        <w:t>, subject to certain conditions</w:t>
      </w:r>
      <w:r w:rsidR="00951612" w:rsidRPr="06275A3F">
        <w:rPr>
          <w:rFonts w:eastAsia="Times New Roman" w:cs="Calibri"/>
          <w:kern w:val="0"/>
          <w14:ligatures w14:val="none"/>
        </w:rPr>
        <w:t>,</w:t>
      </w:r>
      <w:r w:rsidR="009051CB" w:rsidRPr="06275A3F">
        <w:rPr>
          <w:rFonts w:eastAsia="Times New Roman" w:cs="Calibri"/>
          <w:kern w:val="0"/>
          <w14:ligatures w14:val="none"/>
        </w:rPr>
        <w:t xml:space="preserve"> </w:t>
      </w:r>
      <w:r w:rsidR="009051CB" w:rsidRPr="06275A3F">
        <w:rPr>
          <w:rFonts w:eastAsia="Times New Roman" w:cs="Calibri"/>
          <w:i/>
          <w:iCs/>
          <w:kern w:val="0"/>
          <w14:ligatures w14:val="none"/>
        </w:rPr>
        <w:t>e.g.</w:t>
      </w:r>
      <w:r w:rsidR="00951612" w:rsidRPr="06275A3F">
        <w:rPr>
          <w:rFonts w:eastAsia="Times New Roman" w:cs="Calibri"/>
          <w:kern w:val="0"/>
          <w14:ligatures w14:val="none"/>
        </w:rPr>
        <w:t>,</w:t>
      </w:r>
      <w:r w:rsidR="009051CB" w:rsidRPr="06275A3F">
        <w:rPr>
          <w:rFonts w:eastAsia="Times New Roman" w:cs="Calibri"/>
          <w:kern w:val="0"/>
          <w14:ligatures w14:val="none"/>
        </w:rPr>
        <w:t xml:space="preserve"> the owner cooperates with </w:t>
      </w:r>
      <w:r w:rsidR="00951612" w:rsidRPr="06275A3F">
        <w:rPr>
          <w:rFonts w:eastAsia="Times New Roman" w:cs="Calibri"/>
          <w:kern w:val="0"/>
          <w14:ligatures w14:val="none"/>
        </w:rPr>
        <w:t xml:space="preserve">the </w:t>
      </w:r>
      <w:r w:rsidR="009051CB" w:rsidRPr="06275A3F">
        <w:rPr>
          <w:rFonts w:eastAsia="Times New Roman" w:cs="Calibri"/>
          <w:kern w:val="0"/>
          <w14:ligatures w14:val="none"/>
        </w:rPr>
        <w:t>EPA’s response actions and other CERCLA obligations</w:t>
      </w:r>
      <w:r w:rsidR="00944213" w:rsidRPr="06275A3F">
        <w:rPr>
          <w:rFonts w:eastAsia="Times New Roman" w:cs="Calibri"/>
          <w:kern w:val="0"/>
          <w14:ligatures w14:val="none"/>
        </w:rPr>
        <w:t xml:space="preserve"> as described in the Policy</w:t>
      </w:r>
      <w:r w:rsidR="006815FE" w:rsidRPr="06275A3F">
        <w:rPr>
          <w:rFonts w:eastAsia="Times New Roman" w:cs="Calibri"/>
          <w:kern w:val="0"/>
          <w14:ligatures w14:val="none"/>
        </w:rPr>
        <w:t>.</w:t>
      </w:r>
      <w:r w:rsidR="00CE08E7" w:rsidRPr="06275A3F">
        <w:rPr>
          <w:rFonts w:eastAsia="Times New Roman" w:cs="Calibri"/>
          <w:kern w:val="0"/>
          <w14:ligatures w14:val="none"/>
        </w:rPr>
        <w:t xml:space="preserve"> </w:t>
      </w:r>
      <w:r w:rsidRPr="06275A3F">
        <w:rPr>
          <w:rFonts w:eastAsia="Times New Roman" w:cs="Calibri"/>
          <w:kern w:val="0"/>
          <w14:ligatures w14:val="none"/>
        </w:rPr>
        <w:t xml:space="preserve">The </w:t>
      </w:r>
      <w:r w:rsidR="00B873AE" w:rsidRPr="06275A3F">
        <w:rPr>
          <w:rFonts w:eastAsia="Times New Roman" w:cs="Calibri"/>
          <w:kern w:val="0"/>
          <w14:ligatures w14:val="none"/>
        </w:rPr>
        <w:t>P</w:t>
      </w:r>
      <w:r w:rsidRPr="06275A3F">
        <w:rPr>
          <w:rFonts w:eastAsia="Times New Roman" w:cs="Calibri"/>
          <w:kern w:val="0"/>
          <w14:ligatures w14:val="none"/>
        </w:rPr>
        <w:t>olicy defines residential property as single family residences of one</w:t>
      </w:r>
      <w:r w:rsidR="00C56477" w:rsidRPr="06275A3F">
        <w:rPr>
          <w:rFonts w:eastAsia="Times New Roman" w:cs="Calibri"/>
          <w:kern w:val="0"/>
          <w14:ligatures w14:val="none"/>
        </w:rPr>
        <w:t xml:space="preserve"> to </w:t>
      </w:r>
      <w:r w:rsidRPr="06275A3F">
        <w:rPr>
          <w:rFonts w:eastAsia="Times New Roman" w:cs="Calibri"/>
          <w:kern w:val="0"/>
          <w14:ligatures w14:val="none"/>
        </w:rPr>
        <w:t>four dwelling units</w:t>
      </w:r>
      <w:r w:rsidR="00A74D5C" w:rsidRPr="06275A3F">
        <w:rPr>
          <w:rFonts w:eastAsia="Times New Roman" w:cs="Calibri"/>
          <w:kern w:val="0"/>
          <w14:ligatures w14:val="none"/>
        </w:rPr>
        <w:t xml:space="preserve"> and explains that </w:t>
      </w:r>
      <w:r w:rsidR="00987905" w:rsidRPr="06275A3F">
        <w:rPr>
          <w:rFonts w:eastAsia="Times New Roman" w:cs="Calibri"/>
          <w:kern w:val="0"/>
          <w14:ligatures w14:val="none"/>
        </w:rPr>
        <w:t xml:space="preserve">application </w:t>
      </w:r>
      <w:r w:rsidR="00A74D5C" w:rsidRPr="06275A3F">
        <w:rPr>
          <w:rFonts w:eastAsia="Times New Roman" w:cs="Calibri"/>
          <w:kern w:val="0"/>
          <w14:ligatures w14:val="none"/>
        </w:rPr>
        <w:t xml:space="preserve">of the Policy does not depend on </w:t>
      </w:r>
      <w:r w:rsidR="00987905" w:rsidRPr="06275A3F">
        <w:rPr>
          <w:rFonts w:eastAsia="Times New Roman" w:cs="Calibri"/>
          <w:kern w:val="0"/>
          <w14:ligatures w14:val="none"/>
        </w:rPr>
        <w:t xml:space="preserve">the </w:t>
      </w:r>
      <w:r w:rsidR="00A74D5C" w:rsidRPr="06275A3F">
        <w:rPr>
          <w:rFonts w:eastAsia="Times New Roman" w:cs="Calibri"/>
          <w:kern w:val="0"/>
          <w14:ligatures w14:val="none"/>
        </w:rPr>
        <w:t>resi</w:t>
      </w:r>
      <w:r w:rsidRPr="06275A3F">
        <w:rPr>
          <w:rFonts w:eastAsia="Times New Roman" w:cs="Calibri"/>
          <w:kern w:val="0"/>
          <w14:ligatures w14:val="none"/>
        </w:rPr>
        <w:t xml:space="preserve">dential </w:t>
      </w:r>
      <w:r w:rsidR="004B2E30" w:rsidRPr="06275A3F">
        <w:rPr>
          <w:rFonts w:eastAsia="Times New Roman" w:cs="Calibri"/>
          <w:kern w:val="0"/>
          <w14:ligatures w14:val="none"/>
        </w:rPr>
        <w:t xml:space="preserve">property </w:t>
      </w:r>
      <w:r w:rsidRPr="06275A3F">
        <w:rPr>
          <w:rFonts w:eastAsia="Times New Roman" w:cs="Calibri"/>
          <w:kern w:val="0"/>
          <w14:ligatures w14:val="none"/>
        </w:rPr>
        <w:t>owner</w:t>
      </w:r>
      <w:r w:rsidR="00987905" w:rsidRPr="06275A3F">
        <w:rPr>
          <w:rFonts w:eastAsia="Times New Roman" w:cs="Calibri"/>
          <w:kern w:val="0"/>
          <w14:ligatures w14:val="none"/>
        </w:rPr>
        <w:t>’s</w:t>
      </w:r>
      <w:r w:rsidRPr="06275A3F">
        <w:rPr>
          <w:rFonts w:eastAsia="Times New Roman" w:cs="Calibri"/>
          <w:kern w:val="0"/>
          <w14:ligatures w14:val="none"/>
        </w:rPr>
        <w:t xml:space="preserve"> knowledge</w:t>
      </w:r>
      <w:r w:rsidR="00A74D5C" w:rsidRPr="06275A3F">
        <w:rPr>
          <w:rFonts w:eastAsia="Times New Roman" w:cs="Calibri"/>
          <w:kern w:val="0"/>
          <w14:ligatures w14:val="none"/>
        </w:rPr>
        <w:t>, or lack thereof,</w:t>
      </w:r>
      <w:r w:rsidRPr="06275A3F">
        <w:rPr>
          <w:rFonts w:eastAsia="Times New Roman" w:cs="Calibri"/>
          <w:kern w:val="0"/>
          <w14:ligatures w14:val="none"/>
        </w:rPr>
        <w:t xml:space="preserve"> of contamination. The </w:t>
      </w:r>
      <w:r w:rsidR="00B873AE" w:rsidRPr="06275A3F">
        <w:rPr>
          <w:rFonts w:eastAsia="Times New Roman" w:cs="Calibri"/>
          <w:kern w:val="0"/>
          <w14:ligatures w14:val="none"/>
        </w:rPr>
        <w:t>P</w:t>
      </w:r>
      <w:r w:rsidRPr="06275A3F">
        <w:rPr>
          <w:rFonts w:eastAsia="Times New Roman" w:cs="Calibri"/>
          <w:kern w:val="0"/>
          <w14:ligatures w14:val="none"/>
        </w:rPr>
        <w:t>olicy applies to resident</w:t>
      </w:r>
      <w:r w:rsidR="00CA0A27" w:rsidRPr="06275A3F">
        <w:rPr>
          <w:rFonts w:eastAsia="Times New Roman" w:cs="Calibri"/>
          <w:kern w:val="0"/>
          <w14:ligatures w14:val="none"/>
        </w:rPr>
        <w:t xml:space="preserve">ial </w:t>
      </w:r>
      <w:r w:rsidR="00DB5B8B" w:rsidRPr="06275A3F">
        <w:rPr>
          <w:rFonts w:eastAsia="Times New Roman" w:cs="Calibri"/>
          <w:kern w:val="0"/>
          <w14:ligatures w14:val="none"/>
        </w:rPr>
        <w:t xml:space="preserve">property </w:t>
      </w:r>
      <w:r w:rsidR="00723822" w:rsidRPr="06275A3F">
        <w:rPr>
          <w:rFonts w:eastAsia="Times New Roman" w:cs="Calibri"/>
          <w:kern w:val="0"/>
          <w14:ligatures w14:val="none"/>
        </w:rPr>
        <w:t>owners</w:t>
      </w:r>
      <w:r w:rsidRPr="06275A3F">
        <w:rPr>
          <w:rFonts w:eastAsia="Times New Roman" w:cs="Calibri"/>
          <w:kern w:val="0"/>
          <w14:ligatures w14:val="none"/>
        </w:rPr>
        <w:t xml:space="preserve"> as well as their lessees, so long as the activities the </w:t>
      </w:r>
      <w:r w:rsidR="00723822" w:rsidRPr="06275A3F">
        <w:rPr>
          <w:rFonts w:eastAsia="Times New Roman" w:cs="Calibri"/>
          <w:kern w:val="0"/>
          <w14:ligatures w14:val="none"/>
        </w:rPr>
        <w:t>lessees</w:t>
      </w:r>
      <w:r w:rsidRPr="06275A3F">
        <w:rPr>
          <w:rFonts w:eastAsia="Times New Roman" w:cs="Calibri"/>
          <w:kern w:val="0"/>
          <w14:ligatures w14:val="none"/>
        </w:rPr>
        <w:t xml:space="preserve"> </w:t>
      </w:r>
      <w:r w:rsidR="00723822" w:rsidRPr="06275A3F">
        <w:rPr>
          <w:rFonts w:eastAsia="Times New Roman" w:cs="Calibri"/>
          <w:kern w:val="0"/>
          <w14:ligatures w14:val="none"/>
        </w:rPr>
        <w:t>under</w:t>
      </w:r>
      <w:r w:rsidRPr="06275A3F">
        <w:rPr>
          <w:rFonts w:eastAsia="Times New Roman" w:cs="Calibri"/>
          <w:kern w:val="0"/>
          <w14:ligatures w14:val="none"/>
        </w:rPr>
        <w:t xml:space="preserve">take on the property are consistent with the </w:t>
      </w:r>
      <w:r w:rsidR="006E41EF" w:rsidRPr="06275A3F">
        <w:rPr>
          <w:rFonts w:eastAsia="Times New Roman" w:cs="Calibri"/>
          <w:kern w:val="0"/>
          <w14:ligatures w14:val="none"/>
        </w:rPr>
        <w:t>P</w:t>
      </w:r>
      <w:r w:rsidRPr="06275A3F">
        <w:rPr>
          <w:rFonts w:eastAsia="Times New Roman" w:cs="Calibri"/>
          <w:kern w:val="0"/>
          <w14:ligatures w14:val="none"/>
        </w:rPr>
        <w:t xml:space="preserve">olicy. The </w:t>
      </w:r>
      <w:r w:rsidR="00B873AE" w:rsidRPr="06275A3F">
        <w:rPr>
          <w:rFonts w:eastAsia="Times New Roman" w:cs="Calibri"/>
          <w:kern w:val="0"/>
          <w14:ligatures w14:val="none"/>
        </w:rPr>
        <w:t>P</w:t>
      </w:r>
      <w:r w:rsidRPr="06275A3F">
        <w:rPr>
          <w:rFonts w:eastAsia="Times New Roman" w:cs="Calibri"/>
          <w:kern w:val="0"/>
          <w14:ligatures w14:val="none"/>
        </w:rPr>
        <w:t xml:space="preserve">olicy also applies to residential </w:t>
      </w:r>
      <w:r w:rsidR="00166CB0" w:rsidRPr="06275A3F">
        <w:rPr>
          <w:rFonts w:eastAsia="Times New Roman" w:cs="Calibri"/>
          <w:kern w:val="0"/>
          <w14:ligatures w14:val="none"/>
        </w:rPr>
        <w:t xml:space="preserve">property </w:t>
      </w:r>
      <w:r w:rsidRPr="06275A3F">
        <w:rPr>
          <w:rFonts w:eastAsia="Times New Roman" w:cs="Calibri"/>
          <w:kern w:val="0"/>
          <w14:ligatures w14:val="none"/>
        </w:rPr>
        <w:t>owners who acquire property through purchase, foreclosure, gift, inheritance, or other form</w:t>
      </w:r>
      <w:r w:rsidR="002D0218" w:rsidRPr="06275A3F">
        <w:rPr>
          <w:rFonts w:eastAsia="Times New Roman" w:cs="Calibri"/>
          <w:kern w:val="0"/>
          <w14:ligatures w14:val="none"/>
        </w:rPr>
        <w:t>s</w:t>
      </w:r>
      <w:r w:rsidRPr="06275A3F">
        <w:rPr>
          <w:rFonts w:eastAsia="Times New Roman" w:cs="Calibri"/>
          <w:kern w:val="0"/>
          <w14:ligatures w14:val="none"/>
        </w:rPr>
        <w:t xml:space="preserve"> of acquisition, </w:t>
      </w:r>
      <w:proofErr w:type="gramStart"/>
      <w:r w:rsidRPr="06275A3F">
        <w:rPr>
          <w:rFonts w:eastAsia="Times New Roman" w:cs="Calibri"/>
          <w:kern w:val="0"/>
          <w14:ligatures w14:val="none"/>
        </w:rPr>
        <w:t>as long as</w:t>
      </w:r>
      <w:proofErr w:type="gramEnd"/>
      <w:r w:rsidRPr="06275A3F">
        <w:rPr>
          <w:rFonts w:eastAsia="Times New Roman" w:cs="Calibri"/>
          <w:kern w:val="0"/>
          <w14:ligatures w14:val="none"/>
        </w:rPr>
        <w:t xml:space="preserve"> the activities the resident undertakes on the property after acquisition are consistent with the </w:t>
      </w:r>
      <w:r w:rsidR="00A445F6" w:rsidRPr="06275A3F">
        <w:rPr>
          <w:rFonts w:eastAsia="Times New Roman" w:cs="Calibri"/>
          <w:kern w:val="0"/>
          <w14:ligatures w14:val="none"/>
        </w:rPr>
        <w:t>P</w:t>
      </w:r>
      <w:r w:rsidRPr="06275A3F">
        <w:rPr>
          <w:rFonts w:eastAsia="Times New Roman" w:cs="Calibri"/>
          <w:kern w:val="0"/>
          <w14:ligatures w14:val="none"/>
        </w:rPr>
        <w:t>olicy.</w:t>
      </w:r>
      <w:r w:rsidR="00EF52D8" w:rsidRPr="06275A3F">
        <w:rPr>
          <w:rFonts w:eastAsia="Times New Roman" w:cs="Calibri"/>
          <w:kern w:val="0"/>
          <w14:ligatures w14:val="none"/>
        </w:rPr>
        <w:t xml:space="preserve"> [</w:t>
      </w:r>
      <w:r w:rsidR="00B15057" w:rsidRPr="06275A3F">
        <w:rPr>
          <w:rFonts w:eastAsia="Times New Roman" w:cs="Calibri"/>
          <w:b/>
          <w:bCs/>
          <w:kern w:val="0"/>
          <w14:ligatures w14:val="none"/>
        </w:rPr>
        <w:t xml:space="preserve">Optional: </w:t>
      </w:r>
      <w:r w:rsidR="00630D05" w:rsidRPr="06275A3F">
        <w:rPr>
          <w:rFonts w:eastAsia="Times New Roman" w:cs="Calibri"/>
          <w:kern w:val="0"/>
          <w14:ligatures w14:val="none"/>
        </w:rPr>
        <w:t xml:space="preserve">Based </w:t>
      </w:r>
      <w:r w:rsidR="00B15057" w:rsidRPr="06275A3F">
        <w:rPr>
          <w:rFonts w:eastAsia="Times New Roman" w:cs="Calibri"/>
          <w:kern w:val="0"/>
          <w14:ligatures w14:val="none"/>
        </w:rPr>
        <w:t>up</w:t>
      </w:r>
      <w:r w:rsidR="00630D05" w:rsidRPr="06275A3F">
        <w:rPr>
          <w:rFonts w:eastAsia="Times New Roman" w:cs="Calibri"/>
          <w:kern w:val="0"/>
          <w14:ligatures w14:val="none"/>
        </w:rPr>
        <w:t>on [the information you have shared with the EPA or information the EPA has independently verified]</w:t>
      </w:r>
      <w:r w:rsidR="00EF52D8" w:rsidRPr="06275A3F">
        <w:rPr>
          <w:rFonts w:eastAsia="Times New Roman" w:cs="Calibri"/>
          <w:kern w:val="0"/>
          <w14:ligatures w14:val="none"/>
        </w:rPr>
        <w:t xml:space="preserve">, the Policy may apply.] </w:t>
      </w:r>
      <w:r w:rsidRPr="06275A3F">
        <w:rPr>
          <w:rFonts w:eastAsia="Times New Roman" w:cs="Calibri"/>
          <w:kern w:val="0"/>
          <w14:ligatures w14:val="none"/>
        </w:rPr>
        <w:t>Residential property owners who purchase contaminated property also may be able to take advantage of the BFPP</w:t>
      </w:r>
      <w:r w:rsidR="00EA597B" w:rsidRPr="06275A3F">
        <w:rPr>
          <w:rStyle w:val="FootnoteReference"/>
          <w:rFonts w:eastAsia="Times New Roman" w:cs="Calibri"/>
          <w:kern w:val="0"/>
          <w14:ligatures w14:val="none"/>
        </w:rPr>
        <w:footnoteReference w:id="4"/>
      </w:r>
      <w:r w:rsidRPr="06275A3F">
        <w:rPr>
          <w:rFonts w:eastAsia="Times New Roman" w:cs="Calibri"/>
          <w:kern w:val="0"/>
          <w14:ligatures w14:val="none"/>
        </w:rPr>
        <w:t xml:space="preserve"> protection. CERCLA § 101(40)(B)(ii)(III) provides that a</w:t>
      </w:r>
      <w:r w:rsidR="003F4310" w:rsidRPr="06275A3F">
        <w:rPr>
          <w:rFonts w:eastAsia="Times New Roman" w:cs="Calibri"/>
          <w:kern w:val="0"/>
          <w14:ligatures w14:val="none"/>
        </w:rPr>
        <w:t xml:space="preserve"> facility</w:t>
      </w:r>
      <w:r w:rsidRPr="06275A3F">
        <w:rPr>
          <w:rFonts w:eastAsia="Times New Roman" w:cs="Calibri"/>
          <w:kern w:val="0"/>
          <w14:ligatures w14:val="none"/>
        </w:rPr>
        <w:t xml:space="preserve"> inspection and title search that reveal no basis for further investigation will satisfy </w:t>
      </w:r>
      <w:proofErr w:type="gramStart"/>
      <w:r w:rsidRPr="06275A3F">
        <w:rPr>
          <w:rFonts w:eastAsia="Times New Roman" w:cs="Calibri"/>
          <w:kern w:val="0"/>
          <w14:ligatures w14:val="none"/>
        </w:rPr>
        <w:t xml:space="preserve">the </w:t>
      </w:r>
      <w:r w:rsidR="00C13095" w:rsidRPr="06275A3F">
        <w:rPr>
          <w:rFonts w:eastAsia="Times New Roman" w:cs="Calibri"/>
          <w:kern w:val="0"/>
          <w14:ligatures w14:val="none"/>
        </w:rPr>
        <w:t>all</w:t>
      </w:r>
      <w:proofErr w:type="gramEnd"/>
      <w:r w:rsidR="00C13095" w:rsidRPr="06275A3F">
        <w:rPr>
          <w:rFonts w:eastAsia="Times New Roman" w:cs="Calibri"/>
          <w:kern w:val="0"/>
          <w14:ligatures w14:val="none"/>
        </w:rPr>
        <w:t xml:space="preserve"> appropriate inquiry</w:t>
      </w:r>
      <w:r w:rsidRPr="06275A3F">
        <w:rPr>
          <w:rFonts w:eastAsia="Times New Roman" w:cs="Calibri"/>
          <w:kern w:val="0"/>
          <w14:ligatures w14:val="none"/>
        </w:rPr>
        <w:t xml:space="preserve"> requirement of the BFPP protection for a</w:t>
      </w:r>
      <w:r w:rsidR="00144A26" w:rsidRPr="06275A3F">
        <w:rPr>
          <w:rFonts w:eastAsia="Times New Roman" w:cs="Calibri"/>
          <w:kern w:val="0"/>
          <w14:ligatures w14:val="none"/>
        </w:rPr>
        <w:t xml:space="preserve"> </w:t>
      </w:r>
      <w:r w:rsidR="0070134D">
        <w:rPr>
          <w:rFonts w:eastAsia="Times New Roman" w:cs="Calibri"/>
          <w:kern w:val="0"/>
          <w14:ligatures w14:val="none"/>
        </w:rPr>
        <w:t>property in</w:t>
      </w:r>
      <w:r w:rsidR="008A1824">
        <w:rPr>
          <w:rFonts w:eastAsia="Times New Roman" w:cs="Calibri"/>
          <w:kern w:val="0"/>
          <w14:ligatures w14:val="none"/>
        </w:rPr>
        <w:t xml:space="preserve"> </w:t>
      </w:r>
      <w:r w:rsidR="006D57B1" w:rsidRPr="06275A3F">
        <w:rPr>
          <w:rFonts w:eastAsia="Times New Roman" w:cs="Calibri"/>
          <w:kern w:val="0"/>
          <w14:ligatures w14:val="none"/>
        </w:rPr>
        <w:t>residential or other similar use at the time of purchase by a nongovernmental or noncommercial entity</w:t>
      </w:r>
      <w:r w:rsidRPr="06275A3F">
        <w:rPr>
          <w:rFonts w:eastAsia="Times New Roman" w:cs="Calibri"/>
          <w:kern w:val="0"/>
          <w14:ligatures w14:val="none"/>
        </w:rPr>
        <w:t xml:space="preserve">. </w:t>
      </w:r>
    </w:p>
    <w:p w14:paraId="04D8EE2B" w14:textId="77777777" w:rsidR="00570037" w:rsidRPr="00501C2D" w:rsidRDefault="00570037" w:rsidP="0020069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A02ED88" w14:textId="2B000BD0" w:rsidR="168E9459" w:rsidRPr="00501C2D" w:rsidRDefault="168E9459">
      <w:pPr>
        <w:rPr>
          <w:rFonts w:ascii="Times New Roman" w:hAnsi="Times New Roman" w:cs="Times New Roman"/>
          <w:szCs w:val="24"/>
        </w:rPr>
      </w:pPr>
    </w:p>
    <w:sectPr w:rsidR="168E9459" w:rsidRPr="00501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9424" w14:textId="77777777" w:rsidR="007D27F9" w:rsidRDefault="007D27F9" w:rsidP="00343874">
      <w:pPr>
        <w:spacing w:after="0" w:line="240" w:lineRule="auto"/>
      </w:pPr>
      <w:r>
        <w:separator/>
      </w:r>
    </w:p>
  </w:endnote>
  <w:endnote w:type="continuationSeparator" w:id="0">
    <w:p w14:paraId="3ED42FCA" w14:textId="77777777" w:rsidR="007D27F9" w:rsidRDefault="007D27F9" w:rsidP="0034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8099" w14:textId="77777777" w:rsidR="007D27F9" w:rsidRDefault="007D27F9" w:rsidP="00343874">
      <w:pPr>
        <w:spacing w:after="0" w:line="240" w:lineRule="auto"/>
      </w:pPr>
      <w:r>
        <w:separator/>
      </w:r>
    </w:p>
  </w:footnote>
  <w:footnote w:type="continuationSeparator" w:id="0">
    <w:p w14:paraId="57FD93EC" w14:textId="77777777" w:rsidR="007D27F9" w:rsidRDefault="007D27F9" w:rsidP="00343874">
      <w:pPr>
        <w:spacing w:after="0" w:line="240" w:lineRule="auto"/>
      </w:pPr>
      <w:r>
        <w:continuationSeparator/>
      </w:r>
    </w:p>
  </w:footnote>
  <w:footnote w:id="1">
    <w:p w14:paraId="0975EB5A" w14:textId="710B45D9" w:rsidR="00343874" w:rsidRPr="00297088" w:rsidRDefault="00343874">
      <w:pPr>
        <w:pStyle w:val="FootnoteText"/>
        <w:rPr>
          <w:rFonts w:cs="Calibri"/>
        </w:rPr>
      </w:pPr>
      <w:r w:rsidRPr="00297088">
        <w:rPr>
          <w:rStyle w:val="FootnoteReference"/>
          <w:rFonts w:cs="Calibri"/>
        </w:rPr>
        <w:footnoteRef/>
      </w:r>
      <w:r w:rsidRPr="00297088">
        <w:rPr>
          <w:rFonts w:cs="Calibri"/>
        </w:rPr>
        <w:t xml:space="preserve"> </w:t>
      </w:r>
      <w:r w:rsidRPr="00297088">
        <w:rPr>
          <w:rFonts w:eastAsia="Times New Roman" w:cs="Calibri"/>
          <w:kern w:val="0"/>
          <w:szCs w:val="24"/>
          <w14:ligatures w14:val="none"/>
        </w:rPr>
        <w:t xml:space="preserve">For more information, </w:t>
      </w:r>
      <w:r w:rsidRPr="00297088">
        <w:rPr>
          <w:rFonts w:eastAsia="Times New Roman" w:cs="Calibri"/>
          <w:i/>
          <w:iCs/>
          <w:kern w:val="0"/>
          <w:szCs w:val="24"/>
          <w14:ligatures w14:val="none"/>
        </w:rPr>
        <w:t>see Fact Sheet</w:t>
      </w:r>
      <w:r w:rsidR="00AD7D48" w:rsidRPr="00297088">
        <w:rPr>
          <w:rFonts w:eastAsia="Times New Roman" w:cs="Calibri"/>
          <w:i/>
          <w:iCs/>
          <w:kern w:val="0"/>
          <w:szCs w:val="24"/>
          <w14:ligatures w14:val="none"/>
        </w:rPr>
        <w:t>:</w:t>
      </w:r>
      <w:r w:rsidRPr="00297088">
        <w:rPr>
          <w:rFonts w:eastAsia="Times New Roman" w:cs="Calibri"/>
          <w:i/>
          <w:iCs/>
          <w:kern w:val="0"/>
          <w:szCs w:val="24"/>
          <w14:ligatures w14:val="none"/>
        </w:rPr>
        <w:t xml:space="preserve"> Updated Questions and Answers on the CERCLA Lender Liability Exemption</w:t>
      </w:r>
      <w:r w:rsidR="00AD7D48" w:rsidRPr="00297088">
        <w:rPr>
          <w:rFonts w:eastAsia="Times New Roman" w:cs="Calibri"/>
          <w:kern w:val="0"/>
          <w:szCs w:val="24"/>
          <w14:ligatures w14:val="none"/>
        </w:rPr>
        <w:t xml:space="preserve"> (July 2007)</w:t>
      </w:r>
      <w:r w:rsidRPr="00297088">
        <w:rPr>
          <w:rFonts w:eastAsia="Times New Roman" w:cs="Calibri"/>
          <w:kern w:val="0"/>
          <w:szCs w:val="24"/>
          <w14:ligatures w14:val="none"/>
        </w:rPr>
        <w:t xml:space="preserve">, available on the Agency’s website at </w:t>
      </w:r>
      <w:hyperlink r:id="rId1" w:history="1">
        <w:r w:rsidRPr="00297088">
          <w:rPr>
            <w:rStyle w:val="Hyperlink"/>
            <w:rFonts w:eastAsia="Times New Roman" w:cs="Calibri"/>
            <w:kern w:val="0"/>
            <w:szCs w:val="24"/>
            <w14:ligatures w14:val="none"/>
          </w:rPr>
          <w:t>https://www.epa.gov/enforcement/fact-sheet-updated-questions-and-answers-cercla-lender-liability-exemption</w:t>
        </w:r>
      </w:hyperlink>
      <w:r w:rsidRPr="00297088">
        <w:rPr>
          <w:rFonts w:eastAsia="Times New Roman" w:cs="Calibri"/>
          <w:kern w:val="0"/>
          <w:szCs w:val="24"/>
          <w14:ligatures w14:val="none"/>
        </w:rPr>
        <w:t>.</w:t>
      </w:r>
    </w:p>
  </w:footnote>
  <w:footnote w:id="2">
    <w:p w14:paraId="58E6698F" w14:textId="11EA5C4A" w:rsidR="003E7A71" w:rsidRPr="00297088" w:rsidRDefault="003E7A71">
      <w:pPr>
        <w:pStyle w:val="FootnoteText"/>
        <w:rPr>
          <w:rFonts w:cs="Calibri"/>
        </w:rPr>
      </w:pPr>
      <w:r w:rsidRPr="00297088">
        <w:rPr>
          <w:rStyle w:val="FootnoteReference"/>
          <w:rFonts w:cs="Calibri"/>
        </w:rPr>
        <w:footnoteRef/>
      </w:r>
      <w:r w:rsidRPr="00297088">
        <w:rPr>
          <w:rFonts w:cs="Calibri"/>
        </w:rPr>
        <w:t xml:space="preserve"> </w:t>
      </w:r>
      <w:r w:rsidR="008869A1" w:rsidRPr="00297088">
        <w:rPr>
          <w:rFonts w:eastAsia="Times New Roman" w:cs="Calibri"/>
          <w:kern w:val="0"/>
          <w:szCs w:val="24"/>
          <w14:ligatures w14:val="none"/>
        </w:rPr>
        <w:t xml:space="preserve">The Policy is available on the Agency’s website at </w:t>
      </w:r>
      <w:hyperlink r:id="rId2" w:history="1">
        <w:r w:rsidR="008869A1" w:rsidRPr="00297088">
          <w:rPr>
            <w:rStyle w:val="Hyperlink"/>
            <w:rFonts w:eastAsia="Times New Roman" w:cs="Calibri"/>
            <w:kern w:val="0"/>
            <w:szCs w:val="24"/>
            <w14:ligatures w14:val="none"/>
          </w:rPr>
          <w:t>https://www.epa.gov/enforcement/guidance-owners-property-containing-contaminated-aquifers</w:t>
        </w:r>
      </w:hyperlink>
      <w:r w:rsidR="008869A1" w:rsidRPr="00297088">
        <w:rPr>
          <w:rFonts w:eastAsia="Times New Roman" w:cs="Calibri"/>
          <w:kern w:val="0"/>
          <w:szCs w:val="24"/>
          <w14:ligatures w14:val="none"/>
        </w:rPr>
        <w:t>.</w:t>
      </w:r>
    </w:p>
  </w:footnote>
  <w:footnote w:id="3">
    <w:p w14:paraId="742D97A2" w14:textId="21741BF2" w:rsidR="008869A1" w:rsidRDefault="008869A1">
      <w:pPr>
        <w:pStyle w:val="FootnoteText"/>
      </w:pPr>
      <w:r w:rsidRPr="00297088">
        <w:rPr>
          <w:rStyle w:val="FootnoteReference"/>
          <w:rFonts w:cs="Calibri"/>
        </w:rPr>
        <w:footnoteRef/>
      </w:r>
      <w:r w:rsidRPr="00297088">
        <w:rPr>
          <w:rFonts w:cs="Calibri"/>
        </w:rPr>
        <w:t xml:space="preserve"> </w:t>
      </w:r>
      <w:r w:rsidRPr="00297088">
        <w:rPr>
          <w:rFonts w:eastAsia="Times New Roman" w:cs="Calibri"/>
          <w:kern w:val="0"/>
          <w:szCs w:val="24"/>
          <w14:ligatures w14:val="none"/>
        </w:rPr>
        <w:t xml:space="preserve">The Policy is available on the Agency’s website at </w:t>
      </w:r>
      <w:hyperlink r:id="rId3" w:history="1">
        <w:r w:rsidRPr="00297088">
          <w:rPr>
            <w:rStyle w:val="Hyperlink"/>
            <w:rFonts w:eastAsia="Times New Roman" w:cs="Calibri"/>
            <w:kern w:val="0"/>
            <w:szCs w:val="24"/>
            <w14:ligatures w14:val="none"/>
          </w:rPr>
          <w:t>https://www.epa.gov/enforcement/guidance-owners-residential-property-superfund-sites</w:t>
        </w:r>
      </w:hyperlink>
      <w:r w:rsidRPr="00297088">
        <w:rPr>
          <w:rFonts w:eastAsia="Times New Roman" w:cs="Calibri"/>
          <w:kern w:val="0"/>
          <w:szCs w:val="24"/>
          <w14:ligatures w14:val="none"/>
        </w:rPr>
        <w:t>.</w:t>
      </w:r>
    </w:p>
  </w:footnote>
  <w:footnote w:id="4">
    <w:p w14:paraId="3575F048" w14:textId="570F35D5" w:rsidR="00EA597B" w:rsidRDefault="00EA597B">
      <w:pPr>
        <w:pStyle w:val="FootnoteText"/>
      </w:pPr>
      <w:r>
        <w:rPr>
          <w:rStyle w:val="FootnoteReference"/>
        </w:rPr>
        <w:footnoteRef/>
      </w:r>
      <w:r>
        <w:t xml:space="preserve"> Spell out if this is the first time this acronym is used in a letter: Bona Fide Prospective Purchaser (BFPP)</w:t>
      </w:r>
      <w:r w:rsidR="00D1111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2991"/>
    <w:multiLevelType w:val="multilevel"/>
    <w:tmpl w:val="C97A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C06215"/>
    <w:multiLevelType w:val="multilevel"/>
    <w:tmpl w:val="25A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13452"/>
    <w:multiLevelType w:val="multilevel"/>
    <w:tmpl w:val="B66E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A81D6F"/>
    <w:multiLevelType w:val="multilevel"/>
    <w:tmpl w:val="CB30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068025">
    <w:abstractNumId w:val="2"/>
  </w:num>
  <w:num w:numId="2" w16cid:durableId="1991396239">
    <w:abstractNumId w:val="0"/>
  </w:num>
  <w:num w:numId="3" w16cid:durableId="468476565">
    <w:abstractNumId w:val="3"/>
  </w:num>
  <w:num w:numId="4" w16cid:durableId="92977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93"/>
    <w:rsid w:val="00033469"/>
    <w:rsid w:val="00035697"/>
    <w:rsid w:val="00035D6A"/>
    <w:rsid w:val="00041E76"/>
    <w:rsid w:val="0004414B"/>
    <w:rsid w:val="000533A1"/>
    <w:rsid w:val="0008366F"/>
    <w:rsid w:val="0009214F"/>
    <w:rsid w:val="000B6810"/>
    <w:rsid w:val="000D09F2"/>
    <w:rsid w:val="000E06E4"/>
    <w:rsid w:val="000F0427"/>
    <w:rsid w:val="000F7B7D"/>
    <w:rsid w:val="00123172"/>
    <w:rsid w:val="00126552"/>
    <w:rsid w:val="00142056"/>
    <w:rsid w:val="001430CD"/>
    <w:rsid w:val="00144A26"/>
    <w:rsid w:val="00145DC2"/>
    <w:rsid w:val="00146366"/>
    <w:rsid w:val="00166CB0"/>
    <w:rsid w:val="001C147A"/>
    <w:rsid w:val="001D1177"/>
    <w:rsid w:val="001F19F8"/>
    <w:rsid w:val="001F354D"/>
    <w:rsid w:val="00200693"/>
    <w:rsid w:val="002150A4"/>
    <w:rsid w:val="002219CB"/>
    <w:rsid w:val="002221F6"/>
    <w:rsid w:val="00230C44"/>
    <w:rsid w:val="0023533A"/>
    <w:rsid w:val="002445E3"/>
    <w:rsid w:val="00264580"/>
    <w:rsid w:val="00271055"/>
    <w:rsid w:val="0027553A"/>
    <w:rsid w:val="00292969"/>
    <w:rsid w:val="00293206"/>
    <w:rsid w:val="00297088"/>
    <w:rsid w:val="002A5691"/>
    <w:rsid w:val="002B3428"/>
    <w:rsid w:val="002C45AB"/>
    <w:rsid w:val="002C6E5E"/>
    <w:rsid w:val="002D0218"/>
    <w:rsid w:val="00306E1B"/>
    <w:rsid w:val="00311B31"/>
    <w:rsid w:val="003161F2"/>
    <w:rsid w:val="003378E6"/>
    <w:rsid w:val="00343874"/>
    <w:rsid w:val="003454B7"/>
    <w:rsid w:val="00381CF1"/>
    <w:rsid w:val="00384F4E"/>
    <w:rsid w:val="003863A2"/>
    <w:rsid w:val="00391149"/>
    <w:rsid w:val="003A0784"/>
    <w:rsid w:val="003D0145"/>
    <w:rsid w:val="003E2F77"/>
    <w:rsid w:val="003E7A71"/>
    <w:rsid w:val="003F29D0"/>
    <w:rsid w:val="003F4310"/>
    <w:rsid w:val="004361D0"/>
    <w:rsid w:val="00436410"/>
    <w:rsid w:val="00446A14"/>
    <w:rsid w:val="004707F6"/>
    <w:rsid w:val="00475EAC"/>
    <w:rsid w:val="00491E36"/>
    <w:rsid w:val="004B2E30"/>
    <w:rsid w:val="004B7B29"/>
    <w:rsid w:val="004D7E9F"/>
    <w:rsid w:val="00501C2D"/>
    <w:rsid w:val="00502586"/>
    <w:rsid w:val="005138CC"/>
    <w:rsid w:val="005320E7"/>
    <w:rsid w:val="00535F6D"/>
    <w:rsid w:val="005414D7"/>
    <w:rsid w:val="00565149"/>
    <w:rsid w:val="00570037"/>
    <w:rsid w:val="00570536"/>
    <w:rsid w:val="005741ED"/>
    <w:rsid w:val="00576993"/>
    <w:rsid w:val="00591559"/>
    <w:rsid w:val="005A5FF6"/>
    <w:rsid w:val="005A7A85"/>
    <w:rsid w:val="005B3C4E"/>
    <w:rsid w:val="005B5D84"/>
    <w:rsid w:val="005D3C43"/>
    <w:rsid w:val="005E6CFF"/>
    <w:rsid w:val="005F4F37"/>
    <w:rsid w:val="006227F6"/>
    <w:rsid w:val="00626EBC"/>
    <w:rsid w:val="00630891"/>
    <w:rsid w:val="00630D05"/>
    <w:rsid w:val="00645B69"/>
    <w:rsid w:val="00655389"/>
    <w:rsid w:val="006554E6"/>
    <w:rsid w:val="00661D27"/>
    <w:rsid w:val="00667C77"/>
    <w:rsid w:val="00671507"/>
    <w:rsid w:val="006815FE"/>
    <w:rsid w:val="006952B0"/>
    <w:rsid w:val="006D57B1"/>
    <w:rsid w:val="006E2050"/>
    <w:rsid w:val="006E41EF"/>
    <w:rsid w:val="006F244F"/>
    <w:rsid w:val="0070134D"/>
    <w:rsid w:val="00723822"/>
    <w:rsid w:val="007249FA"/>
    <w:rsid w:val="00732C43"/>
    <w:rsid w:val="00737DAA"/>
    <w:rsid w:val="00741E6E"/>
    <w:rsid w:val="0077205D"/>
    <w:rsid w:val="00784C24"/>
    <w:rsid w:val="007861B3"/>
    <w:rsid w:val="007948CC"/>
    <w:rsid w:val="007A07B1"/>
    <w:rsid w:val="007D0BE2"/>
    <w:rsid w:val="007D27F9"/>
    <w:rsid w:val="007E4A57"/>
    <w:rsid w:val="007F223B"/>
    <w:rsid w:val="008077D4"/>
    <w:rsid w:val="00831193"/>
    <w:rsid w:val="00832871"/>
    <w:rsid w:val="00835315"/>
    <w:rsid w:val="008373C0"/>
    <w:rsid w:val="00841862"/>
    <w:rsid w:val="00874DCA"/>
    <w:rsid w:val="008869A1"/>
    <w:rsid w:val="00891535"/>
    <w:rsid w:val="0089612F"/>
    <w:rsid w:val="008A1824"/>
    <w:rsid w:val="008B3001"/>
    <w:rsid w:val="008B76A9"/>
    <w:rsid w:val="008D66FE"/>
    <w:rsid w:val="008F17F9"/>
    <w:rsid w:val="009051CB"/>
    <w:rsid w:val="009166BD"/>
    <w:rsid w:val="0092509E"/>
    <w:rsid w:val="00930174"/>
    <w:rsid w:val="00931A5D"/>
    <w:rsid w:val="00944213"/>
    <w:rsid w:val="00951612"/>
    <w:rsid w:val="00965A4D"/>
    <w:rsid w:val="00970379"/>
    <w:rsid w:val="0097176B"/>
    <w:rsid w:val="00981A1B"/>
    <w:rsid w:val="00987905"/>
    <w:rsid w:val="009B1287"/>
    <w:rsid w:val="009B22F9"/>
    <w:rsid w:val="009B4867"/>
    <w:rsid w:val="009B7926"/>
    <w:rsid w:val="009D2437"/>
    <w:rsid w:val="00A02282"/>
    <w:rsid w:val="00A03EEC"/>
    <w:rsid w:val="00A2595D"/>
    <w:rsid w:val="00A41AF7"/>
    <w:rsid w:val="00A445F6"/>
    <w:rsid w:val="00A61681"/>
    <w:rsid w:val="00A74D5C"/>
    <w:rsid w:val="00A83C68"/>
    <w:rsid w:val="00A86079"/>
    <w:rsid w:val="00A91725"/>
    <w:rsid w:val="00A91FF8"/>
    <w:rsid w:val="00AA2F52"/>
    <w:rsid w:val="00AA53F4"/>
    <w:rsid w:val="00AC5565"/>
    <w:rsid w:val="00AD393B"/>
    <w:rsid w:val="00AD4D4A"/>
    <w:rsid w:val="00AD7D48"/>
    <w:rsid w:val="00AE6F5B"/>
    <w:rsid w:val="00AF051F"/>
    <w:rsid w:val="00B15057"/>
    <w:rsid w:val="00B15EBF"/>
    <w:rsid w:val="00B32300"/>
    <w:rsid w:val="00B371D1"/>
    <w:rsid w:val="00B40AD7"/>
    <w:rsid w:val="00B57F6D"/>
    <w:rsid w:val="00B75D9B"/>
    <w:rsid w:val="00B81A3D"/>
    <w:rsid w:val="00B82132"/>
    <w:rsid w:val="00B85294"/>
    <w:rsid w:val="00B86D48"/>
    <w:rsid w:val="00B873AE"/>
    <w:rsid w:val="00BA3141"/>
    <w:rsid w:val="00BB08AF"/>
    <w:rsid w:val="00BB3CC5"/>
    <w:rsid w:val="00BC701C"/>
    <w:rsid w:val="00BD385B"/>
    <w:rsid w:val="00BF5816"/>
    <w:rsid w:val="00C125D1"/>
    <w:rsid w:val="00C13095"/>
    <w:rsid w:val="00C56477"/>
    <w:rsid w:val="00CA0A27"/>
    <w:rsid w:val="00CA28A9"/>
    <w:rsid w:val="00CB79DC"/>
    <w:rsid w:val="00CC196F"/>
    <w:rsid w:val="00CD66A7"/>
    <w:rsid w:val="00CE08E7"/>
    <w:rsid w:val="00D11116"/>
    <w:rsid w:val="00D314B1"/>
    <w:rsid w:val="00D4332F"/>
    <w:rsid w:val="00D928E7"/>
    <w:rsid w:val="00DB47DB"/>
    <w:rsid w:val="00DB5B8B"/>
    <w:rsid w:val="00DD3880"/>
    <w:rsid w:val="00DE53B0"/>
    <w:rsid w:val="00DF5FDB"/>
    <w:rsid w:val="00E05D5C"/>
    <w:rsid w:val="00E12B91"/>
    <w:rsid w:val="00E4173A"/>
    <w:rsid w:val="00E574CD"/>
    <w:rsid w:val="00E63780"/>
    <w:rsid w:val="00E8442A"/>
    <w:rsid w:val="00E90E36"/>
    <w:rsid w:val="00E9171A"/>
    <w:rsid w:val="00EA597B"/>
    <w:rsid w:val="00EC206E"/>
    <w:rsid w:val="00ED31C9"/>
    <w:rsid w:val="00EE635D"/>
    <w:rsid w:val="00EF5051"/>
    <w:rsid w:val="00EF52D8"/>
    <w:rsid w:val="00F149EC"/>
    <w:rsid w:val="00F20DB8"/>
    <w:rsid w:val="00F44449"/>
    <w:rsid w:val="00F46AC3"/>
    <w:rsid w:val="00FA0C6E"/>
    <w:rsid w:val="00FA1A6E"/>
    <w:rsid w:val="00FA1D7E"/>
    <w:rsid w:val="00FB0DD8"/>
    <w:rsid w:val="00FB35DE"/>
    <w:rsid w:val="00FB47C2"/>
    <w:rsid w:val="00FC2B07"/>
    <w:rsid w:val="06275A3F"/>
    <w:rsid w:val="0778E303"/>
    <w:rsid w:val="0D369B49"/>
    <w:rsid w:val="0DC965FB"/>
    <w:rsid w:val="168E9459"/>
    <w:rsid w:val="1D5BA6EC"/>
    <w:rsid w:val="1DC148E3"/>
    <w:rsid w:val="21401620"/>
    <w:rsid w:val="230572A1"/>
    <w:rsid w:val="2648AD3A"/>
    <w:rsid w:val="289FC112"/>
    <w:rsid w:val="2C75701D"/>
    <w:rsid w:val="2EB31ABE"/>
    <w:rsid w:val="3283363D"/>
    <w:rsid w:val="33BABC86"/>
    <w:rsid w:val="35BFD762"/>
    <w:rsid w:val="391F817A"/>
    <w:rsid w:val="39EBD731"/>
    <w:rsid w:val="3EE655E0"/>
    <w:rsid w:val="46A1B28A"/>
    <w:rsid w:val="4744F87A"/>
    <w:rsid w:val="4B5E020E"/>
    <w:rsid w:val="4C1E35B2"/>
    <w:rsid w:val="4D5BF410"/>
    <w:rsid w:val="4DC6B920"/>
    <w:rsid w:val="50B1BAD8"/>
    <w:rsid w:val="578B5973"/>
    <w:rsid w:val="5869B723"/>
    <w:rsid w:val="5AB03E29"/>
    <w:rsid w:val="64FA7B0F"/>
    <w:rsid w:val="661D967E"/>
    <w:rsid w:val="67858D53"/>
    <w:rsid w:val="69A6C32E"/>
    <w:rsid w:val="6D6C1400"/>
    <w:rsid w:val="76FF8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EAF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6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6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6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6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6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6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6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6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6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6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6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6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6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6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6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6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69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D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5565"/>
    <w:rPr>
      <w:rFonts w:ascii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5D3C4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38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38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8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1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4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7C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01C"/>
  </w:style>
  <w:style w:type="paragraph" w:styleId="Footer">
    <w:name w:val="footer"/>
    <w:basedOn w:val="Normal"/>
    <w:link w:val="FooterChar"/>
    <w:uiPriority w:val="99"/>
    <w:unhideWhenUsed/>
    <w:rsid w:val="00BC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pa.gov/enforcement/guidance-owners-residential-property-superfund-sites" TargetMode="External"/><Relationship Id="rId2" Type="http://schemas.openxmlformats.org/officeDocument/2006/relationships/hyperlink" Target="https://www.epa.gov/enforcement/guidance-owners-property-containing-contaminated-aquifers" TargetMode="External"/><Relationship Id="rId1" Type="http://schemas.openxmlformats.org/officeDocument/2006/relationships/hyperlink" Target="https://www.epa.gov/enforcement/fact-sheet-updated-questions-and-answers-cercla-lender-liability-exem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2025-10-02T12:47:00Z</dcterms:created>
  <dcterms:modified xsi:type="dcterms:W3CDTF">2025-10-02T12:47:00Z</dcterms:modified>
</cp:coreProperties>
</file>