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42BF" w14:textId="60CABA79" w:rsidR="0094497E" w:rsidRPr="006E75EE" w:rsidRDefault="0094497E" w:rsidP="0094497E">
      <w:pPr>
        <w:autoSpaceDE w:val="0"/>
        <w:autoSpaceDN w:val="0"/>
        <w:adjustRightInd w:val="0"/>
        <w:spacing w:before="0" w:after="0"/>
        <w:jc w:val="center"/>
        <w:rPr>
          <w:rFonts w:eastAsia="Times New Roman"/>
          <w:b/>
          <w:bCs/>
          <w:szCs w:val="24"/>
        </w:rPr>
      </w:pPr>
      <w:r w:rsidRPr="006E75EE">
        <w:rPr>
          <w:rFonts w:eastAsia="Times New Roman"/>
          <w:b/>
          <w:bCs/>
          <w:szCs w:val="24"/>
        </w:rPr>
        <w:t xml:space="preserve">MODEL ADMINISTRATIVE SETTLEMENT AGREEMENT </w:t>
      </w:r>
    </w:p>
    <w:p w14:paraId="52203DA7" w14:textId="77777777" w:rsidR="0094497E" w:rsidRPr="006E75EE" w:rsidRDefault="0094497E" w:rsidP="0094497E">
      <w:pPr>
        <w:autoSpaceDE w:val="0"/>
        <w:autoSpaceDN w:val="0"/>
        <w:adjustRightInd w:val="0"/>
        <w:spacing w:before="0" w:after="0"/>
        <w:jc w:val="center"/>
        <w:rPr>
          <w:rFonts w:eastAsia="Times New Roman"/>
          <w:b/>
          <w:bCs/>
          <w:szCs w:val="24"/>
        </w:rPr>
      </w:pPr>
      <w:r w:rsidRPr="006E75EE">
        <w:rPr>
          <w:rFonts w:eastAsia="Times New Roman"/>
          <w:b/>
          <w:bCs/>
          <w:szCs w:val="24"/>
        </w:rPr>
        <w:t xml:space="preserve">AND ORDER ON CONSENT FOR </w:t>
      </w:r>
    </w:p>
    <w:p w14:paraId="39EA0636" w14:textId="4F72552A" w:rsidR="0094497E" w:rsidRPr="006E75EE" w:rsidRDefault="0094497E" w:rsidP="0094497E">
      <w:pPr>
        <w:autoSpaceDE w:val="0"/>
        <w:autoSpaceDN w:val="0"/>
        <w:adjustRightInd w:val="0"/>
        <w:spacing w:before="0" w:after="0"/>
        <w:jc w:val="center"/>
        <w:rPr>
          <w:b/>
          <w:bCs/>
          <w:szCs w:val="24"/>
        </w:rPr>
      </w:pPr>
      <w:r w:rsidRPr="006E75EE">
        <w:rPr>
          <w:rFonts w:eastAsia="Times New Roman"/>
          <w:b/>
          <w:bCs/>
          <w:szCs w:val="24"/>
        </w:rPr>
        <w:t>REMEDIAL INVESTIGATION / FEASIBILITY STUDY</w:t>
      </w:r>
    </w:p>
    <w:p w14:paraId="703A18AD" w14:textId="79F580DA" w:rsidR="008B6587" w:rsidRPr="006E75EE" w:rsidRDefault="008B6587" w:rsidP="0094497E">
      <w:pPr>
        <w:autoSpaceDE w:val="0"/>
        <w:autoSpaceDN w:val="0"/>
        <w:adjustRightInd w:val="0"/>
        <w:spacing w:before="0" w:after="0"/>
        <w:jc w:val="center"/>
        <w:rPr>
          <w:b/>
          <w:bCs/>
          <w:szCs w:val="24"/>
        </w:rPr>
      </w:pPr>
      <w:r w:rsidRPr="006E75EE">
        <w:rPr>
          <w:b/>
        </w:rPr>
        <w:t>Use with Model RI/FS ASAOC Statement of Work</w:t>
      </w:r>
    </w:p>
    <w:p w14:paraId="61FD1796" w14:textId="5DBEC14F" w:rsidR="0094497E" w:rsidRPr="006E75EE" w:rsidRDefault="00542B90" w:rsidP="0094497E">
      <w:pPr>
        <w:pStyle w:val="Note"/>
        <w:spacing w:before="360"/>
        <w:jc w:val="center"/>
        <w:rPr>
          <w:rFonts w:ascii="Aptos" w:hAnsi="Aptos"/>
          <w:bCs/>
          <w:sz w:val="24"/>
          <w:szCs w:val="32"/>
          <w:lang w:val="en-US"/>
        </w:rPr>
      </w:pPr>
      <w:r>
        <w:rPr>
          <w:rFonts w:ascii="Aptos" w:hAnsi="Aptos"/>
          <w:bCs/>
          <w:sz w:val="24"/>
          <w:szCs w:val="32"/>
          <w:lang w:val="en-US"/>
        </w:rPr>
        <w:t>January</w:t>
      </w:r>
      <w:r w:rsidR="00862D18" w:rsidRPr="006E75EE">
        <w:rPr>
          <w:rFonts w:ascii="Aptos" w:hAnsi="Aptos"/>
          <w:bCs/>
          <w:sz w:val="24"/>
          <w:szCs w:val="32"/>
          <w:lang w:val="en-US"/>
        </w:rPr>
        <w:t xml:space="preserve"> 2026</w:t>
      </w:r>
    </w:p>
    <w:p w14:paraId="147C6E22" w14:textId="77777777" w:rsidR="00A538D6" w:rsidRPr="006E75EE" w:rsidRDefault="00A538D6" w:rsidP="00A538D6">
      <w:pPr>
        <w:rPr>
          <w:szCs w:val="24"/>
        </w:rPr>
      </w:pPr>
      <w:r w:rsidRPr="006E75EE">
        <w:rPr>
          <w:b/>
          <w:szCs w:val="24"/>
        </w:rPr>
        <w:t>Instructions:</w:t>
      </w:r>
    </w:p>
    <w:p w14:paraId="184943BA" w14:textId="77777777" w:rsidR="00A538D6" w:rsidRPr="006E75EE" w:rsidRDefault="00A538D6" w:rsidP="00A538D6">
      <w:pPr>
        <w:ind w:left="360" w:hanging="360"/>
      </w:pPr>
      <w:r w:rsidRPr="006E75EE">
        <w:t>•</w:t>
      </w:r>
      <w:r w:rsidRPr="006E75EE">
        <w:tab/>
        <w:t xml:space="preserve">This model and any internal procedures adopted for its implementation and use are intended solely as guidance for employees of the U.S. Environmental Protection Agency. They do not constitute rulemaking by EPA and may not be relied upon to create a right or benefit, substantive or procedural, enforceable at law or in equity, by any person. EPA may </w:t>
      </w:r>
      <w:proofErr w:type="gramStart"/>
      <w:r w:rsidRPr="006E75EE">
        <w:t>take action</w:t>
      </w:r>
      <w:proofErr w:type="gramEnd"/>
      <w:r w:rsidRPr="006E75EE">
        <w:t xml:space="preserve"> at variance with this model or its internal implementing procedures. </w:t>
      </w:r>
    </w:p>
    <w:p w14:paraId="0794312D" w14:textId="60FECA65" w:rsidR="00F4566B" w:rsidRPr="006E75EE" w:rsidRDefault="00F4566B" w:rsidP="00A538D6">
      <w:pPr>
        <w:ind w:left="360" w:hanging="360"/>
      </w:pPr>
      <w:r w:rsidRPr="006E75EE">
        <w:t>•</w:t>
      </w:r>
      <w:r w:rsidRPr="006E75EE">
        <w:tab/>
        <w:t xml:space="preserve">Follow the footnoted instructions to edit the document as needed. </w:t>
      </w:r>
    </w:p>
    <w:p w14:paraId="4DB7F5E2" w14:textId="77777777" w:rsidR="00A538D6" w:rsidRPr="006E75EE" w:rsidRDefault="00A538D6" w:rsidP="00A538D6">
      <w:pPr>
        <w:ind w:left="360" w:hanging="360"/>
      </w:pPr>
      <w:r w:rsidRPr="006E75EE">
        <w:t>•</w:t>
      </w:r>
      <w:r w:rsidRPr="006E75EE">
        <w:tab/>
        <w:t>To insert text copied from a different document, always use the “Paste Special” function: Press Ctrl-Alt-V &gt; click “Unformatted Text” &gt; “OK.” Pasting text from a different document using “Ctrl-V” will cause unpredictable and frustrating formatting results.</w:t>
      </w:r>
    </w:p>
    <w:p w14:paraId="2560CB9A" w14:textId="77777777" w:rsidR="00A538D6" w:rsidRPr="006E75EE" w:rsidRDefault="00A538D6" w:rsidP="00A538D6">
      <w:pPr>
        <w:ind w:left="360" w:hanging="360"/>
      </w:pPr>
      <w:r w:rsidRPr="006E75EE">
        <w:t>•</w:t>
      </w:r>
      <w:r w:rsidRPr="006E75EE">
        <w:tab/>
        <w:t>To insert a new paragraph or Section heading, move the cursor to location of new paragraph, and press “Enter.” To assign the desired outline level to your new paragraph: click “Home” &gt; within the “Styles” box, click the “LVL 1”, “LVL 2,” etc., style as appropriate.</w:t>
      </w:r>
    </w:p>
    <w:p w14:paraId="0D6F8706" w14:textId="77777777" w:rsidR="00A538D6" w:rsidRPr="006E75EE" w:rsidRDefault="00A538D6" w:rsidP="00A538D6">
      <w:pPr>
        <w:ind w:left="360" w:hanging="360"/>
      </w:pPr>
      <w:r w:rsidRPr="006E75EE">
        <w:t>•</w:t>
      </w:r>
      <w:r w:rsidRPr="006E75EE">
        <w:tab/>
        <w:t>To add an updateable section or paragraph cross-reference: Move cursor to desired location &gt; Click “References” tab &gt; “Cross-reference” &gt; under “Reference type,” select “Numbered item” &gt; under “Insert reference to,” select “Paragraph Number (full context)” &gt; under “For which numbered item,” select the desired § or ¶ &gt; “Insert.”</w:t>
      </w:r>
    </w:p>
    <w:p w14:paraId="0A9BADE0" w14:textId="5B50524D" w:rsidR="00A538D6" w:rsidRPr="006E75EE" w:rsidRDefault="00A538D6" w:rsidP="00A538D6">
      <w:pPr>
        <w:ind w:left="360" w:hanging="360"/>
      </w:pPr>
      <w:r w:rsidRPr="006E75EE">
        <w:t>•</w:t>
      </w:r>
      <w:r w:rsidRPr="006E75EE">
        <w:tab/>
      </w:r>
      <w:r w:rsidR="00F4566B" w:rsidRPr="006E75EE">
        <w:t xml:space="preserve">Do not manually update the cross reference. </w:t>
      </w:r>
      <w:r w:rsidRPr="006E75EE">
        <w:t xml:space="preserve">To </w:t>
      </w:r>
      <w:r w:rsidR="00F4566B" w:rsidRPr="006E75EE">
        <w:t xml:space="preserve">automatically </w:t>
      </w:r>
      <w:r w:rsidRPr="006E75EE">
        <w:t>update the cross-references, follow one of these procedures:</w:t>
      </w:r>
    </w:p>
    <w:p w14:paraId="116A22CD" w14:textId="77777777" w:rsidR="00A538D6" w:rsidRPr="006E75EE" w:rsidRDefault="00A538D6" w:rsidP="00A538D6">
      <w:pPr>
        <w:ind w:left="360" w:hanging="360"/>
      </w:pPr>
      <w:r w:rsidRPr="006E75EE">
        <w:tab/>
        <w:t>(i) Press Ctrl-A &gt; right-click &gt; click “Update Field” &gt; click “Update Entire Table” &gt; “OK.”</w:t>
      </w:r>
    </w:p>
    <w:p w14:paraId="2FC5BD55" w14:textId="77777777" w:rsidR="00A538D6" w:rsidRPr="006E75EE" w:rsidRDefault="00A538D6" w:rsidP="00A538D6">
      <w:pPr>
        <w:ind w:left="360" w:hanging="360"/>
      </w:pPr>
      <w:r w:rsidRPr="006E75EE">
        <w:tab/>
        <w:t xml:space="preserve">(ii) Press Ctrl-A &gt; </w:t>
      </w:r>
      <w:proofErr w:type="spellStart"/>
      <w:r w:rsidRPr="006E75EE">
        <w:t>fn</w:t>
      </w:r>
      <w:proofErr w:type="spellEnd"/>
      <w:r w:rsidRPr="006E75EE">
        <w:t xml:space="preserve"> key-F9 &gt; “update entire table” &gt; OK. Note: If a numbered ¶ that was cross-referenced elsewhere in the document has been deleted, remove the “broken” ¶ cross-reference. To find broken cross-references, search for “Error!”.</w:t>
      </w:r>
    </w:p>
    <w:p w14:paraId="55CA56DA" w14:textId="77777777" w:rsidR="00A538D6" w:rsidRPr="006E75EE" w:rsidRDefault="00A538D6" w:rsidP="00A538D6">
      <w:pPr>
        <w:ind w:left="360" w:hanging="360"/>
      </w:pPr>
    </w:p>
    <w:p w14:paraId="27822B61" w14:textId="77777777" w:rsidR="0094497E" w:rsidRPr="006E75EE" w:rsidRDefault="0094497E">
      <w:pPr>
        <w:spacing w:before="0" w:after="0"/>
        <w:rPr>
          <w:b/>
          <w:szCs w:val="24"/>
        </w:rPr>
      </w:pPr>
      <w:r w:rsidRPr="006E75EE">
        <w:rPr>
          <w:b/>
          <w:szCs w:val="24"/>
        </w:rPr>
        <w:br w:type="page"/>
      </w:r>
    </w:p>
    <w:p w14:paraId="729887C4" w14:textId="295A1158" w:rsidR="008170B1" w:rsidRPr="006E75EE" w:rsidRDefault="008170B1" w:rsidP="008170B1">
      <w:pPr>
        <w:autoSpaceDE w:val="0"/>
        <w:autoSpaceDN w:val="0"/>
        <w:adjustRightInd w:val="0"/>
        <w:spacing w:before="0" w:after="0" w:line="276" w:lineRule="auto"/>
        <w:contextualSpacing/>
        <w:jc w:val="center"/>
        <w:rPr>
          <w:szCs w:val="24"/>
        </w:rPr>
      </w:pPr>
      <w:r w:rsidRPr="006E75EE">
        <w:rPr>
          <w:szCs w:val="24"/>
        </w:rPr>
        <w:lastRenderedPageBreak/>
        <w:t xml:space="preserve">UNITED STATES </w:t>
      </w:r>
    </w:p>
    <w:p w14:paraId="609D4D55" w14:textId="77777777" w:rsidR="008170B1" w:rsidRPr="006E75EE" w:rsidRDefault="008170B1" w:rsidP="008170B1">
      <w:pPr>
        <w:autoSpaceDE w:val="0"/>
        <w:autoSpaceDN w:val="0"/>
        <w:adjustRightInd w:val="0"/>
        <w:spacing w:before="0" w:after="0" w:line="276" w:lineRule="auto"/>
        <w:contextualSpacing/>
        <w:jc w:val="center"/>
        <w:rPr>
          <w:szCs w:val="24"/>
        </w:rPr>
      </w:pPr>
      <w:r w:rsidRPr="006E75EE">
        <w:rPr>
          <w:szCs w:val="24"/>
        </w:rPr>
        <w:t>ENVIRONMENTAL PROTECTION AGENCY</w:t>
      </w:r>
    </w:p>
    <w:p w14:paraId="0DAC9BB6" w14:textId="7B26A1ED" w:rsidR="008170B1" w:rsidRPr="006E75EE" w:rsidRDefault="008170B1" w:rsidP="008170B1">
      <w:pPr>
        <w:autoSpaceDE w:val="0"/>
        <w:autoSpaceDN w:val="0"/>
        <w:adjustRightInd w:val="0"/>
        <w:spacing w:before="0" w:after="0" w:line="276" w:lineRule="auto"/>
        <w:contextualSpacing/>
        <w:jc w:val="center"/>
        <w:rPr>
          <w:szCs w:val="24"/>
        </w:rPr>
      </w:pPr>
      <w:r w:rsidRPr="006E75EE">
        <w:rPr>
          <w:szCs w:val="24"/>
        </w:rPr>
        <w:t>REGION ___</w:t>
      </w:r>
    </w:p>
    <w:p w14:paraId="141EFCA9" w14:textId="77777777" w:rsidR="00161CF3" w:rsidRPr="006E75EE" w:rsidRDefault="00161CF3" w:rsidP="000808D6">
      <w:pPr>
        <w:autoSpaceDE w:val="0"/>
        <w:autoSpaceDN w:val="0"/>
        <w:adjustRightInd w:val="0"/>
        <w:spacing w:before="0" w:after="0" w:line="276" w:lineRule="auto"/>
        <w:contextualSpacing/>
        <w:jc w:val="center"/>
        <w:rPr>
          <w:szCs w:val="24"/>
        </w:rPr>
      </w:pPr>
    </w:p>
    <w:p w14:paraId="31DE42D3" w14:textId="77777777" w:rsidR="008170B1" w:rsidRPr="006E75EE" w:rsidRDefault="008170B1" w:rsidP="00AA2C06">
      <w:pPr>
        <w:tabs>
          <w:tab w:val="left" w:pos="720"/>
          <w:tab w:val="left" w:pos="1440"/>
          <w:tab w:val="left" w:pos="2160"/>
          <w:tab w:val="left" w:pos="2880"/>
        </w:tabs>
        <w:autoSpaceDE w:val="0"/>
        <w:autoSpaceDN w:val="0"/>
        <w:adjustRightInd w:val="0"/>
        <w:spacing w:before="0" w:after="0"/>
        <w:ind w:left="2880" w:hanging="2880"/>
        <w:rPr>
          <w:rFonts w:eastAsia="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4680"/>
      </w:tblGrid>
      <w:tr w:rsidR="0094497E" w:rsidRPr="006E75EE" w14:paraId="4EB195B5" w14:textId="77777777" w:rsidTr="00647917">
        <w:tc>
          <w:tcPr>
            <w:tcW w:w="4680" w:type="dxa"/>
            <w:tcBorders>
              <w:top w:val="single" w:sz="4" w:space="0" w:color="auto"/>
              <w:bottom w:val="single" w:sz="4" w:space="0" w:color="auto"/>
            </w:tcBorders>
          </w:tcPr>
          <w:p w14:paraId="63E83753" w14:textId="77777777" w:rsidR="0094497E" w:rsidRPr="006E75EE" w:rsidRDefault="0094497E" w:rsidP="00DD04BE">
            <w:pPr>
              <w:pStyle w:val="NoSpacing"/>
            </w:pPr>
          </w:p>
          <w:p w14:paraId="4B2F6938" w14:textId="77777777" w:rsidR="0094497E" w:rsidRPr="006E75EE" w:rsidRDefault="0094497E" w:rsidP="000808D6">
            <w:pPr>
              <w:pStyle w:val="NoSpacing"/>
            </w:pPr>
            <w:r w:rsidRPr="006E75EE">
              <w:t>IN THE MATTER OF:</w:t>
            </w:r>
          </w:p>
          <w:p w14:paraId="2388C1E6" w14:textId="77777777" w:rsidR="0094497E" w:rsidRPr="006E75EE" w:rsidRDefault="0094497E" w:rsidP="000808D6">
            <w:pPr>
              <w:pStyle w:val="NoSpacing"/>
            </w:pPr>
          </w:p>
          <w:p w14:paraId="0B014266" w14:textId="77777777" w:rsidR="0094497E" w:rsidRPr="006E75EE" w:rsidRDefault="0094497E" w:rsidP="000808D6">
            <w:pPr>
              <w:pStyle w:val="NoSpacing"/>
            </w:pPr>
            <w:r w:rsidRPr="006E75EE">
              <w:t>[Site Name and Location]</w:t>
            </w:r>
          </w:p>
          <w:p w14:paraId="3F78C076" w14:textId="77777777" w:rsidR="0094497E" w:rsidRPr="006E75EE" w:rsidRDefault="0094497E" w:rsidP="000808D6">
            <w:pPr>
              <w:pStyle w:val="NoSpacing"/>
            </w:pPr>
          </w:p>
          <w:p w14:paraId="7DE6E7F7" w14:textId="0AD0653C" w:rsidR="0094497E" w:rsidRPr="006E75EE" w:rsidRDefault="0094497E" w:rsidP="000808D6">
            <w:pPr>
              <w:pStyle w:val="NoSpacing"/>
            </w:pPr>
            <w:r w:rsidRPr="006E75EE">
              <w:t>[Names of Respondents],</w:t>
            </w:r>
            <w:r w:rsidR="005440A5" w:rsidRPr="006E75EE">
              <w:rPr>
                <w:rStyle w:val="FootnoteReference"/>
                <w:color w:val="auto"/>
              </w:rPr>
              <w:footnoteReference w:id="2"/>
            </w:r>
          </w:p>
          <w:p w14:paraId="4DF361BE" w14:textId="4C776930" w:rsidR="0094497E" w:rsidRPr="006E75EE" w:rsidRDefault="0094497E" w:rsidP="000808D6">
            <w:pPr>
              <w:pStyle w:val="NoSpacing"/>
            </w:pPr>
          </w:p>
          <w:p w14:paraId="1AB3C685" w14:textId="3E55DFC3" w:rsidR="0094497E" w:rsidRPr="006E75EE" w:rsidRDefault="0094497E" w:rsidP="00A8337A">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6E75EE">
              <w:t>Respondents</w:t>
            </w:r>
          </w:p>
          <w:p w14:paraId="7DD39795" w14:textId="7F7623FD" w:rsidR="0094497E" w:rsidRPr="006E75EE" w:rsidRDefault="0094497E" w:rsidP="00A8337A">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p>
          <w:p w14:paraId="396B22F8" w14:textId="3D1200C6" w:rsidR="0094497E" w:rsidRPr="006E75EE" w:rsidRDefault="007B2FF6" w:rsidP="00A8337A">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r w:rsidRPr="006E75EE">
              <w:rPr>
                <w:rFonts w:eastAsia="Times New Roman"/>
                <w:szCs w:val="24"/>
              </w:rPr>
              <w:t>[</w:t>
            </w:r>
            <w:r w:rsidR="0094497E" w:rsidRPr="006E75EE">
              <w:rPr>
                <w:rFonts w:eastAsia="Times New Roman"/>
                <w:szCs w:val="24"/>
              </w:rPr>
              <w:t>and</w:t>
            </w:r>
          </w:p>
          <w:p w14:paraId="5E29570A" w14:textId="70E809AE" w:rsidR="0094497E" w:rsidRPr="006E75EE" w:rsidRDefault="0094497E" w:rsidP="00A8337A">
            <w:pPr>
              <w:tabs>
                <w:tab w:val="left" w:pos="720"/>
                <w:tab w:val="left" w:pos="1440"/>
                <w:tab w:val="left" w:pos="2160"/>
                <w:tab w:val="left" w:pos="2880"/>
                <w:tab w:val="left" w:pos="3600"/>
                <w:tab w:val="left" w:pos="4320"/>
              </w:tabs>
              <w:autoSpaceDE w:val="0"/>
              <w:autoSpaceDN w:val="0"/>
              <w:adjustRightInd w:val="0"/>
              <w:spacing w:before="0" w:after="0"/>
              <w:ind w:left="4320" w:hanging="4320"/>
              <w:rPr>
                <w:rFonts w:eastAsia="Times New Roman"/>
                <w:szCs w:val="24"/>
              </w:rPr>
            </w:pPr>
          </w:p>
          <w:p w14:paraId="1C0B2A82" w14:textId="043DC21B" w:rsidR="0094497E" w:rsidRPr="006E75EE" w:rsidRDefault="0094497E" w:rsidP="00647917">
            <w:pPr>
              <w:tabs>
                <w:tab w:val="left" w:pos="720"/>
                <w:tab w:val="left" w:pos="1440"/>
                <w:tab w:val="left" w:pos="2160"/>
                <w:tab w:val="left" w:pos="2880"/>
                <w:tab w:val="left" w:pos="3600"/>
                <w:tab w:val="left" w:pos="4320"/>
              </w:tabs>
              <w:autoSpaceDE w:val="0"/>
              <w:autoSpaceDN w:val="0"/>
              <w:adjustRightInd w:val="0"/>
              <w:spacing w:before="0" w:after="0"/>
              <w:ind w:left="4320" w:hanging="4320"/>
            </w:pPr>
            <w:r w:rsidRPr="006E75EE">
              <w:rPr>
                <w:rFonts w:eastAsia="Times New Roman"/>
                <w:szCs w:val="24"/>
              </w:rPr>
              <w:t>Names of Settling Federal Agencies</w:t>
            </w:r>
            <w:r w:rsidR="007B2FF6" w:rsidRPr="006E75EE">
              <w:rPr>
                <w:rFonts w:eastAsia="Times New Roman"/>
                <w:szCs w:val="24"/>
              </w:rPr>
              <w:t>]</w:t>
            </w:r>
          </w:p>
          <w:p w14:paraId="00869763" w14:textId="5ABDBD61" w:rsidR="0094497E" w:rsidRPr="006E75EE" w:rsidRDefault="0094497E" w:rsidP="000808D6">
            <w:pPr>
              <w:pStyle w:val="NoSpacing"/>
            </w:pPr>
          </w:p>
          <w:p w14:paraId="3C172B79" w14:textId="25D8013B" w:rsidR="0094497E" w:rsidRPr="006E75EE" w:rsidRDefault="0094497E" w:rsidP="000808D6">
            <w:pPr>
              <w:pStyle w:val="NoSpacing"/>
            </w:pPr>
            <w:r w:rsidRPr="006E75EE">
              <w:rPr>
                <w:szCs w:val="24"/>
              </w:rPr>
              <w:t>Proceeding Under Sections 104, 107 and 122 of the Comprehensive Environmental Response, Compensation, and Liability Act</w:t>
            </w:r>
          </w:p>
          <w:p w14:paraId="1E5DF72D" w14:textId="77777777" w:rsidR="0094497E" w:rsidRPr="006E75EE" w:rsidRDefault="0094497E" w:rsidP="00DD04BE">
            <w:pPr>
              <w:pStyle w:val="NoSpacing"/>
            </w:pPr>
          </w:p>
        </w:tc>
        <w:tc>
          <w:tcPr>
            <w:tcW w:w="4680" w:type="dxa"/>
          </w:tcPr>
          <w:p w14:paraId="15E04A59" w14:textId="710ED853" w:rsidR="0094497E" w:rsidRPr="006E75EE" w:rsidRDefault="0094497E" w:rsidP="00DD04BE">
            <w:pPr>
              <w:pStyle w:val="NoSpacing"/>
            </w:pPr>
          </w:p>
          <w:p w14:paraId="5890F95E" w14:textId="34FA39E4" w:rsidR="0094497E" w:rsidRPr="006E75EE" w:rsidRDefault="0094497E" w:rsidP="00DD04BE">
            <w:pPr>
              <w:pStyle w:val="NoSpacing"/>
            </w:pPr>
          </w:p>
          <w:p w14:paraId="7E8BBBD6" w14:textId="77777777" w:rsidR="0094497E" w:rsidRPr="006E75EE" w:rsidRDefault="0094497E" w:rsidP="00DD04BE">
            <w:pPr>
              <w:pStyle w:val="NoSpacing"/>
            </w:pPr>
          </w:p>
          <w:p w14:paraId="4CBB7E76" w14:textId="25CC5375" w:rsidR="0094497E" w:rsidRPr="006E75EE" w:rsidRDefault="0094497E" w:rsidP="00647917">
            <w:pPr>
              <w:pStyle w:val="NoSpacing"/>
            </w:pPr>
            <w:r w:rsidRPr="006E75EE">
              <w:rPr>
                <w:rFonts w:eastAsia="Times New Roman"/>
                <w:szCs w:val="24"/>
              </w:rPr>
              <w:t>CERCLA Docket No. ____</w:t>
            </w:r>
          </w:p>
          <w:p w14:paraId="4FEF639C" w14:textId="020EA1AB" w:rsidR="0094497E" w:rsidRPr="006E75EE" w:rsidRDefault="0094497E" w:rsidP="00DD04BE">
            <w:pPr>
              <w:pStyle w:val="NoSpacing"/>
            </w:pPr>
          </w:p>
          <w:p w14:paraId="065CD5FF" w14:textId="77777777" w:rsidR="0094497E" w:rsidRPr="006E75EE" w:rsidRDefault="0094497E" w:rsidP="00DD04BE">
            <w:pPr>
              <w:pStyle w:val="NoSpacing"/>
            </w:pPr>
          </w:p>
          <w:p w14:paraId="5D32BDF9" w14:textId="77777777" w:rsidR="0094497E" w:rsidRPr="006E75EE" w:rsidRDefault="0094497E" w:rsidP="0011193E">
            <w:pPr>
              <w:pStyle w:val="NoSpacing"/>
              <w:rPr>
                <w:rFonts w:eastAsia="Times New Roman"/>
                <w:szCs w:val="24"/>
              </w:rPr>
            </w:pPr>
          </w:p>
          <w:p w14:paraId="369D617C" w14:textId="3D07C711" w:rsidR="0094497E" w:rsidRPr="006E75EE" w:rsidRDefault="0094497E" w:rsidP="00647917">
            <w:pPr>
              <w:pStyle w:val="NoSpacing"/>
            </w:pPr>
            <w:r w:rsidRPr="006E75EE">
              <w:rPr>
                <w:rFonts w:eastAsia="Times New Roman"/>
                <w:b/>
                <w:bCs/>
                <w:szCs w:val="24"/>
              </w:rPr>
              <w:t>ADMINISTRATIVE SETTLEMENT AGREEMENT AND ORDER ON</w:t>
            </w:r>
            <w:r w:rsidRPr="006E75EE">
              <w:rPr>
                <w:szCs w:val="24"/>
              </w:rPr>
              <w:t xml:space="preserve"> </w:t>
            </w:r>
            <w:r w:rsidRPr="006E75EE">
              <w:rPr>
                <w:rFonts w:eastAsia="Times New Roman"/>
                <w:b/>
                <w:bCs/>
                <w:szCs w:val="24"/>
              </w:rPr>
              <w:t>CONSENT FOR REMEDIAL INVESTIGATION AND FEASIBILITY STUDY</w:t>
            </w:r>
            <w:r w:rsidR="005440A5" w:rsidRPr="006E75EE">
              <w:rPr>
                <w:rStyle w:val="FootnoteReference"/>
                <w:rFonts w:eastAsia="Times New Roman"/>
                <w:b/>
                <w:bCs/>
                <w:color w:val="auto"/>
                <w:szCs w:val="24"/>
              </w:rPr>
              <w:footnoteReference w:id="3"/>
            </w:r>
          </w:p>
        </w:tc>
      </w:tr>
    </w:tbl>
    <w:p w14:paraId="43AA7093" w14:textId="0BD1B4DB" w:rsidR="00AA2C06" w:rsidRPr="006E75EE" w:rsidRDefault="00AA2C06" w:rsidP="00585A6B">
      <w:pPr>
        <w:autoSpaceDE w:val="0"/>
        <w:autoSpaceDN w:val="0"/>
        <w:adjustRightInd w:val="0"/>
        <w:spacing w:before="0" w:after="0"/>
        <w:rPr>
          <w:rFonts w:eastAsia="Times New Roman"/>
          <w:szCs w:val="24"/>
        </w:rPr>
      </w:pPr>
    </w:p>
    <w:p w14:paraId="0713ECEF" w14:textId="77777777" w:rsidR="00805023" w:rsidRPr="006E75EE" w:rsidRDefault="00805023" w:rsidP="00585A6B">
      <w:pPr>
        <w:autoSpaceDE w:val="0"/>
        <w:autoSpaceDN w:val="0"/>
        <w:adjustRightInd w:val="0"/>
        <w:spacing w:before="0" w:after="0"/>
        <w:rPr>
          <w:rFonts w:eastAsia="Times New Roman"/>
          <w:szCs w:val="24"/>
        </w:rPr>
      </w:pPr>
    </w:p>
    <w:p w14:paraId="75352055" w14:textId="77777777" w:rsidR="00885939" w:rsidRPr="006E75EE" w:rsidRDefault="009633C4" w:rsidP="002B7658">
      <w:pPr>
        <w:jc w:val="center"/>
        <w:rPr>
          <w:b/>
        </w:rPr>
      </w:pPr>
      <w:r w:rsidRPr="006E75EE">
        <w:br w:type="page"/>
      </w:r>
      <w:r w:rsidR="00CB3FA8" w:rsidRPr="006E75EE">
        <w:rPr>
          <w:b/>
        </w:rPr>
        <w:lastRenderedPageBreak/>
        <w:t>TABLE OF CONTENTS</w:t>
      </w:r>
    </w:p>
    <w:p w14:paraId="122645DB" w14:textId="77777777" w:rsidR="002B7658" w:rsidRPr="006E75EE" w:rsidRDefault="002B7658" w:rsidP="000808D6">
      <w:pPr>
        <w:pStyle w:val="NoSpacing"/>
      </w:pPr>
    </w:p>
    <w:p w14:paraId="46F38012" w14:textId="69A0DED8" w:rsidR="009166B4" w:rsidRPr="006E75EE" w:rsidRDefault="00885939">
      <w:pPr>
        <w:pStyle w:val="TOC1"/>
        <w:rPr>
          <w:rFonts w:eastAsiaTheme="minorEastAsia" w:cstheme="minorBidi"/>
          <w:kern w:val="2"/>
          <w:sz w:val="22"/>
          <w:szCs w:val="22"/>
          <w14:ligatures w14:val="standardContextual"/>
        </w:rPr>
      </w:pPr>
      <w:r w:rsidRPr="006E75EE">
        <w:fldChar w:fldCharType="begin"/>
      </w:r>
      <w:r w:rsidRPr="006E75EE">
        <w:instrText xml:space="preserve"> TOC \o "1-1" \u </w:instrText>
      </w:r>
      <w:r w:rsidRPr="006E75EE">
        <w:fldChar w:fldCharType="separate"/>
      </w:r>
      <w:r w:rsidR="009166B4" w:rsidRPr="006E75EE">
        <w:t>I.</w:t>
      </w:r>
      <w:r w:rsidR="009166B4" w:rsidRPr="006E75EE">
        <w:rPr>
          <w:rFonts w:eastAsiaTheme="minorEastAsia" w:cstheme="minorBidi"/>
          <w:kern w:val="2"/>
          <w:sz w:val="22"/>
          <w:szCs w:val="22"/>
          <w14:ligatures w14:val="standardContextual"/>
        </w:rPr>
        <w:tab/>
      </w:r>
      <w:r w:rsidR="009166B4" w:rsidRPr="006E75EE">
        <w:t>JURISDICTION AND GENERAL PROVISIONS</w:t>
      </w:r>
      <w:r w:rsidR="009166B4" w:rsidRPr="006E75EE">
        <w:tab/>
      </w:r>
      <w:r w:rsidR="009166B4" w:rsidRPr="006E75EE">
        <w:fldChar w:fldCharType="begin"/>
      </w:r>
      <w:r w:rsidR="009166B4" w:rsidRPr="006E75EE">
        <w:instrText xml:space="preserve"> PAGEREF _Toc184899532 \h </w:instrText>
      </w:r>
      <w:r w:rsidR="009166B4" w:rsidRPr="006E75EE">
        <w:fldChar w:fldCharType="separate"/>
      </w:r>
      <w:r w:rsidR="009166B4" w:rsidRPr="006E75EE">
        <w:t>1</w:t>
      </w:r>
      <w:r w:rsidR="009166B4" w:rsidRPr="006E75EE">
        <w:fldChar w:fldCharType="end"/>
      </w:r>
    </w:p>
    <w:p w14:paraId="0684FE72" w14:textId="1E85FAEF" w:rsidR="009166B4" w:rsidRPr="006E75EE" w:rsidRDefault="009166B4">
      <w:pPr>
        <w:pStyle w:val="TOC1"/>
        <w:rPr>
          <w:rFonts w:eastAsiaTheme="minorEastAsia" w:cstheme="minorBidi"/>
          <w:kern w:val="2"/>
          <w:sz w:val="22"/>
          <w:szCs w:val="22"/>
          <w14:ligatures w14:val="standardContextual"/>
        </w:rPr>
      </w:pPr>
      <w:r w:rsidRPr="006E75EE">
        <w:t>II.</w:t>
      </w:r>
      <w:r w:rsidRPr="006E75EE">
        <w:rPr>
          <w:rFonts w:eastAsiaTheme="minorEastAsia" w:cstheme="minorBidi"/>
          <w:kern w:val="2"/>
          <w:sz w:val="22"/>
          <w:szCs w:val="22"/>
          <w14:ligatures w14:val="standardContextual"/>
        </w:rPr>
        <w:tab/>
      </w:r>
      <w:r w:rsidRPr="006E75EE">
        <w:t>PARTIES BOUND</w:t>
      </w:r>
      <w:r w:rsidRPr="006E75EE">
        <w:tab/>
      </w:r>
      <w:r w:rsidRPr="006E75EE">
        <w:fldChar w:fldCharType="begin"/>
      </w:r>
      <w:r w:rsidRPr="006E75EE">
        <w:instrText xml:space="preserve"> PAGEREF _Toc184899533 \h </w:instrText>
      </w:r>
      <w:r w:rsidRPr="006E75EE">
        <w:fldChar w:fldCharType="separate"/>
      </w:r>
      <w:r w:rsidRPr="006E75EE">
        <w:t>1</w:t>
      </w:r>
      <w:r w:rsidRPr="006E75EE">
        <w:fldChar w:fldCharType="end"/>
      </w:r>
    </w:p>
    <w:p w14:paraId="37220EF7" w14:textId="10577E60" w:rsidR="009166B4" w:rsidRPr="006E75EE" w:rsidRDefault="009166B4">
      <w:pPr>
        <w:pStyle w:val="TOC1"/>
        <w:rPr>
          <w:rFonts w:eastAsiaTheme="minorEastAsia" w:cstheme="minorBidi"/>
          <w:kern w:val="2"/>
          <w:sz w:val="22"/>
          <w:szCs w:val="22"/>
          <w14:ligatures w14:val="standardContextual"/>
        </w:rPr>
      </w:pPr>
      <w:r w:rsidRPr="006E75EE">
        <w:t>III.</w:t>
      </w:r>
      <w:r w:rsidRPr="006E75EE">
        <w:rPr>
          <w:rFonts w:eastAsiaTheme="minorEastAsia" w:cstheme="minorBidi"/>
          <w:kern w:val="2"/>
          <w:sz w:val="22"/>
          <w:szCs w:val="22"/>
          <w14:ligatures w14:val="standardContextual"/>
        </w:rPr>
        <w:tab/>
      </w:r>
      <w:r w:rsidRPr="006E75EE">
        <w:t>DEFINITIONS</w:t>
      </w:r>
      <w:r w:rsidRPr="006E75EE">
        <w:tab/>
      </w:r>
      <w:r w:rsidRPr="006E75EE">
        <w:fldChar w:fldCharType="begin"/>
      </w:r>
      <w:r w:rsidRPr="006E75EE">
        <w:instrText xml:space="preserve"> PAGEREF _Toc184899534 \h </w:instrText>
      </w:r>
      <w:r w:rsidRPr="006E75EE">
        <w:fldChar w:fldCharType="separate"/>
      </w:r>
      <w:r w:rsidRPr="006E75EE">
        <w:t>2</w:t>
      </w:r>
      <w:r w:rsidRPr="006E75EE">
        <w:fldChar w:fldCharType="end"/>
      </w:r>
    </w:p>
    <w:p w14:paraId="30A4F25F" w14:textId="596E02A7" w:rsidR="009166B4" w:rsidRPr="006E75EE" w:rsidRDefault="009166B4">
      <w:pPr>
        <w:pStyle w:val="TOC1"/>
        <w:rPr>
          <w:rFonts w:eastAsiaTheme="minorEastAsia" w:cstheme="minorBidi"/>
          <w:kern w:val="2"/>
          <w:sz w:val="22"/>
          <w:szCs w:val="22"/>
          <w14:ligatures w14:val="standardContextual"/>
        </w:rPr>
      </w:pPr>
      <w:r w:rsidRPr="006E75EE">
        <w:t>IV.</w:t>
      </w:r>
      <w:r w:rsidRPr="006E75EE">
        <w:rPr>
          <w:rFonts w:eastAsiaTheme="minorEastAsia" w:cstheme="minorBidi"/>
          <w:kern w:val="2"/>
          <w:sz w:val="22"/>
          <w:szCs w:val="22"/>
          <w14:ligatures w14:val="standardContextual"/>
        </w:rPr>
        <w:tab/>
      </w:r>
      <w:r w:rsidRPr="006E75EE">
        <w:t>FINDINGS OF FACT</w:t>
      </w:r>
      <w:r w:rsidRPr="006E75EE">
        <w:tab/>
      </w:r>
      <w:r w:rsidRPr="006E75EE">
        <w:fldChar w:fldCharType="begin"/>
      </w:r>
      <w:r w:rsidRPr="006E75EE">
        <w:instrText xml:space="preserve"> PAGEREF _Toc184899535 \h </w:instrText>
      </w:r>
      <w:r w:rsidRPr="006E75EE">
        <w:fldChar w:fldCharType="separate"/>
      </w:r>
      <w:r w:rsidRPr="006E75EE">
        <w:t>7</w:t>
      </w:r>
      <w:r w:rsidRPr="006E75EE">
        <w:fldChar w:fldCharType="end"/>
      </w:r>
    </w:p>
    <w:p w14:paraId="42F2FBC8" w14:textId="0E3CF79C" w:rsidR="009166B4" w:rsidRPr="006E75EE" w:rsidRDefault="009166B4">
      <w:pPr>
        <w:pStyle w:val="TOC1"/>
        <w:rPr>
          <w:rFonts w:eastAsiaTheme="minorEastAsia" w:cstheme="minorBidi"/>
          <w:kern w:val="2"/>
          <w:sz w:val="22"/>
          <w:szCs w:val="22"/>
          <w14:ligatures w14:val="standardContextual"/>
        </w:rPr>
      </w:pPr>
      <w:r w:rsidRPr="006E75EE">
        <w:t>V.</w:t>
      </w:r>
      <w:r w:rsidRPr="006E75EE">
        <w:rPr>
          <w:rFonts w:eastAsiaTheme="minorEastAsia" w:cstheme="minorBidi"/>
          <w:kern w:val="2"/>
          <w:sz w:val="22"/>
          <w:szCs w:val="22"/>
          <w14:ligatures w14:val="standardContextual"/>
        </w:rPr>
        <w:tab/>
      </w:r>
      <w:r w:rsidRPr="006E75EE">
        <w:t>CONCLUSIONS OF LAW AND DETERMINATIONS</w:t>
      </w:r>
      <w:r w:rsidRPr="006E75EE">
        <w:tab/>
      </w:r>
      <w:r w:rsidRPr="006E75EE">
        <w:fldChar w:fldCharType="begin"/>
      </w:r>
      <w:r w:rsidRPr="006E75EE">
        <w:instrText xml:space="preserve"> PAGEREF _Toc184899536 \h </w:instrText>
      </w:r>
      <w:r w:rsidRPr="006E75EE">
        <w:fldChar w:fldCharType="separate"/>
      </w:r>
      <w:r w:rsidRPr="006E75EE">
        <w:t>8</w:t>
      </w:r>
      <w:r w:rsidRPr="006E75EE">
        <w:fldChar w:fldCharType="end"/>
      </w:r>
    </w:p>
    <w:p w14:paraId="7EB1F641" w14:textId="0BAA5CD2" w:rsidR="009166B4" w:rsidRPr="006E75EE" w:rsidRDefault="009166B4">
      <w:pPr>
        <w:pStyle w:val="TOC1"/>
        <w:rPr>
          <w:rFonts w:eastAsiaTheme="minorEastAsia" w:cstheme="minorBidi"/>
          <w:kern w:val="2"/>
          <w:sz w:val="22"/>
          <w:szCs w:val="22"/>
          <w14:ligatures w14:val="standardContextual"/>
        </w:rPr>
      </w:pPr>
      <w:r w:rsidRPr="006E75EE">
        <w:t>VI.</w:t>
      </w:r>
      <w:r w:rsidRPr="006E75EE">
        <w:rPr>
          <w:rFonts w:eastAsiaTheme="minorEastAsia" w:cstheme="minorBidi"/>
          <w:kern w:val="2"/>
          <w:sz w:val="22"/>
          <w:szCs w:val="22"/>
          <w14:ligatures w14:val="standardContextual"/>
        </w:rPr>
        <w:tab/>
      </w:r>
      <w:r w:rsidRPr="006E75EE">
        <w:t>ORDER AND AGREEMENT</w:t>
      </w:r>
      <w:r w:rsidRPr="006E75EE">
        <w:tab/>
      </w:r>
      <w:r w:rsidRPr="006E75EE">
        <w:fldChar w:fldCharType="begin"/>
      </w:r>
      <w:r w:rsidRPr="006E75EE">
        <w:instrText xml:space="preserve"> PAGEREF _Toc184899537 \h </w:instrText>
      </w:r>
      <w:r w:rsidRPr="006E75EE">
        <w:fldChar w:fldCharType="separate"/>
      </w:r>
      <w:r w:rsidRPr="006E75EE">
        <w:t>9</w:t>
      </w:r>
      <w:r w:rsidRPr="006E75EE">
        <w:fldChar w:fldCharType="end"/>
      </w:r>
    </w:p>
    <w:p w14:paraId="0C410A36" w14:textId="320FA644" w:rsidR="009166B4" w:rsidRPr="006E75EE" w:rsidRDefault="009166B4">
      <w:pPr>
        <w:pStyle w:val="TOC1"/>
        <w:rPr>
          <w:rFonts w:eastAsiaTheme="minorEastAsia" w:cstheme="minorBidi"/>
          <w:kern w:val="2"/>
          <w:sz w:val="22"/>
          <w:szCs w:val="22"/>
          <w14:ligatures w14:val="standardContextual"/>
        </w:rPr>
      </w:pPr>
      <w:r w:rsidRPr="006E75EE">
        <w:t>VII.</w:t>
      </w:r>
      <w:r w:rsidRPr="006E75EE">
        <w:rPr>
          <w:rFonts w:eastAsiaTheme="minorEastAsia" w:cstheme="minorBidi"/>
          <w:kern w:val="2"/>
          <w:sz w:val="22"/>
          <w:szCs w:val="22"/>
          <w14:ligatures w14:val="standardContextual"/>
        </w:rPr>
        <w:tab/>
      </w:r>
      <w:r w:rsidRPr="006E75EE">
        <w:t>PERFORMANCE OF THE WORK</w:t>
      </w:r>
      <w:r w:rsidRPr="006E75EE">
        <w:tab/>
      </w:r>
      <w:r w:rsidRPr="006E75EE">
        <w:fldChar w:fldCharType="begin"/>
      </w:r>
      <w:r w:rsidRPr="006E75EE">
        <w:instrText xml:space="preserve"> PAGEREF _Toc184899538 \h </w:instrText>
      </w:r>
      <w:r w:rsidRPr="006E75EE">
        <w:fldChar w:fldCharType="separate"/>
      </w:r>
      <w:r w:rsidRPr="006E75EE">
        <w:t>9</w:t>
      </w:r>
      <w:r w:rsidRPr="006E75EE">
        <w:fldChar w:fldCharType="end"/>
      </w:r>
    </w:p>
    <w:p w14:paraId="363170FD" w14:textId="5FC7C276" w:rsidR="009166B4" w:rsidRPr="006E75EE" w:rsidRDefault="009166B4">
      <w:pPr>
        <w:pStyle w:val="TOC1"/>
        <w:rPr>
          <w:rFonts w:eastAsiaTheme="minorEastAsia" w:cstheme="minorBidi"/>
          <w:kern w:val="2"/>
          <w:sz w:val="22"/>
          <w:szCs w:val="22"/>
          <w14:ligatures w14:val="standardContextual"/>
        </w:rPr>
      </w:pPr>
      <w:r w:rsidRPr="006E75EE">
        <w:t>VIII.</w:t>
      </w:r>
      <w:r w:rsidRPr="006E75EE">
        <w:rPr>
          <w:rFonts w:eastAsiaTheme="minorEastAsia" w:cstheme="minorBidi"/>
          <w:kern w:val="2"/>
          <w:sz w:val="22"/>
          <w:szCs w:val="22"/>
          <w14:ligatures w14:val="standardContextual"/>
        </w:rPr>
        <w:tab/>
      </w:r>
      <w:r w:rsidRPr="006E75EE">
        <w:t>PROPERTY REQUIREMENTS</w:t>
      </w:r>
      <w:r w:rsidRPr="006E75EE">
        <w:tab/>
      </w:r>
      <w:r w:rsidRPr="006E75EE">
        <w:fldChar w:fldCharType="begin"/>
      </w:r>
      <w:r w:rsidRPr="006E75EE">
        <w:instrText xml:space="preserve"> PAGEREF _Toc184899539 \h </w:instrText>
      </w:r>
      <w:r w:rsidRPr="006E75EE">
        <w:fldChar w:fldCharType="separate"/>
      </w:r>
      <w:r w:rsidRPr="006E75EE">
        <w:t>10</w:t>
      </w:r>
      <w:r w:rsidRPr="006E75EE">
        <w:fldChar w:fldCharType="end"/>
      </w:r>
    </w:p>
    <w:p w14:paraId="21C87CAB" w14:textId="154F5039" w:rsidR="009166B4" w:rsidRPr="006E75EE" w:rsidRDefault="009166B4">
      <w:pPr>
        <w:pStyle w:val="TOC1"/>
        <w:rPr>
          <w:rFonts w:eastAsiaTheme="minorEastAsia" w:cstheme="minorBidi"/>
          <w:kern w:val="2"/>
          <w:sz w:val="22"/>
          <w:szCs w:val="22"/>
          <w14:ligatures w14:val="standardContextual"/>
        </w:rPr>
      </w:pPr>
      <w:r w:rsidRPr="006E75EE">
        <w:t>IX.</w:t>
      </w:r>
      <w:r w:rsidRPr="006E75EE">
        <w:rPr>
          <w:rFonts w:eastAsiaTheme="minorEastAsia" w:cstheme="minorBidi"/>
          <w:kern w:val="2"/>
          <w:sz w:val="22"/>
          <w:szCs w:val="22"/>
          <w14:ligatures w14:val="standardContextual"/>
        </w:rPr>
        <w:tab/>
      </w:r>
      <w:r w:rsidRPr="006E75EE">
        <w:t>FINANCIAL ASSURANCE</w:t>
      </w:r>
      <w:r w:rsidRPr="006E75EE">
        <w:tab/>
      </w:r>
      <w:r w:rsidRPr="006E75EE">
        <w:fldChar w:fldCharType="begin"/>
      </w:r>
      <w:r w:rsidRPr="006E75EE">
        <w:instrText xml:space="preserve"> PAGEREF _Toc184899540 \h </w:instrText>
      </w:r>
      <w:r w:rsidRPr="006E75EE">
        <w:fldChar w:fldCharType="separate"/>
      </w:r>
      <w:r w:rsidRPr="006E75EE">
        <w:t>12</w:t>
      </w:r>
      <w:r w:rsidRPr="006E75EE">
        <w:fldChar w:fldCharType="end"/>
      </w:r>
    </w:p>
    <w:p w14:paraId="23636F09" w14:textId="2E0BA2B9" w:rsidR="009166B4" w:rsidRPr="006E75EE" w:rsidRDefault="009166B4">
      <w:pPr>
        <w:pStyle w:val="TOC1"/>
        <w:rPr>
          <w:rFonts w:eastAsiaTheme="minorEastAsia" w:cstheme="minorBidi"/>
          <w:kern w:val="2"/>
          <w:sz w:val="22"/>
          <w:szCs w:val="22"/>
          <w14:ligatures w14:val="standardContextual"/>
        </w:rPr>
      </w:pPr>
      <w:r w:rsidRPr="006E75EE">
        <w:t>X.</w:t>
      </w:r>
      <w:r w:rsidRPr="006E75EE">
        <w:rPr>
          <w:rFonts w:eastAsiaTheme="minorEastAsia" w:cstheme="minorBidi"/>
          <w:kern w:val="2"/>
          <w:sz w:val="22"/>
          <w:szCs w:val="22"/>
          <w14:ligatures w14:val="standardContextual"/>
        </w:rPr>
        <w:tab/>
      </w:r>
      <w:r w:rsidRPr="006E75EE">
        <w:t>INDEMNIFICATION AND INSURANCE</w:t>
      </w:r>
      <w:r w:rsidRPr="006E75EE">
        <w:tab/>
      </w:r>
      <w:r w:rsidRPr="006E75EE">
        <w:fldChar w:fldCharType="begin"/>
      </w:r>
      <w:r w:rsidRPr="006E75EE">
        <w:instrText xml:space="preserve"> PAGEREF _Toc184899541 \h </w:instrText>
      </w:r>
      <w:r w:rsidRPr="006E75EE">
        <w:fldChar w:fldCharType="separate"/>
      </w:r>
      <w:r w:rsidRPr="006E75EE">
        <w:t>17</w:t>
      </w:r>
      <w:r w:rsidRPr="006E75EE">
        <w:fldChar w:fldCharType="end"/>
      </w:r>
    </w:p>
    <w:p w14:paraId="38A7679D" w14:textId="0A4359F0" w:rsidR="009166B4" w:rsidRPr="006E75EE" w:rsidRDefault="009166B4">
      <w:pPr>
        <w:pStyle w:val="TOC1"/>
        <w:rPr>
          <w:rFonts w:eastAsiaTheme="minorEastAsia" w:cstheme="minorBidi"/>
          <w:kern w:val="2"/>
          <w:sz w:val="22"/>
          <w:szCs w:val="22"/>
          <w14:ligatures w14:val="standardContextual"/>
        </w:rPr>
      </w:pPr>
      <w:r w:rsidRPr="006E75EE">
        <w:t>XI.</w:t>
      </w:r>
      <w:r w:rsidRPr="006E75EE">
        <w:rPr>
          <w:rFonts w:eastAsiaTheme="minorEastAsia" w:cstheme="minorBidi"/>
          <w:kern w:val="2"/>
          <w:sz w:val="22"/>
          <w:szCs w:val="22"/>
          <w14:ligatures w14:val="standardContextual"/>
        </w:rPr>
        <w:tab/>
      </w:r>
      <w:r w:rsidRPr="006E75EE">
        <w:t>PAYMENTS FOR RESPONSE COSTS</w:t>
      </w:r>
      <w:r w:rsidRPr="006E75EE">
        <w:tab/>
      </w:r>
      <w:r w:rsidRPr="006E75EE">
        <w:fldChar w:fldCharType="begin"/>
      </w:r>
      <w:r w:rsidRPr="006E75EE">
        <w:instrText xml:space="preserve"> PAGEREF _Toc184899542 \h </w:instrText>
      </w:r>
      <w:r w:rsidRPr="006E75EE">
        <w:fldChar w:fldCharType="separate"/>
      </w:r>
      <w:r w:rsidRPr="006E75EE">
        <w:t>18</w:t>
      </w:r>
      <w:r w:rsidRPr="006E75EE">
        <w:fldChar w:fldCharType="end"/>
      </w:r>
    </w:p>
    <w:p w14:paraId="093EC67C" w14:textId="11451382" w:rsidR="009166B4" w:rsidRPr="006E75EE" w:rsidRDefault="009166B4">
      <w:pPr>
        <w:pStyle w:val="TOC1"/>
        <w:rPr>
          <w:rFonts w:eastAsiaTheme="minorEastAsia" w:cstheme="minorBidi"/>
          <w:kern w:val="2"/>
          <w:sz w:val="22"/>
          <w:szCs w:val="22"/>
          <w14:ligatures w14:val="standardContextual"/>
        </w:rPr>
      </w:pPr>
      <w:r w:rsidRPr="006E75EE">
        <w:t>XII.</w:t>
      </w:r>
      <w:r w:rsidRPr="006E75EE">
        <w:rPr>
          <w:rFonts w:eastAsiaTheme="minorEastAsia" w:cstheme="minorBidi"/>
          <w:kern w:val="2"/>
          <w:sz w:val="22"/>
          <w:szCs w:val="22"/>
          <w14:ligatures w14:val="standardContextual"/>
        </w:rPr>
        <w:tab/>
      </w:r>
      <w:r w:rsidRPr="006E75EE">
        <w:t>[NATURAL RESOURCE DAMAGES]</w:t>
      </w:r>
      <w:r w:rsidRPr="006E75EE">
        <w:tab/>
      </w:r>
      <w:r w:rsidRPr="006E75EE">
        <w:fldChar w:fldCharType="begin"/>
      </w:r>
      <w:r w:rsidRPr="006E75EE">
        <w:instrText xml:space="preserve"> PAGEREF _Toc184899543 \h </w:instrText>
      </w:r>
      <w:r w:rsidRPr="006E75EE">
        <w:fldChar w:fldCharType="separate"/>
      </w:r>
      <w:r w:rsidRPr="006E75EE">
        <w:t>21</w:t>
      </w:r>
      <w:r w:rsidRPr="006E75EE">
        <w:fldChar w:fldCharType="end"/>
      </w:r>
    </w:p>
    <w:p w14:paraId="48512B5C" w14:textId="27008EF2" w:rsidR="009166B4" w:rsidRPr="006E75EE" w:rsidRDefault="009166B4">
      <w:pPr>
        <w:pStyle w:val="TOC1"/>
        <w:rPr>
          <w:rFonts w:eastAsiaTheme="minorEastAsia" w:cstheme="minorBidi"/>
          <w:kern w:val="2"/>
          <w:sz w:val="22"/>
          <w:szCs w:val="22"/>
          <w14:ligatures w14:val="standardContextual"/>
        </w:rPr>
      </w:pPr>
      <w:r w:rsidRPr="006E75EE">
        <w:t>XIII.</w:t>
      </w:r>
      <w:r w:rsidRPr="006E75EE">
        <w:rPr>
          <w:rFonts w:eastAsiaTheme="minorEastAsia" w:cstheme="minorBidi"/>
          <w:kern w:val="2"/>
          <w:sz w:val="22"/>
          <w:szCs w:val="22"/>
          <w14:ligatures w14:val="standardContextual"/>
        </w:rPr>
        <w:tab/>
      </w:r>
      <w:r w:rsidRPr="006E75EE">
        <w:t>FORCE MAJEURE</w:t>
      </w:r>
      <w:r w:rsidRPr="006E75EE">
        <w:tab/>
      </w:r>
      <w:r w:rsidRPr="006E75EE">
        <w:fldChar w:fldCharType="begin"/>
      </w:r>
      <w:r w:rsidRPr="006E75EE">
        <w:instrText xml:space="preserve"> PAGEREF _Toc184899544 \h </w:instrText>
      </w:r>
      <w:r w:rsidRPr="006E75EE">
        <w:fldChar w:fldCharType="separate"/>
      </w:r>
      <w:r w:rsidRPr="006E75EE">
        <w:t>21</w:t>
      </w:r>
      <w:r w:rsidRPr="006E75EE">
        <w:fldChar w:fldCharType="end"/>
      </w:r>
    </w:p>
    <w:p w14:paraId="6CF9379E" w14:textId="77AFE205" w:rsidR="009166B4" w:rsidRPr="006E75EE" w:rsidRDefault="009166B4">
      <w:pPr>
        <w:pStyle w:val="TOC1"/>
        <w:rPr>
          <w:rFonts w:eastAsiaTheme="minorEastAsia" w:cstheme="minorBidi"/>
          <w:kern w:val="2"/>
          <w:sz w:val="22"/>
          <w:szCs w:val="22"/>
          <w14:ligatures w14:val="standardContextual"/>
        </w:rPr>
      </w:pPr>
      <w:r w:rsidRPr="006E75EE">
        <w:t>XIV.</w:t>
      </w:r>
      <w:r w:rsidRPr="006E75EE">
        <w:rPr>
          <w:rFonts w:eastAsiaTheme="minorEastAsia" w:cstheme="minorBidi"/>
          <w:kern w:val="2"/>
          <w:sz w:val="22"/>
          <w:szCs w:val="22"/>
          <w14:ligatures w14:val="standardContextual"/>
        </w:rPr>
        <w:tab/>
      </w:r>
      <w:r w:rsidRPr="006E75EE">
        <w:t>DISPUTE RESOLUTION</w:t>
      </w:r>
      <w:r w:rsidRPr="006E75EE">
        <w:tab/>
      </w:r>
      <w:r w:rsidRPr="006E75EE">
        <w:fldChar w:fldCharType="begin"/>
      </w:r>
      <w:r w:rsidRPr="006E75EE">
        <w:instrText xml:space="preserve"> PAGEREF _Toc184899545 \h </w:instrText>
      </w:r>
      <w:r w:rsidRPr="006E75EE">
        <w:fldChar w:fldCharType="separate"/>
      </w:r>
      <w:r w:rsidRPr="006E75EE">
        <w:t>22</w:t>
      </w:r>
      <w:r w:rsidRPr="006E75EE">
        <w:fldChar w:fldCharType="end"/>
      </w:r>
    </w:p>
    <w:p w14:paraId="2FD7A861" w14:textId="14E032DE" w:rsidR="009166B4" w:rsidRPr="006E75EE" w:rsidRDefault="009166B4">
      <w:pPr>
        <w:pStyle w:val="TOC1"/>
        <w:rPr>
          <w:rFonts w:eastAsiaTheme="minorEastAsia" w:cstheme="minorBidi"/>
          <w:kern w:val="2"/>
          <w:sz w:val="22"/>
          <w:szCs w:val="22"/>
          <w14:ligatures w14:val="standardContextual"/>
        </w:rPr>
      </w:pPr>
      <w:r w:rsidRPr="006E75EE">
        <w:t>XV.</w:t>
      </w:r>
      <w:r w:rsidRPr="006E75EE">
        <w:rPr>
          <w:rFonts w:eastAsiaTheme="minorEastAsia" w:cstheme="minorBidi"/>
          <w:kern w:val="2"/>
          <w:sz w:val="22"/>
          <w:szCs w:val="22"/>
          <w14:ligatures w14:val="standardContextual"/>
        </w:rPr>
        <w:tab/>
      </w:r>
      <w:r w:rsidRPr="006E75EE">
        <w:t>STIPULATED PENALTIES</w:t>
      </w:r>
      <w:r w:rsidRPr="006E75EE">
        <w:tab/>
      </w:r>
      <w:r w:rsidRPr="006E75EE">
        <w:fldChar w:fldCharType="begin"/>
      </w:r>
      <w:r w:rsidRPr="006E75EE">
        <w:instrText xml:space="preserve"> PAGEREF _Toc184899546 \h </w:instrText>
      </w:r>
      <w:r w:rsidRPr="006E75EE">
        <w:fldChar w:fldCharType="separate"/>
      </w:r>
      <w:r w:rsidRPr="006E75EE">
        <w:t>23</w:t>
      </w:r>
      <w:r w:rsidRPr="006E75EE">
        <w:fldChar w:fldCharType="end"/>
      </w:r>
    </w:p>
    <w:p w14:paraId="7F634E00" w14:textId="6CE2DE59" w:rsidR="009166B4" w:rsidRPr="006E75EE" w:rsidRDefault="009166B4">
      <w:pPr>
        <w:pStyle w:val="TOC1"/>
        <w:rPr>
          <w:rFonts w:eastAsiaTheme="minorEastAsia" w:cstheme="minorBidi"/>
          <w:kern w:val="2"/>
          <w:sz w:val="22"/>
          <w:szCs w:val="22"/>
          <w14:ligatures w14:val="standardContextual"/>
        </w:rPr>
      </w:pPr>
      <w:r w:rsidRPr="006E75EE">
        <w:t>XVI.</w:t>
      </w:r>
      <w:r w:rsidRPr="006E75EE">
        <w:rPr>
          <w:rFonts w:eastAsiaTheme="minorEastAsia" w:cstheme="minorBidi"/>
          <w:kern w:val="2"/>
          <w:sz w:val="22"/>
          <w:szCs w:val="22"/>
          <w14:ligatures w14:val="standardContextual"/>
        </w:rPr>
        <w:tab/>
      </w:r>
      <w:r w:rsidRPr="006E75EE">
        <w:t>COVENANTS BY EPA</w:t>
      </w:r>
      <w:r w:rsidRPr="006E75EE">
        <w:tab/>
      </w:r>
      <w:r w:rsidRPr="006E75EE">
        <w:fldChar w:fldCharType="begin"/>
      </w:r>
      <w:r w:rsidRPr="006E75EE">
        <w:instrText xml:space="preserve"> PAGEREF _Toc184899547 \h </w:instrText>
      </w:r>
      <w:r w:rsidRPr="006E75EE">
        <w:fldChar w:fldCharType="separate"/>
      </w:r>
      <w:r w:rsidRPr="006E75EE">
        <w:t>25</w:t>
      </w:r>
      <w:r w:rsidRPr="006E75EE">
        <w:fldChar w:fldCharType="end"/>
      </w:r>
    </w:p>
    <w:p w14:paraId="1FB4621E" w14:textId="3A848BD9" w:rsidR="009166B4" w:rsidRPr="006E75EE" w:rsidRDefault="009166B4">
      <w:pPr>
        <w:pStyle w:val="TOC1"/>
        <w:rPr>
          <w:rFonts w:eastAsiaTheme="minorEastAsia" w:cstheme="minorBidi"/>
          <w:kern w:val="2"/>
          <w:sz w:val="22"/>
          <w:szCs w:val="22"/>
          <w14:ligatures w14:val="standardContextual"/>
        </w:rPr>
      </w:pPr>
      <w:r w:rsidRPr="006E75EE">
        <w:t>XVII.</w:t>
      </w:r>
      <w:r w:rsidRPr="006E75EE">
        <w:rPr>
          <w:rFonts w:eastAsiaTheme="minorEastAsia" w:cstheme="minorBidi"/>
          <w:kern w:val="2"/>
          <w:sz w:val="22"/>
          <w:szCs w:val="22"/>
          <w14:ligatures w14:val="standardContextual"/>
        </w:rPr>
        <w:tab/>
      </w:r>
      <w:r w:rsidRPr="006E75EE">
        <w:t>COVENANTS BY RESPONDENTS AND SETTLING FEDERAL AGENCIES</w:t>
      </w:r>
      <w:r w:rsidRPr="006E75EE">
        <w:tab/>
      </w:r>
      <w:r w:rsidRPr="006E75EE">
        <w:fldChar w:fldCharType="begin"/>
      </w:r>
      <w:r w:rsidRPr="006E75EE">
        <w:instrText xml:space="preserve"> PAGEREF _Toc184899548 \h </w:instrText>
      </w:r>
      <w:r w:rsidRPr="006E75EE">
        <w:fldChar w:fldCharType="separate"/>
      </w:r>
      <w:r w:rsidRPr="006E75EE">
        <w:t>26</w:t>
      </w:r>
      <w:r w:rsidRPr="006E75EE">
        <w:fldChar w:fldCharType="end"/>
      </w:r>
    </w:p>
    <w:p w14:paraId="6624E626" w14:textId="293F790A" w:rsidR="009166B4" w:rsidRPr="006E75EE" w:rsidRDefault="009166B4">
      <w:pPr>
        <w:pStyle w:val="TOC1"/>
        <w:rPr>
          <w:rFonts w:eastAsiaTheme="minorEastAsia" w:cstheme="minorBidi"/>
          <w:kern w:val="2"/>
          <w:sz w:val="22"/>
          <w:szCs w:val="22"/>
          <w14:ligatures w14:val="standardContextual"/>
        </w:rPr>
      </w:pPr>
      <w:r w:rsidRPr="006E75EE">
        <w:t>XVIII.</w:t>
      </w:r>
      <w:r w:rsidRPr="006E75EE">
        <w:rPr>
          <w:rFonts w:eastAsiaTheme="minorEastAsia" w:cstheme="minorBidi"/>
          <w:kern w:val="2"/>
          <w:sz w:val="22"/>
          <w:szCs w:val="22"/>
          <w14:ligatures w14:val="standardContextual"/>
        </w:rPr>
        <w:tab/>
      </w:r>
      <w:r w:rsidRPr="006E75EE">
        <w:t>EFFECT OF SETTLEMENT; CONTRIBUTION</w:t>
      </w:r>
      <w:r w:rsidRPr="006E75EE">
        <w:tab/>
      </w:r>
      <w:r w:rsidRPr="006E75EE">
        <w:fldChar w:fldCharType="begin"/>
      </w:r>
      <w:r w:rsidRPr="006E75EE">
        <w:instrText xml:space="preserve"> PAGEREF _Toc184899549 \h </w:instrText>
      </w:r>
      <w:r w:rsidRPr="006E75EE">
        <w:fldChar w:fldCharType="separate"/>
      </w:r>
      <w:r w:rsidRPr="006E75EE">
        <w:t>28</w:t>
      </w:r>
      <w:r w:rsidRPr="006E75EE">
        <w:fldChar w:fldCharType="end"/>
      </w:r>
    </w:p>
    <w:p w14:paraId="309E240F" w14:textId="722C6674" w:rsidR="009166B4" w:rsidRPr="006E75EE" w:rsidRDefault="009166B4">
      <w:pPr>
        <w:pStyle w:val="TOC1"/>
        <w:rPr>
          <w:rFonts w:eastAsiaTheme="minorEastAsia" w:cstheme="minorBidi"/>
          <w:kern w:val="2"/>
          <w:sz w:val="22"/>
          <w:szCs w:val="22"/>
          <w14:ligatures w14:val="standardContextual"/>
        </w:rPr>
      </w:pPr>
      <w:r w:rsidRPr="006E75EE">
        <w:t>XIX.</w:t>
      </w:r>
      <w:r w:rsidRPr="006E75EE">
        <w:rPr>
          <w:rFonts w:eastAsiaTheme="minorEastAsia" w:cstheme="minorBidi"/>
          <w:kern w:val="2"/>
          <w:sz w:val="22"/>
          <w:szCs w:val="22"/>
          <w14:ligatures w14:val="standardContextual"/>
        </w:rPr>
        <w:tab/>
      </w:r>
      <w:r w:rsidRPr="006E75EE">
        <w:t>RECORDS</w:t>
      </w:r>
      <w:r w:rsidRPr="006E75EE">
        <w:tab/>
      </w:r>
      <w:r w:rsidRPr="006E75EE">
        <w:fldChar w:fldCharType="begin"/>
      </w:r>
      <w:r w:rsidRPr="006E75EE">
        <w:instrText xml:space="preserve"> PAGEREF _Toc184899550 \h </w:instrText>
      </w:r>
      <w:r w:rsidRPr="006E75EE">
        <w:fldChar w:fldCharType="separate"/>
      </w:r>
      <w:r w:rsidRPr="006E75EE">
        <w:t>30</w:t>
      </w:r>
      <w:r w:rsidRPr="006E75EE">
        <w:fldChar w:fldCharType="end"/>
      </w:r>
    </w:p>
    <w:p w14:paraId="3DDA2EA3" w14:textId="452C1F3B" w:rsidR="009166B4" w:rsidRPr="006E75EE" w:rsidRDefault="009166B4">
      <w:pPr>
        <w:pStyle w:val="TOC1"/>
        <w:rPr>
          <w:rFonts w:eastAsiaTheme="minorEastAsia" w:cstheme="minorBidi"/>
          <w:kern w:val="2"/>
          <w:sz w:val="22"/>
          <w:szCs w:val="22"/>
          <w14:ligatures w14:val="standardContextual"/>
        </w:rPr>
      </w:pPr>
      <w:r w:rsidRPr="006E75EE">
        <w:t>XX.</w:t>
      </w:r>
      <w:r w:rsidRPr="006E75EE">
        <w:rPr>
          <w:rFonts w:eastAsiaTheme="minorEastAsia" w:cstheme="minorBidi"/>
          <w:kern w:val="2"/>
          <w:sz w:val="22"/>
          <w:szCs w:val="22"/>
          <w14:ligatures w14:val="standardContextual"/>
        </w:rPr>
        <w:tab/>
      </w:r>
      <w:r w:rsidRPr="006E75EE">
        <w:t>NOTICES AND SUBMISSIONS</w:t>
      </w:r>
      <w:r w:rsidRPr="006E75EE">
        <w:tab/>
      </w:r>
      <w:r w:rsidRPr="006E75EE">
        <w:fldChar w:fldCharType="begin"/>
      </w:r>
      <w:r w:rsidRPr="006E75EE">
        <w:instrText xml:space="preserve"> PAGEREF _Toc184899551 \h </w:instrText>
      </w:r>
      <w:r w:rsidRPr="006E75EE">
        <w:fldChar w:fldCharType="separate"/>
      </w:r>
      <w:r w:rsidRPr="006E75EE">
        <w:t>32</w:t>
      </w:r>
      <w:r w:rsidRPr="006E75EE">
        <w:fldChar w:fldCharType="end"/>
      </w:r>
    </w:p>
    <w:p w14:paraId="763BFF39" w14:textId="6B237EE4" w:rsidR="009166B4" w:rsidRPr="006E75EE" w:rsidRDefault="009166B4">
      <w:pPr>
        <w:pStyle w:val="TOC1"/>
        <w:rPr>
          <w:rFonts w:eastAsiaTheme="minorEastAsia" w:cstheme="minorBidi"/>
          <w:kern w:val="2"/>
          <w:sz w:val="22"/>
          <w:szCs w:val="22"/>
          <w14:ligatures w14:val="standardContextual"/>
        </w:rPr>
      </w:pPr>
      <w:r w:rsidRPr="006E75EE">
        <w:t>XXI.</w:t>
      </w:r>
      <w:r w:rsidRPr="006E75EE">
        <w:rPr>
          <w:rFonts w:eastAsiaTheme="minorEastAsia" w:cstheme="minorBidi"/>
          <w:kern w:val="2"/>
          <w:sz w:val="22"/>
          <w:szCs w:val="22"/>
          <w14:ligatures w14:val="standardContextual"/>
        </w:rPr>
        <w:tab/>
      </w:r>
      <w:r w:rsidRPr="006E75EE">
        <w:t>APPENDIXES</w:t>
      </w:r>
      <w:r w:rsidRPr="006E75EE">
        <w:tab/>
      </w:r>
      <w:r w:rsidRPr="006E75EE">
        <w:fldChar w:fldCharType="begin"/>
      </w:r>
      <w:r w:rsidRPr="006E75EE">
        <w:instrText xml:space="preserve"> PAGEREF _Toc184899552 \h </w:instrText>
      </w:r>
      <w:r w:rsidRPr="006E75EE">
        <w:fldChar w:fldCharType="separate"/>
      </w:r>
      <w:r w:rsidRPr="006E75EE">
        <w:t>33</w:t>
      </w:r>
      <w:r w:rsidRPr="006E75EE">
        <w:fldChar w:fldCharType="end"/>
      </w:r>
    </w:p>
    <w:p w14:paraId="76BB3001" w14:textId="3962BC68" w:rsidR="009166B4" w:rsidRPr="006E75EE" w:rsidRDefault="009166B4">
      <w:pPr>
        <w:pStyle w:val="TOC1"/>
        <w:rPr>
          <w:rFonts w:eastAsiaTheme="minorEastAsia" w:cstheme="minorBidi"/>
          <w:kern w:val="2"/>
          <w:sz w:val="22"/>
          <w:szCs w:val="22"/>
          <w14:ligatures w14:val="standardContextual"/>
        </w:rPr>
      </w:pPr>
      <w:r w:rsidRPr="006E75EE">
        <w:t>XXII.</w:t>
      </w:r>
      <w:r w:rsidRPr="006E75EE">
        <w:rPr>
          <w:rFonts w:eastAsiaTheme="minorEastAsia" w:cstheme="minorBidi"/>
          <w:kern w:val="2"/>
          <w:sz w:val="22"/>
          <w:szCs w:val="22"/>
          <w14:ligatures w14:val="standardContextual"/>
        </w:rPr>
        <w:tab/>
      </w:r>
      <w:r w:rsidRPr="006E75EE">
        <w:t>MODIFICATIONS TO SETTLEMENT</w:t>
      </w:r>
      <w:r w:rsidRPr="006E75EE">
        <w:tab/>
      </w:r>
      <w:r w:rsidRPr="006E75EE">
        <w:fldChar w:fldCharType="begin"/>
      </w:r>
      <w:r w:rsidRPr="006E75EE">
        <w:instrText xml:space="preserve"> PAGEREF _Toc184899553 \h </w:instrText>
      </w:r>
      <w:r w:rsidRPr="006E75EE">
        <w:fldChar w:fldCharType="separate"/>
      </w:r>
      <w:r w:rsidRPr="006E75EE">
        <w:t>33</w:t>
      </w:r>
      <w:r w:rsidRPr="006E75EE">
        <w:fldChar w:fldCharType="end"/>
      </w:r>
    </w:p>
    <w:p w14:paraId="062D91C6" w14:textId="14EF6BFD" w:rsidR="009166B4" w:rsidRPr="006E75EE" w:rsidRDefault="009166B4">
      <w:pPr>
        <w:pStyle w:val="TOC1"/>
        <w:rPr>
          <w:rFonts w:eastAsiaTheme="minorEastAsia" w:cstheme="minorBidi"/>
          <w:kern w:val="2"/>
          <w:sz w:val="22"/>
          <w:szCs w:val="22"/>
          <w14:ligatures w14:val="standardContextual"/>
        </w:rPr>
      </w:pPr>
      <w:r w:rsidRPr="006E75EE">
        <w:t>XXIII.</w:t>
      </w:r>
      <w:r w:rsidRPr="006E75EE">
        <w:rPr>
          <w:rFonts w:eastAsiaTheme="minorEastAsia" w:cstheme="minorBidi"/>
          <w:kern w:val="2"/>
          <w:sz w:val="22"/>
          <w:szCs w:val="22"/>
          <w14:ligatures w14:val="standardContextual"/>
        </w:rPr>
        <w:tab/>
      </w:r>
      <w:r w:rsidRPr="006E75EE">
        <w:t>ATTORNEY GENERAL APPROVAL</w:t>
      </w:r>
      <w:r w:rsidRPr="006E75EE">
        <w:tab/>
      </w:r>
      <w:r w:rsidRPr="006E75EE">
        <w:fldChar w:fldCharType="begin"/>
      </w:r>
      <w:r w:rsidRPr="006E75EE">
        <w:instrText xml:space="preserve"> PAGEREF _Toc184899554 \h </w:instrText>
      </w:r>
      <w:r w:rsidRPr="006E75EE">
        <w:fldChar w:fldCharType="separate"/>
      </w:r>
      <w:r w:rsidRPr="006E75EE">
        <w:t>33</w:t>
      </w:r>
      <w:r w:rsidRPr="006E75EE">
        <w:fldChar w:fldCharType="end"/>
      </w:r>
    </w:p>
    <w:p w14:paraId="1D3E12B4" w14:textId="4C7065F9" w:rsidR="009166B4" w:rsidRPr="006E75EE" w:rsidRDefault="009166B4">
      <w:pPr>
        <w:pStyle w:val="TOC1"/>
        <w:rPr>
          <w:rFonts w:eastAsiaTheme="minorEastAsia" w:cstheme="minorBidi"/>
          <w:kern w:val="2"/>
          <w:sz w:val="22"/>
          <w:szCs w:val="22"/>
          <w14:ligatures w14:val="standardContextual"/>
        </w:rPr>
      </w:pPr>
      <w:r w:rsidRPr="006E75EE">
        <w:t>XXIV.</w:t>
      </w:r>
      <w:r w:rsidRPr="006E75EE">
        <w:rPr>
          <w:rFonts w:eastAsiaTheme="minorEastAsia" w:cstheme="minorBidi"/>
          <w:kern w:val="2"/>
          <w:sz w:val="22"/>
          <w:szCs w:val="22"/>
          <w14:ligatures w14:val="standardContextual"/>
        </w:rPr>
        <w:tab/>
      </w:r>
      <w:r w:rsidRPr="006E75EE">
        <w:t>SIGNATORIES</w:t>
      </w:r>
      <w:r w:rsidRPr="006E75EE">
        <w:tab/>
      </w:r>
      <w:r w:rsidRPr="006E75EE">
        <w:fldChar w:fldCharType="begin"/>
      </w:r>
      <w:r w:rsidRPr="006E75EE">
        <w:instrText xml:space="preserve"> PAGEREF _Toc184899555 \h </w:instrText>
      </w:r>
      <w:r w:rsidRPr="006E75EE">
        <w:fldChar w:fldCharType="separate"/>
      </w:r>
      <w:r w:rsidRPr="006E75EE">
        <w:t>34</w:t>
      </w:r>
      <w:r w:rsidRPr="006E75EE">
        <w:fldChar w:fldCharType="end"/>
      </w:r>
    </w:p>
    <w:p w14:paraId="71603896" w14:textId="20A8A44E" w:rsidR="009166B4" w:rsidRPr="006E75EE" w:rsidRDefault="009166B4">
      <w:pPr>
        <w:pStyle w:val="TOC1"/>
        <w:rPr>
          <w:rFonts w:eastAsiaTheme="minorEastAsia" w:cstheme="minorBidi"/>
          <w:kern w:val="2"/>
          <w:sz w:val="22"/>
          <w:szCs w:val="22"/>
          <w14:ligatures w14:val="standardContextual"/>
        </w:rPr>
      </w:pPr>
      <w:r w:rsidRPr="006E75EE">
        <w:t>XXV.</w:t>
      </w:r>
      <w:r w:rsidRPr="006E75EE">
        <w:rPr>
          <w:rFonts w:eastAsiaTheme="minorEastAsia" w:cstheme="minorBidi"/>
          <w:kern w:val="2"/>
          <w:sz w:val="22"/>
          <w:szCs w:val="22"/>
          <w14:ligatures w14:val="standardContextual"/>
        </w:rPr>
        <w:tab/>
      </w:r>
      <w:r w:rsidRPr="006E75EE">
        <w:t>INTEGRATION</w:t>
      </w:r>
      <w:r w:rsidRPr="006E75EE">
        <w:tab/>
      </w:r>
      <w:r w:rsidRPr="006E75EE">
        <w:fldChar w:fldCharType="begin"/>
      </w:r>
      <w:r w:rsidRPr="006E75EE">
        <w:instrText xml:space="preserve"> PAGEREF _Toc184899556 \h </w:instrText>
      </w:r>
      <w:r w:rsidRPr="006E75EE">
        <w:fldChar w:fldCharType="separate"/>
      </w:r>
      <w:r w:rsidRPr="006E75EE">
        <w:t>34</w:t>
      </w:r>
      <w:r w:rsidRPr="006E75EE">
        <w:fldChar w:fldCharType="end"/>
      </w:r>
    </w:p>
    <w:p w14:paraId="1367D159" w14:textId="75DCC9E5" w:rsidR="009166B4" w:rsidRPr="006E75EE" w:rsidRDefault="009166B4">
      <w:pPr>
        <w:pStyle w:val="TOC1"/>
        <w:rPr>
          <w:rFonts w:eastAsiaTheme="minorEastAsia" w:cstheme="minorBidi"/>
          <w:kern w:val="2"/>
          <w:sz w:val="22"/>
          <w:szCs w:val="22"/>
          <w14:ligatures w14:val="standardContextual"/>
        </w:rPr>
      </w:pPr>
      <w:r w:rsidRPr="006E75EE">
        <w:t>XXVI.</w:t>
      </w:r>
      <w:r w:rsidRPr="006E75EE">
        <w:rPr>
          <w:rFonts w:eastAsiaTheme="minorEastAsia" w:cstheme="minorBidi"/>
          <w:kern w:val="2"/>
          <w:sz w:val="22"/>
          <w:szCs w:val="22"/>
          <w14:ligatures w14:val="standardContextual"/>
        </w:rPr>
        <w:tab/>
      </w:r>
      <w:r w:rsidRPr="006E75EE">
        <w:t>PUBLIC COMMENT</w:t>
      </w:r>
      <w:r w:rsidRPr="006E75EE">
        <w:tab/>
      </w:r>
      <w:r w:rsidRPr="006E75EE">
        <w:fldChar w:fldCharType="begin"/>
      </w:r>
      <w:r w:rsidRPr="006E75EE">
        <w:instrText xml:space="preserve"> PAGEREF _Toc184899557 \h </w:instrText>
      </w:r>
      <w:r w:rsidRPr="006E75EE">
        <w:fldChar w:fldCharType="separate"/>
      </w:r>
      <w:r w:rsidRPr="006E75EE">
        <w:t>34</w:t>
      </w:r>
      <w:r w:rsidRPr="006E75EE">
        <w:fldChar w:fldCharType="end"/>
      </w:r>
    </w:p>
    <w:p w14:paraId="10D70ABE" w14:textId="49A799A9" w:rsidR="009166B4" w:rsidRPr="006E75EE" w:rsidRDefault="009166B4">
      <w:pPr>
        <w:pStyle w:val="TOC1"/>
        <w:rPr>
          <w:rFonts w:eastAsiaTheme="minorEastAsia" w:cstheme="minorBidi"/>
          <w:kern w:val="2"/>
          <w:sz w:val="22"/>
          <w:szCs w:val="22"/>
          <w14:ligatures w14:val="standardContextual"/>
        </w:rPr>
      </w:pPr>
      <w:r w:rsidRPr="006E75EE">
        <w:t>XXVII.</w:t>
      </w:r>
      <w:r w:rsidRPr="006E75EE">
        <w:rPr>
          <w:rFonts w:eastAsiaTheme="minorEastAsia" w:cstheme="minorBidi"/>
          <w:kern w:val="2"/>
          <w:sz w:val="22"/>
          <w:szCs w:val="22"/>
          <w14:ligatures w14:val="standardContextual"/>
        </w:rPr>
        <w:tab/>
      </w:r>
      <w:r w:rsidRPr="006E75EE">
        <w:t>EFFECTIVE DATE</w:t>
      </w:r>
      <w:r w:rsidRPr="006E75EE">
        <w:tab/>
      </w:r>
      <w:r w:rsidRPr="006E75EE">
        <w:fldChar w:fldCharType="begin"/>
      </w:r>
      <w:r w:rsidRPr="006E75EE">
        <w:instrText xml:space="preserve"> PAGEREF _Toc184899558 \h </w:instrText>
      </w:r>
      <w:r w:rsidRPr="006E75EE">
        <w:fldChar w:fldCharType="separate"/>
      </w:r>
      <w:r w:rsidRPr="006E75EE">
        <w:t>34</w:t>
      </w:r>
      <w:r w:rsidRPr="006E75EE">
        <w:fldChar w:fldCharType="end"/>
      </w:r>
    </w:p>
    <w:p w14:paraId="47C14780" w14:textId="24C3D279" w:rsidR="0070632B" w:rsidRPr="006E75EE" w:rsidRDefault="00885939" w:rsidP="000808D6">
      <w:pPr>
        <w:spacing w:after="100" w:afterAutospacing="1"/>
      </w:pPr>
      <w:r w:rsidRPr="006E75EE">
        <w:fldChar w:fldCharType="end"/>
      </w:r>
      <w:r w:rsidR="0070632B" w:rsidRPr="006E75EE">
        <w:br w:type="page"/>
      </w:r>
    </w:p>
    <w:p w14:paraId="403AAD49" w14:textId="77777777" w:rsidR="00845F80" w:rsidRPr="006E75EE" w:rsidRDefault="00845F80" w:rsidP="0070632B">
      <w:pPr>
        <w:pStyle w:val="Heading1"/>
        <w:sectPr w:rsidR="00845F80" w:rsidRPr="006E75EE" w:rsidSect="000808D6">
          <w:footerReference w:type="default" r:id="rId8"/>
          <w:footerReference w:type="first" r:id="rId9"/>
          <w:pgSz w:w="12240" w:h="15840"/>
          <w:pgMar w:top="1440" w:right="1440" w:bottom="1440" w:left="1440" w:header="720" w:footer="720" w:gutter="0"/>
          <w:pgNumType w:start="1"/>
          <w:cols w:space="720"/>
          <w:titlePg/>
          <w:docGrid w:linePitch="360"/>
        </w:sectPr>
      </w:pPr>
      <w:bookmarkStart w:id="0" w:name="_Ref405973055"/>
      <w:bookmarkStart w:id="1" w:name="_Ref66288609"/>
      <w:bookmarkStart w:id="2" w:name="_Toc80599604"/>
    </w:p>
    <w:p w14:paraId="17EDD9E5" w14:textId="224C895B" w:rsidR="008170B1" w:rsidRPr="006E75EE" w:rsidRDefault="008170B1" w:rsidP="0070632B">
      <w:pPr>
        <w:pStyle w:val="Heading1"/>
      </w:pPr>
      <w:bookmarkStart w:id="3" w:name="_Toc184899532"/>
      <w:r w:rsidRPr="006E75EE">
        <w:t>JURISDICTION AND GENERAL PROVISIONS</w:t>
      </w:r>
      <w:bookmarkEnd w:id="0"/>
      <w:bookmarkEnd w:id="1"/>
      <w:bookmarkEnd w:id="2"/>
      <w:bookmarkEnd w:id="3"/>
    </w:p>
    <w:p w14:paraId="1ACCE7E8" w14:textId="773F265B" w:rsidR="008170B1" w:rsidRPr="006E75EE" w:rsidRDefault="008170B1" w:rsidP="005510E1">
      <w:pPr>
        <w:pStyle w:val="LVL1"/>
      </w:pPr>
      <w:r w:rsidRPr="006E75EE">
        <w:t>This Administrative Settlement Agreement and Order on Consent (“Settlement”) is entered into voluntarily by the United States Environmental Protection Agency (</w:t>
      </w:r>
      <w:r w:rsidR="00AF1490" w:rsidRPr="006E75EE">
        <w:rPr>
          <w:lang w:val="en-US"/>
        </w:rPr>
        <w:t>“</w:t>
      </w:r>
      <w:r w:rsidRPr="006E75EE">
        <w:t>EPA</w:t>
      </w:r>
      <w:r w:rsidR="00AF1490" w:rsidRPr="006E75EE">
        <w:rPr>
          <w:lang w:val="en-US"/>
        </w:rPr>
        <w:t>”</w:t>
      </w:r>
      <w:r w:rsidRPr="006E75EE">
        <w:t>) and [</w:t>
      </w:r>
      <w:r w:rsidRPr="006E75EE">
        <w:rPr>
          <w:b/>
          <w:bCs/>
        </w:rPr>
        <w:t>insert names or attach list of Respondents</w:t>
      </w:r>
      <w:r w:rsidRPr="006E75EE">
        <w:t>] (“Respondents”)</w:t>
      </w:r>
      <w:r w:rsidR="00991680" w:rsidRPr="006E75EE">
        <w:t xml:space="preserve"> </w:t>
      </w:r>
      <w:r w:rsidR="006E75EE">
        <w:t>[</w:t>
      </w:r>
      <w:r w:rsidR="00991680" w:rsidRPr="006E75EE">
        <w:t>and [</w:t>
      </w:r>
      <w:r w:rsidR="00991680" w:rsidRPr="006E75EE">
        <w:rPr>
          <w:b/>
        </w:rPr>
        <w:t>insert names o</w:t>
      </w:r>
      <w:r w:rsidR="007B2FF6" w:rsidRPr="006E75EE">
        <w:rPr>
          <w:b/>
        </w:rPr>
        <w:t>f</w:t>
      </w:r>
      <w:r w:rsidR="00991680" w:rsidRPr="006E75EE">
        <w:rPr>
          <w:b/>
        </w:rPr>
        <w:t xml:space="preserve"> settling federal agencies</w:t>
      </w:r>
      <w:r w:rsidR="00991680" w:rsidRPr="006E75EE">
        <w:t>] (“Settling Federal Agencies” or “SFAs”)]</w:t>
      </w:r>
      <w:r w:rsidRPr="006E75EE">
        <w:t>.</w:t>
      </w:r>
      <w:r w:rsidR="00690C7E" w:rsidRPr="006E75EE">
        <w:t xml:space="preserve"> </w:t>
      </w:r>
      <w:r w:rsidRPr="006E75EE">
        <w:t xml:space="preserve">This </w:t>
      </w:r>
      <w:r w:rsidR="00FB28BD" w:rsidRPr="006E75EE">
        <w:t>Settlement</w:t>
      </w:r>
      <w:r w:rsidRPr="006E75EE">
        <w:t xml:space="preserve"> provides for the performance of a </w:t>
      </w:r>
      <w:r w:rsidR="00743A07" w:rsidRPr="006E75EE">
        <w:rPr>
          <w:lang w:val="en-US"/>
        </w:rPr>
        <w:t xml:space="preserve">Remedial Investigation and Feasibility Study (“RI/FS”) </w:t>
      </w:r>
      <w:r w:rsidR="002C5620" w:rsidRPr="006E75EE">
        <w:rPr>
          <w:lang w:val="en-US"/>
        </w:rPr>
        <w:t xml:space="preserve">[for the operable unit comprising _______] </w:t>
      </w:r>
      <w:r w:rsidRPr="006E75EE">
        <w:t xml:space="preserve">by Respondents and the payment </w:t>
      </w:r>
      <w:r w:rsidR="00F33532" w:rsidRPr="006E75EE">
        <w:rPr>
          <w:lang w:val="en-US"/>
        </w:rPr>
        <w:t xml:space="preserve">by Respondents </w:t>
      </w:r>
      <w:r w:rsidRPr="006E75EE">
        <w:t>of certain response costs incurred by the United States</w:t>
      </w:r>
      <w:r w:rsidR="00991680" w:rsidRPr="006E75EE">
        <w:t xml:space="preserve">, </w:t>
      </w:r>
      <w:r w:rsidR="007B2FF6" w:rsidRPr="006E75EE">
        <w:t>[</w:t>
      </w:r>
      <w:r w:rsidR="00991680" w:rsidRPr="006E75EE">
        <w:t xml:space="preserve">and the payment, by </w:t>
      </w:r>
      <w:r w:rsidR="00D145E2" w:rsidRPr="006E75EE">
        <w:t>Settling Federal Agencies</w:t>
      </w:r>
      <w:r w:rsidR="00991680" w:rsidRPr="006E75EE">
        <w:t xml:space="preserve">, of certain response costs incurred by the United States and </w:t>
      </w:r>
      <w:r w:rsidR="00991680" w:rsidRPr="006E75EE">
        <w:lastRenderedPageBreak/>
        <w:t>Respondents</w:t>
      </w:r>
      <w:r w:rsidR="007B2FF6" w:rsidRPr="006E75EE">
        <w:t>]</w:t>
      </w:r>
      <w:r w:rsidR="00991680" w:rsidRPr="006E75EE">
        <w:t xml:space="preserve"> </w:t>
      </w:r>
      <w:r w:rsidRPr="006E75EE">
        <w:t>at or in connection with the “[</w:t>
      </w:r>
      <w:r w:rsidRPr="006E75EE">
        <w:rPr>
          <w:b/>
          <w:bCs/>
        </w:rPr>
        <w:t>insert name</w:t>
      </w:r>
      <w:r w:rsidRPr="006E75EE">
        <w:t>] Site” (the “Site”) generally located at [</w:t>
      </w:r>
      <w:r w:rsidRPr="006E75EE">
        <w:rPr>
          <w:b/>
          <w:bCs/>
        </w:rPr>
        <w:t xml:space="preserve">address or </w:t>
      </w:r>
      <w:r w:rsidR="008B6587" w:rsidRPr="006E75EE">
        <w:rPr>
          <w:b/>
          <w:bCs/>
          <w:lang w:val="en-US"/>
        </w:rPr>
        <w:t xml:space="preserve">description of </w:t>
      </w:r>
      <w:r w:rsidRPr="006E75EE">
        <w:rPr>
          <w:b/>
          <w:bCs/>
        </w:rPr>
        <w:t>location</w:t>
      </w:r>
      <w:r w:rsidRPr="006E75EE">
        <w:t>] in [</w:t>
      </w:r>
      <w:r w:rsidR="008B6587" w:rsidRPr="006E75EE">
        <w:rPr>
          <w:b/>
          <w:bCs/>
          <w:lang w:val="en-US"/>
        </w:rPr>
        <w:t>c</w:t>
      </w:r>
      <w:proofErr w:type="spellStart"/>
      <w:r w:rsidRPr="006E75EE">
        <w:rPr>
          <w:b/>
          <w:bCs/>
        </w:rPr>
        <w:t>ity</w:t>
      </w:r>
      <w:proofErr w:type="spellEnd"/>
      <w:r w:rsidRPr="006E75EE">
        <w:rPr>
          <w:b/>
          <w:bCs/>
        </w:rPr>
        <w:t xml:space="preserve"> or </w:t>
      </w:r>
      <w:r w:rsidR="008B6587" w:rsidRPr="006E75EE">
        <w:rPr>
          <w:b/>
          <w:bCs/>
          <w:lang w:val="en-US"/>
        </w:rPr>
        <w:t>t</w:t>
      </w:r>
      <w:r w:rsidRPr="006E75EE">
        <w:rPr>
          <w:b/>
          <w:bCs/>
        </w:rPr>
        <w:t>own</w:t>
      </w:r>
      <w:r w:rsidR="008B6587" w:rsidRPr="006E75EE">
        <w:rPr>
          <w:b/>
          <w:bCs/>
          <w:lang w:val="en-US"/>
        </w:rPr>
        <w:t>]</w:t>
      </w:r>
      <w:r w:rsidRPr="006E75EE">
        <w:rPr>
          <w:b/>
          <w:bCs/>
        </w:rPr>
        <w:t xml:space="preserve">, </w:t>
      </w:r>
      <w:r w:rsidR="008B6587" w:rsidRPr="006E75EE">
        <w:rPr>
          <w:lang w:val="en-US"/>
        </w:rPr>
        <w:t xml:space="preserve">________ </w:t>
      </w:r>
      <w:r w:rsidRPr="006E75EE">
        <w:rPr>
          <w:b/>
          <w:bCs/>
        </w:rPr>
        <w:t xml:space="preserve">County, </w:t>
      </w:r>
      <w:r w:rsidR="008B6587" w:rsidRPr="006E75EE">
        <w:rPr>
          <w:b/>
          <w:bCs/>
          <w:lang w:val="en-US"/>
        </w:rPr>
        <w:t>[s</w:t>
      </w:r>
      <w:proofErr w:type="spellStart"/>
      <w:r w:rsidRPr="006E75EE">
        <w:rPr>
          <w:b/>
          <w:bCs/>
        </w:rPr>
        <w:t>tate</w:t>
      </w:r>
      <w:proofErr w:type="spellEnd"/>
      <w:r w:rsidRPr="006E75EE">
        <w:t>].</w:t>
      </w:r>
    </w:p>
    <w:p w14:paraId="41E96E39" w14:textId="08B85A85" w:rsidR="008170B1" w:rsidRPr="006E75EE" w:rsidRDefault="008170B1" w:rsidP="00E32E9D">
      <w:pPr>
        <w:pStyle w:val="LVL1"/>
      </w:pPr>
      <w:r w:rsidRPr="006E75EE">
        <w:t xml:space="preserve">This </w:t>
      </w:r>
      <w:r w:rsidR="00FB28BD" w:rsidRPr="006E75EE">
        <w:t>Settlement</w:t>
      </w:r>
      <w:r w:rsidRPr="006E75EE">
        <w:t xml:space="preserve"> is issued under the authority vested in the President of the United States by </w:t>
      </w:r>
      <w:r w:rsidR="008B6587" w:rsidRPr="006E75EE">
        <w:rPr>
          <w:lang w:val="en-US"/>
        </w:rPr>
        <w:t>s</w:t>
      </w:r>
      <w:r w:rsidR="00E54518" w:rsidRPr="006E75EE">
        <w:rPr>
          <w:lang w:val="en-US"/>
        </w:rPr>
        <w:t>ections </w:t>
      </w:r>
      <w:r w:rsidRPr="006E75EE">
        <w:t>104, 107, and 122 of the Comprehensive Environmental Response, Compensation, and Liability Act (</w:t>
      </w:r>
      <w:r w:rsidR="00743A07" w:rsidRPr="006E75EE">
        <w:rPr>
          <w:lang w:val="en-US"/>
        </w:rPr>
        <w:t>“</w:t>
      </w:r>
      <w:r w:rsidRPr="006E75EE">
        <w:t>CERCLA</w:t>
      </w:r>
      <w:r w:rsidR="00743A07" w:rsidRPr="006E75EE">
        <w:rPr>
          <w:lang w:val="en-US"/>
        </w:rPr>
        <w:t>”</w:t>
      </w:r>
      <w:r w:rsidRPr="006E75EE">
        <w:t>).</w:t>
      </w:r>
      <w:r w:rsidR="00690C7E" w:rsidRPr="006E75EE">
        <w:rPr>
          <w:lang w:val="en-US"/>
        </w:rPr>
        <w:t xml:space="preserve"> </w:t>
      </w:r>
      <w:r w:rsidR="001D58FE" w:rsidRPr="006E75EE">
        <w:rPr>
          <w:lang w:val="en-US"/>
        </w:rPr>
        <w:t>This authority was delegated to the Administrator of EPA on January</w:t>
      </w:r>
      <w:r w:rsidR="00E54518" w:rsidRPr="006E75EE">
        <w:rPr>
          <w:lang w:val="en-US"/>
        </w:rPr>
        <w:t> </w:t>
      </w:r>
      <w:r w:rsidR="001D58FE" w:rsidRPr="006E75EE">
        <w:rPr>
          <w:lang w:val="en-US"/>
        </w:rPr>
        <w:t>23,</w:t>
      </w:r>
      <w:r w:rsidR="00E54518" w:rsidRPr="006E75EE">
        <w:rPr>
          <w:lang w:val="en-US"/>
        </w:rPr>
        <w:t xml:space="preserve"> </w:t>
      </w:r>
      <w:r w:rsidR="001D58FE" w:rsidRPr="006E75EE">
        <w:rPr>
          <w:lang w:val="en-US"/>
        </w:rPr>
        <w:t>1987, by Executive Order 12580, 52</w:t>
      </w:r>
      <w:r w:rsidR="00AB51A9" w:rsidRPr="006E75EE">
        <w:rPr>
          <w:lang w:val="en-US"/>
        </w:rPr>
        <w:t> </w:t>
      </w:r>
      <w:r w:rsidR="001D58FE" w:rsidRPr="006E75EE">
        <w:rPr>
          <w:lang w:val="en-US"/>
        </w:rPr>
        <w:t>Fed. Reg.</w:t>
      </w:r>
      <w:r w:rsidR="00E54518" w:rsidRPr="006E75EE">
        <w:rPr>
          <w:lang w:val="en-US"/>
        </w:rPr>
        <w:t> </w:t>
      </w:r>
      <w:r w:rsidR="001D58FE" w:rsidRPr="006E75EE">
        <w:rPr>
          <w:lang w:val="en-US"/>
        </w:rPr>
        <w:t>292</w:t>
      </w:r>
      <w:r w:rsidR="00AF2AE7" w:rsidRPr="006E75EE">
        <w:rPr>
          <w:lang w:val="en-US"/>
        </w:rPr>
        <w:t>3</w:t>
      </w:r>
      <w:r w:rsidR="001D58FE" w:rsidRPr="006E75EE">
        <w:rPr>
          <w:lang w:val="en-US"/>
        </w:rPr>
        <w:t xml:space="preserve"> (Jan.</w:t>
      </w:r>
      <w:r w:rsidR="00C82BB2" w:rsidRPr="006E75EE">
        <w:rPr>
          <w:lang w:val="en-US"/>
        </w:rPr>
        <w:t> </w:t>
      </w:r>
      <w:r w:rsidR="001D58FE" w:rsidRPr="006E75EE">
        <w:rPr>
          <w:lang w:val="en-US"/>
        </w:rPr>
        <w:t>29, 1987), and further delegated to Regional Administrators by EPA Delegation Nos.</w:t>
      </w:r>
      <w:r w:rsidR="00E54518" w:rsidRPr="006E75EE">
        <w:rPr>
          <w:lang w:val="en-US"/>
        </w:rPr>
        <w:t> </w:t>
      </w:r>
      <w:r w:rsidR="0019253D" w:rsidRPr="006E75EE">
        <w:rPr>
          <w:lang w:val="en-US"/>
        </w:rPr>
        <w:t>14-14C</w:t>
      </w:r>
      <w:r w:rsidR="001D58FE" w:rsidRPr="006E75EE">
        <w:rPr>
          <w:lang w:val="en-US"/>
        </w:rPr>
        <w:t xml:space="preserve"> (Administrative Actions </w:t>
      </w:r>
      <w:r w:rsidR="0019253D" w:rsidRPr="006E75EE">
        <w:rPr>
          <w:lang w:val="en-US"/>
        </w:rPr>
        <w:t>t</w:t>
      </w:r>
      <w:r w:rsidR="001D58FE" w:rsidRPr="006E75EE">
        <w:rPr>
          <w:lang w:val="en-US"/>
        </w:rPr>
        <w:t>hrough Consent Orders</w:t>
      </w:r>
      <w:r w:rsidR="004566A4" w:rsidRPr="006E75EE">
        <w:rPr>
          <w:lang w:val="en-US"/>
        </w:rPr>
        <w:t xml:space="preserve">, </w:t>
      </w:r>
      <w:r w:rsidR="0019253D" w:rsidRPr="006E75EE">
        <w:rPr>
          <w:lang w:val="en-US"/>
        </w:rPr>
        <w:t>Jan</w:t>
      </w:r>
      <w:r w:rsidR="00E54518" w:rsidRPr="006E75EE">
        <w:rPr>
          <w:lang w:val="en-US"/>
        </w:rPr>
        <w:t>. </w:t>
      </w:r>
      <w:r w:rsidR="0019253D" w:rsidRPr="006E75EE">
        <w:rPr>
          <w:lang w:val="en-US"/>
        </w:rPr>
        <w:t>18, 2017</w:t>
      </w:r>
      <w:r w:rsidR="001D58FE" w:rsidRPr="006E75EE">
        <w:rPr>
          <w:lang w:val="en-US"/>
        </w:rPr>
        <w:t>) an</w:t>
      </w:r>
      <w:r w:rsidR="006C6A47" w:rsidRPr="006E75EE">
        <w:rPr>
          <w:lang w:val="en-US"/>
        </w:rPr>
        <w:t>d</w:t>
      </w:r>
      <w:r w:rsidR="00E54518" w:rsidRPr="006E75EE">
        <w:rPr>
          <w:lang w:val="en-US"/>
        </w:rPr>
        <w:t xml:space="preserve"> </w:t>
      </w:r>
      <w:r w:rsidR="006C6A47" w:rsidRPr="006E75EE">
        <w:rPr>
          <w:lang w:val="en-US"/>
        </w:rPr>
        <w:t>14</w:t>
      </w:r>
      <w:r w:rsidR="006C6A47" w:rsidRPr="006E75EE">
        <w:rPr>
          <w:lang w:val="en-US"/>
        </w:rPr>
        <w:noBreakHyphen/>
      </w:r>
      <w:r w:rsidR="0019253D" w:rsidRPr="006E75EE">
        <w:rPr>
          <w:lang w:val="en-US"/>
        </w:rPr>
        <w:t>14</w:t>
      </w:r>
      <w:r w:rsidR="001D58FE" w:rsidRPr="006E75EE">
        <w:rPr>
          <w:lang w:val="en-US"/>
        </w:rPr>
        <w:t>D (Cost Recovery Non-Judicial Agreements and Administrative Consent Orders</w:t>
      </w:r>
      <w:r w:rsidR="004566A4" w:rsidRPr="006E75EE">
        <w:rPr>
          <w:lang w:val="en-US"/>
        </w:rPr>
        <w:t xml:space="preserve">, </w:t>
      </w:r>
      <w:r w:rsidR="006C6A47" w:rsidRPr="006E75EE">
        <w:rPr>
          <w:lang w:val="en-US"/>
        </w:rPr>
        <w:t>Jan. </w:t>
      </w:r>
      <w:r w:rsidR="0019253D" w:rsidRPr="006E75EE">
        <w:rPr>
          <w:lang w:val="en-US"/>
        </w:rPr>
        <w:t>18, 2017</w:t>
      </w:r>
      <w:r w:rsidR="001D58FE" w:rsidRPr="006E75EE">
        <w:rPr>
          <w:lang w:val="en-US"/>
        </w:rPr>
        <w:t>).</w:t>
      </w:r>
      <w:r w:rsidR="00690C7E" w:rsidRPr="006E75EE">
        <w:rPr>
          <w:lang w:val="en-US"/>
        </w:rPr>
        <w:t xml:space="preserve"> </w:t>
      </w:r>
      <w:r w:rsidR="001D58FE" w:rsidRPr="006E75EE">
        <w:rPr>
          <w:lang w:val="en-US"/>
        </w:rPr>
        <w:t>[</w:t>
      </w:r>
      <w:r w:rsidR="001D58FE" w:rsidRPr="006E75EE">
        <w:rPr>
          <w:b/>
          <w:lang w:val="en-US"/>
        </w:rPr>
        <w:t xml:space="preserve">Insert if applicable: </w:t>
      </w:r>
      <w:r w:rsidR="001D58FE" w:rsidRPr="006E75EE">
        <w:rPr>
          <w:lang w:val="en-US"/>
        </w:rPr>
        <w:t>Th</w:t>
      </w:r>
      <w:r w:rsidR="006B6902" w:rsidRPr="006E75EE">
        <w:rPr>
          <w:lang w:val="en-US"/>
        </w:rPr>
        <w:t>is</w:t>
      </w:r>
      <w:r w:rsidR="001D58FE" w:rsidRPr="006E75EE">
        <w:rPr>
          <w:lang w:val="en-US"/>
        </w:rPr>
        <w:t xml:space="preserve"> authorit</w:t>
      </w:r>
      <w:r w:rsidR="006B6902" w:rsidRPr="006E75EE">
        <w:rPr>
          <w:lang w:val="en-US"/>
        </w:rPr>
        <w:t>y</w:t>
      </w:r>
      <w:r w:rsidR="001D58FE" w:rsidRPr="006E75EE">
        <w:rPr>
          <w:lang w:val="en-US"/>
        </w:rPr>
        <w:t xml:space="preserve"> </w:t>
      </w:r>
      <w:r w:rsidR="006B6902" w:rsidRPr="006E75EE">
        <w:rPr>
          <w:lang w:val="en-US"/>
        </w:rPr>
        <w:t>was</w:t>
      </w:r>
      <w:r w:rsidR="001D58FE" w:rsidRPr="006E75EE">
        <w:rPr>
          <w:lang w:val="en-US"/>
        </w:rPr>
        <w:t xml:space="preserve"> further redelegated by the Regional Administrator of EPA Region </w:t>
      </w:r>
      <w:r w:rsidR="001D58FE" w:rsidRPr="006E75EE">
        <w:rPr>
          <w:u w:val="single"/>
          <w:lang w:val="en-US"/>
        </w:rPr>
        <w:t>_</w:t>
      </w:r>
      <w:r w:rsidR="005A5CF2" w:rsidRPr="006E75EE">
        <w:rPr>
          <w:u w:val="single"/>
          <w:lang w:val="en-US"/>
        </w:rPr>
        <w:t>_</w:t>
      </w:r>
      <w:r w:rsidR="001D58FE" w:rsidRPr="006E75EE">
        <w:rPr>
          <w:lang w:val="en-US"/>
        </w:rPr>
        <w:t xml:space="preserve"> to </w:t>
      </w:r>
      <w:proofErr w:type="gramStart"/>
      <w:r w:rsidR="001D58FE" w:rsidRPr="006E75EE">
        <w:rPr>
          <w:lang w:val="en-US"/>
        </w:rPr>
        <w:t xml:space="preserve">the </w:t>
      </w:r>
      <w:r w:rsidR="001D58FE" w:rsidRPr="006E75EE">
        <w:rPr>
          <w:u w:val="single"/>
          <w:lang w:val="en-US"/>
        </w:rPr>
        <w:t>__</w:t>
      </w:r>
      <w:proofErr w:type="gramEnd"/>
      <w:r w:rsidR="001D58FE" w:rsidRPr="006E75EE">
        <w:rPr>
          <w:u w:val="single"/>
          <w:lang w:val="en-US"/>
        </w:rPr>
        <w:t>____</w:t>
      </w:r>
      <w:r w:rsidR="001D58FE" w:rsidRPr="006E75EE">
        <w:rPr>
          <w:lang w:val="en-US"/>
        </w:rPr>
        <w:t xml:space="preserve"> (</w:t>
      </w:r>
      <w:r w:rsidR="001D58FE" w:rsidRPr="006E75EE">
        <w:rPr>
          <w:b/>
          <w:lang w:val="en-US"/>
        </w:rPr>
        <w:t xml:space="preserve">insert title of manager to whom delegation </w:t>
      </w:r>
      <w:r w:rsidR="00E32E9D" w:rsidRPr="006E75EE">
        <w:rPr>
          <w:b/>
          <w:bCs/>
          <w:lang w:val="en-US"/>
        </w:rPr>
        <w:t>was</w:t>
      </w:r>
      <w:r w:rsidR="001D58FE" w:rsidRPr="006E75EE">
        <w:rPr>
          <w:b/>
          <w:lang w:val="en-US"/>
        </w:rPr>
        <w:t xml:space="preserve"> made</w:t>
      </w:r>
      <w:r w:rsidR="001D58FE" w:rsidRPr="006E75EE">
        <w:rPr>
          <w:lang w:val="en-US"/>
        </w:rPr>
        <w:t>) by (</w:t>
      </w:r>
      <w:r w:rsidR="001D58FE" w:rsidRPr="006E75EE">
        <w:rPr>
          <w:b/>
          <w:lang w:val="en-US"/>
        </w:rPr>
        <w:t xml:space="preserve">insert numerical </w:t>
      </w:r>
      <w:r w:rsidR="001D58FE" w:rsidRPr="006E75EE">
        <w:rPr>
          <w:b/>
          <w:bCs/>
          <w:lang w:val="en-US"/>
        </w:rPr>
        <w:t>designation</w:t>
      </w:r>
      <w:r w:rsidR="006B6902" w:rsidRPr="006E75EE">
        <w:rPr>
          <w:b/>
          <w:bCs/>
          <w:lang w:val="en-US"/>
        </w:rPr>
        <w:t>s</w:t>
      </w:r>
      <w:r w:rsidR="001D58FE" w:rsidRPr="006E75EE">
        <w:rPr>
          <w:b/>
          <w:lang w:val="en-US"/>
        </w:rPr>
        <w:t xml:space="preserve"> and </w:t>
      </w:r>
      <w:r w:rsidR="001D58FE" w:rsidRPr="006E75EE">
        <w:rPr>
          <w:b/>
          <w:bCs/>
          <w:lang w:val="en-US"/>
        </w:rPr>
        <w:t>date</w:t>
      </w:r>
      <w:r w:rsidR="006B6902" w:rsidRPr="006E75EE">
        <w:rPr>
          <w:b/>
          <w:bCs/>
          <w:lang w:val="en-US"/>
        </w:rPr>
        <w:t>s</w:t>
      </w:r>
      <w:r w:rsidR="001D58FE" w:rsidRPr="006E75EE">
        <w:rPr>
          <w:b/>
          <w:lang w:val="en-US"/>
        </w:rPr>
        <w:t xml:space="preserve"> of </w:t>
      </w:r>
      <w:r w:rsidR="00E32E9D" w:rsidRPr="006E75EE">
        <w:rPr>
          <w:b/>
          <w:bCs/>
          <w:lang w:val="en-US"/>
        </w:rPr>
        <w:t xml:space="preserve">each </w:t>
      </w:r>
      <w:proofErr w:type="gramStart"/>
      <w:r w:rsidR="006B6902" w:rsidRPr="006E75EE">
        <w:rPr>
          <w:b/>
          <w:bCs/>
          <w:lang w:val="en-US"/>
        </w:rPr>
        <w:t>R</w:t>
      </w:r>
      <w:r w:rsidR="001D58FE" w:rsidRPr="006E75EE">
        <w:rPr>
          <w:b/>
          <w:bCs/>
          <w:lang w:val="en-US"/>
        </w:rPr>
        <w:t>egional</w:t>
      </w:r>
      <w:proofErr w:type="gramEnd"/>
      <w:r w:rsidR="001D58FE" w:rsidRPr="006E75EE">
        <w:rPr>
          <w:b/>
          <w:lang w:val="en-US"/>
        </w:rPr>
        <w:t xml:space="preserve"> delegation</w:t>
      </w:r>
      <w:r w:rsidR="001D58FE" w:rsidRPr="006E75EE">
        <w:rPr>
          <w:lang w:val="en-US"/>
        </w:rPr>
        <w:t>)</w:t>
      </w:r>
      <w:r w:rsidR="001D58FE" w:rsidRPr="006E75EE">
        <w:rPr>
          <w:b/>
          <w:lang w:val="en-US"/>
        </w:rPr>
        <w:t>.</w:t>
      </w:r>
      <w:r w:rsidR="001D58FE" w:rsidRPr="006E75EE">
        <w:rPr>
          <w:lang w:val="en-US"/>
        </w:rPr>
        <w:t>]</w:t>
      </w:r>
    </w:p>
    <w:p w14:paraId="3E822C57" w14:textId="1B81CEAB" w:rsidR="00707C3E" w:rsidRPr="006E75EE" w:rsidRDefault="00707C3E" w:rsidP="00707C3E">
      <w:pPr>
        <w:pStyle w:val="LVL1"/>
      </w:pPr>
      <w:r w:rsidRPr="006E75EE">
        <w:t xml:space="preserve">In accordance with </w:t>
      </w:r>
      <w:r w:rsidR="00C82BB2" w:rsidRPr="006E75EE">
        <w:rPr>
          <w:lang w:val="en-US"/>
        </w:rPr>
        <w:t>s</w:t>
      </w:r>
      <w:r w:rsidR="009A7708" w:rsidRPr="006E75EE">
        <w:rPr>
          <w:lang w:val="en-US"/>
        </w:rPr>
        <w:t>ection </w:t>
      </w:r>
      <w:r w:rsidRPr="006E75EE">
        <w:t>122(j)(1) of CERCLA,</w:t>
      </w:r>
      <w:r w:rsidR="002C7F59" w:rsidRPr="006E75EE">
        <w:t xml:space="preserve"> </w:t>
      </w:r>
      <w:r w:rsidR="002C7F59" w:rsidRPr="006E75EE">
        <w:rPr>
          <w:lang w:val="en-US"/>
        </w:rPr>
        <w:t>E</w:t>
      </w:r>
      <w:r w:rsidRPr="006E75EE">
        <w:t>PA notified [</w:t>
      </w:r>
      <w:r w:rsidRPr="006E75EE">
        <w:rPr>
          <w:b/>
          <w:bCs/>
        </w:rPr>
        <w:t>insert the relevant federal natural resource trustee(s)</w:t>
      </w:r>
      <w:r w:rsidRPr="006E75EE">
        <w:t>] on ____________, 20__ of negotiations with potentially responsible parties regarding the release of hazardous substances that may have resulted in injury to the natural resources under federal trusteeship and encouraged the trustee(s) to participate in the negotiation of this Settlement.</w:t>
      </w:r>
    </w:p>
    <w:p w14:paraId="44CF9A77" w14:textId="6627CE31" w:rsidR="008170B1" w:rsidRPr="006E75EE" w:rsidRDefault="008170B1" w:rsidP="00E4736C">
      <w:pPr>
        <w:pStyle w:val="LVL1"/>
      </w:pPr>
      <w:r w:rsidRPr="006E75EE">
        <w:t>EPA</w:t>
      </w:r>
      <w:r w:rsidR="00F33532" w:rsidRPr="006E75EE">
        <w:rPr>
          <w:lang w:val="en-US"/>
        </w:rPr>
        <w:t>,</w:t>
      </w:r>
      <w:r w:rsidRPr="006E75EE">
        <w:t xml:space="preserve"> </w:t>
      </w:r>
      <w:r w:rsidR="007B2FF6" w:rsidRPr="006E75EE">
        <w:t xml:space="preserve">[and] </w:t>
      </w:r>
      <w:r w:rsidR="00BA2A83" w:rsidRPr="006E75EE">
        <w:rPr>
          <w:lang w:val="en-US"/>
        </w:rPr>
        <w:t xml:space="preserve">the </w:t>
      </w:r>
      <w:r w:rsidRPr="006E75EE">
        <w:t>Respondents</w:t>
      </w:r>
      <w:r w:rsidR="00F33532" w:rsidRPr="006E75EE">
        <w:t xml:space="preserve">, </w:t>
      </w:r>
      <w:r w:rsidR="007B2FF6" w:rsidRPr="006E75EE">
        <w:t>[</w:t>
      </w:r>
      <w:r w:rsidR="00F33532" w:rsidRPr="006E75EE">
        <w:t xml:space="preserve">and </w:t>
      </w:r>
      <w:r w:rsidR="00D145E2" w:rsidRPr="006E75EE">
        <w:t>Settling Federal Agencies</w:t>
      </w:r>
      <w:r w:rsidR="007B2FF6" w:rsidRPr="006E75EE">
        <w:t>]</w:t>
      </w:r>
      <w:r w:rsidR="00F33532" w:rsidRPr="006E75EE">
        <w:t xml:space="preserve"> </w:t>
      </w:r>
      <w:r w:rsidRPr="006E75EE">
        <w:t xml:space="preserve">recognize that this </w:t>
      </w:r>
      <w:r w:rsidR="00FB28BD" w:rsidRPr="006E75EE">
        <w:t>Settlement</w:t>
      </w:r>
      <w:r w:rsidRPr="006E75EE">
        <w:t xml:space="preserve"> has been negotiated in good faith and that the actions undertaken by Respondents</w:t>
      </w:r>
      <w:r w:rsidR="00F33532" w:rsidRPr="006E75EE">
        <w:t xml:space="preserve">, </w:t>
      </w:r>
      <w:r w:rsidR="007B2FF6" w:rsidRPr="006E75EE">
        <w:t>[</w:t>
      </w:r>
      <w:r w:rsidR="00F33532" w:rsidRPr="006E75EE">
        <w:t xml:space="preserve">and payments made by </w:t>
      </w:r>
      <w:r w:rsidR="00CC7902" w:rsidRPr="006E75EE">
        <w:rPr>
          <w:lang w:val="en-US"/>
        </w:rPr>
        <w:t xml:space="preserve">the United States on behalf of </w:t>
      </w:r>
      <w:r w:rsidR="00BA2A83" w:rsidRPr="006E75EE">
        <w:t>Settling Federal Agencies</w:t>
      </w:r>
      <w:r w:rsidR="00F33532" w:rsidRPr="006E75EE">
        <w:t>,</w:t>
      </w:r>
      <w:r w:rsidR="007B2FF6" w:rsidRPr="006E75EE">
        <w:t>]</w:t>
      </w:r>
      <w:r w:rsidR="00F33532" w:rsidRPr="006E75EE">
        <w:rPr>
          <w:lang w:val="en-US"/>
        </w:rPr>
        <w:t xml:space="preserve"> </w:t>
      </w:r>
      <w:r w:rsidRPr="006E75EE">
        <w:t xml:space="preserve">in accordance with this </w:t>
      </w:r>
      <w:r w:rsidR="00FB28BD" w:rsidRPr="006E75EE">
        <w:t>Settlement</w:t>
      </w:r>
      <w:r w:rsidRPr="006E75EE">
        <w:t xml:space="preserve"> do not constitute an admission of any liability.</w:t>
      </w:r>
      <w:r w:rsidR="00690C7E" w:rsidRPr="006E75EE">
        <w:t xml:space="preserve"> </w:t>
      </w:r>
      <w:r w:rsidRPr="006E75EE">
        <w:t xml:space="preserve">Respondents </w:t>
      </w:r>
      <w:r w:rsidR="007B2FF6" w:rsidRPr="006E75EE">
        <w:t>[</w:t>
      </w:r>
      <w:r w:rsidR="0079794F" w:rsidRPr="006E75EE">
        <w:t xml:space="preserve">and </w:t>
      </w:r>
      <w:r w:rsidR="00BA2A83" w:rsidRPr="006E75EE">
        <w:t>Settling Federal Agencies</w:t>
      </w:r>
      <w:r w:rsidR="007B2FF6" w:rsidRPr="006E75EE">
        <w:t>]</w:t>
      </w:r>
      <w:r w:rsidR="0079794F" w:rsidRPr="006E75EE">
        <w:t xml:space="preserve"> </w:t>
      </w:r>
      <w:r w:rsidRPr="006E75EE">
        <w:t xml:space="preserve">do not admit, and retain the right to controvert in any subsequent proceedings other than proceedings to implement or enforce this </w:t>
      </w:r>
      <w:r w:rsidR="00FB28BD" w:rsidRPr="006E75EE">
        <w:t>Settlement</w:t>
      </w:r>
      <w:r w:rsidRPr="006E75EE">
        <w:t>, the validity of the findings of facts, conclusions of law, and determinations in Sections</w:t>
      </w:r>
      <w:r w:rsidR="009A7708" w:rsidRPr="006E75EE">
        <w:rPr>
          <w:lang w:val="en-US"/>
        </w:rPr>
        <w:t> </w:t>
      </w:r>
      <w:r w:rsidR="0010645A" w:rsidRPr="006E75EE">
        <w:fldChar w:fldCharType="begin"/>
      </w:r>
      <w:r w:rsidR="0010645A" w:rsidRPr="006E75EE">
        <w:instrText xml:space="preserve"> REF _Ref326220061 \r \h </w:instrText>
      </w:r>
      <w:r w:rsidR="006E75EE">
        <w:instrText xml:space="preserve"> \* MERGEFORMAT </w:instrText>
      </w:r>
      <w:r w:rsidR="0010645A" w:rsidRPr="006E75EE">
        <w:fldChar w:fldCharType="separate"/>
      </w:r>
      <w:r w:rsidR="009166B4" w:rsidRPr="006E75EE">
        <w:t>IV</w:t>
      </w:r>
      <w:r w:rsidR="0010645A" w:rsidRPr="006E75EE">
        <w:fldChar w:fldCharType="end"/>
      </w:r>
      <w:r w:rsidRPr="006E75EE">
        <w:t xml:space="preserve"> </w:t>
      </w:r>
      <w:r w:rsidR="00133B33" w:rsidRPr="006E75EE">
        <w:rPr>
          <w:lang w:val="en-US"/>
        </w:rPr>
        <w:t xml:space="preserve">(Findings of Fact) </w:t>
      </w:r>
      <w:r w:rsidRPr="006E75EE">
        <w:t xml:space="preserve">and </w:t>
      </w:r>
      <w:r w:rsidR="0010645A" w:rsidRPr="006E75EE">
        <w:fldChar w:fldCharType="begin"/>
      </w:r>
      <w:r w:rsidR="0010645A" w:rsidRPr="006E75EE">
        <w:instrText xml:space="preserve"> REF _Ref326220067 \r \h </w:instrText>
      </w:r>
      <w:r w:rsidR="006E75EE">
        <w:instrText xml:space="preserve"> \* MERGEFORMAT </w:instrText>
      </w:r>
      <w:r w:rsidR="0010645A" w:rsidRPr="006E75EE">
        <w:fldChar w:fldCharType="separate"/>
      </w:r>
      <w:r w:rsidR="009166B4" w:rsidRPr="006E75EE">
        <w:t>V</w:t>
      </w:r>
      <w:r w:rsidR="0010645A" w:rsidRPr="006E75EE">
        <w:fldChar w:fldCharType="end"/>
      </w:r>
      <w:r w:rsidR="00133B33" w:rsidRPr="006E75EE">
        <w:rPr>
          <w:lang w:val="en-US"/>
        </w:rPr>
        <w:t xml:space="preserve"> (Conclusions of Law and Determinations)</w:t>
      </w:r>
      <w:r w:rsidRPr="006E75EE">
        <w:t xml:space="preserve"> of this </w:t>
      </w:r>
      <w:r w:rsidR="00FB28BD" w:rsidRPr="006E75EE">
        <w:t>Settlement</w:t>
      </w:r>
      <w:r w:rsidRPr="006E75EE">
        <w:t>.</w:t>
      </w:r>
      <w:r w:rsidR="00690C7E" w:rsidRPr="006E75EE">
        <w:t xml:space="preserve"> </w:t>
      </w:r>
      <w:r w:rsidRPr="006E75EE">
        <w:t xml:space="preserve">Respondents </w:t>
      </w:r>
      <w:r w:rsidR="007B2FF6" w:rsidRPr="006E75EE">
        <w:t>[</w:t>
      </w:r>
      <w:r w:rsidR="0079794F" w:rsidRPr="006E75EE">
        <w:t xml:space="preserve">and </w:t>
      </w:r>
      <w:r w:rsidR="00BA2A83" w:rsidRPr="006E75EE">
        <w:t>Settling Federal Agencies</w:t>
      </w:r>
      <w:r w:rsidR="007B2FF6" w:rsidRPr="006E75EE">
        <w:t>]</w:t>
      </w:r>
      <w:r w:rsidR="0079794F" w:rsidRPr="006E75EE">
        <w:t xml:space="preserve"> </w:t>
      </w:r>
      <w:r w:rsidRPr="006E75EE">
        <w:t xml:space="preserve">agree not </w:t>
      </w:r>
      <w:r w:rsidR="00387B2E" w:rsidRPr="006E75EE">
        <w:rPr>
          <w:lang w:val="en-US"/>
        </w:rPr>
        <w:t xml:space="preserve">to </w:t>
      </w:r>
      <w:r w:rsidRPr="006E75EE">
        <w:t xml:space="preserve">contest the basis or validity of this </w:t>
      </w:r>
      <w:r w:rsidR="00FB28BD" w:rsidRPr="006E75EE">
        <w:t>Settlement</w:t>
      </w:r>
      <w:r w:rsidRPr="006E75EE">
        <w:t xml:space="preserve"> or its terms.</w:t>
      </w:r>
    </w:p>
    <w:p w14:paraId="6B65A869" w14:textId="77777777" w:rsidR="008170B1" w:rsidRPr="006E75EE" w:rsidRDefault="008170B1" w:rsidP="002B7658">
      <w:pPr>
        <w:pStyle w:val="Heading1"/>
      </w:pPr>
      <w:bookmarkStart w:id="4" w:name="_Toc80599605"/>
      <w:bookmarkStart w:id="5" w:name="_Toc184899533"/>
      <w:r w:rsidRPr="006E75EE">
        <w:t>PARTIES BOUND</w:t>
      </w:r>
      <w:bookmarkEnd w:id="4"/>
      <w:bookmarkEnd w:id="5"/>
    </w:p>
    <w:p w14:paraId="35FAB48A" w14:textId="588B2745" w:rsidR="008170B1" w:rsidRPr="006E75EE" w:rsidRDefault="003C2E5C" w:rsidP="00276366">
      <w:pPr>
        <w:pStyle w:val="LVL1"/>
        <w:rPr>
          <w:lang w:val="en-US"/>
        </w:rPr>
      </w:pPr>
      <w:r w:rsidRPr="006E75EE">
        <w:rPr>
          <w:lang w:val="en-US"/>
        </w:rPr>
        <w:t>This Settlement is binding upon EPA</w:t>
      </w:r>
      <w:r w:rsidR="001C5434" w:rsidRPr="006E75EE">
        <w:t xml:space="preserve"> </w:t>
      </w:r>
      <w:r w:rsidR="007B2FF6" w:rsidRPr="006E75EE">
        <w:t>[</w:t>
      </w:r>
      <w:r w:rsidR="001C5434" w:rsidRPr="006E75EE">
        <w:t xml:space="preserve">and </w:t>
      </w:r>
      <w:r w:rsidR="00BA2A83" w:rsidRPr="006E75EE">
        <w:t>Settling Federal Agencies</w:t>
      </w:r>
      <w:r w:rsidR="001C5434" w:rsidRPr="006E75EE">
        <w:t>,</w:t>
      </w:r>
      <w:r w:rsidR="007B2FF6" w:rsidRPr="006E75EE">
        <w:t>]</w:t>
      </w:r>
      <w:r w:rsidRPr="006E75EE">
        <w:rPr>
          <w:lang w:val="en-US"/>
        </w:rPr>
        <w:t xml:space="preserve"> and upon Respondents</w:t>
      </w:r>
      <w:r w:rsidR="003A05F3" w:rsidRPr="006E75EE">
        <w:rPr>
          <w:lang w:val="en-US"/>
        </w:rPr>
        <w:t xml:space="preserve"> </w:t>
      </w:r>
      <w:r w:rsidRPr="006E75EE">
        <w:rPr>
          <w:lang w:val="en-US"/>
        </w:rPr>
        <w:t>and their successors [and heirs].</w:t>
      </w:r>
      <w:r w:rsidR="005440A5" w:rsidRPr="006E75EE">
        <w:rPr>
          <w:rStyle w:val="FootnoteReference"/>
          <w:color w:val="auto"/>
          <w:lang w:val="en-US"/>
        </w:rPr>
        <w:footnoteReference w:id="4"/>
      </w:r>
      <w:r w:rsidRPr="006E75EE">
        <w:rPr>
          <w:lang w:val="en-US"/>
        </w:rPr>
        <w:t xml:space="preserve"> Unless EPA otherwise consents</w:t>
      </w:r>
      <w:r w:rsidR="004158D9">
        <w:rPr>
          <w:lang w:val="en-US"/>
        </w:rPr>
        <w:t xml:space="preserve"> in a modification implemented under </w:t>
      </w:r>
      <w:r w:rsidR="004158D9" w:rsidRPr="004158D9">
        <w:rPr>
          <w:lang w:val="en-US"/>
        </w:rPr>
        <w:t>¶</w:t>
      </w:r>
      <w:r w:rsidR="004158D9">
        <w:rPr>
          <w:lang w:val="en-US"/>
        </w:rPr>
        <w:t> </w:t>
      </w:r>
      <w:r w:rsidR="004158D9">
        <w:rPr>
          <w:lang w:val="en-US"/>
        </w:rPr>
        <w:fldChar w:fldCharType="begin"/>
      </w:r>
      <w:r w:rsidR="004158D9">
        <w:rPr>
          <w:lang w:val="en-US"/>
        </w:rPr>
        <w:instrText xml:space="preserve"> REF _Ref92190957 \r \h </w:instrText>
      </w:r>
      <w:r w:rsidR="004158D9">
        <w:rPr>
          <w:lang w:val="en-US"/>
        </w:rPr>
      </w:r>
      <w:r w:rsidR="004158D9">
        <w:rPr>
          <w:lang w:val="en-US"/>
        </w:rPr>
        <w:fldChar w:fldCharType="separate"/>
      </w:r>
      <w:r w:rsidR="004158D9">
        <w:rPr>
          <w:lang w:val="en-US"/>
        </w:rPr>
        <w:t>88</w:t>
      </w:r>
      <w:r w:rsidR="004158D9">
        <w:rPr>
          <w:lang w:val="en-US"/>
        </w:rPr>
        <w:fldChar w:fldCharType="end"/>
      </w:r>
      <w:r w:rsidR="004158D9">
        <w:rPr>
          <w:lang w:val="en-US"/>
        </w:rPr>
        <w:t>, Respondent</w:t>
      </w:r>
      <w:r w:rsidR="00F57B7D">
        <w:rPr>
          <w:lang w:val="en-US"/>
        </w:rPr>
        <w:t>s’</w:t>
      </w:r>
      <w:r w:rsidR="004158D9">
        <w:rPr>
          <w:lang w:val="en-US"/>
        </w:rPr>
        <w:t xml:space="preserve"> obligations under this Settlement:</w:t>
      </w:r>
      <w:r w:rsidRPr="006E75EE">
        <w:rPr>
          <w:lang w:val="en-US"/>
        </w:rPr>
        <w:t xml:space="preserve"> (a)</w:t>
      </w:r>
      <w:r w:rsidR="00C82BB2" w:rsidRPr="006E75EE">
        <w:rPr>
          <w:lang w:val="en-US"/>
        </w:rPr>
        <w:t> </w:t>
      </w:r>
      <w:r w:rsidR="004158D9">
        <w:rPr>
          <w:lang w:val="en-US"/>
        </w:rPr>
        <w:t xml:space="preserve">are not altered by </w:t>
      </w:r>
      <w:r w:rsidRPr="006E75EE">
        <w:rPr>
          <w:lang w:val="en-US"/>
        </w:rPr>
        <w:t xml:space="preserve">any change in ownership or corporate or other legal status of any Respondent, including any transfer of assets, or </w:t>
      </w:r>
      <w:r w:rsidR="00733F19">
        <w:rPr>
          <w:lang w:val="en-US"/>
        </w:rPr>
        <w:t xml:space="preserve">by </w:t>
      </w:r>
      <w:r w:rsidRPr="006E75EE">
        <w:rPr>
          <w:lang w:val="en-US"/>
        </w:rPr>
        <w:t>any Transfer of the Site or any portion thereof,</w:t>
      </w:r>
      <w:r w:rsidR="004158D9">
        <w:rPr>
          <w:lang w:val="en-US"/>
        </w:rPr>
        <w:t xml:space="preserve"> and (b) cannot </w:t>
      </w:r>
      <w:r w:rsidRPr="006E75EE">
        <w:rPr>
          <w:lang w:val="en-US"/>
        </w:rPr>
        <w:t>be assigned.</w:t>
      </w:r>
    </w:p>
    <w:p w14:paraId="0B4E6A0B" w14:textId="0588FF0A" w:rsidR="00247041" w:rsidRPr="006E75EE" w:rsidRDefault="005A66E8" w:rsidP="00247041">
      <w:pPr>
        <w:pStyle w:val="LVL1"/>
        <w:rPr>
          <w:lang w:val="en-US"/>
        </w:rPr>
      </w:pPr>
      <w:r w:rsidRPr="006E75EE">
        <w:rPr>
          <w:lang w:val="en-US"/>
        </w:rPr>
        <w:t>Respondents shall be responsible for ensuring that their officers</w:t>
      </w:r>
      <w:r w:rsidR="00E870E2" w:rsidRPr="006E75EE">
        <w:rPr>
          <w:lang w:val="en-US"/>
        </w:rPr>
        <w:t xml:space="preserve">, directors, employees, agents, contractors, or any other person representing Respondents perform the Work in accordance with the terms of this Settlement. Respondents shall provide </w:t>
      </w:r>
      <w:r w:rsidR="00E870E2" w:rsidRPr="006E75EE">
        <w:rPr>
          <w:lang w:val="en-US"/>
        </w:rPr>
        <w:lastRenderedPageBreak/>
        <w:t xml:space="preserve">notice of this Settlement to each person representing Respondents with respect to the Site or the Work. Respondents </w:t>
      </w:r>
      <w:r w:rsidR="00DE6FA0" w:rsidRPr="006E75EE">
        <w:rPr>
          <w:lang w:val="en-US"/>
        </w:rPr>
        <w:t>sha</w:t>
      </w:r>
      <w:r w:rsidR="00E870E2" w:rsidRPr="006E75EE">
        <w:rPr>
          <w:lang w:val="en-US"/>
        </w:rPr>
        <w:t>ll provide notice of this Settlement to each contractor performing any Work and shall ensure that notice of the Settlement is provided</w:t>
      </w:r>
      <w:r w:rsidR="00DE6FA0" w:rsidRPr="006E75EE">
        <w:rPr>
          <w:lang w:val="en-US"/>
        </w:rPr>
        <w:t xml:space="preserve"> to each subcontractor performing any Work. </w:t>
      </w:r>
    </w:p>
    <w:p w14:paraId="3022A73E" w14:textId="77777777" w:rsidR="008170B1" w:rsidRPr="006E75EE" w:rsidRDefault="008170B1" w:rsidP="002B7658">
      <w:pPr>
        <w:pStyle w:val="Heading1"/>
      </w:pPr>
      <w:bookmarkStart w:id="6" w:name="_Toc80599606"/>
      <w:bookmarkStart w:id="7" w:name="_Toc184899534"/>
      <w:r w:rsidRPr="006E75EE">
        <w:t>DEFINITIONS</w:t>
      </w:r>
      <w:bookmarkEnd w:id="6"/>
      <w:bookmarkEnd w:id="7"/>
    </w:p>
    <w:p w14:paraId="3393C4C1" w14:textId="2393356E" w:rsidR="008170B1" w:rsidRPr="006E75EE" w:rsidRDefault="00F63AD8" w:rsidP="000808D6">
      <w:pPr>
        <w:pStyle w:val="LVL1"/>
        <w:spacing w:after="240"/>
      </w:pPr>
      <w:r w:rsidRPr="006E75EE">
        <w:rPr>
          <w:lang w:val="en-US"/>
        </w:rPr>
        <w:t>Subject to the next sentence, terms used in this Settlement</w:t>
      </w:r>
      <w:r w:rsidR="00F54BB4" w:rsidRPr="006E75EE">
        <w:rPr>
          <w:lang w:val="en-US"/>
        </w:rPr>
        <w:t xml:space="preserve"> </w:t>
      </w:r>
      <w:r w:rsidRPr="006E75EE">
        <w:rPr>
          <w:lang w:val="en-US"/>
        </w:rPr>
        <w:t>that are defined in CERCLA or the regulations</w:t>
      </w:r>
      <w:r w:rsidR="00B91D49" w:rsidRPr="006E75EE">
        <w:rPr>
          <w:lang w:val="en-US"/>
        </w:rPr>
        <w:t xml:space="preserve"> promulgated under CERCLA have the meanings assigned to</w:t>
      </w:r>
      <w:r w:rsidR="005A26C2" w:rsidRPr="006E75EE">
        <w:rPr>
          <w:lang w:val="en-US"/>
        </w:rPr>
        <w:t xml:space="preserve"> </w:t>
      </w:r>
      <w:r w:rsidR="00B91D49" w:rsidRPr="006E75EE">
        <w:rPr>
          <w:lang w:val="en-US"/>
        </w:rPr>
        <w:t>them in CERCLA and the regulations promulgated under CERCLA</w:t>
      </w:r>
      <w:r w:rsidR="00442253" w:rsidRPr="006E75EE">
        <w:t xml:space="preserve">. Whenever the terms set forth below are used in this </w:t>
      </w:r>
      <w:r w:rsidR="00442253" w:rsidRPr="006E75EE">
        <w:rPr>
          <w:lang w:val="en-US"/>
        </w:rPr>
        <w:t>Settlement</w:t>
      </w:r>
      <w:r w:rsidR="00442253" w:rsidRPr="006E75EE">
        <w:t>, the following definitions apply:</w:t>
      </w:r>
      <w:r w:rsidR="005440A5" w:rsidRPr="006E75EE">
        <w:rPr>
          <w:rStyle w:val="FootnoteReference"/>
          <w:color w:val="auto"/>
        </w:rPr>
        <w:footnoteReference w:id="5"/>
      </w:r>
    </w:p>
    <w:p w14:paraId="03834BF8" w14:textId="436359ED" w:rsidR="008170B1" w:rsidRPr="006E75EE" w:rsidRDefault="008170B1" w:rsidP="000808D6">
      <w:pPr>
        <w:pStyle w:val="Def-Whereas"/>
      </w:pPr>
      <w:r w:rsidRPr="006E75EE">
        <w:t>“CERCLA” mean</w:t>
      </w:r>
      <w:r w:rsidR="00361071" w:rsidRPr="006E75EE">
        <w:t>s</w:t>
      </w:r>
      <w:r w:rsidRPr="006E75EE">
        <w:t xml:space="preserve"> the Comprehensive Environmental Response, Compensation, and Liability Act, 42 U.S.C. §§ 9601-9675.</w:t>
      </w:r>
    </w:p>
    <w:p w14:paraId="5F0624BC" w14:textId="470C54D4" w:rsidR="008170B1" w:rsidRPr="006E75EE" w:rsidRDefault="008170B1" w:rsidP="000808D6">
      <w:pPr>
        <w:pStyle w:val="Def-Whereas"/>
      </w:pPr>
      <w:r w:rsidRPr="006E75EE">
        <w:t>“Day” or “day” mean</w:t>
      </w:r>
      <w:r w:rsidR="00361071" w:rsidRPr="006E75EE">
        <w:t>s</w:t>
      </w:r>
      <w:r w:rsidRPr="006E75EE">
        <w:t xml:space="preserve"> a calendar day.</w:t>
      </w:r>
      <w:r w:rsidR="00690C7E" w:rsidRPr="006E75EE">
        <w:t xml:space="preserve"> </w:t>
      </w:r>
      <w:r w:rsidRPr="006E75EE">
        <w:t xml:space="preserve">In computing any period under this </w:t>
      </w:r>
      <w:r w:rsidR="00FB28BD" w:rsidRPr="006E75EE">
        <w:t>Settlement</w:t>
      </w:r>
      <w:r w:rsidRPr="006E75EE">
        <w:t xml:space="preserve">, </w:t>
      </w:r>
      <w:r w:rsidR="006872E1" w:rsidRPr="006E75EE">
        <w:t xml:space="preserve">the day of the event that triggers the period is not counted and, </w:t>
      </w:r>
      <w:r w:rsidRPr="006E75EE">
        <w:t xml:space="preserve">where the last day </w:t>
      </w:r>
      <w:r w:rsidR="00EB1CB5" w:rsidRPr="006E75EE">
        <w:t>is not a working day</w:t>
      </w:r>
      <w:r w:rsidRPr="006E75EE">
        <w:t>, the period run</w:t>
      </w:r>
      <w:r w:rsidR="00EB1CB5" w:rsidRPr="006E75EE">
        <w:t>s</w:t>
      </w:r>
      <w:r w:rsidRPr="006E75EE">
        <w:t xml:space="preserve"> until the close of bus</w:t>
      </w:r>
      <w:r w:rsidR="00DC0AD7" w:rsidRPr="006E75EE">
        <w:t>iness of the next working day.</w:t>
      </w:r>
      <w:r w:rsidR="00EB1CB5" w:rsidRPr="006E75EE">
        <w:t xml:space="preserve"> “Working Day” means any day other than a Saturday, Sunday, or federal or State holiday</w:t>
      </w:r>
      <w:r w:rsidR="00F54BB4" w:rsidRPr="006E75EE">
        <w:t>.</w:t>
      </w:r>
    </w:p>
    <w:p w14:paraId="09BC309E" w14:textId="28E5BC8E" w:rsidR="008170B1" w:rsidRPr="006E75EE" w:rsidRDefault="008170B1" w:rsidP="000808D6">
      <w:pPr>
        <w:pStyle w:val="Def-Whereas"/>
      </w:pPr>
      <w:r w:rsidRPr="006E75EE">
        <w:t>“Effective Date” mean</w:t>
      </w:r>
      <w:r w:rsidR="00361071" w:rsidRPr="006E75EE">
        <w:t>s</w:t>
      </w:r>
      <w:r w:rsidRPr="006E75EE">
        <w:t xml:space="preserve"> the effective date of this </w:t>
      </w:r>
      <w:r w:rsidR="00FB28BD" w:rsidRPr="006E75EE">
        <w:t>Settlement</w:t>
      </w:r>
      <w:r w:rsidR="008D7C3B" w:rsidRPr="006E75EE">
        <w:t xml:space="preserve"> as provided in Section </w:t>
      </w:r>
      <w:r w:rsidR="0010645A" w:rsidRPr="006E75EE">
        <w:fldChar w:fldCharType="begin"/>
      </w:r>
      <w:r w:rsidR="0010645A" w:rsidRPr="006E75EE">
        <w:instrText xml:space="preserve"> REF _Ref326220092 \r \h </w:instrText>
      </w:r>
      <w:r w:rsidR="002A0C81" w:rsidRPr="006E75EE">
        <w:instrText xml:space="preserve"> \* MERGEFORMAT </w:instrText>
      </w:r>
      <w:r w:rsidR="0010645A" w:rsidRPr="006E75EE">
        <w:fldChar w:fldCharType="separate"/>
      </w:r>
      <w:r w:rsidR="009166B4" w:rsidRPr="006E75EE">
        <w:t>XXVII</w:t>
      </w:r>
      <w:r w:rsidR="0010645A" w:rsidRPr="006E75EE">
        <w:fldChar w:fldCharType="end"/>
      </w:r>
      <w:r w:rsidR="002C5620" w:rsidRPr="006E75EE">
        <w:t>.</w:t>
      </w:r>
    </w:p>
    <w:p w14:paraId="065AC07C" w14:textId="3A9CE541" w:rsidR="002C5620" w:rsidRPr="006E75EE" w:rsidRDefault="002C5620" w:rsidP="000808D6">
      <w:pPr>
        <w:pStyle w:val="Def-Whereas"/>
      </w:pPr>
      <w:r w:rsidRPr="006E75EE">
        <w:t xml:space="preserve">“Engineering Controls” means constructed containment barriers or systems that control one or more of the following: downward migration, infiltration, </w:t>
      </w:r>
      <w:r w:rsidR="00FF6F3D" w:rsidRPr="006E75EE">
        <w:t xml:space="preserve">airborne particles and/or material, </w:t>
      </w:r>
      <w:r w:rsidRPr="006E75EE">
        <w:t>or seepage of surface runoff or rain; or natural leaching migration of contaminants through the subsurface over time. Examples include caps, engineered bottom barriers, immobilization processes, and vertical barriers.</w:t>
      </w:r>
    </w:p>
    <w:p w14:paraId="13A1DB98" w14:textId="055A0009" w:rsidR="008170B1" w:rsidRPr="006E75EE" w:rsidRDefault="008170B1" w:rsidP="000808D6">
      <w:pPr>
        <w:pStyle w:val="Def-Whereas"/>
      </w:pPr>
      <w:r w:rsidRPr="006E75EE">
        <w:t>“EPA” mean</w:t>
      </w:r>
      <w:r w:rsidR="00361071" w:rsidRPr="006E75EE">
        <w:t>s</w:t>
      </w:r>
      <w:r w:rsidRPr="006E75EE">
        <w:t xml:space="preserve"> the United States </w:t>
      </w:r>
      <w:r w:rsidR="008D7C3B" w:rsidRPr="006E75EE">
        <w:t>Environmental Protection Agency.</w:t>
      </w:r>
    </w:p>
    <w:p w14:paraId="36CE885A" w14:textId="2EC4D080" w:rsidR="0019757D" w:rsidRPr="006E75EE" w:rsidRDefault="0019757D" w:rsidP="000808D6">
      <w:pPr>
        <w:pStyle w:val="Def-Whereas"/>
      </w:pPr>
      <w:r w:rsidRPr="006E75EE">
        <w:t>“Fund” means the Hazardous Substance Superfund established under section</w:t>
      </w:r>
      <w:r w:rsidR="00226D58" w:rsidRPr="006E75EE">
        <w:t> </w:t>
      </w:r>
      <w:r w:rsidRPr="006E75EE">
        <w:t>9507 of the Internal Revenue Code, 26 I.R.C. §</w:t>
      </w:r>
      <w:r w:rsidR="009A7708" w:rsidRPr="006E75EE">
        <w:t> </w:t>
      </w:r>
      <w:r w:rsidRPr="006E75EE">
        <w:t>9507.</w:t>
      </w:r>
    </w:p>
    <w:p w14:paraId="5404E25A" w14:textId="429FC301" w:rsidR="00634D1A" w:rsidRPr="006E75EE" w:rsidRDefault="00634D1A" w:rsidP="000808D6">
      <w:pPr>
        <w:pStyle w:val="Def-Whereas"/>
      </w:pPr>
      <w:r w:rsidRPr="006E75EE">
        <w:t>“Future Response Costs ” means all costs (including direct, indirect, payroll, contractor, travel, and laboratory costs) that the United States: (a)</w:t>
      </w:r>
      <w:r w:rsidR="007A17C8" w:rsidRPr="006E75EE">
        <w:t> </w:t>
      </w:r>
      <w:r w:rsidRPr="006E75EE">
        <w:t xml:space="preserve">pays between </w:t>
      </w:r>
      <w:r w:rsidR="00785D1F" w:rsidRPr="006E75EE">
        <w:t>____</w:t>
      </w:r>
      <w:r w:rsidRPr="006E75EE">
        <w:t xml:space="preserve"> [</w:t>
      </w:r>
      <w:r w:rsidRPr="006E75EE">
        <w:rPr>
          <w:b/>
        </w:rPr>
        <w:t>same cutoff date as in PRC definition</w:t>
      </w:r>
      <w:r w:rsidRPr="006E75EE">
        <w:t>] and the Effective Date; and (b)</w:t>
      </w:r>
      <w:r w:rsidR="007A17C8" w:rsidRPr="006E75EE">
        <w:t> </w:t>
      </w:r>
      <w:r w:rsidRPr="006E75EE">
        <w:t>pays after the Effective Date in implementing, overseeing,</w:t>
      </w:r>
      <w:r w:rsidR="005440A5" w:rsidRPr="006E75EE">
        <w:rPr>
          <w:rStyle w:val="FootnoteReference"/>
          <w:color w:val="auto"/>
        </w:rPr>
        <w:footnoteReference w:id="6"/>
      </w:r>
      <w:r w:rsidRPr="006E75EE">
        <w:t xml:space="preserve"> or enforcing this Settlement, including: (i)</w:t>
      </w:r>
      <w:r w:rsidR="007A17C8" w:rsidRPr="006E75EE">
        <w:t> </w:t>
      </w:r>
      <w:r w:rsidRPr="006E75EE">
        <w:t>in developing, reviewing and approving deliverables generated under this Settlement; (ii)</w:t>
      </w:r>
      <w:r w:rsidR="007A17C8" w:rsidRPr="006E75EE">
        <w:t> </w:t>
      </w:r>
      <w:r w:rsidRPr="006E75EE">
        <w:t>in overseeing Respondents’ performance of the Work; (iii)</w:t>
      </w:r>
      <w:r w:rsidR="009A7708" w:rsidRPr="006E75EE">
        <w:t> </w:t>
      </w:r>
      <w:r w:rsidRPr="006E75EE">
        <w:t>in assisting or taking action to obtain access [or use restrictions] under ¶</w:t>
      </w:r>
      <w:r w:rsidR="007A17C8" w:rsidRPr="006E75EE">
        <w:t> </w:t>
      </w:r>
      <w:r w:rsidR="001C5434" w:rsidRPr="006E75EE">
        <w:fldChar w:fldCharType="begin"/>
      </w:r>
      <w:r w:rsidR="001C5434" w:rsidRPr="006E75EE">
        <w:instrText xml:space="preserve"> REF _Ref92191030 \r \h </w:instrText>
      </w:r>
      <w:r w:rsidR="006E75EE">
        <w:instrText xml:space="preserve"> \* MERGEFORMAT </w:instrText>
      </w:r>
      <w:r w:rsidR="001C5434" w:rsidRPr="006E75EE">
        <w:fldChar w:fldCharType="separate"/>
      </w:r>
      <w:r w:rsidR="009166B4" w:rsidRPr="006E75EE">
        <w:t>26</w:t>
      </w:r>
      <w:r w:rsidR="001C5434" w:rsidRPr="006E75EE">
        <w:fldChar w:fldCharType="end"/>
      </w:r>
      <w:r w:rsidRPr="006E75EE">
        <w:t>; (iv)</w:t>
      </w:r>
      <w:r w:rsidR="009A7708" w:rsidRPr="006E75EE">
        <w:t> </w:t>
      </w:r>
      <w:r w:rsidRPr="006E75EE">
        <w:t xml:space="preserve">in taking action under </w:t>
      </w:r>
      <w:bookmarkStart w:id="8" w:name="_Hlk66285168"/>
      <w:r w:rsidRPr="006E75EE">
        <w:t>¶</w:t>
      </w:r>
      <w:r w:rsidR="007A17C8" w:rsidRPr="006E75EE">
        <w:t> </w:t>
      </w:r>
      <w:bookmarkEnd w:id="8"/>
      <w:r w:rsidR="001C5434" w:rsidRPr="006E75EE">
        <w:fldChar w:fldCharType="begin"/>
      </w:r>
      <w:r w:rsidR="001C5434" w:rsidRPr="006E75EE">
        <w:instrText xml:space="preserve"> REF _Ref362014500 \r \h </w:instrText>
      </w:r>
      <w:r w:rsidR="006E75EE">
        <w:instrText xml:space="preserve"> \* MERGEFORMAT </w:instrText>
      </w:r>
      <w:r w:rsidR="001C5434" w:rsidRPr="006E75EE">
        <w:fldChar w:fldCharType="separate"/>
      </w:r>
      <w:r w:rsidR="009166B4" w:rsidRPr="006E75EE">
        <w:t>35</w:t>
      </w:r>
      <w:r w:rsidR="001C5434" w:rsidRPr="006E75EE">
        <w:fldChar w:fldCharType="end"/>
      </w:r>
      <w:r w:rsidRPr="006E75EE">
        <w:t xml:space="preserve"> (Access to Financial Assurance); (v)</w:t>
      </w:r>
      <w:r w:rsidR="007A17C8" w:rsidRPr="006E75EE">
        <w:t> </w:t>
      </w:r>
      <w:r w:rsidRPr="006E75EE">
        <w:t xml:space="preserve">in taking response action described </w:t>
      </w:r>
      <w:r w:rsidR="00D3183E" w:rsidRPr="006E75EE">
        <w:t>b</w:t>
      </w:r>
      <w:r w:rsidRPr="006E75EE">
        <w:t>ecause of Respondents’ failure to take emergency action under</w:t>
      </w:r>
      <w:r w:rsidR="00153C7D" w:rsidRPr="006E75EE">
        <w:t xml:space="preserve"> Section</w:t>
      </w:r>
      <w:r w:rsidR="007A17C8" w:rsidRPr="006E75EE">
        <w:t> </w:t>
      </w:r>
      <w:r w:rsidR="003633B5" w:rsidRPr="006E75EE">
        <w:t>6</w:t>
      </w:r>
      <w:r w:rsidR="008D262B" w:rsidRPr="006E75EE">
        <w:t>.6</w:t>
      </w:r>
      <w:r w:rsidR="00153C7D" w:rsidRPr="006E75EE">
        <w:t xml:space="preserve"> </w:t>
      </w:r>
      <w:r w:rsidR="00AE5032" w:rsidRPr="006E75EE">
        <w:t xml:space="preserve">(Emergency Response and Reporting) </w:t>
      </w:r>
      <w:r w:rsidR="00153C7D" w:rsidRPr="006E75EE">
        <w:t xml:space="preserve">in </w:t>
      </w:r>
      <w:r w:rsidR="00153C7D" w:rsidRPr="006E75EE">
        <w:lastRenderedPageBreak/>
        <w:t>the SOW</w:t>
      </w:r>
      <w:r w:rsidRPr="006E75EE">
        <w:t>; (vi)</w:t>
      </w:r>
      <w:r w:rsidR="007A17C8" w:rsidRPr="006E75EE">
        <w:t> </w:t>
      </w:r>
      <w:r w:rsidRPr="006E75EE">
        <w:t>in implementing a Work Takeover under ¶</w:t>
      </w:r>
      <w:r w:rsidR="007A17C8" w:rsidRPr="006E75EE">
        <w:t> </w:t>
      </w:r>
      <w:r w:rsidR="001C5434" w:rsidRPr="006E75EE">
        <w:fldChar w:fldCharType="begin"/>
      </w:r>
      <w:r w:rsidR="001C5434" w:rsidRPr="006E75EE">
        <w:instrText xml:space="preserve"> REF _Ref76826270 \r \h </w:instrText>
      </w:r>
      <w:r w:rsidR="006E75EE">
        <w:instrText xml:space="preserve"> \* MERGEFORMAT </w:instrText>
      </w:r>
      <w:r w:rsidR="001C5434" w:rsidRPr="006E75EE">
        <w:fldChar w:fldCharType="separate"/>
      </w:r>
      <w:r w:rsidR="009166B4" w:rsidRPr="006E75EE">
        <w:t>25</w:t>
      </w:r>
      <w:r w:rsidR="001C5434" w:rsidRPr="006E75EE">
        <w:fldChar w:fldCharType="end"/>
      </w:r>
      <w:r w:rsidRPr="006E75EE">
        <w:t xml:space="preserve">; </w:t>
      </w:r>
      <w:r w:rsidR="0027059F" w:rsidRPr="006E75EE">
        <w:t>(vii)</w:t>
      </w:r>
      <w:r w:rsidR="007A17C8" w:rsidRPr="006E75EE">
        <w:t> </w:t>
      </w:r>
      <w:r w:rsidR="0027059F" w:rsidRPr="006E75EE">
        <w:t xml:space="preserve">in implementing community involvement activities including the cost of any technical assistance grant provided under section 117(e) of CERCLA </w:t>
      </w:r>
      <w:r w:rsidRPr="006E75EE">
        <w:t>and (vii</w:t>
      </w:r>
      <w:r w:rsidR="0027059F" w:rsidRPr="006E75EE">
        <w:t>i</w:t>
      </w:r>
      <w:r w:rsidRPr="006E75EE">
        <w:t>)</w:t>
      </w:r>
      <w:r w:rsidR="007A17C8" w:rsidRPr="006E75EE">
        <w:t> </w:t>
      </w:r>
      <w:r w:rsidRPr="006E75EE">
        <w:t>in enforcing this Settlement, including all costs paid under Section</w:t>
      </w:r>
      <w:r w:rsidR="009A7708" w:rsidRPr="006E75EE">
        <w:t> </w:t>
      </w:r>
      <w:r w:rsidR="009F01C5" w:rsidRPr="006E75EE">
        <w:fldChar w:fldCharType="begin"/>
      </w:r>
      <w:r w:rsidR="009F01C5" w:rsidRPr="006E75EE">
        <w:instrText xml:space="preserve"> REF _Ref326220161 \w \h </w:instrText>
      </w:r>
      <w:r w:rsidR="006E75EE">
        <w:instrText xml:space="preserve"> \* MERGEFORMAT </w:instrText>
      </w:r>
      <w:r w:rsidR="009F01C5" w:rsidRPr="006E75EE">
        <w:fldChar w:fldCharType="separate"/>
      </w:r>
      <w:r w:rsidR="009166B4" w:rsidRPr="006E75EE">
        <w:t>XIV</w:t>
      </w:r>
      <w:r w:rsidR="009F01C5" w:rsidRPr="006E75EE">
        <w:fldChar w:fldCharType="end"/>
      </w:r>
      <w:r w:rsidRPr="006E75EE">
        <w:t xml:space="preserve"> (Dispute Resolution) and all litigation costs. Future Response Costs also includes all Interest accrued after [</w:t>
      </w:r>
      <w:r w:rsidRPr="006E75EE">
        <w:rPr>
          <w:b/>
        </w:rPr>
        <w:t>same cutoff date as in PRC definition</w:t>
      </w:r>
      <w:r w:rsidRPr="006E75EE">
        <w:t>] on EPA’s unreimbursed costs (including Past Response Costs) under section</w:t>
      </w:r>
      <w:r w:rsidR="007A17C8" w:rsidRPr="006E75EE">
        <w:t> </w:t>
      </w:r>
      <w:r w:rsidRPr="006E75EE">
        <w:t>107(a) of CERCLA.</w:t>
      </w:r>
      <w:r w:rsidR="00D602DB">
        <w:rPr>
          <w:rStyle w:val="FootnoteReference"/>
        </w:rPr>
        <w:footnoteReference w:id="7"/>
      </w:r>
    </w:p>
    <w:p w14:paraId="6020842C" w14:textId="74CD7839" w:rsidR="008A5E20" w:rsidRPr="006E75EE" w:rsidRDefault="008A5E20" w:rsidP="000808D6">
      <w:pPr>
        <w:pStyle w:val="Def-Whereas"/>
      </w:pPr>
      <w:r w:rsidRPr="006E75EE">
        <w:t>“Greener Cleanup” means strategies designed to help minimize the environmental footprint of cleaning up contaminated sites and ensure a protective remedy within the applicable CERCLA statutory and regulatory framework.</w:t>
      </w:r>
    </w:p>
    <w:p w14:paraId="787DEF1A" w14:textId="4BC09656" w:rsidR="00386533" w:rsidRPr="006E75EE" w:rsidRDefault="00386533" w:rsidP="000808D6">
      <w:pPr>
        <w:pStyle w:val="Def-Whereas"/>
      </w:pPr>
      <w:r w:rsidRPr="006E75EE">
        <w:t xml:space="preserve">“Institutional Controls” means: </w:t>
      </w:r>
      <w:r w:rsidR="0089731F" w:rsidRPr="006E75EE">
        <w:t xml:space="preserve">(a) Proprietary Controls </w:t>
      </w:r>
      <w:r w:rsidR="003E38AA" w:rsidRPr="006E75EE">
        <w:t xml:space="preserve">(i.e., easements or covenants running with the land that (i) limit land, water, or other resource use, provide access rights, or both, and (ii) are created under common law or statutory law by an instrument that is recorded, or for which notice is recorded, in the appropriate land records office); and (b) state or local laws, regulations, ordinances, zoning restrictions, or other governmental controls or notices that: (i) limit </w:t>
      </w:r>
      <w:r w:rsidR="009E0E87" w:rsidRPr="006E75EE">
        <w:t>land, water, or other resource use to minimize the potential for human exposure to Waste Material at or in connection with the Site; (ii) limit land, water, or other resource use to implement</w:t>
      </w:r>
      <w:r w:rsidR="001048F0" w:rsidRPr="006E75EE">
        <w:t xml:space="preserve">, ensure noninterference with, or ensure protectiveness of the </w:t>
      </w:r>
      <w:r w:rsidR="00215A2C" w:rsidRPr="006E75EE">
        <w:t>response action</w:t>
      </w:r>
      <w:r w:rsidR="001048F0" w:rsidRPr="006E75EE">
        <w:t xml:space="preserve">; (iii) provide information intended to modify or guide human behavior at or in connection with the Site; or (iv) any combination thereof. </w:t>
      </w:r>
    </w:p>
    <w:p w14:paraId="00747E2F" w14:textId="1C8C077B" w:rsidR="0052263D" w:rsidRPr="006E75EE" w:rsidRDefault="0052263D" w:rsidP="002A0C81">
      <w:pPr>
        <w:pStyle w:val="Def-Whereas"/>
      </w:pPr>
      <w:r w:rsidRPr="006E75EE">
        <w:t>“Including” or “including” means “including but not limited to.”</w:t>
      </w:r>
    </w:p>
    <w:p w14:paraId="26EAC54A" w14:textId="64D3D86C" w:rsidR="008A5E20" w:rsidRPr="006E75EE" w:rsidRDefault="008170B1" w:rsidP="000D66A4">
      <w:pPr>
        <w:pStyle w:val="Def-Whereas"/>
      </w:pPr>
      <w:r w:rsidRPr="006E75EE">
        <w:t>“Interest” mean</w:t>
      </w:r>
      <w:r w:rsidR="00361071" w:rsidRPr="006E75EE">
        <w:t>s</w:t>
      </w:r>
      <w:r w:rsidRPr="006E75EE">
        <w:t xml:space="preserve"> interest at the rate specified for interest on investments of the </w:t>
      </w:r>
      <w:r w:rsidR="00394ED3" w:rsidRPr="006E75EE">
        <w:t>Fund</w:t>
      </w:r>
      <w:r w:rsidRPr="006E75EE">
        <w:t xml:space="preserve">, </w:t>
      </w:r>
      <w:r w:rsidR="00414E09" w:rsidRPr="006E75EE">
        <w:t>as provided under section</w:t>
      </w:r>
      <w:r w:rsidR="009A7708" w:rsidRPr="006E75EE">
        <w:t> </w:t>
      </w:r>
      <w:r w:rsidR="00414E09" w:rsidRPr="006E75EE">
        <w:t xml:space="preserve">107(a) of CERCLA, </w:t>
      </w:r>
      <w:r w:rsidRPr="006E75EE">
        <w:t>compounded annually on October 1 of each year.</w:t>
      </w:r>
      <w:r w:rsidR="00690C7E" w:rsidRPr="006E75EE">
        <w:t xml:space="preserve"> </w:t>
      </w:r>
      <w:r w:rsidRPr="006E75EE">
        <w:t xml:space="preserve">The applicable rate of interest </w:t>
      </w:r>
      <w:r w:rsidR="00414E09" w:rsidRPr="006E75EE">
        <w:t xml:space="preserve">will </w:t>
      </w:r>
      <w:r w:rsidRPr="006E75EE">
        <w:t>be the rate in effect at the time the interest accrues.</w:t>
      </w:r>
      <w:r w:rsidR="00690C7E" w:rsidRPr="006E75EE">
        <w:t xml:space="preserve"> </w:t>
      </w:r>
      <w:r w:rsidRPr="006E75EE">
        <w:t>The rate of interest is subject to change on October 1 of each year.</w:t>
      </w:r>
      <w:r w:rsidR="00690C7E" w:rsidRPr="006E75EE">
        <w:t xml:space="preserve"> </w:t>
      </w:r>
      <w:r w:rsidR="00394ED3" w:rsidRPr="006E75EE">
        <w:t>As of the date EPA signs this Settlement, r</w:t>
      </w:r>
      <w:r w:rsidR="00C25F83" w:rsidRPr="006E75EE">
        <w:t>ates are available online at</w:t>
      </w:r>
      <w:r w:rsidR="00F978C0" w:rsidRPr="006E75EE">
        <w:t xml:space="preserve"> </w:t>
      </w:r>
      <w:r w:rsidR="008A5E20" w:rsidRPr="006E75EE">
        <w:rPr>
          <w:u w:val="single"/>
        </w:rPr>
        <w:t>https://www.epa.gov/superfund/superfund-interest-rates</w:t>
      </w:r>
      <w:r w:rsidR="00C25F83" w:rsidRPr="006E75EE">
        <w:t>.</w:t>
      </w:r>
      <w:r w:rsidR="005440A5" w:rsidRPr="006E75EE">
        <w:rPr>
          <w:rStyle w:val="FootnoteReference"/>
          <w:color w:val="auto"/>
        </w:rPr>
        <w:footnoteReference w:id="8"/>
      </w:r>
    </w:p>
    <w:p w14:paraId="09B71661" w14:textId="4342A04B" w:rsidR="008170B1" w:rsidRPr="006E75EE" w:rsidRDefault="008170B1" w:rsidP="00967314">
      <w:pPr>
        <w:pStyle w:val="Def-Whereas"/>
      </w:pPr>
      <w:r w:rsidRPr="006E75EE">
        <w:t>“National Contingency Plan” or “NCP” mean</w:t>
      </w:r>
      <w:r w:rsidR="00361071" w:rsidRPr="006E75EE">
        <w:t>s</w:t>
      </w:r>
      <w:r w:rsidRPr="006E75EE">
        <w:t xml:space="preserve"> the National Oil and Hazardous Substances Pollution Contingency Plan promulgated pur</w:t>
      </w:r>
      <w:r w:rsidR="00394ED3" w:rsidRPr="006E75EE">
        <w:t>suant to section</w:t>
      </w:r>
      <w:r w:rsidR="004726DB" w:rsidRPr="006E75EE">
        <w:t> </w:t>
      </w:r>
      <w:r w:rsidR="00394ED3" w:rsidRPr="006E75EE">
        <w:t>105 of CERCLA</w:t>
      </w:r>
      <w:r w:rsidRPr="006E75EE">
        <w:t xml:space="preserve">, codified at 40 C.F.R. </w:t>
      </w:r>
      <w:r w:rsidR="009A7708" w:rsidRPr="006E75EE">
        <w:t>part </w:t>
      </w:r>
      <w:r w:rsidRPr="006E75EE">
        <w:t>300, and any amendments thereto.</w:t>
      </w:r>
      <w:r w:rsidR="005440A5" w:rsidRPr="006E75EE">
        <w:rPr>
          <w:rStyle w:val="FootnoteReference"/>
          <w:color w:val="auto"/>
        </w:rPr>
        <w:footnoteReference w:id="9"/>
      </w:r>
    </w:p>
    <w:p w14:paraId="3652423F" w14:textId="6070C1B4" w:rsidR="008170B1" w:rsidRPr="006E75EE" w:rsidRDefault="00844E66" w:rsidP="00A50734">
      <w:pPr>
        <w:pStyle w:val="Def-Whereas"/>
      </w:pPr>
      <w:r w:rsidRPr="006E75EE">
        <w:lastRenderedPageBreak/>
        <w:t>“Owner Respondent” mean</w:t>
      </w:r>
      <w:r w:rsidR="00361071" w:rsidRPr="006E75EE">
        <w:t>s</w:t>
      </w:r>
      <w:r w:rsidRPr="006E75EE">
        <w:t xml:space="preserve"> any Respondent that owns or controls </w:t>
      </w:r>
      <w:r w:rsidR="0052263D" w:rsidRPr="006E75EE">
        <w:t>all or a portion of the Site.</w:t>
      </w:r>
    </w:p>
    <w:p w14:paraId="0CC43D03" w14:textId="58BC6747" w:rsidR="008170B1" w:rsidRPr="006E75EE" w:rsidRDefault="008170B1" w:rsidP="00A50734">
      <w:pPr>
        <w:pStyle w:val="Def-Whereas"/>
      </w:pPr>
      <w:r w:rsidRPr="006E75EE">
        <w:t>“</w:t>
      </w:r>
      <w:r w:rsidR="007A7CA2" w:rsidRPr="006E75EE">
        <w:t>Paragraph</w:t>
      </w:r>
      <w:r w:rsidRPr="006E75EE">
        <w:t xml:space="preserve">” </w:t>
      </w:r>
      <w:r w:rsidR="00AD70A1" w:rsidRPr="006E75EE">
        <w:t xml:space="preserve">or “¶” </w:t>
      </w:r>
      <w:r w:rsidRPr="006E75EE">
        <w:t>mean</w:t>
      </w:r>
      <w:r w:rsidR="00361071" w:rsidRPr="006E75EE">
        <w:t>s</w:t>
      </w:r>
      <w:r w:rsidRPr="006E75EE">
        <w:t xml:space="preserve"> a portion of this </w:t>
      </w:r>
      <w:r w:rsidR="00FB28BD" w:rsidRPr="006E75EE">
        <w:t>Settlement</w:t>
      </w:r>
      <w:r w:rsidRPr="006E75EE">
        <w:t xml:space="preserve"> identified by an Arabic numeral or an upper</w:t>
      </w:r>
      <w:r w:rsidR="004726DB" w:rsidRPr="006E75EE">
        <w:t>-</w:t>
      </w:r>
      <w:r w:rsidRPr="006E75EE">
        <w:t xml:space="preserve"> or lower</w:t>
      </w:r>
      <w:r w:rsidR="004726DB" w:rsidRPr="006E75EE">
        <w:t>-</w:t>
      </w:r>
      <w:r w:rsidRPr="006E75EE">
        <w:t>case letter.</w:t>
      </w:r>
    </w:p>
    <w:p w14:paraId="5F655290" w14:textId="7E4ADC1A" w:rsidR="008170B1" w:rsidRPr="006E75EE" w:rsidRDefault="008170B1" w:rsidP="00A50734">
      <w:pPr>
        <w:pStyle w:val="Def-Whereas"/>
      </w:pPr>
      <w:r w:rsidRPr="006E75EE">
        <w:t>“Parties” mean</w:t>
      </w:r>
      <w:r w:rsidR="00361071" w:rsidRPr="006E75EE">
        <w:t>s</w:t>
      </w:r>
      <w:r w:rsidRPr="006E75EE">
        <w:t xml:space="preserve"> EPA</w:t>
      </w:r>
      <w:r w:rsidR="003A05F3" w:rsidRPr="006E75EE">
        <w:t>,</w:t>
      </w:r>
      <w:r w:rsidRPr="006E75EE">
        <w:t xml:space="preserve"> </w:t>
      </w:r>
      <w:r w:rsidR="00D602DB">
        <w:t xml:space="preserve">[and] </w:t>
      </w:r>
      <w:r w:rsidRPr="006E75EE">
        <w:t>Respondents</w:t>
      </w:r>
      <w:r w:rsidR="003A05F3" w:rsidRPr="006E75EE">
        <w:t xml:space="preserve"> </w:t>
      </w:r>
      <w:r w:rsidR="007B2FF6" w:rsidRPr="006E75EE">
        <w:t>[</w:t>
      </w:r>
      <w:r w:rsidR="00D602DB">
        <w:t xml:space="preserve">, </w:t>
      </w:r>
      <w:r w:rsidR="003A05F3" w:rsidRPr="006E75EE">
        <w:t xml:space="preserve">and </w:t>
      </w:r>
      <w:r w:rsidR="00BA2A83" w:rsidRPr="006E75EE">
        <w:t>Settling Federal Agencies</w:t>
      </w:r>
      <w:r w:rsidR="007B2FF6" w:rsidRPr="006E75EE">
        <w:t>]</w:t>
      </w:r>
      <w:r w:rsidRPr="006E75EE">
        <w:t>.</w:t>
      </w:r>
    </w:p>
    <w:p w14:paraId="73050D24" w14:textId="4E67D0EE" w:rsidR="00394ED3" w:rsidRPr="006E75EE" w:rsidRDefault="00394ED3" w:rsidP="007D1D95">
      <w:pPr>
        <w:pStyle w:val="Def-Whereas"/>
      </w:pPr>
      <w:r w:rsidRPr="006E75EE">
        <w:t>“Past Response Costs” means all costs (including direct, indirect, payroll, contractor, travel, and laboratory costs) that EPA paid in connection with the Site through [</w:t>
      </w:r>
      <w:r w:rsidRPr="006E75EE">
        <w:rPr>
          <w:b/>
        </w:rPr>
        <w:t>insert a cutoff date; may be the date of the most recent cost update</w:t>
      </w:r>
      <w:r w:rsidRPr="006E75EE">
        <w:t>], plus all interest on such costs accrued under section</w:t>
      </w:r>
      <w:r w:rsidR="009A7708" w:rsidRPr="006E75EE">
        <w:t> </w:t>
      </w:r>
      <w:r w:rsidRPr="006E75EE">
        <w:t>107(a) of CERCLA through such date.</w:t>
      </w:r>
      <w:r w:rsidR="00962DE6">
        <w:rPr>
          <w:rStyle w:val="FootnoteReference"/>
        </w:rPr>
        <w:footnoteReference w:id="10"/>
      </w:r>
    </w:p>
    <w:p w14:paraId="20CF41D7" w14:textId="331A22C5" w:rsidR="008170B1" w:rsidRPr="006E75EE" w:rsidRDefault="008170B1" w:rsidP="007D1D95">
      <w:pPr>
        <w:pStyle w:val="Def-Whereas"/>
      </w:pPr>
      <w:r w:rsidRPr="006E75EE">
        <w:t>“RCRA” mean</w:t>
      </w:r>
      <w:r w:rsidR="005E3F01" w:rsidRPr="006E75EE">
        <w:t>s</w:t>
      </w:r>
      <w:r w:rsidRPr="006E75EE">
        <w:t xml:space="preserve"> the Solid Waste Disposal Act</w:t>
      </w:r>
      <w:r w:rsidR="00071398" w:rsidRPr="006E75EE">
        <w:t xml:space="preserve">, </w:t>
      </w:r>
      <w:r w:rsidRPr="006E75EE">
        <w:t>42</w:t>
      </w:r>
      <w:r w:rsidR="009751F6" w:rsidRPr="006E75EE">
        <w:t> </w:t>
      </w:r>
      <w:r w:rsidRPr="006E75EE">
        <w:t>U.S.C. §§</w:t>
      </w:r>
      <w:r w:rsidR="009A7708" w:rsidRPr="006E75EE">
        <w:t> </w:t>
      </w:r>
      <w:r w:rsidRPr="006E75EE">
        <w:t>6901-6992</w:t>
      </w:r>
      <w:r w:rsidR="009B1EC3" w:rsidRPr="006E75EE">
        <w:t>k</w:t>
      </w:r>
      <w:r w:rsidRPr="006E75EE">
        <w:t xml:space="preserve"> (also known as the Resource Conservation and Recovery Act)</w:t>
      </w:r>
      <w:r w:rsidR="00B246BF" w:rsidRPr="006E75EE">
        <w:t>.</w:t>
      </w:r>
    </w:p>
    <w:p w14:paraId="3F69A08D" w14:textId="7089C8CD" w:rsidR="002334C3" w:rsidRPr="006E75EE" w:rsidRDefault="002334C3" w:rsidP="002A0C81">
      <w:pPr>
        <w:pStyle w:val="Def-Whereas"/>
      </w:pPr>
      <w:r w:rsidRPr="006E75EE">
        <w:t>“RI/FS” means the Remedial Investigation and Feasibility Study required under this Settlement.</w:t>
      </w:r>
    </w:p>
    <w:p w14:paraId="4A1D8E80" w14:textId="2866D7BC" w:rsidR="008170B1" w:rsidRPr="006E75EE" w:rsidRDefault="008170B1" w:rsidP="007D1D95">
      <w:pPr>
        <w:pStyle w:val="Def-Whereas"/>
      </w:pPr>
      <w:r w:rsidRPr="006E75EE">
        <w:t>“Respondents” mean</w:t>
      </w:r>
      <w:r w:rsidR="005E3F01" w:rsidRPr="006E75EE">
        <w:t>s</w:t>
      </w:r>
      <w:r w:rsidRPr="006E75EE">
        <w:t xml:space="preserve"> [</w:t>
      </w:r>
      <w:r w:rsidRPr="006E75EE">
        <w:rPr>
          <w:b/>
          <w:bCs/>
        </w:rPr>
        <w:t>insert names</w:t>
      </w:r>
      <w:r w:rsidR="000C1B32" w:rsidRPr="006E75EE">
        <w:t>]</w:t>
      </w:r>
      <w:r w:rsidRPr="006E75EE">
        <w:t>.</w:t>
      </w:r>
      <w:r w:rsidR="005440A5" w:rsidRPr="006E75EE">
        <w:rPr>
          <w:rStyle w:val="FootnoteReference"/>
          <w:color w:val="auto"/>
        </w:rPr>
        <w:footnoteReference w:id="11"/>
      </w:r>
      <w:r w:rsidR="00AE40D5" w:rsidRPr="006E75EE">
        <w:t xml:space="preserve"> </w:t>
      </w:r>
      <w:r w:rsidR="00AE40D5" w:rsidRPr="006E75EE">
        <w:rPr>
          <w:rStyle w:val="FootnoteReference"/>
          <w:color w:val="auto"/>
        </w:rPr>
        <w:footnoteReference w:id="12"/>
      </w:r>
    </w:p>
    <w:p w14:paraId="6AF0A395" w14:textId="1156F702" w:rsidR="008170B1" w:rsidRPr="006E75EE" w:rsidRDefault="008170B1" w:rsidP="007E5EEC">
      <w:pPr>
        <w:ind w:firstLine="720"/>
      </w:pPr>
      <w:r w:rsidRPr="006E75EE">
        <w:t>“Section” mean</w:t>
      </w:r>
      <w:r w:rsidR="005E3F01" w:rsidRPr="006E75EE">
        <w:t>s</w:t>
      </w:r>
      <w:r w:rsidRPr="006E75EE">
        <w:t xml:space="preserve"> a portion of this </w:t>
      </w:r>
      <w:r w:rsidR="00FB28BD" w:rsidRPr="006E75EE">
        <w:t>Settlement</w:t>
      </w:r>
      <w:r w:rsidRPr="006E75EE">
        <w:t xml:space="preserve"> identified by a Roman numeral.</w:t>
      </w:r>
    </w:p>
    <w:p w14:paraId="244E36AB" w14:textId="6039887E" w:rsidR="00730973" w:rsidRPr="006E75EE" w:rsidRDefault="008170B1" w:rsidP="00730973">
      <w:pPr>
        <w:pStyle w:val="Def-Whereas"/>
      </w:pPr>
      <w:r w:rsidRPr="006E75EE">
        <w:t>“Settlement</w:t>
      </w:r>
      <w:r w:rsidR="00FB28BD" w:rsidRPr="006E75EE">
        <w:t>”</w:t>
      </w:r>
      <w:r w:rsidRPr="006E75EE">
        <w:t xml:space="preserve"> </w:t>
      </w:r>
      <w:r w:rsidR="00CF1CBA" w:rsidRPr="006E75EE">
        <w:t>means</w:t>
      </w:r>
      <w:r w:rsidRPr="006E75EE">
        <w:t xml:space="preserve"> this Administrative Settlement Agreement and Order on Consent</w:t>
      </w:r>
      <w:r w:rsidR="00CF1CBA" w:rsidRPr="006E75EE">
        <w:t xml:space="preserve">, </w:t>
      </w:r>
      <w:r w:rsidRPr="006E75EE">
        <w:t>all appendi</w:t>
      </w:r>
      <w:r w:rsidR="008119F2" w:rsidRPr="006E75EE">
        <w:t>x</w:t>
      </w:r>
      <w:r w:rsidRPr="006E75EE">
        <w:t>es attached hereto (listed in Section</w:t>
      </w:r>
      <w:r w:rsidR="009A7708" w:rsidRPr="006E75EE">
        <w:t> </w:t>
      </w:r>
      <w:r w:rsidR="00394ED3" w:rsidRPr="006E75EE">
        <w:fldChar w:fldCharType="begin"/>
      </w:r>
      <w:r w:rsidR="00394ED3" w:rsidRPr="006E75EE">
        <w:instrText xml:space="preserve"> REF _Ref76975389 \w \h </w:instrText>
      </w:r>
      <w:r w:rsidR="006E75EE">
        <w:instrText xml:space="preserve"> \* MERGEFORMAT </w:instrText>
      </w:r>
      <w:r w:rsidR="00394ED3" w:rsidRPr="006E75EE">
        <w:fldChar w:fldCharType="separate"/>
      </w:r>
      <w:r w:rsidR="009166B4" w:rsidRPr="006E75EE">
        <w:t>XXI</w:t>
      </w:r>
      <w:r w:rsidR="00394ED3" w:rsidRPr="006E75EE">
        <w:fldChar w:fldCharType="end"/>
      </w:r>
      <w:r w:rsidR="00C700B5" w:rsidRPr="006E75EE">
        <w:t>)</w:t>
      </w:r>
      <w:r w:rsidR="00CF1CBA" w:rsidRPr="006E75EE">
        <w:t>, and all deliverables approved under and incorporated into this Settlement</w:t>
      </w:r>
      <w:r w:rsidRPr="006E75EE">
        <w:t>.</w:t>
      </w:r>
      <w:r w:rsidR="00690C7E" w:rsidRPr="006E75EE">
        <w:t xml:space="preserve"> </w:t>
      </w:r>
      <w:r w:rsidR="00D53A3D" w:rsidRPr="006E75EE">
        <w:t>If there is a conflict between a provision in Sections</w:t>
      </w:r>
      <w:r w:rsidR="00E644C2" w:rsidRPr="006E75EE">
        <w:t> </w:t>
      </w:r>
      <w:r w:rsidR="002C7956" w:rsidRPr="006E75EE">
        <w:fldChar w:fldCharType="begin"/>
      </w:r>
      <w:r w:rsidR="002C7956" w:rsidRPr="006E75EE">
        <w:instrText xml:space="preserve"> REF _Ref405973055 \w \h </w:instrText>
      </w:r>
      <w:r w:rsidR="006E75EE">
        <w:instrText xml:space="preserve"> \* MERGEFORMAT </w:instrText>
      </w:r>
      <w:r w:rsidR="002C7956" w:rsidRPr="006E75EE">
        <w:fldChar w:fldCharType="separate"/>
      </w:r>
      <w:r w:rsidR="009166B4" w:rsidRPr="006E75EE">
        <w:t>I</w:t>
      </w:r>
      <w:r w:rsidR="002C7956" w:rsidRPr="006E75EE">
        <w:fldChar w:fldCharType="end"/>
      </w:r>
      <w:r w:rsidR="00D53A3D" w:rsidRPr="006E75EE">
        <w:t xml:space="preserve"> through </w:t>
      </w:r>
      <w:r w:rsidR="00D53A3D" w:rsidRPr="006E75EE">
        <w:fldChar w:fldCharType="begin"/>
      </w:r>
      <w:r w:rsidR="00D53A3D" w:rsidRPr="006E75EE">
        <w:instrText xml:space="preserve"> REF _Ref326220092 \w \h </w:instrText>
      </w:r>
      <w:r w:rsidR="006E75EE">
        <w:instrText xml:space="preserve"> \* MERGEFORMAT </w:instrText>
      </w:r>
      <w:r w:rsidR="00D53A3D" w:rsidRPr="006E75EE">
        <w:fldChar w:fldCharType="separate"/>
      </w:r>
      <w:r w:rsidR="009166B4" w:rsidRPr="006E75EE">
        <w:t>XXVII</w:t>
      </w:r>
      <w:r w:rsidR="00D53A3D" w:rsidRPr="006E75EE">
        <w:fldChar w:fldCharType="end"/>
      </w:r>
      <w:r w:rsidR="00D53A3D" w:rsidRPr="006E75EE">
        <w:t xml:space="preserve"> and a provision in any appendix or deliverable, the provision in Sections</w:t>
      </w:r>
      <w:r w:rsidR="00E644C2" w:rsidRPr="006E75EE">
        <w:t> </w:t>
      </w:r>
      <w:r w:rsidR="002C7956" w:rsidRPr="006E75EE">
        <w:fldChar w:fldCharType="begin"/>
      </w:r>
      <w:r w:rsidR="002C7956" w:rsidRPr="006E75EE">
        <w:instrText xml:space="preserve"> REF _Ref405973055 \w \h </w:instrText>
      </w:r>
      <w:r w:rsidR="006E75EE">
        <w:instrText xml:space="preserve"> \* MERGEFORMAT </w:instrText>
      </w:r>
      <w:r w:rsidR="002C7956" w:rsidRPr="006E75EE">
        <w:fldChar w:fldCharType="separate"/>
      </w:r>
      <w:r w:rsidR="009166B4" w:rsidRPr="006E75EE">
        <w:t>I</w:t>
      </w:r>
      <w:r w:rsidR="002C7956" w:rsidRPr="006E75EE">
        <w:fldChar w:fldCharType="end"/>
      </w:r>
      <w:r w:rsidR="00D53A3D" w:rsidRPr="006E75EE">
        <w:t xml:space="preserve"> through </w:t>
      </w:r>
      <w:r w:rsidR="00D53A3D" w:rsidRPr="006E75EE">
        <w:fldChar w:fldCharType="begin"/>
      </w:r>
      <w:r w:rsidR="00D53A3D" w:rsidRPr="006E75EE">
        <w:instrText xml:space="preserve"> REF _Ref326220092 \w \h </w:instrText>
      </w:r>
      <w:r w:rsidR="006E75EE">
        <w:instrText xml:space="preserve"> \* MERGEFORMAT </w:instrText>
      </w:r>
      <w:r w:rsidR="00D53A3D" w:rsidRPr="006E75EE">
        <w:fldChar w:fldCharType="separate"/>
      </w:r>
      <w:r w:rsidR="009166B4" w:rsidRPr="006E75EE">
        <w:t>XXVII</w:t>
      </w:r>
      <w:r w:rsidR="00D53A3D" w:rsidRPr="006E75EE">
        <w:fldChar w:fldCharType="end"/>
      </w:r>
      <w:r w:rsidR="00D53A3D" w:rsidRPr="006E75EE">
        <w:t xml:space="preserve"> controls.</w:t>
      </w:r>
      <w:bookmarkStart w:id="9" w:name="_Hlk92101843"/>
    </w:p>
    <w:p w14:paraId="3697C3FF" w14:textId="3391692E" w:rsidR="008D4C3D" w:rsidRPr="006E75EE" w:rsidRDefault="00730973" w:rsidP="00730973">
      <w:pPr>
        <w:pStyle w:val="Def-Whereas"/>
      </w:pPr>
      <w:r w:rsidRPr="006E75EE">
        <w:t>[</w:t>
      </w:r>
      <w:r w:rsidRPr="006E75EE">
        <w:rPr>
          <w:b/>
          <w:bCs/>
        </w:rPr>
        <w:t>SFAs</w:t>
      </w:r>
      <w:r w:rsidRPr="006E75EE">
        <w:t>]</w:t>
      </w:r>
      <w:r w:rsidR="00AE40D5" w:rsidRPr="006E75EE">
        <w:rPr>
          <w:rStyle w:val="FootnoteReference"/>
          <w:color w:val="auto"/>
        </w:rPr>
        <w:footnoteReference w:id="13"/>
      </w:r>
    </w:p>
    <w:bookmarkEnd w:id="9"/>
    <w:p w14:paraId="6ED10E87" w14:textId="5AF6BC98" w:rsidR="008170B1" w:rsidRPr="006E75EE" w:rsidRDefault="008170B1" w:rsidP="007D1D95">
      <w:pPr>
        <w:pStyle w:val="Def-Whereas"/>
      </w:pPr>
      <w:r w:rsidRPr="006E75EE">
        <w:lastRenderedPageBreak/>
        <w:t>“Site” mean</w:t>
      </w:r>
      <w:r w:rsidR="005E3F01" w:rsidRPr="006E75EE">
        <w:t>s</w:t>
      </w:r>
      <w:r w:rsidRPr="006E75EE">
        <w:t xml:space="preserve"> the ______ Superfund Site, </w:t>
      </w:r>
      <w:r w:rsidR="00030365" w:rsidRPr="006E75EE">
        <w:t xml:space="preserve">comprising </w:t>
      </w:r>
      <w:r w:rsidRPr="006E75EE">
        <w:t>approximately __ acres, located at [</w:t>
      </w:r>
      <w:r w:rsidRPr="006E75EE">
        <w:rPr>
          <w:b/>
          <w:bCs/>
        </w:rPr>
        <w:t>address or description of location</w:t>
      </w:r>
      <w:r w:rsidRPr="006E75EE">
        <w:t>] in [</w:t>
      </w:r>
      <w:r w:rsidR="00A37223" w:rsidRPr="006E75EE">
        <w:rPr>
          <w:b/>
          <w:bCs/>
        </w:rPr>
        <w:t>c</w:t>
      </w:r>
      <w:r w:rsidRPr="006E75EE">
        <w:rPr>
          <w:b/>
          <w:bCs/>
        </w:rPr>
        <w:t>ity,</w:t>
      </w:r>
      <w:r w:rsidR="00A37223" w:rsidRPr="006E75EE">
        <w:t>] ________</w:t>
      </w:r>
      <w:r w:rsidRPr="006E75EE">
        <w:rPr>
          <w:b/>
        </w:rPr>
        <w:t xml:space="preserve"> </w:t>
      </w:r>
      <w:r w:rsidRPr="006E75EE">
        <w:rPr>
          <w:bCs/>
        </w:rPr>
        <w:t>County</w:t>
      </w:r>
      <w:r w:rsidRPr="006E75EE">
        <w:rPr>
          <w:b/>
          <w:bCs/>
        </w:rPr>
        <w:t xml:space="preserve">, </w:t>
      </w:r>
      <w:r w:rsidR="00A37223" w:rsidRPr="006E75EE">
        <w:rPr>
          <w:b/>
          <w:bCs/>
        </w:rPr>
        <w:t>[s</w:t>
      </w:r>
      <w:r w:rsidRPr="006E75EE">
        <w:rPr>
          <w:b/>
          <w:bCs/>
        </w:rPr>
        <w:t>tate</w:t>
      </w:r>
      <w:r w:rsidRPr="006E75EE">
        <w:t>] and depicted generally on the map attached as Appendix</w:t>
      </w:r>
      <w:r w:rsidR="00E644C2" w:rsidRPr="006E75EE">
        <w:t> </w:t>
      </w:r>
      <w:r w:rsidRPr="006E75EE">
        <w:t>__.</w:t>
      </w:r>
      <w:r w:rsidR="00690C7E" w:rsidRPr="006E75EE">
        <w:t xml:space="preserve"> </w:t>
      </w:r>
    </w:p>
    <w:p w14:paraId="1A424A1F" w14:textId="1619B712" w:rsidR="004B378A" w:rsidRPr="006E75EE" w:rsidRDefault="004B378A" w:rsidP="002A0C81">
      <w:pPr>
        <w:pStyle w:val="Def-Whereas"/>
      </w:pPr>
      <w:r w:rsidRPr="006E75EE">
        <w:t>“Special Account” means the special account, within the Fund, established for the Site by EPA under section</w:t>
      </w:r>
      <w:r w:rsidR="009A7708" w:rsidRPr="006E75EE">
        <w:t> </w:t>
      </w:r>
      <w:r w:rsidRPr="006E75EE">
        <w:t>122(b)(3) of CERCLA.</w:t>
      </w:r>
      <w:r w:rsidR="00AE40D5" w:rsidRPr="006E75EE">
        <w:rPr>
          <w:rStyle w:val="FootnoteReference"/>
          <w:color w:val="auto"/>
        </w:rPr>
        <w:footnoteReference w:id="14"/>
      </w:r>
    </w:p>
    <w:p w14:paraId="5276BC0D" w14:textId="1E45DC96" w:rsidR="006B21A9" w:rsidRPr="006E75EE" w:rsidRDefault="008170B1" w:rsidP="007D1D95">
      <w:pPr>
        <w:pStyle w:val="Def-Whereas"/>
      </w:pPr>
      <w:r w:rsidRPr="006E75EE">
        <w:t>“State” mean</w:t>
      </w:r>
      <w:r w:rsidR="005E3F01" w:rsidRPr="006E75EE">
        <w:t>s</w:t>
      </w:r>
      <w:r w:rsidRPr="006E75EE">
        <w:t xml:space="preserve"> the State [or Commonwealth] of ______.</w:t>
      </w:r>
      <w:r w:rsidR="00D602DB">
        <w:rPr>
          <w:rStyle w:val="FootnoteReference"/>
        </w:rPr>
        <w:footnoteReference w:id="15"/>
      </w:r>
    </w:p>
    <w:p w14:paraId="14847ABE" w14:textId="0E74F63B" w:rsidR="003F0040" w:rsidRPr="006E75EE" w:rsidRDefault="008170B1" w:rsidP="007D1D95">
      <w:pPr>
        <w:pStyle w:val="Def-Whereas"/>
        <w:rPr>
          <w:b/>
        </w:rPr>
      </w:pPr>
      <w:r w:rsidRPr="006E75EE">
        <w:t>“Statement of Work” or “SOW” mean</w:t>
      </w:r>
      <w:r w:rsidR="005E3F01" w:rsidRPr="006E75EE">
        <w:t>s</w:t>
      </w:r>
      <w:r w:rsidRPr="006E75EE">
        <w:t xml:space="preserve"> the </w:t>
      </w:r>
      <w:r w:rsidR="00C403E4" w:rsidRPr="006E75EE">
        <w:t>document attached as Appendix</w:t>
      </w:r>
      <w:r w:rsidR="00E644C2" w:rsidRPr="006E75EE">
        <w:t> </w:t>
      </w:r>
      <w:r w:rsidR="00C403E4" w:rsidRPr="006E75EE">
        <w:t>__</w:t>
      </w:r>
      <w:r w:rsidR="004A7E6B" w:rsidRPr="006E75EE">
        <w:t xml:space="preserve"> which </w:t>
      </w:r>
      <w:r w:rsidR="00D46192" w:rsidRPr="006E75EE">
        <w:t>describ</w:t>
      </w:r>
      <w:r w:rsidR="004A7E6B" w:rsidRPr="006E75EE">
        <w:t>es</w:t>
      </w:r>
      <w:r w:rsidR="00D46192" w:rsidRPr="006E75EE">
        <w:t xml:space="preserve"> the activities Respondents </w:t>
      </w:r>
      <w:r w:rsidR="006D4A00" w:rsidRPr="006E75EE">
        <w:t>shall</w:t>
      </w:r>
      <w:r w:rsidR="00D46192" w:rsidRPr="006E75EE">
        <w:t xml:space="preserve"> perform to </w:t>
      </w:r>
      <w:r w:rsidR="002334C3" w:rsidRPr="006E75EE">
        <w:t>conduct the RI/FS</w:t>
      </w:r>
      <w:r w:rsidR="004A7E6B" w:rsidRPr="006E75EE">
        <w:t>,</w:t>
      </w:r>
      <w:r w:rsidR="00690C7E" w:rsidRPr="006E75EE">
        <w:t xml:space="preserve"> </w:t>
      </w:r>
      <w:r w:rsidRPr="006E75EE">
        <w:t xml:space="preserve">and any modifications made thereto in accordance with this </w:t>
      </w:r>
      <w:r w:rsidR="00FB28BD" w:rsidRPr="006E75EE">
        <w:t>Settlement</w:t>
      </w:r>
      <w:r w:rsidR="00C403E4" w:rsidRPr="006E75EE">
        <w:t>.</w:t>
      </w:r>
    </w:p>
    <w:p w14:paraId="39658D56" w14:textId="032891E0" w:rsidR="008170B1" w:rsidRDefault="008170B1" w:rsidP="007D1D95">
      <w:pPr>
        <w:pStyle w:val="Def-Whereas"/>
      </w:pPr>
      <w:r w:rsidRPr="006E75EE">
        <w:t>“Transfer” mean</w:t>
      </w:r>
      <w:r w:rsidR="005E3F01" w:rsidRPr="006E75EE">
        <w:t>s</w:t>
      </w:r>
      <w:r w:rsidRPr="006E75EE">
        <w:t xml:space="preserve"> to sell, assign, convey, lease, mortgage, or grant a security interest in, or </w:t>
      </w:r>
      <w:proofErr w:type="gramStart"/>
      <w:r w:rsidRPr="006E75EE">
        <w:t>where</w:t>
      </w:r>
      <w:proofErr w:type="gramEnd"/>
      <w:r w:rsidRPr="006E75EE">
        <w:t xml:space="preserve"> used as a noun, a sale, assignment, conveyance, or other disposition of any interest by operation of law or otherwise.</w:t>
      </w:r>
    </w:p>
    <w:p w14:paraId="48D786F6" w14:textId="61E80CF4" w:rsidR="00D602DB" w:rsidRPr="006E75EE" w:rsidRDefault="00D602DB" w:rsidP="00D602DB">
      <w:pPr>
        <w:pStyle w:val="Def-Whereas"/>
      </w:pPr>
      <w:r w:rsidRPr="006E75EE">
        <w:t>[</w:t>
      </w:r>
      <w:r w:rsidRPr="006E75EE">
        <w:rPr>
          <w:b/>
          <w:bCs/>
        </w:rPr>
        <w:t>Tribe</w:t>
      </w:r>
      <w:r w:rsidRPr="006E75EE">
        <w:t>]</w:t>
      </w:r>
      <w:r w:rsidRPr="006E75EE">
        <w:rPr>
          <w:rStyle w:val="FootnoteReference"/>
          <w:color w:val="auto"/>
        </w:rPr>
        <w:footnoteReference w:id="16"/>
      </w:r>
    </w:p>
    <w:p w14:paraId="1082BC40" w14:textId="221498D0" w:rsidR="008170B1" w:rsidRPr="006E75EE" w:rsidRDefault="008170B1" w:rsidP="007D1D95">
      <w:pPr>
        <w:pStyle w:val="Def-Whereas"/>
      </w:pPr>
      <w:r w:rsidRPr="006E75EE">
        <w:t>“United States” mean</w:t>
      </w:r>
      <w:r w:rsidR="005E3F01" w:rsidRPr="006E75EE">
        <w:t>s</w:t>
      </w:r>
      <w:r w:rsidRPr="006E75EE">
        <w:t xml:space="preserve"> the United States of America and each department, agency, and instrumentality of the United States</w:t>
      </w:r>
      <w:r w:rsidR="00B50276" w:rsidRPr="006E75EE">
        <w:t xml:space="preserve">, including EPA </w:t>
      </w:r>
      <w:r w:rsidR="007B2FF6" w:rsidRPr="006E75EE">
        <w:t>[</w:t>
      </w:r>
      <w:r w:rsidR="00B50276" w:rsidRPr="006E75EE">
        <w:t xml:space="preserve">and </w:t>
      </w:r>
      <w:r w:rsidR="00BA2A83" w:rsidRPr="006E75EE">
        <w:t>Settling Federal Agencies</w:t>
      </w:r>
      <w:r w:rsidR="007B2FF6" w:rsidRPr="006E75EE">
        <w:t>]</w:t>
      </w:r>
      <w:r w:rsidR="00310964" w:rsidRPr="006E75EE">
        <w:t>.</w:t>
      </w:r>
    </w:p>
    <w:p w14:paraId="027CA844" w14:textId="7CCC2BAB" w:rsidR="008170B1" w:rsidRPr="006E75EE" w:rsidRDefault="008170B1" w:rsidP="007D1D95">
      <w:pPr>
        <w:pStyle w:val="Def-Whereas"/>
      </w:pPr>
      <w:r w:rsidRPr="006E75EE">
        <w:t>“Waste Material” mean</w:t>
      </w:r>
      <w:r w:rsidR="00A474A4" w:rsidRPr="006E75EE">
        <w:t>s</w:t>
      </w:r>
      <w:r w:rsidRPr="006E75EE">
        <w:t xml:space="preserve"> (a)</w:t>
      </w:r>
      <w:r w:rsidR="00E644C2" w:rsidRPr="006E75EE">
        <w:t> </w:t>
      </w:r>
      <w:r w:rsidRPr="006E75EE">
        <w:t xml:space="preserve">any “hazardous substance” </w:t>
      </w:r>
      <w:r w:rsidR="00394ED3" w:rsidRPr="006E75EE">
        <w:t xml:space="preserve">under </w:t>
      </w:r>
      <w:r w:rsidR="00BF4F49" w:rsidRPr="006E75EE">
        <w:t>s</w:t>
      </w:r>
      <w:r w:rsidR="00394ED3" w:rsidRPr="006E75EE">
        <w:t>ection</w:t>
      </w:r>
      <w:r w:rsidR="00E644C2" w:rsidRPr="006E75EE">
        <w:t> </w:t>
      </w:r>
      <w:r w:rsidR="00394ED3" w:rsidRPr="006E75EE">
        <w:t>101(14) of CERCLA</w:t>
      </w:r>
      <w:r w:rsidRPr="006E75EE">
        <w:t>; (b)</w:t>
      </w:r>
      <w:r w:rsidR="00E644C2" w:rsidRPr="006E75EE">
        <w:t> </w:t>
      </w:r>
      <w:r w:rsidRPr="006E75EE">
        <w:t xml:space="preserve">any pollutant or contaminant under </w:t>
      </w:r>
      <w:r w:rsidR="00BF4F49" w:rsidRPr="006E75EE">
        <w:t>s</w:t>
      </w:r>
      <w:r w:rsidR="00394ED3" w:rsidRPr="006E75EE">
        <w:t>ection</w:t>
      </w:r>
      <w:r w:rsidR="00E644C2" w:rsidRPr="006E75EE">
        <w:t> </w:t>
      </w:r>
      <w:r w:rsidR="00394ED3" w:rsidRPr="006E75EE">
        <w:t>101(33) of CERCLA</w:t>
      </w:r>
      <w:r w:rsidRPr="006E75EE">
        <w:t>; (c)</w:t>
      </w:r>
      <w:r w:rsidR="00E644C2" w:rsidRPr="006E75EE">
        <w:t> </w:t>
      </w:r>
      <w:r w:rsidRPr="006E75EE">
        <w:t>any “solid waste” und</w:t>
      </w:r>
      <w:r w:rsidR="00394ED3" w:rsidRPr="006E75EE">
        <w:t xml:space="preserve">er </w:t>
      </w:r>
      <w:r w:rsidR="00BF4F49" w:rsidRPr="006E75EE">
        <w:t>s</w:t>
      </w:r>
      <w:r w:rsidR="00394ED3" w:rsidRPr="006E75EE">
        <w:t>ection</w:t>
      </w:r>
      <w:r w:rsidR="00E644C2" w:rsidRPr="006E75EE">
        <w:t> </w:t>
      </w:r>
      <w:r w:rsidR="00394ED3" w:rsidRPr="006E75EE">
        <w:t>1004(27) of RCRA</w:t>
      </w:r>
      <w:r w:rsidRPr="006E75EE">
        <w:t>; and (d)</w:t>
      </w:r>
      <w:r w:rsidR="00E644C2" w:rsidRPr="006E75EE">
        <w:t> </w:t>
      </w:r>
      <w:r w:rsidRPr="006E75EE">
        <w:t>any [“hazardous material”] under [</w:t>
      </w:r>
      <w:r w:rsidRPr="006E75EE">
        <w:rPr>
          <w:b/>
          <w:bCs/>
        </w:rPr>
        <w:t xml:space="preserve">insert appropriate State </w:t>
      </w:r>
      <w:r w:rsidR="00F71F3D" w:rsidRPr="006E75EE">
        <w:rPr>
          <w:b/>
          <w:bCs/>
        </w:rPr>
        <w:t xml:space="preserve">or tribal </w:t>
      </w:r>
      <w:r w:rsidRPr="006E75EE">
        <w:rPr>
          <w:b/>
          <w:bCs/>
        </w:rPr>
        <w:t xml:space="preserve">statutory </w:t>
      </w:r>
      <w:r w:rsidR="00F71F3D" w:rsidRPr="006E75EE">
        <w:rPr>
          <w:b/>
          <w:bCs/>
        </w:rPr>
        <w:t xml:space="preserve">terminology and </w:t>
      </w:r>
      <w:r w:rsidRPr="006E75EE">
        <w:rPr>
          <w:b/>
          <w:bCs/>
        </w:rPr>
        <w:t>citation</w:t>
      </w:r>
      <w:r w:rsidRPr="006E75EE">
        <w:t>].</w:t>
      </w:r>
    </w:p>
    <w:p w14:paraId="034FDC7C" w14:textId="298B3503" w:rsidR="008170B1" w:rsidRPr="006E75EE" w:rsidRDefault="008170B1" w:rsidP="007D1D95">
      <w:pPr>
        <w:pStyle w:val="Def-Whereas"/>
      </w:pPr>
      <w:r w:rsidRPr="006E75EE">
        <w:t>“Work” mean</w:t>
      </w:r>
      <w:r w:rsidR="005E3F01" w:rsidRPr="006E75EE">
        <w:t>s</w:t>
      </w:r>
      <w:r w:rsidRPr="006E75EE">
        <w:t xml:space="preserve"> </w:t>
      </w:r>
      <w:r w:rsidR="00E53694" w:rsidRPr="006E75EE">
        <w:t xml:space="preserve">all obligations of </w:t>
      </w:r>
      <w:r w:rsidRPr="006E75EE">
        <w:t xml:space="preserve">Respondents under </w:t>
      </w:r>
      <w:r w:rsidR="00E53694" w:rsidRPr="006E75EE">
        <w:t>Sections</w:t>
      </w:r>
      <w:r w:rsidR="00E644C2" w:rsidRPr="006E75EE">
        <w:t> </w:t>
      </w:r>
      <w:r w:rsidR="0036405D" w:rsidRPr="006E75EE">
        <w:fldChar w:fldCharType="begin"/>
      </w:r>
      <w:r w:rsidR="0036405D" w:rsidRPr="006E75EE">
        <w:instrText xml:space="preserve"> REF _Ref79389083 \w \h </w:instrText>
      </w:r>
      <w:r w:rsidR="006E75EE">
        <w:instrText xml:space="preserve"> \* MERGEFORMAT </w:instrText>
      </w:r>
      <w:r w:rsidR="0036405D" w:rsidRPr="006E75EE">
        <w:fldChar w:fldCharType="separate"/>
      </w:r>
      <w:r w:rsidR="009166B4" w:rsidRPr="006E75EE">
        <w:t>VII</w:t>
      </w:r>
      <w:r w:rsidR="0036405D" w:rsidRPr="006E75EE">
        <w:fldChar w:fldCharType="end"/>
      </w:r>
      <w:r w:rsidR="00E53694" w:rsidRPr="006E75EE">
        <w:t xml:space="preserve"> (</w:t>
      </w:r>
      <w:r w:rsidR="0036405D" w:rsidRPr="006E75EE">
        <w:t>Performance of the Work</w:t>
      </w:r>
      <w:r w:rsidR="00E53694" w:rsidRPr="006E75EE">
        <w:t xml:space="preserve">) through </w:t>
      </w:r>
      <w:r w:rsidR="00E53694" w:rsidRPr="006E75EE">
        <w:fldChar w:fldCharType="begin"/>
      </w:r>
      <w:r w:rsidR="00E53694" w:rsidRPr="006E75EE">
        <w:instrText xml:space="preserve"> REF _Ref76826952 \w \h </w:instrText>
      </w:r>
      <w:r w:rsidR="006E75EE">
        <w:instrText xml:space="preserve"> \* MERGEFORMAT </w:instrText>
      </w:r>
      <w:r w:rsidR="00E53694" w:rsidRPr="006E75EE">
        <w:fldChar w:fldCharType="separate"/>
      </w:r>
      <w:r w:rsidR="009166B4" w:rsidRPr="006E75EE">
        <w:t>X</w:t>
      </w:r>
      <w:r w:rsidR="00E53694" w:rsidRPr="006E75EE">
        <w:fldChar w:fldCharType="end"/>
      </w:r>
      <w:r w:rsidR="00E53694" w:rsidRPr="006E75EE">
        <w:t xml:space="preserve"> (Indemnification and Insurance)</w:t>
      </w:r>
      <w:r w:rsidRPr="006E75EE">
        <w:t>.</w:t>
      </w:r>
    </w:p>
    <w:p w14:paraId="7A7B39AD" w14:textId="5C7D76A0" w:rsidR="00F87D6B" w:rsidRPr="006E75EE" w:rsidRDefault="00F87D6B" w:rsidP="007D1D95">
      <w:pPr>
        <w:pStyle w:val="Def-Whereas"/>
      </w:pPr>
      <w:r w:rsidRPr="006E75EE">
        <w:lastRenderedPageBreak/>
        <w:t xml:space="preserve">“Work Takeover” means EPA’s assumption of the performance of any of the Work in accordance with </w:t>
      </w:r>
      <w:r w:rsidR="007433CB" w:rsidRPr="006E75EE">
        <w:t>¶ </w:t>
      </w:r>
      <w:r w:rsidR="00AE5032" w:rsidRPr="006E75EE">
        <w:fldChar w:fldCharType="begin"/>
      </w:r>
      <w:r w:rsidR="00AE5032" w:rsidRPr="006E75EE">
        <w:instrText xml:space="preserve"> REF _Ref76826270 \r \h </w:instrText>
      </w:r>
      <w:r w:rsidR="006E75EE">
        <w:instrText xml:space="preserve"> \* MERGEFORMAT </w:instrText>
      </w:r>
      <w:r w:rsidR="00AE5032" w:rsidRPr="006E75EE">
        <w:fldChar w:fldCharType="separate"/>
      </w:r>
      <w:r w:rsidR="009166B4" w:rsidRPr="006E75EE">
        <w:t>25</w:t>
      </w:r>
      <w:r w:rsidR="00AE5032" w:rsidRPr="006E75EE">
        <w:fldChar w:fldCharType="end"/>
      </w:r>
      <w:r w:rsidR="007433CB" w:rsidRPr="006E75EE">
        <w:t xml:space="preserve">. </w:t>
      </w:r>
    </w:p>
    <w:p w14:paraId="29CA3D7B" w14:textId="689C4D32" w:rsidR="008170B1" w:rsidRPr="006E75EE" w:rsidRDefault="008170B1" w:rsidP="00A85436">
      <w:pPr>
        <w:pStyle w:val="Heading1"/>
      </w:pPr>
      <w:bookmarkStart w:id="10" w:name="_Ref326220061"/>
      <w:bookmarkStart w:id="11" w:name="_Ref76724865"/>
      <w:bookmarkStart w:id="12" w:name="_Ref364854851"/>
      <w:bookmarkStart w:id="13" w:name="_Toc80599607"/>
      <w:bookmarkStart w:id="14" w:name="_Toc184899535"/>
      <w:r w:rsidRPr="006E75EE">
        <w:t>FINDINGS OF FACT</w:t>
      </w:r>
      <w:bookmarkEnd w:id="10"/>
      <w:bookmarkEnd w:id="11"/>
      <w:bookmarkEnd w:id="12"/>
      <w:bookmarkEnd w:id="13"/>
      <w:r w:rsidR="00AE40D5" w:rsidRPr="006E75EE">
        <w:rPr>
          <w:rStyle w:val="FootnoteReference"/>
          <w:color w:val="auto"/>
        </w:rPr>
        <w:footnoteReference w:id="17"/>
      </w:r>
      <w:bookmarkEnd w:id="14"/>
    </w:p>
    <w:p w14:paraId="2DD53B74" w14:textId="6186C8C0" w:rsidR="00CA0BBF" w:rsidRPr="006E75EE" w:rsidRDefault="00CA0BBF" w:rsidP="00CA0BBF">
      <w:pPr>
        <w:pStyle w:val="LVL1"/>
      </w:pPr>
      <w:r w:rsidRPr="006E75EE">
        <w:t>[Identification of the Site by name, location, and description</w:t>
      </w:r>
      <w:r w:rsidRPr="006E75EE">
        <w:rPr>
          <w:lang w:val="en-US"/>
        </w:rPr>
        <w:t xml:space="preserve">, </w:t>
      </w:r>
      <w:r w:rsidRPr="006E75EE">
        <w:t xml:space="preserve">including characteristics of the Site and a description of the surrounding areas, </w:t>
      </w:r>
      <w:r w:rsidRPr="006E75EE">
        <w:rPr>
          <w:i/>
        </w:rPr>
        <w:t>e.g</w:t>
      </w:r>
      <w:r w:rsidRPr="006E75EE">
        <w:t>., commercial/industrial/residential area, nearest public supply wells, nearby water bodies, potentially sensitive ecological areas, environmental justice indicators, tribal community.]</w:t>
      </w:r>
    </w:p>
    <w:p w14:paraId="6856A68F" w14:textId="729872C4" w:rsidR="00CA0BBF" w:rsidRPr="006E75EE" w:rsidRDefault="00CA0BBF" w:rsidP="00CA0BBF">
      <w:pPr>
        <w:pStyle w:val="LVL1"/>
      </w:pPr>
      <w:r w:rsidRPr="006E75EE">
        <w:t xml:space="preserve">[A </w:t>
      </w:r>
      <w:r w:rsidRPr="006E75EE">
        <w:rPr>
          <w:lang w:val="en-US"/>
        </w:rPr>
        <w:t xml:space="preserve">summary of the </w:t>
      </w:r>
      <w:r w:rsidRPr="006E75EE">
        <w:t>history of the Site including Site ownership and operations</w:t>
      </w:r>
      <w:r w:rsidRPr="006E75EE">
        <w:rPr>
          <w:lang w:val="en-US"/>
        </w:rPr>
        <w:t xml:space="preserve"> such as </w:t>
      </w:r>
      <w:r w:rsidRPr="006E75EE">
        <w:t>process or other activity producing waste, nature of wastes produced.]</w:t>
      </w:r>
    </w:p>
    <w:p w14:paraId="5F40987C" w14:textId="030CBBFB" w:rsidR="00CA0BBF" w:rsidRPr="006E75EE" w:rsidRDefault="00CA0BBF" w:rsidP="00CA0BBF">
      <w:pPr>
        <w:pStyle w:val="LVL1"/>
      </w:pPr>
      <w:r w:rsidRPr="006E75EE">
        <w:t>[Information that there are hazardous substances at the Site by listing specific chemicals found at the Site, and their locations, concentrations, and quantities where known.]</w:t>
      </w:r>
    </w:p>
    <w:p w14:paraId="4C26B366" w14:textId="77777777" w:rsidR="00CA0BBF" w:rsidRPr="006E75EE" w:rsidRDefault="00CA0BBF" w:rsidP="00CA0BBF">
      <w:pPr>
        <w:pStyle w:val="LVL1"/>
      </w:pPr>
      <w:r w:rsidRPr="006E75EE">
        <w:t>[Information that there are hazardous substances and pollutants or contaminants at the Site by listing specific chemicals found at the Site, and their locations, concentrations, and quantities where known.]</w:t>
      </w:r>
    </w:p>
    <w:p w14:paraId="03BD2E8B" w14:textId="77777777" w:rsidR="00CA0BBF" w:rsidRPr="006E75EE" w:rsidRDefault="00CA0BBF" w:rsidP="00CA0BBF">
      <w:pPr>
        <w:pStyle w:val="LVL1"/>
      </w:pPr>
      <w:r w:rsidRPr="006E75EE">
        <w:t>[Description of actual and/or potential release (</w:t>
      </w:r>
      <w:r w:rsidRPr="006E75EE">
        <w:rPr>
          <w:i/>
        </w:rPr>
        <w:t>i.e</w:t>
      </w:r>
      <w:r w:rsidRPr="006E75EE">
        <w:t>., leaking drums, contaminated soils, etc.) and contaminant migration pathways, and possible or known routes of exposure, making clear that these are not exclusive.]</w:t>
      </w:r>
    </w:p>
    <w:p w14:paraId="0BAF3FD9" w14:textId="77777777" w:rsidR="00CA0BBF" w:rsidRPr="006E75EE" w:rsidRDefault="00CA0BBF" w:rsidP="00CA0BBF">
      <w:pPr>
        <w:pStyle w:val="LVL1"/>
      </w:pPr>
      <w:r w:rsidRPr="006E75EE">
        <w:t>[Identification of the populations at risk, both human and non-human.]</w:t>
      </w:r>
    </w:p>
    <w:p w14:paraId="5D3127E5" w14:textId="4C9E184C" w:rsidR="00CA0BBF" w:rsidRPr="006E75EE" w:rsidRDefault="00CA0BBF" w:rsidP="00CA0BBF">
      <w:pPr>
        <w:pStyle w:val="LVL1"/>
      </w:pPr>
      <w:r w:rsidRPr="006E75EE">
        <w:t xml:space="preserve">[Health/environmental effects of some </w:t>
      </w:r>
      <w:r w:rsidRPr="006E75EE">
        <w:rPr>
          <w:lang w:val="en-US"/>
        </w:rPr>
        <w:t xml:space="preserve">of the </w:t>
      </w:r>
      <w:r w:rsidRPr="006E75EE">
        <w:t>major contaminants.]</w:t>
      </w:r>
    </w:p>
    <w:p w14:paraId="0BB2CE89" w14:textId="2FC0E962" w:rsidR="00CA0BBF" w:rsidRPr="006E75EE" w:rsidRDefault="00B211BA" w:rsidP="00967314">
      <w:pPr>
        <w:pStyle w:val="LVL1"/>
      </w:pPr>
      <w:r w:rsidRPr="006E75EE">
        <w:t>[</w:t>
      </w:r>
      <w:r w:rsidRPr="006E75EE">
        <w:rPr>
          <w:b/>
          <w:bCs/>
        </w:rPr>
        <w:t>For NPL Sites</w:t>
      </w:r>
      <w:r w:rsidRPr="006E75EE">
        <w:t>][</w:t>
      </w:r>
      <w:r w:rsidR="00CA0BBF" w:rsidRPr="006E75EE">
        <w:t>The ______ Site was [listed on] [proposed for inclusion on] the National Priorities List (</w:t>
      </w:r>
      <w:r w:rsidR="003201ED" w:rsidRPr="006E75EE">
        <w:rPr>
          <w:lang w:val="en-US"/>
        </w:rPr>
        <w:t>“</w:t>
      </w:r>
      <w:r w:rsidR="00CA0BBF" w:rsidRPr="006E75EE">
        <w:t>NPL</w:t>
      </w:r>
      <w:r w:rsidR="003201ED" w:rsidRPr="006E75EE">
        <w:rPr>
          <w:lang w:val="en-US"/>
        </w:rPr>
        <w:t>”</w:t>
      </w:r>
      <w:r w:rsidR="00CA0BBF" w:rsidRPr="006E75EE">
        <w:t>) b</w:t>
      </w:r>
      <w:r w:rsidR="004E73F1" w:rsidRPr="006E75EE">
        <w:t xml:space="preserve">y EPA pursuant to CERCLA </w:t>
      </w:r>
      <w:r w:rsidR="003201ED" w:rsidRPr="006E75EE">
        <w:rPr>
          <w:lang w:val="en-US"/>
        </w:rPr>
        <w:t>§ </w:t>
      </w:r>
      <w:r w:rsidR="004E73F1" w:rsidRPr="006E75EE">
        <w:t>105</w:t>
      </w:r>
      <w:r w:rsidR="00CA0BBF" w:rsidRPr="006E75EE">
        <w:t xml:space="preserve"> on [insert month, day, year], [insert Federal Register citation].</w:t>
      </w:r>
      <w:r w:rsidRPr="006E75EE">
        <w:t>]</w:t>
      </w:r>
    </w:p>
    <w:p w14:paraId="65AA1E35" w14:textId="0CD7F823" w:rsidR="00CA0BBF" w:rsidRPr="006E75EE" w:rsidRDefault="00CA0BBF" w:rsidP="00CA0BBF">
      <w:pPr>
        <w:pStyle w:val="LVL1"/>
      </w:pPr>
      <w:r w:rsidRPr="006E75EE">
        <w:t>[Identification of Respondents</w:t>
      </w:r>
      <w:r w:rsidR="00A829AB" w:rsidRPr="006E75EE">
        <w:rPr>
          <w:lang w:val="en-US"/>
        </w:rPr>
        <w:t xml:space="preserve"> </w:t>
      </w:r>
      <w:r w:rsidR="00A829AB" w:rsidRPr="006E75EE">
        <w:t xml:space="preserve">and </w:t>
      </w:r>
      <w:r w:rsidR="00BA2A83" w:rsidRPr="006E75EE">
        <w:t>Settling Federal Agencies</w:t>
      </w:r>
      <w:r w:rsidRPr="006E75EE">
        <w:t>, i.e., name/business; legal status (</w:t>
      </w:r>
      <w:r w:rsidRPr="006E75EE">
        <w:rPr>
          <w:i/>
        </w:rPr>
        <w:t>i.e</w:t>
      </w:r>
      <w:r w:rsidRPr="006E75EE">
        <w:t>., corporation, partnership, sole proprietor, trust, individual, federal, state or local government, etc.), ge</w:t>
      </w:r>
      <w:r w:rsidR="004E73F1" w:rsidRPr="006E75EE">
        <w:t>neral categories of Respondents’</w:t>
      </w:r>
      <w:r w:rsidRPr="006E75EE">
        <w:t xml:space="preserve"> </w:t>
      </w:r>
      <w:r w:rsidR="00A829AB" w:rsidRPr="006E75EE">
        <w:t xml:space="preserve">and </w:t>
      </w:r>
      <w:r w:rsidR="00BA2A83" w:rsidRPr="006E75EE">
        <w:t>Settling Federal Agencies</w:t>
      </w:r>
      <w:r w:rsidR="00A829AB" w:rsidRPr="006E75EE">
        <w:rPr>
          <w:lang w:val="en-US"/>
        </w:rPr>
        <w:t xml:space="preserve">’ </w:t>
      </w:r>
      <w:r w:rsidRPr="006E75EE">
        <w:t xml:space="preserve">liability under CERCLA </w:t>
      </w:r>
      <w:r w:rsidR="003201ED" w:rsidRPr="006E75EE">
        <w:rPr>
          <w:lang w:val="en-US"/>
        </w:rPr>
        <w:t>§ </w:t>
      </w:r>
      <w:r w:rsidRPr="006E75EE">
        <w:t xml:space="preserve">107(a) and connection with the Site, </w:t>
      </w:r>
      <w:r w:rsidRPr="006E75EE">
        <w:rPr>
          <w:i/>
        </w:rPr>
        <w:t>e.g</w:t>
      </w:r>
      <w:r w:rsidRPr="006E75EE">
        <w:t>., owner or operator of hazardous waste site, including years of ownership or operation, or person who arranged for disposal or treatment of, or transporter of hazardous substances found at the Site.]</w:t>
      </w:r>
    </w:p>
    <w:p w14:paraId="4A55B92F" w14:textId="77777777" w:rsidR="00CA0BBF" w:rsidRPr="006E75EE" w:rsidRDefault="00CA0BBF" w:rsidP="00CA0BBF">
      <w:pPr>
        <w:pStyle w:val="LVL1"/>
      </w:pPr>
      <w:r w:rsidRPr="006E75EE">
        <w:t>[Identification of prior response and enforcement actions, including investigations and assessments, if any, taken at the Site, by EPA or the State.]</w:t>
      </w:r>
    </w:p>
    <w:p w14:paraId="3A07DEBD" w14:textId="2AAD7138" w:rsidR="00455303" w:rsidRPr="006E75EE" w:rsidRDefault="00DE250E" w:rsidP="00CA0BBF">
      <w:pPr>
        <w:pStyle w:val="LVL1"/>
      </w:pPr>
      <w:r w:rsidRPr="006E75EE">
        <w:rPr>
          <w:lang w:val="en-US"/>
        </w:rPr>
        <w:lastRenderedPageBreak/>
        <w:t>[</w:t>
      </w:r>
      <w:r w:rsidR="00CA0BBF" w:rsidRPr="006E75EE">
        <w:t xml:space="preserve">The Regional Administrator of EPA Region ___, or </w:t>
      </w:r>
      <w:r w:rsidR="00DE13E4" w:rsidRPr="006E75EE">
        <w:rPr>
          <w:lang w:val="en-US"/>
        </w:rPr>
        <w:t>their</w:t>
      </w:r>
      <w:r w:rsidR="00CA0BBF" w:rsidRPr="006E75EE">
        <w:t xml:space="preserve"> </w:t>
      </w:r>
      <w:proofErr w:type="spellStart"/>
      <w:r w:rsidR="00CA0BBF" w:rsidRPr="006E75EE">
        <w:t>delegatee</w:t>
      </w:r>
      <w:proofErr w:type="spellEnd"/>
      <w:r w:rsidR="00CA0BBF" w:rsidRPr="006E75EE">
        <w:t>, has determined that the total past and projected response costs of the United States at or in connection with the Site will not exceed $500,000, excluding interest.</w:t>
      </w:r>
      <w:r w:rsidRPr="006E75EE">
        <w:rPr>
          <w:lang w:val="en-US"/>
        </w:rPr>
        <w:t>]</w:t>
      </w:r>
      <w:r w:rsidR="00AE40D5" w:rsidRPr="006E75EE">
        <w:rPr>
          <w:rStyle w:val="FootnoteReference"/>
          <w:color w:val="auto"/>
          <w:lang w:val="en-US"/>
        </w:rPr>
        <w:footnoteReference w:id="18"/>
      </w:r>
    </w:p>
    <w:p w14:paraId="39A97050" w14:textId="21C4A701" w:rsidR="008170B1" w:rsidRPr="006E75EE" w:rsidRDefault="00FE50A6" w:rsidP="002B7658">
      <w:pPr>
        <w:pStyle w:val="Heading1"/>
      </w:pPr>
      <w:bookmarkStart w:id="15" w:name="_Ref326220067"/>
      <w:bookmarkStart w:id="16" w:name="_Ref364854871"/>
      <w:bookmarkStart w:id="17" w:name="_Toc80599608"/>
      <w:bookmarkStart w:id="18" w:name="_Toc184899536"/>
      <w:r w:rsidRPr="006E75EE">
        <w:t>CONCLU</w:t>
      </w:r>
      <w:r w:rsidR="00AF1490" w:rsidRPr="006E75EE">
        <w:t xml:space="preserve">SIONS OF LAW AND </w:t>
      </w:r>
      <w:r w:rsidR="008170B1" w:rsidRPr="006E75EE">
        <w:t>DETERMINATIONS</w:t>
      </w:r>
      <w:bookmarkEnd w:id="15"/>
      <w:bookmarkEnd w:id="16"/>
      <w:bookmarkEnd w:id="17"/>
      <w:bookmarkEnd w:id="18"/>
    </w:p>
    <w:p w14:paraId="34466E40" w14:textId="543CBD5A" w:rsidR="008170B1" w:rsidRPr="006E75EE" w:rsidRDefault="008170B1" w:rsidP="00E4736C">
      <w:pPr>
        <w:pStyle w:val="LVL1"/>
      </w:pPr>
      <w:bookmarkStart w:id="19" w:name="_Ref184646996"/>
      <w:r w:rsidRPr="006E75EE">
        <w:t xml:space="preserve">Based on the Findings of Fact </w:t>
      </w:r>
      <w:r w:rsidR="00723F51" w:rsidRPr="006E75EE">
        <w:rPr>
          <w:lang w:val="en-US"/>
        </w:rPr>
        <w:t>in Section</w:t>
      </w:r>
      <w:r w:rsidR="00E54518" w:rsidRPr="006E75EE">
        <w:rPr>
          <w:lang w:val="en-US"/>
        </w:rPr>
        <w:t> </w:t>
      </w:r>
      <w:r w:rsidR="00723F51" w:rsidRPr="006E75EE">
        <w:rPr>
          <w:lang w:val="en-US"/>
        </w:rPr>
        <w:fldChar w:fldCharType="begin"/>
      </w:r>
      <w:r w:rsidR="00723F51" w:rsidRPr="006E75EE">
        <w:rPr>
          <w:lang w:val="en-US"/>
        </w:rPr>
        <w:instrText xml:space="preserve"> REF _Ref76724865 \w \h </w:instrText>
      </w:r>
      <w:r w:rsidR="006E75EE">
        <w:rPr>
          <w:lang w:val="en-US"/>
        </w:rPr>
        <w:instrText xml:space="preserve"> \* MERGEFORMAT </w:instrText>
      </w:r>
      <w:r w:rsidR="00723F51" w:rsidRPr="006E75EE">
        <w:rPr>
          <w:lang w:val="en-US"/>
        </w:rPr>
      </w:r>
      <w:r w:rsidR="00723F51" w:rsidRPr="006E75EE">
        <w:rPr>
          <w:lang w:val="en-US"/>
        </w:rPr>
        <w:fldChar w:fldCharType="separate"/>
      </w:r>
      <w:r w:rsidR="009166B4" w:rsidRPr="006E75EE">
        <w:rPr>
          <w:lang w:val="en-US"/>
        </w:rPr>
        <w:t>IV</w:t>
      </w:r>
      <w:r w:rsidR="00723F51" w:rsidRPr="006E75EE">
        <w:rPr>
          <w:lang w:val="en-US"/>
        </w:rPr>
        <w:fldChar w:fldCharType="end"/>
      </w:r>
      <w:r w:rsidRPr="006E75EE">
        <w:t xml:space="preserve"> </w:t>
      </w:r>
      <w:r w:rsidR="00CE5313" w:rsidRPr="006E75EE">
        <w:rPr>
          <w:lang w:val="en-US"/>
        </w:rPr>
        <w:t>[</w:t>
      </w:r>
      <w:r w:rsidRPr="006E75EE">
        <w:t xml:space="preserve">and the </w:t>
      </w:r>
      <w:r w:rsidR="00394939" w:rsidRPr="006E75EE">
        <w:rPr>
          <w:lang w:val="en-US"/>
        </w:rPr>
        <w:t xml:space="preserve">administrative </w:t>
      </w:r>
      <w:r w:rsidR="00245BC7" w:rsidRPr="006E75EE">
        <w:t>record</w:t>
      </w:r>
      <w:r w:rsidR="00CE5313" w:rsidRPr="006E75EE">
        <w:rPr>
          <w:lang w:val="en-US"/>
        </w:rPr>
        <w:t>]</w:t>
      </w:r>
      <w:r w:rsidRPr="006E75EE">
        <w:t>, EPA has determined that:</w:t>
      </w:r>
      <w:bookmarkEnd w:id="19"/>
    </w:p>
    <w:p w14:paraId="0D006824" w14:textId="02AA2CA2" w:rsidR="008170B1" w:rsidRPr="006E75EE" w:rsidRDefault="008170B1" w:rsidP="00242B2C">
      <w:pPr>
        <w:pStyle w:val="LVL2"/>
        <w:rPr>
          <w:color w:val="auto"/>
        </w:rPr>
      </w:pPr>
      <w:r w:rsidRPr="006E75EE">
        <w:rPr>
          <w:color w:val="auto"/>
        </w:rPr>
        <w:t>The Site is a “facility” as defi</w:t>
      </w:r>
      <w:r w:rsidR="004E73F1" w:rsidRPr="006E75EE">
        <w:rPr>
          <w:color w:val="auto"/>
        </w:rPr>
        <w:t>ned by s</w:t>
      </w:r>
      <w:r w:rsidR="00723F51" w:rsidRPr="006E75EE">
        <w:rPr>
          <w:color w:val="auto"/>
        </w:rPr>
        <w:t>ection</w:t>
      </w:r>
      <w:r w:rsidR="00E54518" w:rsidRPr="006E75EE">
        <w:rPr>
          <w:color w:val="auto"/>
          <w:lang w:val="en-US"/>
        </w:rPr>
        <w:t> </w:t>
      </w:r>
      <w:r w:rsidR="00723F51" w:rsidRPr="006E75EE">
        <w:rPr>
          <w:color w:val="auto"/>
        </w:rPr>
        <w:t>101(9) of CERCLA</w:t>
      </w:r>
      <w:r w:rsidRPr="006E75EE">
        <w:rPr>
          <w:color w:val="auto"/>
        </w:rPr>
        <w:t xml:space="preserve">. </w:t>
      </w:r>
    </w:p>
    <w:p w14:paraId="63A7ED37" w14:textId="16522A08" w:rsidR="008170B1" w:rsidRPr="006E75EE" w:rsidRDefault="008170B1" w:rsidP="00845189">
      <w:pPr>
        <w:pStyle w:val="LVL2"/>
        <w:rPr>
          <w:color w:val="auto"/>
        </w:rPr>
      </w:pPr>
      <w:r w:rsidRPr="006E75EE">
        <w:rPr>
          <w:color w:val="auto"/>
        </w:rPr>
        <w:t>The contamination found at the Site, as identified in the Findings of Fact above, incl</w:t>
      </w:r>
      <w:r w:rsidR="004E73F1" w:rsidRPr="006E75EE">
        <w:rPr>
          <w:color w:val="auto"/>
        </w:rPr>
        <w:t>udes “hazardous substances</w:t>
      </w:r>
      <w:r w:rsidRPr="006E75EE">
        <w:rPr>
          <w:color w:val="auto"/>
        </w:rPr>
        <w:t xml:space="preserve">” as defined by </w:t>
      </w:r>
      <w:r w:rsidR="00394939" w:rsidRPr="006E75EE">
        <w:rPr>
          <w:color w:val="auto"/>
          <w:lang w:val="en-US"/>
        </w:rPr>
        <w:t>section</w:t>
      </w:r>
      <w:r w:rsidR="00E54518" w:rsidRPr="006E75EE">
        <w:rPr>
          <w:color w:val="auto"/>
          <w:lang w:val="en-US"/>
        </w:rPr>
        <w:t> </w:t>
      </w:r>
      <w:r w:rsidRPr="006E75EE">
        <w:rPr>
          <w:color w:val="auto"/>
        </w:rPr>
        <w:t>101(14) of CERCLA</w:t>
      </w:r>
      <w:r w:rsidR="00845189" w:rsidRPr="006E75EE">
        <w:rPr>
          <w:color w:val="auto"/>
          <w:lang w:val="en-US"/>
        </w:rPr>
        <w:t xml:space="preserve"> [and “pollutants or contaminants” as defined by section</w:t>
      </w:r>
      <w:r w:rsidR="00E54518" w:rsidRPr="006E75EE">
        <w:rPr>
          <w:color w:val="auto"/>
          <w:lang w:val="en-US"/>
        </w:rPr>
        <w:t> </w:t>
      </w:r>
      <w:r w:rsidR="00845189" w:rsidRPr="006E75EE">
        <w:rPr>
          <w:color w:val="auto"/>
          <w:lang w:val="en-US"/>
        </w:rPr>
        <w:t>101(33) of CERCLA]</w:t>
      </w:r>
      <w:r w:rsidRPr="006E75EE">
        <w:rPr>
          <w:color w:val="auto"/>
        </w:rPr>
        <w:t>.</w:t>
      </w:r>
    </w:p>
    <w:p w14:paraId="3C444367" w14:textId="5D503739" w:rsidR="008170B1" w:rsidRPr="006E75EE" w:rsidRDefault="008170B1" w:rsidP="00242B2C">
      <w:pPr>
        <w:pStyle w:val="LVL2"/>
        <w:rPr>
          <w:color w:val="auto"/>
        </w:rPr>
      </w:pPr>
      <w:r w:rsidRPr="006E75EE">
        <w:rPr>
          <w:color w:val="auto"/>
        </w:rPr>
        <w:t xml:space="preserve">Each Respondent </w:t>
      </w:r>
      <w:bookmarkStart w:id="20" w:name="_Hlk92115320"/>
      <w:r w:rsidR="007B2FF6" w:rsidRPr="006E75EE">
        <w:rPr>
          <w:color w:val="auto"/>
        </w:rPr>
        <w:t>[</w:t>
      </w:r>
      <w:r w:rsidR="00A829AB" w:rsidRPr="006E75EE">
        <w:rPr>
          <w:color w:val="auto"/>
        </w:rPr>
        <w:t xml:space="preserve">and </w:t>
      </w:r>
      <w:bookmarkEnd w:id="20"/>
      <w:r w:rsidR="00887DD6" w:rsidRPr="006E75EE">
        <w:rPr>
          <w:color w:val="auto"/>
          <w:lang w:val="en-US"/>
        </w:rPr>
        <w:t>Settling Federal Agency</w:t>
      </w:r>
      <w:r w:rsidR="007B2FF6" w:rsidRPr="006E75EE">
        <w:rPr>
          <w:color w:val="auto"/>
          <w:lang w:val="en-US"/>
        </w:rPr>
        <w:t>]</w:t>
      </w:r>
      <w:r w:rsidR="00887DD6" w:rsidRPr="006E75EE">
        <w:rPr>
          <w:color w:val="auto"/>
          <w:lang w:val="en-US"/>
        </w:rPr>
        <w:t xml:space="preserve"> </w:t>
      </w:r>
      <w:r w:rsidRPr="006E75EE">
        <w:rPr>
          <w:color w:val="auto"/>
        </w:rPr>
        <w:t>is a “person” as defin</w:t>
      </w:r>
      <w:r w:rsidR="00723F51" w:rsidRPr="006E75EE">
        <w:rPr>
          <w:color w:val="auto"/>
        </w:rPr>
        <w:t xml:space="preserve">ed by </w:t>
      </w:r>
      <w:r w:rsidR="00E54518" w:rsidRPr="006E75EE">
        <w:rPr>
          <w:color w:val="auto"/>
          <w:lang w:val="en-US"/>
        </w:rPr>
        <w:t>section </w:t>
      </w:r>
      <w:r w:rsidR="00723F51" w:rsidRPr="006E75EE">
        <w:rPr>
          <w:color w:val="auto"/>
        </w:rPr>
        <w:t>1</w:t>
      </w:r>
      <w:r w:rsidR="004E73F1" w:rsidRPr="006E75EE">
        <w:rPr>
          <w:color w:val="auto"/>
        </w:rPr>
        <w:t xml:space="preserve">01(21) of </w:t>
      </w:r>
      <w:r w:rsidR="00723F51" w:rsidRPr="006E75EE">
        <w:rPr>
          <w:color w:val="auto"/>
        </w:rPr>
        <w:t>CERCLA</w:t>
      </w:r>
      <w:r w:rsidRPr="006E75EE">
        <w:rPr>
          <w:color w:val="auto"/>
        </w:rPr>
        <w:t>.</w:t>
      </w:r>
    </w:p>
    <w:p w14:paraId="21DA99E4" w14:textId="27158FD9" w:rsidR="008170B1" w:rsidRPr="006E75EE" w:rsidRDefault="008170B1" w:rsidP="00242B2C">
      <w:pPr>
        <w:pStyle w:val="LVL2"/>
        <w:rPr>
          <w:color w:val="auto"/>
        </w:rPr>
      </w:pPr>
      <w:bookmarkStart w:id="21" w:name="_Ref184646977"/>
      <w:r w:rsidRPr="006E75EE">
        <w:rPr>
          <w:color w:val="auto"/>
        </w:rPr>
        <w:t xml:space="preserve">Each Respondent </w:t>
      </w:r>
      <w:r w:rsidR="007B2FF6" w:rsidRPr="006E75EE">
        <w:rPr>
          <w:color w:val="auto"/>
        </w:rPr>
        <w:t>[</w:t>
      </w:r>
      <w:r w:rsidR="00A829AB" w:rsidRPr="006E75EE">
        <w:rPr>
          <w:color w:val="auto"/>
        </w:rPr>
        <w:t xml:space="preserve">and </w:t>
      </w:r>
      <w:r w:rsidR="00887DD6" w:rsidRPr="006E75EE">
        <w:rPr>
          <w:color w:val="auto"/>
          <w:lang w:val="en-US"/>
        </w:rPr>
        <w:t>Settling Federal Agency</w:t>
      </w:r>
      <w:r w:rsidR="007B2FF6" w:rsidRPr="006E75EE">
        <w:rPr>
          <w:color w:val="auto"/>
          <w:lang w:val="en-US"/>
        </w:rPr>
        <w:t>]</w:t>
      </w:r>
      <w:r w:rsidR="00887DD6" w:rsidRPr="006E75EE">
        <w:rPr>
          <w:color w:val="auto"/>
          <w:lang w:val="en-US"/>
        </w:rPr>
        <w:t xml:space="preserve"> </w:t>
      </w:r>
      <w:r w:rsidRPr="006E75EE">
        <w:rPr>
          <w:color w:val="auto"/>
        </w:rPr>
        <w:t xml:space="preserve">is a responsible party under </w:t>
      </w:r>
      <w:r w:rsidR="00E54518" w:rsidRPr="006E75EE">
        <w:rPr>
          <w:color w:val="auto"/>
          <w:lang w:val="en-US"/>
        </w:rPr>
        <w:t>section </w:t>
      </w:r>
      <w:r w:rsidR="00723F51" w:rsidRPr="006E75EE">
        <w:rPr>
          <w:color w:val="auto"/>
        </w:rPr>
        <w:t>107(a) of CERCLA</w:t>
      </w:r>
      <w:r w:rsidR="004E73F1" w:rsidRPr="006E75EE">
        <w:rPr>
          <w:color w:val="auto"/>
        </w:rPr>
        <w:t>.</w:t>
      </w:r>
      <w:r w:rsidR="009E3740" w:rsidRPr="006E75EE">
        <w:rPr>
          <w:rStyle w:val="FootnoteReference"/>
          <w:color w:val="auto"/>
        </w:rPr>
        <w:footnoteReference w:id="19"/>
      </w:r>
      <w:bookmarkEnd w:id="21"/>
      <w:r w:rsidR="009E3740" w:rsidRPr="006E75EE">
        <w:rPr>
          <w:color w:val="auto"/>
        </w:rPr>
        <w:t xml:space="preserve"> </w:t>
      </w:r>
      <w:r w:rsidR="009E3740" w:rsidRPr="006E75EE">
        <w:rPr>
          <w:rStyle w:val="FootnoteReference"/>
          <w:color w:val="auto"/>
        </w:rPr>
        <w:footnoteReference w:id="20"/>
      </w:r>
    </w:p>
    <w:p w14:paraId="5A4E80A4" w14:textId="5C56BADA" w:rsidR="008170B1" w:rsidRPr="006E75EE" w:rsidRDefault="008170B1" w:rsidP="005510E1">
      <w:pPr>
        <w:pStyle w:val="LVL3"/>
        <w:rPr>
          <w:color w:val="auto"/>
        </w:rPr>
      </w:pPr>
      <w:r w:rsidRPr="006E75EE">
        <w:rPr>
          <w:color w:val="auto"/>
        </w:rPr>
        <w:t>Respondents [</w:t>
      </w:r>
      <w:r w:rsidRPr="006E75EE">
        <w:rPr>
          <w:b/>
          <w:bCs/>
          <w:color w:val="auto"/>
        </w:rPr>
        <w:t>insert names</w:t>
      </w:r>
      <w:r w:rsidRPr="006E75EE">
        <w:rPr>
          <w:color w:val="auto"/>
        </w:rPr>
        <w:t xml:space="preserve">] </w:t>
      </w:r>
      <w:r w:rsidR="00534585" w:rsidRPr="006E75EE">
        <w:rPr>
          <w:color w:val="auto"/>
        </w:rPr>
        <w:t>[</w:t>
      </w:r>
      <w:r w:rsidR="00A829AB" w:rsidRPr="006E75EE">
        <w:rPr>
          <w:color w:val="auto"/>
        </w:rPr>
        <w:t xml:space="preserve">and </w:t>
      </w:r>
      <w:r w:rsidR="00BA2A83" w:rsidRPr="006E75EE">
        <w:rPr>
          <w:color w:val="auto"/>
        </w:rPr>
        <w:t>Settling Federal Agencies</w:t>
      </w:r>
      <w:r w:rsidR="00A829AB" w:rsidRPr="006E75EE">
        <w:rPr>
          <w:color w:val="auto"/>
        </w:rPr>
        <w:t xml:space="preserve"> [</w:t>
      </w:r>
      <w:r w:rsidR="00A829AB" w:rsidRPr="006E75EE">
        <w:rPr>
          <w:b/>
          <w:color w:val="auto"/>
        </w:rPr>
        <w:t>insert names</w:t>
      </w:r>
      <w:r w:rsidR="00A829AB" w:rsidRPr="006E75EE">
        <w:rPr>
          <w:color w:val="auto"/>
        </w:rPr>
        <w:t>]</w:t>
      </w:r>
      <w:r w:rsidR="00534585" w:rsidRPr="006E75EE">
        <w:rPr>
          <w:color w:val="auto"/>
        </w:rPr>
        <w:t>]</w:t>
      </w:r>
      <w:r w:rsidR="00A829AB" w:rsidRPr="006E75EE">
        <w:rPr>
          <w:color w:val="auto"/>
        </w:rPr>
        <w:t xml:space="preserve"> </w:t>
      </w:r>
      <w:r w:rsidRPr="006E75EE">
        <w:rPr>
          <w:color w:val="auto"/>
        </w:rPr>
        <w:t>are the “owner(s)” and/or “operator(s)” of the facility, as define</w:t>
      </w:r>
      <w:r w:rsidR="00723F51" w:rsidRPr="006E75EE">
        <w:rPr>
          <w:color w:val="auto"/>
        </w:rPr>
        <w:t xml:space="preserve">d by </w:t>
      </w:r>
      <w:r w:rsidR="00095EB2" w:rsidRPr="006E75EE">
        <w:rPr>
          <w:color w:val="auto"/>
        </w:rPr>
        <w:t>section</w:t>
      </w:r>
      <w:r w:rsidR="00723F51" w:rsidRPr="006E75EE">
        <w:rPr>
          <w:color w:val="auto"/>
        </w:rPr>
        <w:t xml:space="preserve"> 101(20) of CERCLA</w:t>
      </w:r>
      <w:r w:rsidRPr="006E75EE">
        <w:rPr>
          <w:color w:val="auto"/>
        </w:rPr>
        <w:t xml:space="preserve"> and within the meaning of </w:t>
      </w:r>
      <w:r w:rsidR="00095EB2" w:rsidRPr="006E75EE">
        <w:rPr>
          <w:color w:val="auto"/>
        </w:rPr>
        <w:t>section</w:t>
      </w:r>
      <w:r w:rsidR="009A7708" w:rsidRPr="006E75EE">
        <w:rPr>
          <w:color w:val="auto"/>
          <w:lang w:val="en-US"/>
        </w:rPr>
        <w:t> </w:t>
      </w:r>
      <w:r w:rsidRPr="006E75EE">
        <w:rPr>
          <w:color w:val="auto"/>
        </w:rPr>
        <w:t>107(a)(1) of C</w:t>
      </w:r>
      <w:r w:rsidR="00723F51" w:rsidRPr="006E75EE">
        <w:rPr>
          <w:color w:val="auto"/>
        </w:rPr>
        <w:t>ERCLA</w:t>
      </w:r>
      <w:r w:rsidRPr="006E75EE">
        <w:rPr>
          <w:color w:val="auto"/>
        </w:rPr>
        <w:t>.</w:t>
      </w:r>
    </w:p>
    <w:p w14:paraId="10A9F1FE" w14:textId="0D09C00D" w:rsidR="008170B1" w:rsidRPr="006E75EE" w:rsidRDefault="001B5B33" w:rsidP="005510E1">
      <w:pPr>
        <w:pStyle w:val="LVL3"/>
        <w:rPr>
          <w:color w:val="auto"/>
        </w:rPr>
      </w:pPr>
      <w:r w:rsidRPr="006E75EE">
        <w:rPr>
          <w:color w:val="auto"/>
        </w:rPr>
        <w:t>R</w:t>
      </w:r>
      <w:r w:rsidR="008170B1" w:rsidRPr="006E75EE">
        <w:rPr>
          <w:color w:val="auto"/>
        </w:rPr>
        <w:t>espondents [</w:t>
      </w:r>
      <w:r w:rsidR="008170B1" w:rsidRPr="006E75EE">
        <w:rPr>
          <w:b/>
          <w:bCs/>
          <w:color w:val="auto"/>
        </w:rPr>
        <w:t>insert names</w:t>
      </w:r>
      <w:r w:rsidR="008170B1" w:rsidRPr="006E75EE">
        <w:rPr>
          <w:color w:val="auto"/>
        </w:rPr>
        <w:t xml:space="preserve">] </w:t>
      </w:r>
      <w:r w:rsidR="00534585" w:rsidRPr="006E75EE">
        <w:rPr>
          <w:color w:val="auto"/>
        </w:rPr>
        <w:t>[</w:t>
      </w:r>
      <w:r w:rsidR="00A829AB" w:rsidRPr="006E75EE">
        <w:rPr>
          <w:color w:val="auto"/>
        </w:rPr>
        <w:t xml:space="preserve">and </w:t>
      </w:r>
      <w:r w:rsidR="00BA2A83" w:rsidRPr="006E75EE">
        <w:rPr>
          <w:color w:val="auto"/>
        </w:rPr>
        <w:t>Settling Federal Agencies</w:t>
      </w:r>
      <w:r w:rsidR="00A829AB" w:rsidRPr="006E75EE">
        <w:rPr>
          <w:color w:val="auto"/>
        </w:rPr>
        <w:t xml:space="preserve"> [</w:t>
      </w:r>
      <w:r w:rsidR="00A829AB" w:rsidRPr="006E75EE">
        <w:rPr>
          <w:b/>
          <w:color w:val="auto"/>
        </w:rPr>
        <w:t>insert names</w:t>
      </w:r>
      <w:r w:rsidR="00A829AB" w:rsidRPr="006E75EE">
        <w:rPr>
          <w:color w:val="auto"/>
        </w:rPr>
        <w:t>]</w:t>
      </w:r>
      <w:r w:rsidR="00534585" w:rsidRPr="006E75EE">
        <w:rPr>
          <w:color w:val="auto"/>
        </w:rPr>
        <w:t>]</w:t>
      </w:r>
      <w:r w:rsidR="00A829AB" w:rsidRPr="006E75EE">
        <w:rPr>
          <w:color w:val="auto"/>
        </w:rPr>
        <w:t xml:space="preserve"> </w:t>
      </w:r>
      <w:r w:rsidR="008170B1" w:rsidRPr="006E75EE">
        <w:rPr>
          <w:color w:val="auto"/>
        </w:rPr>
        <w:t>were the “owners” and/or “operators” of the facility at the time of disposal of hazardous substances at the facility, as defin</w:t>
      </w:r>
      <w:r w:rsidR="00723F51" w:rsidRPr="006E75EE">
        <w:rPr>
          <w:color w:val="auto"/>
        </w:rPr>
        <w:t xml:space="preserve">ed by </w:t>
      </w:r>
      <w:r w:rsidR="00E54518" w:rsidRPr="006E75EE">
        <w:rPr>
          <w:color w:val="auto"/>
          <w:lang w:val="en-US"/>
        </w:rPr>
        <w:t>section </w:t>
      </w:r>
      <w:r w:rsidR="00723F51" w:rsidRPr="006E75EE">
        <w:rPr>
          <w:color w:val="auto"/>
        </w:rPr>
        <w:t>101(20) of CERCLA</w:t>
      </w:r>
      <w:r w:rsidR="008170B1" w:rsidRPr="006E75EE">
        <w:rPr>
          <w:color w:val="auto"/>
        </w:rPr>
        <w:t xml:space="preserve">, and within the meaning </w:t>
      </w:r>
      <w:r w:rsidR="00723F51" w:rsidRPr="006E75EE">
        <w:rPr>
          <w:color w:val="auto"/>
        </w:rPr>
        <w:t xml:space="preserve">of </w:t>
      </w:r>
      <w:r w:rsidR="00E54518" w:rsidRPr="006E75EE">
        <w:rPr>
          <w:color w:val="auto"/>
          <w:lang w:val="en-US"/>
        </w:rPr>
        <w:t>section </w:t>
      </w:r>
      <w:r w:rsidR="00723F51" w:rsidRPr="006E75EE">
        <w:rPr>
          <w:color w:val="auto"/>
        </w:rPr>
        <w:t>107(a)(2) of CERCLA.</w:t>
      </w:r>
    </w:p>
    <w:p w14:paraId="62B54BA7" w14:textId="4E668230" w:rsidR="008170B1" w:rsidRPr="006E75EE" w:rsidRDefault="008170B1" w:rsidP="005510E1">
      <w:pPr>
        <w:pStyle w:val="LVL3"/>
        <w:rPr>
          <w:color w:val="auto"/>
        </w:rPr>
      </w:pPr>
      <w:r w:rsidRPr="006E75EE">
        <w:rPr>
          <w:color w:val="auto"/>
        </w:rPr>
        <w:t>Respondents [</w:t>
      </w:r>
      <w:r w:rsidRPr="006E75EE">
        <w:rPr>
          <w:b/>
          <w:bCs/>
          <w:color w:val="auto"/>
        </w:rPr>
        <w:t>insert names</w:t>
      </w:r>
      <w:r w:rsidRPr="006E75EE">
        <w:rPr>
          <w:color w:val="auto"/>
        </w:rPr>
        <w:t xml:space="preserve">] </w:t>
      </w:r>
      <w:r w:rsidR="00534585" w:rsidRPr="006E75EE">
        <w:rPr>
          <w:color w:val="auto"/>
        </w:rPr>
        <w:t>[</w:t>
      </w:r>
      <w:r w:rsidR="00A829AB" w:rsidRPr="006E75EE">
        <w:rPr>
          <w:color w:val="auto"/>
        </w:rPr>
        <w:t xml:space="preserve">and </w:t>
      </w:r>
      <w:r w:rsidR="00BA2A83" w:rsidRPr="006E75EE">
        <w:rPr>
          <w:color w:val="auto"/>
        </w:rPr>
        <w:t>Settling Federal Agencies</w:t>
      </w:r>
      <w:r w:rsidR="00A829AB" w:rsidRPr="006E75EE">
        <w:rPr>
          <w:color w:val="auto"/>
        </w:rPr>
        <w:t xml:space="preserve"> [</w:t>
      </w:r>
      <w:r w:rsidR="00A829AB" w:rsidRPr="006E75EE">
        <w:rPr>
          <w:b/>
          <w:color w:val="auto"/>
        </w:rPr>
        <w:t>insert names</w:t>
      </w:r>
      <w:r w:rsidR="00A829AB" w:rsidRPr="006E75EE">
        <w:rPr>
          <w:color w:val="auto"/>
        </w:rPr>
        <w:t>]</w:t>
      </w:r>
      <w:r w:rsidR="00534585" w:rsidRPr="006E75EE">
        <w:rPr>
          <w:color w:val="auto"/>
        </w:rPr>
        <w:t>]</w:t>
      </w:r>
      <w:r w:rsidR="00A829AB" w:rsidRPr="006E75EE">
        <w:rPr>
          <w:color w:val="auto"/>
        </w:rPr>
        <w:t xml:space="preserve"> </w:t>
      </w:r>
      <w:r w:rsidRPr="006E75EE">
        <w:rPr>
          <w:color w:val="auto"/>
        </w:rPr>
        <w:t xml:space="preserve">arranged for disposal or treatment, or arranged with a transporter for transport for disposal or treatment, of hazardous substances at the facility, within the meaning </w:t>
      </w:r>
      <w:r w:rsidR="00723F51" w:rsidRPr="006E75EE">
        <w:rPr>
          <w:color w:val="auto"/>
        </w:rPr>
        <w:t xml:space="preserve">of </w:t>
      </w:r>
      <w:r w:rsidR="00E54518" w:rsidRPr="006E75EE">
        <w:rPr>
          <w:color w:val="auto"/>
          <w:lang w:val="en-US"/>
        </w:rPr>
        <w:t>section</w:t>
      </w:r>
      <w:r w:rsidR="004E73F1" w:rsidRPr="006E75EE">
        <w:rPr>
          <w:color w:val="auto"/>
        </w:rPr>
        <w:t> </w:t>
      </w:r>
      <w:r w:rsidR="00723F51" w:rsidRPr="006E75EE">
        <w:rPr>
          <w:color w:val="auto"/>
        </w:rPr>
        <w:t>107(a)(3) of CERCLA.</w:t>
      </w:r>
    </w:p>
    <w:p w14:paraId="60243037" w14:textId="23F377ED" w:rsidR="008170B1" w:rsidRPr="006E75EE" w:rsidRDefault="008170B1" w:rsidP="005510E1">
      <w:pPr>
        <w:pStyle w:val="LVL3"/>
        <w:rPr>
          <w:color w:val="auto"/>
        </w:rPr>
      </w:pPr>
      <w:r w:rsidRPr="006E75EE">
        <w:rPr>
          <w:color w:val="auto"/>
        </w:rPr>
        <w:lastRenderedPageBreak/>
        <w:t>Respondents [</w:t>
      </w:r>
      <w:r w:rsidRPr="006E75EE">
        <w:rPr>
          <w:b/>
          <w:bCs/>
          <w:color w:val="auto"/>
        </w:rPr>
        <w:t>insert names</w:t>
      </w:r>
      <w:r w:rsidRPr="006E75EE">
        <w:rPr>
          <w:color w:val="auto"/>
        </w:rPr>
        <w:t xml:space="preserve">] </w:t>
      </w:r>
      <w:r w:rsidR="00534585" w:rsidRPr="006E75EE">
        <w:rPr>
          <w:color w:val="auto"/>
        </w:rPr>
        <w:t>[</w:t>
      </w:r>
      <w:r w:rsidR="00A829AB" w:rsidRPr="006E75EE">
        <w:rPr>
          <w:color w:val="auto"/>
        </w:rPr>
        <w:t xml:space="preserve">and </w:t>
      </w:r>
      <w:r w:rsidR="00BA2A83" w:rsidRPr="006E75EE">
        <w:rPr>
          <w:color w:val="auto"/>
        </w:rPr>
        <w:t>Settling Federal Agencies</w:t>
      </w:r>
      <w:r w:rsidR="00A829AB" w:rsidRPr="006E75EE">
        <w:rPr>
          <w:color w:val="auto"/>
        </w:rPr>
        <w:t xml:space="preserve"> [</w:t>
      </w:r>
      <w:r w:rsidR="00A829AB" w:rsidRPr="006E75EE">
        <w:rPr>
          <w:b/>
          <w:color w:val="auto"/>
        </w:rPr>
        <w:t>insert names</w:t>
      </w:r>
      <w:r w:rsidR="00A829AB" w:rsidRPr="006E75EE">
        <w:rPr>
          <w:color w:val="auto"/>
        </w:rPr>
        <w:t>]</w:t>
      </w:r>
      <w:r w:rsidR="00534585" w:rsidRPr="006E75EE">
        <w:rPr>
          <w:color w:val="auto"/>
        </w:rPr>
        <w:t>]</w:t>
      </w:r>
      <w:r w:rsidR="00A829AB" w:rsidRPr="006E75EE">
        <w:rPr>
          <w:color w:val="auto"/>
        </w:rPr>
        <w:t xml:space="preserve"> </w:t>
      </w:r>
      <w:r w:rsidRPr="006E75EE">
        <w:rPr>
          <w:color w:val="auto"/>
        </w:rPr>
        <w:t xml:space="preserve">accept or accepted hazardous substances for transport to the facility, within the meaning of </w:t>
      </w:r>
      <w:r w:rsidR="00E54518" w:rsidRPr="006E75EE">
        <w:rPr>
          <w:color w:val="auto"/>
          <w:lang w:val="en-US"/>
        </w:rPr>
        <w:t>section </w:t>
      </w:r>
      <w:r w:rsidRPr="006E75EE">
        <w:rPr>
          <w:color w:val="auto"/>
        </w:rPr>
        <w:t>107(a)(4) of CERCLA</w:t>
      </w:r>
      <w:r w:rsidR="00723F51" w:rsidRPr="006E75EE">
        <w:rPr>
          <w:color w:val="auto"/>
        </w:rPr>
        <w:t>.</w:t>
      </w:r>
    </w:p>
    <w:p w14:paraId="675A930F" w14:textId="65E4FEED" w:rsidR="008170B1" w:rsidRPr="006E75EE" w:rsidRDefault="008170B1" w:rsidP="00242B2C">
      <w:pPr>
        <w:pStyle w:val="LVL2"/>
        <w:rPr>
          <w:color w:val="auto"/>
        </w:rPr>
      </w:pPr>
      <w:r w:rsidRPr="006E75EE">
        <w:rPr>
          <w:color w:val="auto"/>
        </w:rPr>
        <w:t>The conditions described in [</w:t>
      </w:r>
      <w:r w:rsidR="00AD70A1" w:rsidRPr="006E75EE">
        <w:rPr>
          <w:color w:val="auto"/>
        </w:rPr>
        <w:t>¶¶</w:t>
      </w:r>
      <w:r w:rsidR="00E54518" w:rsidRPr="006E75EE">
        <w:rPr>
          <w:color w:val="auto"/>
          <w:lang w:val="en-US"/>
        </w:rPr>
        <w:t> </w:t>
      </w:r>
      <w:r w:rsidRPr="006E75EE">
        <w:rPr>
          <w:color w:val="auto"/>
        </w:rPr>
        <w:t xml:space="preserve">__ of] the Findings of Fact constitute an actual </w:t>
      </w:r>
      <w:r w:rsidR="00845189" w:rsidRPr="006E75EE">
        <w:rPr>
          <w:color w:val="auto"/>
          <w:lang w:val="en-US"/>
        </w:rPr>
        <w:t>and/</w:t>
      </w:r>
      <w:r w:rsidRPr="006E75EE">
        <w:rPr>
          <w:color w:val="auto"/>
        </w:rPr>
        <w:t>or threatened release of a hazardous substance from the facility as defin</w:t>
      </w:r>
      <w:r w:rsidR="00723F51" w:rsidRPr="006E75EE">
        <w:rPr>
          <w:color w:val="auto"/>
        </w:rPr>
        <w:t xml:space="preserve">ed by </w:t>
      </w:r>
      <w:r w:rsidR="00E54518" w:rsidRPr="006E75EE">
        <w:rPr>
          <w:color w:val="auto"/>
          <w:lang w:val="en-US"/>
        </w:rPr>
        <w:t>section </w:t>
      </w:r>
      <w:r w:rsidR="00723F51" w:rsidRPr="006E75EE">
        <w:rPr>
          <w:color w:val="auto"/>
        </w:rPr>
        <w:t>101(22) of CERCLA</w:t>
      </w:r>
      <w:r w:rsidRPr="006E75EE">
        <w:rPr>
          <w:color w:val="auto"/>
        </w:rPr>
        <w:t>.</w:t>
      </w:r>
    </w:p>
    <w:p w14:paraId="206F9787" w14:textId="0FBB4E8A" w:rsidR="00845189" w:rsidRPr="006E75EE" w:rsidRDefault="00845189" w:rsidP="00845189">
      <w:pPr>
        <w:pStyle w:val="LVL2"/>
        <w:rPr>
          <w:color w:val="auto"/>
        </w:rPr>
      </w:pPr>
      <w:r w:rsidRPr="006E75EE">
        <w:rPr>
          <w:color w:val="auto"/>
        </w:rPr>
        <w:t>The actions required by this Settlement are necessary to protect the public health</w:t>
      </w:r>
      <w:r w:rsidR="00CC1469" w:rsidRPr="006E75EE">
        <w:rPr>
          <w:color w:val="auto"/>
          <w:lang w:val="en-US"/>
        </w:rPr>
        <w:t xml:space="preserve"> or</w:t>
      </w:r>
      <w:r w:rsidRPr="006E75EE">
        <w:rPr>
          <w:color w:val="auto"/>
        </w:rPr>
        <w:t xml:space="preserve"> welfare or the environment, are in the public interest</w:t>
      </w:r>
      <w:r w:rsidR="00366A1C" w:rsidRPr="006E75EE">
        <w:rPr>
          <w:color w:val="auto"/>
          <w:lang w:val="en-US"/>
        </w:rPr>
        <w:t>, are consistent with CERCLA and the NCP, and will expedite effective remedial action and minimize litigation, in accordance with sections</w:t>
      </w:r>
      <w:r w:rsidR="009A7708" w:rsidRPr="006E75EE">
        <w:rPr>
          <w:color w:val="auto"/>
          <w:lang w:val="en-US"/>
        </w:rPr>
        <w:t> </w:t>
      </w:r>
      <w:r w:rsidR="00366A1C" w:rsidRPr="006E75EE">
        <w:rPr>
          <w:color w:val="auto"/>
          <w:lang w:val="en-US"/>
        </w:rPr>
        <w:t xml:space="preserve">104(a)(1) and 122(a) of CERCLA. </w:t>
      </w:r>
    </w:p>
    <w:p w14:paraId="7414EA7C" w14:textId="392C2E85" w:rsidR="00845189" w:rsidRPr="006E75EE" w:rsidRDefault="00845189" w:rsidP="00845189">
      <w:pPr>
        <w:pStyle w:val="LVL2"/>
        <w:rPr>
          <w:color w:val="auto"/>
        </w:rPr>
      </w:pPr>
      <w:r w:rsidRPr="006E75EE">
        <w:rPr>
          <w:color w:val="auto"/>
        </w:rPr>
        <w:t xml:space="preserve">EPA has determined that Respondents are qualified to conduct the RI/FS within the meaning of </w:t>
      </w:r>
      <w:r w:rsidR="00336626" w:rsidRPr="006E75EE">
        <w:rPr>
          <w:color w:val="auto"/>
          <w:lang w:val="en-US"/>
        </w:rPr>
        <w:t>section</w:t>
      </w:r>
      <w:r w:rsidR="009A7708" w:rsidRPr="006E75EE">
        <w:rPr>
          <w:color w:val="auto"/>
          <w:lang w:val="en-US"/>
        </w:rPr>
        <w:t> </w:t>
      </w:r>
      <w:r w:rsidRPr="006E75EE">
        <w:rPr>
          <w:color w:val="auto"/>
        </w:rPr>
        <w:t xml:space="preserve">104(a) of CERCLA and will carry out the Work properly and promptly, in accordance with </w:t>
      </w:r>
      <w:r w:rsidR="00336626" w:rsidRPr="006E75EE">
        <w:rPr>
          <w:color w:val="auto"/>
          <w:lang w:val="en-US"/>
        </w:rPr>
        <w:t>sections</w:t>
      </w:r>
      <w:r w:rsidR="009A7708" w:rsidRPr="006E75EE">
        <w:rPr>
          <w:color w:val="auto"/>
          <w:lang w:val="en-US"/>
        </w:rPr>
        <w:t> </w:t>
      </w:r>
      <w:r w:rsidRPr="006E75EE">
        <w:rPr>
          <w:color w:val="auto"/>
        </w:rPr>
        <w:t>104(a) and 122(a) of CERCLA if Respondents comply with the terms of this Settlement.</w:t>
      </w:r>
    </w:p>
    <w:p w14:paraId="61386687" w14:textId="2C7C1F48" w:rsidR="00AF1490" w:rsidRPr="006E75EE" w:rsidRDefault="00AF1490" w:rsidP="00AF1490">
      <w:pPr>
        <w:pStyle w:val="Heading1"/>
      </w:pPr>
      <w:bookmarkStart w:id="22" w:name="_Toc80599609"/>
      <w:bookmarkStart w:id="23" w:name="_Toc184899537"/>
      <w:r w:rsidRPr="006E75EE">
        <w:rPr>
          <w:lang w:val="en-US"/>
        </w:rPr>
        <w:t>ORDER AND AGREEMENT</w:t>
      </w:r>
      <w:bookmarkEnd w:id="22"/>
      <w:bookmarkEnd w:id="23"/>
    </w:p>
    <w:p w14:paraId="09702EE5" w14:textId="63A84F63" w:rsidR="00C86B18" w:rsidRPr="006E75EE" w:rsidRDefault="008170B1" w:rsidP="00C24472">
      <w:pPr>
        <w:pStyle w:val="LVL1"/>
      </w:pPr>
      <w:r w:rsidRPr="006E75EE">
        <w:t xml:space="preserve">Based upon the Findings of Fact, Conclusions of Law, </w:t>
      </w:r>
      <w:r w:rsidR="00FB025F" w:rsidRPr="006E75EE">
        <w:rPr>
          <w:lang w:val="en-US"/>
        </w:rPr>
        <w:t xml:space="preserve">and </w:t>
      </w:r>
      <w:r w:rsidRPr="006E75EE">
        <w:t>Determinations</w:t>
      </w:r>
      <w:r w:rsidR="00FB025F" w:rsidRPr="006E75EE">
        <w:rPr>
          <w:lang w:val="en-US"/>
        </w:rPr>
        <w:t xml:space="preserve"> set forth above</w:t>
      </w:r>
      <w:r w:rsidRPr="006E75EE">
        <w:t xml:space="preserve">, </w:t>
      </w:r>
      <w:r w:rsidR="00137DB3" w:rsidRPr="006E75EE">
        <w:rPr>
          <w:lang w:val="en-US"/>
        </w:rPr>
        <w:t>[</w:t>
      </w:r>
      <w:r w:rsidRPr="006E75EE">
        <w:t xml:space="preserve">and the </w:t>
      </w:r>
      <w:r w:rsidR="00780F60" w:rsidRPr="006E75EE">
        <w:t>administrative</w:t>
      </w:r>
      <w:r w:rsidRPr="006E75EE">
        <w:t xml:space="preserve"> </w:t>
      </w:r>
      <w:r w:rsidR="00780F60" w:rsidRPr="006E75EE">
        <w:t>record</w:t>
      </w:r>
      <w:r w:rsidRPr="006E75EE">
        <w:t>,</w:t>
      </w:r>
      <w:r w:rsidR="00137DB3" w:rsidRPr="006E75EE">
        <w:rPr>
          <w:lang w:val="en-US"/>
        </w:rPr>
        <w:t>]</w:t>
      </w:r>
      <w:r w:rsidRPr="006E75EE">
        <w:t xml:space="preserve"> it is hereby Ordered and Agreed</w:t>
      </w:r>
      <w:r w:rsidR="00557B76" w:rsidRPr="006E75EE">
        <w:rPr>
          <w:lang w:val="en-US"/>
        </w:rPr>
        <w:t xml:space="preserve"> that Respondents shall comply with all provisions of this Settlement</w:t>
      </w:r>
      <w:r w:rsidR="00AF1490" w:rsidRPr="006E75EE">
        <w:rPr>
          <w:lang w:val="en-US"/>
        </w:rPr>
        <w:t>:</w:t>
      </w:r>
      <w:r w:rsidRPr="006E75EE">
        <w:t xml:space="preserve"> </w:t>
      </w:r>
      <w:bookmarkStart w:id="24" w:name="_Ref462904813"/>
    </w:p>
    <w:p w14:paraId="6A777CE3" w14:textId="473DC0D7" w:rsidR="00317B12" w:rsidRPr="006E75EE" w:rsidRDefault="008170B1" w:rsidP="002B7658">
      <w:pPr>
        <w:pStyle w:val="Heading1"/>
      </w:pPr>
      <w:bookmarkStart w:id="25" w:name="_Toc351018513"/>
      <w:bookmarkStart w:id="26" w:name="_Toc351018515"/>
      <w:bookmarkStart w:id="27" w:name="_Toc351018517"/>
      <w:bookmarkStart w:id="28" w:name="_Toc351018518"/>
      <w:bookmarkStart w:id="29" w:name="_Toc351018519"/>
      <w:bookmarkStart w:id="30" w:name="_Toc351018520"/>
      <w:bookmarkStart w:id="31" w:name="_Toc351018522"/>
      <w:bookmarkStart w:id="32" w:name="_Toc351018524"/>
      <w:bookmarkStart w:id="33" w:name="_Toc351018526"/>
      <w:bookmarkStart w:id="34" w:name="_Toc351018527"/>
      <w:bookmarkStart w:id="35" w:name="_Toc351018528"/>
      <w:bookmarkStart w:id="36" w:name="_Toc351018529"/>
      <w:bookmarkStart w:id="37" w:name="_Ref326225753"/>
      <w:bookmarkStart w:id="38" w:name="_Ref351036471"/>
      <w:bookmarkStart w:id="39" w:name="_Ref79389083"/>
      <w:bookmarkStart w:id="40" w:name="_Ref364855966"/>
      <w:bookmarkStart w:id="41" w:name="_Toc80599610"/>
      <w:bookmarkStart w:id="42" w:name="_Toc184899538"/>
      <w:bookmarkEnd w:id="24"/>
      <w:bookmarkEnd w:id="25"/>
      <w:bookmarkEnd w:id="26"/>
      <w:bookmarkEnd w:id="27"/>
      <w:bookmarkEnd w:id="28"/>
      <w:bookmarkEnd w:id="29"/>
      <w:bookmarkEnd w:id="30"/>
      <w:bookmarkEnd w:id="31"/>
      <w:bookmarkEnd w:id="32"/>
      <w:bookmarkEnd w:id="33"/>
      <w:bookmarkEnd w:id="34"/>
      <w:bookmarkEnd w:id="35"/>
      <w:bookmarkEnd w:id="36"/>
      <w:r w:rsidRPr="006E75EE">
        <w:t>PERFORM</w:t>
      </w:r>
      <w:r w:rsidR="002146D9" w:rsidRPr="006E75EE">
        <w:rPr>
          <w:lang w:val="en-US"/>
        </w:rPr>
        <w:t xml:space="preserve">ANCE OF </w:t>
      </w:r>
      <w:r w:rsidR="003E235F" w:rsidRPr="006E75EE">
        <w:rPr>
          <w:lang w:val="en-US"/>
        </w:rPr>
        <w:t xml:space="preserve">THE </w:t>
      </w:r>
      <w:r w:rsidR="002146D9" w:rsidRPr="006E75EE">
        <w:rPr>
          <w:lang w:val="en-US"/>
        </w:rPr>
        <w:t>WORK</w:t>
      </w:r>
      <w:bookmarkEnd w:id="37"/>
      <w:bookmarkEnd w:id="38"/>
      <w:bookmarkEnd w:id="39"/>
      <w:bookmarkEnd w:id="40"/>
      <w:bookmarkEnd w:id="41"/>
      <w:bookmarkEnd w:id="42"/>
    </w:p>
    <w:p w14:paraId="3BECFC09" w14:textId="647A02C5" w:rsidR="00293E59" w:rsidRPr="006E75EE" w:rsidRDefault="00293E59" w:rsidP="00293E59">
      <w:pPr>
        <w:pStyle w:val="LVL1"/>
      </w:pPr>
      <w:r w:rsidRPr="006E75EE">
        <w:rPr>
          <w:b/>
        </w:rPr>
        <w:t>Performance of Work in Accordance with SOW</w:t>
      </w:r>
      <w:r w:rsidRPr="006E75EE">
        <w:t>. Respondents shall develop</w:t>
      </w:r>
      <w:r w:rsidR="00C35BCE" w:rsidRPr="006E75EE">
        <w:rPr>
          <w:lang w:val="en-US"/>
        </w:rPr>
        <w:t xml:space="preserve"> and perform</w:t>
      </w:r>
      <w:r w:rsidRPr="006E75EE">
        <w:t xml:space="preserve"> the RI/FS in accordance with the SOW and all EPA-approved, conditionally approved, or modified deliverables as required by the SOW. All deliverables required to be submitted for approval under the Settlement or SOW shall be subject to approval by EPA in accordance with </w:t>
      </w:r>
      <w:r w:rsidR="002D48CE" w:rsidRPr="006E75EE">
        <w:rPr>
          <w:lang w:val="en-US"/>
        </w:rPr>
        <w:t>Section</w:t>
      </w:r>
      <w:r w:rsidR="009A7708" w:rsidRPr="006E75EE">
        <w:rPr>
          <w:lang w:val="en-US"/>
        </w:rPr>
        <w:t> </w:t>
      </w:r>
      <w:r w:rsidR="003633B5" w:rsidRPr="006E75EE">
        <w:rPr>
          <w:lang w:val="en-US"/>
        </w:rPr>
        <w:t>7</w:t>
      </w:r>
      <w:r w:rsidR="002D48CE" w:rsidRPr="006E75EE">
        <w:rPr>
          <w:lang w:val="en-US"/>
        </w:rPr>
        <w:t>.5</w:t>
      </w:r>
      <w:r w:rsidRPr="006E75EE">
        <w:t xml:space="preserve"> (Approval of Deliverables) of the SOW</w:t>
      </w:r>
      <w:bookmarkStart w:id="43" w:name="_Ref340231444"/>
      <w:r w:rsidRPr="006E75EE">
        <w:t>.</w:t>
      </w:r>
      <w:bookmarkEnd w:id="43"/>
      <w:r w:rsidRPr="006E75EE">
        <w:t xml:space="preserve"> </w:t>
      </w:r>
    </w:p>
    <w:p w14:paraId="09DD26DA" w14:textId="5C619971" w:rsidR="00247041" w:rsidRPr="006E75EE" w:rsidRDefault="00247041" w:rsidP="00247041">
      <w:pPr>
        <w:pStyle w:val="LVL1"/>
      </w:pPr>
      <w:r w:rsidRPr="006E75EE">
        <w:t>Respondents’</w:t>
      </w:r>
      <w:r w:rsidRPr="006E75EE">
        <w:rPr>
          <w:lang w:val="en-US"/>
        </w:rPr>
        <w:t xml:space="preserve"> </w:t>
      </w:r>
      <w:r w:rsidRPr="006E75EE">
        <w:t xml:space="preserve">obligations to finance and perform the Work and to pay amounts due under this Settlement are joint and several. In the event of the insolvency of any </w:t>
      </w:r>
      <w:r w:rsidRPr="006E75EE">
        <w:rPr>
          <w:lang w:val="en-US"/>
        </w:rPr>
        <w:t xml:space="preserve">Respondent </w:t>
      </w:r>
      <w:r w:rsidRPr="006E75EE">
        <w:t xml:space="preserve">or the failure by any </w:t>
      </w:r>
      <w:r w:rsidRPr="006E75EE">
        <w:rPr>
          <w:lang w:val="en-US"/>
        </w:rPr>
        <w:t xml:space="preserve">Respondent </w:t>
      </w:r>
      <w:r w:rsidRPr="006E75EE">
        <w:t>to participate in the implementation of the Settlement, the remaining Respondents shall complete the Work and make the payments.</w:t>
      </w:r>
    </w:p>
    <w:p w14:paraId="3DC645D0" w14:textId="58270EA1" w:rsidR="00FF62D3" w:rsidRPr="006E75EE" w:rsidRDefault="003C185E" w:rsidP="00FF62D3">
      <w:pPr>
        <w:pStyle w:val="LVL1"/>
      </w:pPr>
      <w:bookmarkStart w:id="44" w:name="_Hlk103003645"/>
      <w:bookmarkStart w:id="45" w:name="_Ref76896599"/>
      <w:r w:rsidRPr="006E75EE">
        <w:rPr>
          <w:b/>
          <w:lang w:val="en-US"/>
        </w:rPr>
        <w:t xml:space="preserve">Modifications to </w:t>
      </w:r>
      <w:r w:rsidR="00CC2099" w:rsidRPr="006E75EE">
        <w:rPr>
          <w:b/>
          <w:lang w:val="en-US"/>
        </w:rPr>
        <w:t>the Work</w:t>
      </w:r>
      <w:bookmarkEnd w:id="44"/>
      <w:r w:rsidRPr="006E75EE">
        <w:rPr>
          <w:lang w:val="en-US"/>
        </w:rPr>
        <w:t xml:space="preserve">. EPA may modify the </w:t>
      </w:r>
      <w:r w:rsidR="001F3AED" w:rsidRPr="006E75EE">
        <w:rPr>
          <w:lang w:val="en-US"/>
        </w:rPr>
        <w:t xml:space="preserve">Work </w:t>
      </w:r>
      <w:r w:rsidR="0063545F" w:rsidRPr="006E75EE">
        <w:rPr>
          <w:lang w:val="en-US"/>
        </w:rPr>
        <w:t xml:space="preserve">under this Settlement </w:t>
      </w:r>
      <w:r w:rsidR="008E5051" w:rsidRPr="006E75EE">
        <w:rPr>
          <w:lang w:val="en-US"/>
        </w:rPr>
        <w:t xml:space="preserve">if it determines that additional data </w:t>
      </w:r>
      <w:r w:rsidR="00316145" w:rsidRPr="006E75EE">
        <w:rPr>
          <w:lang w:val="en-US"/>
        </w:rPr>
        <w:t>are</w:t>
      </w:r>
      <w:r w:rsidR="008E5051" w:rsidRPr="006E75EE">
        <w:rPr>
          <w:lang w:val="en-US"/>
        </w:rPr>
        <w:t xml:space="preserve"> needed</w:t>
      </w:r>
      <w:r w:rsidR="009A4655" w:rsidRPr="006E75EE">
        <w:rPr>
          <w:lang w:val="en-US"/>
        </w:rPr>
        <w:t xml:space="preserve"> or that, in addition to tasks defined in the initially approved Work Plan, other additional work may be necessary to accomplish the objectives of the RI/FS</w:t>
      </w:r>
      <w:r w:rsidR="008E5051" w:rsidRPr="006E75EE">
        <w:rPr>
          <w:lang w:val="en-US"/>
        </w:rPr>
        <w:t xml:space="preserve">. </w:t>
      </w:r>
      <w:r w:rsidR="0063545F" w:rsidRPr="006E75EE">
        <w:rPr>
          <w:lang w:val="en-US"/>
        </w:rPr>
        <w:t xml:space="preserve">Respondents </w:t>
      </w:r>
      <w:proofErr w:type="gramStart"/>
      <w:r w:rsidR="0063545F" w:rsidRPr="006E75EE">
        <w:rPr>
          <w:lang w:val="en-US"/>
        </w:rPr>
        <w:t>also may</w:t>
      </w:r>
      <w:proofErr w:type="gramEnd"/>
      <w:r w:rsidR="0063545F" w:rsidRPr="006E75EE">
        <w:rPr>
          <w:lang w:val="en-US"/>
        </w:rPr>
        <w:t xml:space="preserve"> request modification of the approved Work Plan or other deliverables. EPA </w:t>
      </w:r>
      <w:r w:rsidR="00EC2A75" w:rsidRPr="006E75EE">
        <w:rPr>
          <w:lang w:val="en-US"/>
        </w:rPr>
        <w:t>may</w:t>
      </w:r>
      <w:r w:rsidR="0063545F" w:rsidRPr="006E75EE">
        <w:rPr>
          <w:lang w:val="en-US"/>
        </w:rPr>
        <w:t xml:space="preserve"> notify Respondents of any modification needed under the foregoing two sentences. </w:t>
      </w:r>
      <w:r w:rsidRPr="006E75EE">
        <w:rPr>
          <w:lang w:val="en-US"/>
        </w:rPr>
        <w:t xml:space="preserve">Respondents shall, </w:t>
      </w:r>
      <w:r w:rsidRPr="006E75EE">
        <w:t xml:space="preserve">within </w:t>
      </w:r>
      <w:r w:rsidRPr="006E75EE">
        <w:rPr>
          <w:lang w:val="en-US"/>
        </w:rPr>
        <w:t>[</w:t>
      </w:r>
      <w:r w:rsidRPr="006E75EE">
        <w:t>30</w:t>
      </w:r>
      <w:r w:rsidRPr="006E75EE">
        <w:rPr>
          <w:lang w:val="en-US"/>
        </w:rPr>
        <w:t>]</w:t>
      </w:r>
      <w:r w:rsidR="004C7C1B" w:rsidRPr="006E75EE">
        <w:rPr>
          <w:lang w:val="en-US"/>
        </w:rPr>
        <w:t> </w:t>
      </w:r>
      <w:r w:rsidRPr="006E75EE">
        <w:t>days</w:t>
      </w:r>
      <w:r w:rsidR="00F04BF8" w:rsidRPr="006E75EE">
        <w:rPr>
          <w:lang w:val="en-US"/>
        </w:rPr>
        <w:t xml:space="preserve"> thereafter</w:t>
      </w:r>
      <w:r w:rsidRPr="006E75EE">
        <w:rPr>
          <w:lang w:val="en-US"/>
        </w:rPr>
        <w:t>,</w:t>
      </w:r>
      <w:r w:rsidRPr="006E75EE">
        <w:t xml:space="preserve"> submit a </w:t>
      </w:r>
      <w:r w:rsidR="0063545F" w:rsidRPr="006E75EE">
        <w:rPr>
          <w:lang w:val="en-US"/>
        </w:rPr>
        <w:t xml:space="preserve">revised </w:t>
      </w:r>
      <w:r w:rsidRPr="006E75EE">
        <w:t xml:space="preserve">work plan </w:t>
      </w:r>
      <w:r w:rsidR="0063545F" w:rsidRPr="006E75EE">
        <w:rPr>
          <w:lang w:val="en-US"/>
        </w:rPr>
        <w:t xml:space="preserve">and other deliverables as </w:t>
      </w:r>
      <w:r w:rsidR="001F3AED" w:rsidRPr="006E75EE">
        <w:rPr>
          <w:lang w:val="en-US"/>
        </w:rPr>
        <w:t xml:space="preserve">necessary </w:t>
      </w:r>
      <w:r w:rsidRPr="006E75EE">
        <w:rPr>
          <w:lang w:val="en-US"/>
        </w:rPr>
        <w:t>to EPA for approval</w:t>
      </w:r>
      <w:r w:rsidRPr="006E75EE">
        <w:t xml:space="preserve">. Respondents </w:t>
      </w:r>
      <w:r w:rsidRPr="006E75EE">
        <w:lastRenderedPageBreak/>
        <w:t xml:space="preserve">shall implement the </w:t>
      </w:r>
      <w:r w:rsidR="0063545F" w:rsidRPr="006E75EE">
        <w:rPr>
          <w:lang w:val="en-US"/>
        </w:rPr>
        <w:t xml:space="preserve">revised </w:t>
      </w:r>
      <w:r w:rsidR="001F3AED" w:rsidRPr="006E75EE">
        <w:rPr>
          <w:lang w:val="en-US"/>
        </w:rPr>
        <w:t xml:space="preserve">work </w:t>
      </w:r>
      <w:r w:rsidRPr="006E75EE">
        <w:t xml:space="preserve">plan </w:t>
      </w:r>
      <w:r w:rsidR="0063545F" w:rsidRPr="006E75EE">
        <w:rPr>
          <w:lang w:val="en-US"/>
        </w:rPr>
        <w:t xml:space="preserve">and any other deliverables </w:t>
      </w:r>
      <w:r w:rsidR="009F08CD" w:rsidRPr="006E75EE">
        <w:rPr>
          <w:lang w:val="en-US"/>
        </w:rPr>
        <w:t>upon</w:t>
      </w:r>
      <w:r w:rsidRPr="006E75EE">
        <w:t xml:space="preserve"> EPA’s approval </w:t>
      </w:r>
      <w:r w:rsidRPr="006E75EE">
        <w:rPr>
          <w:lang w:val="en-US"/>
        </w:rPr>
        <w:t xml:space="preserve">in accordance with the procedures of </w:t>
      </w:r>
      <w:r w:rsidR="006566BA" w:rsidRPr="006E75EE">
        <w:rPr>
          <w:lang w:val="en-US"/>
        </w:rPr>
        <w:t>Section</w:t>
      </w:r>
      <w:r w:rsidR="009A7708" w:rsidRPr="006E75EE">
        <w:rPr>
          <w:lang w:val="en-US"/>
        </w:rPr>
        <w:t> </w:t>
      </w:r>
      <w:r w:rsidR="003633B5" w:rsidRPr="006E75EE">
        <w:rPr>
          <w:lang w:val="en-US"/>
        </w:rPr>
        <w:t>7</w:t>
      </w:r>
      <w:r w:rsidR="006566BA" w:rsidRPr="006E75EE">
        <w:rPr>
          <w:lang w:val="en-US"/>
        </w:rPr>
        <w:t xml:space="preserve">.5 </w:t>
      </w:r>
      <w:r w:rsidR="00137DB3" w:rsidRPr="006E75EE">
        <w:rPr>
          <w:lang w:val="en-US"/>
        </w:rPr>
        <w:t xml:space="preserve">(Approval of Deliverables) </w:t>
      </w:r>
      <w:r w:rsidR="00CC2099" w:rsidRPr="006E75EE">
        <w:rPr>
          <w:lang w:val="en-US"/>
        </w:rPr>
        <w:t>of the SOW</w:t>
      </w:r>
      <w:r w:rsidR="0063545F" w:rsidRPr="006E75EE">
        <w:rPr>
          <w:lang w:val="en-US"/>
        </w:rPr>
        <w:t>.</w:t>
      </w:r>
      <w:bookmarkStart w:id="46" w:name="_Ref408837399"/>
      <w:bookmarkEnd w:id="45"/>
    </w:p>
    <w:p w14:paraId="3BC842D6" w14:textId="69FD6CFF" w:rsidR="00FF62D3" w:rsidRPr="006E75EE" w:rsidRDefault="00CD192B" w:rsidP="009F08CD">
      <w:pPr>
        <w:pStyle w:val="LVL1"/>
      </w:pPr>
      <w:r w:rsidRPr="006E75EE">
        <w:rPr>
          <w:b/>
        </w:rPr>
        <w:t>Compliance with Applicable Law</w:t>
      </w:r>
      <w:r w:rsidRPr="006E75EE">
        <w:t>. Nothing in this Settlement affects Respondents’</w:t>
      </w:r>
      <w:r w:rsidRPr="006E75EE">
        <w:rPr>
          <w:lang w:val="en-US"/>
        </w:rPr>
        <w:t xml:space="preserve"> </w:t>
      </w:r>
      <w:r w:rsidRPr="006E75EE">
        <w:t>obligations to comply with all applicable federal and state laws and regulations. The activities conducted in accordance with this Settlement, if approved by EPA, will be deemed to be consistent with the NCP as provided under section</w:t>
      </w:r>
      <w:r w:rsidR="009A7708" w:rsidRPr="006E75EE">
        <w:rPr>
          <w:lang w:val="en-US"/>
        </w:rPr>
        <w:t> </w:t>
      </w:r>
      <w:r w:rsidRPr="006E75EE">
        <w:t xml:space="preserve">300.700(c)(3)(ii). </w:t>
      </w:r>
    </w:p>
    <w:p w14:paraId="4CC3CAFC" w14:textId="339BF9B6" w:rsidR="00E73242" w:rsidRPr="006E75EE" w:rsidRDefault="00E73242" w:rsidP="00E73242">
      <w:pPr>
        <w:pStyle w:val="LVL1"/>
        <w:rPr>
          <w:b/>
          <w:bCs/>
        </w:rPr>
      </w:pPr>
      <w:bookmarkStart w:id="47" w:name="_Ref76826270"/>
      <w:r w:rsidRPr="006E75EE">
        <w:rPr>
          <w:b/>
          <w:bCs/>
        </w:rPr>
        <w:t>Work Takeover</w:t>
      </w:r>
      <w:bookmarkEnd w:id="46"/>
      <w:bookmarkEnd w:id="47"/>
    </w:p>
    <w:p w14:paraId="0E4F133F" w14:textId="75B4B79C" w:rsidR="00E73242" w:rsidRPr="006E75EE" w:rsidRDefault="00E73242" w:rsidP="00E73242">
      <w:pPr>
        <w:pStyle w:val="LVL2"/>
        <w:rPr>
          <w:color w:val="auto"/>
        </w:rPr>
      </w:pPr>
      <w:bookmarkStart w:id="48" w:name="_Ref408843613"/>
      <w:r w:rsidRPr="006E75EE">
        <w:rPr>
          <w:color w:val="auto"/>
          <w:lang w:val="en-US"/>
        </w:rPr>
        <w:t>If</w:t>
      </w:r>
      <w:r w:rsidRPr="006E75EE">
        <w:rPr>
          <w:color w:val="auto"/>
        </w:rPr>
        <w:t xml:space="preserve"> EPA determines that Respondents</w:t>
      </w:r>
      <w:r w:rsidRPr="006E75EE">
        <w:rPr>
          <w:color w:val="auto"/>
          <w:lang w:val="en-US"/>
        </w:rPr>
        <w:t>:</w:t>
      </w:r>
      <w:r w:rsidRPr="006E75EE">
        <w:rPr>
          <w:color w:val="auto"/>
        </w:rPr>
        <w:t xml:space="preserve"> </w:t>
      </w:r>
      <w:r w:rsidRPr="006E75EE">
        <w:rPr>
          <w:color w:val="auto"/>
          <w:lang w:val="en-US"/>
        </w:rPr>
        <w:t>(1)</w:t>
      </w:r>
      <w:r w:rsidR="006D17BD" w:rsidRPr="006E75EE">
        <w:rPr>
          <w:color w:val="auto"/>
          <w:lang w:val="en-US"/>
        </w:rPr>
        <w:t> </w:t>
      </w:r>
      <w:r w:rsidRPr="006E75EE">
        <w:rPr>
          <w:color w:val="auto"/>
        </w:rPr>
        <w:t xml:space="preserve">have ceased </w:t>
      </w:r>
      <w:r w:rsidR="005B5DDC" w:rsidRPr="006E75EE">
        <w:rPr>
          <w:color w:val="auto"/>
          <w:lang w:val="en-US"/>
        </w:rPr>
        <w:t xml:space="preserve">to perform </w:t>
      </w:r>
      <w:r w:rsidRPr="006E75EE">
        <w:rPr>
          <w:color w:val="auto"/>
        </w:rPr>
        <w:t>any portion of the Work</w:t>
      </w:r>
      <w:r w:rsidRPr="006E75EE">
        <w:rPr>
          <w:color w:val="auto"/>
          <w:lang w:val="en-US"/>
        </w:rPr>
        <w:t>;</w:t>
      </w:r>
      <w:r w:rsidRPr="006E75EE">
        <w:rPr>
          <w:color w:val="auto"/>
        </w:rPr>
        <w:t xml:space="preserve"> </w:t>
      </w:r>
      <w:r w:rsidRPr="006E75EE">
        <w:rPr>
          <w:color w:val="auto"/>
          <w:lang w:val="en-US"/>
        </w:rPr>
        <w:t>(2)</w:t>
      </w:r>
      <w:r w:rsidR="006D17BD" w:rsidRPr="006E75EE">
        <w:rPr>
          <w:color w:val="auto"/>
          <w:lang w:val="en-US"/>
        </w:rPr>
        <w:t> </w:t>
      </w:r>
      <w:r w:rsidRPr="006E75EE">
        <w:rPr>
          <w:color w:val="auto"/>
        </w:rPr>
        <w:t xml:space="preserve">are seriously or repeatedly deficient or late in </w:t>
      </w:r>
      <w:r w:rsidR="005B5DDC" w:rsidRPr="006E75EE">
        <w:rPr>
          <w:color w:val="auto"/>
          <w:lang w:val="en-US"/>
        </w:rPr>
        <w:t xml:space="preserve">performing </w:t>
      </w:r>
      <w:r w:rsidRPr="006E75EE">
        <w:rPr>
          <w:color w:val="auto"/>
          <w:lang w:val="en-US"/>
        </w:rPr>
        <w:t>the</w:t>
      </w:r>
      <w:r w:rsidRPr="006E75EE">
        <w:rPr>
          <w:color w:val="auto"/>
        </w:rPr>
        <w:t xml:space="preserve"> Work</w:t>
      </w:r>
      <w:r w:rsidRPr="006E75EE">
        <w:rPr>
          <w:color w:val="auto"/>
          <w:lang w:val="en-US"/>
        </w:rPr>
        <w:t>; or (3)</w:t>
      </w:r>
      <w:r w:rsidR="00FC48AE" w:rsidRPr="006E75EE">
        <w:rPr>
          <w:color w:val="auto"/>
          <w:lang w:val="en-US"/>
        </w:rPr>
        <w:t> </w:t>
      </w:r>
      <w:r w:rsidRPr="006E75EE">
        <w:rPr>
          <w:color w:val="auto"/>
        </w:rPr>
        <w:t xml:space="preserve">are </w:t>
      </w:r>
      <w:r w:rsidR="005B5DDC" w:rsidRPr="006E75EE">
        <w:rPr>
          <w:color w:val="auto"/>
          <w:lang w:val="en-US"/>
        </w:rPr>
        <w:t xml:space="preserve">performing </w:t>
      </w:r>
      <w:r w:rsidRPr="006E75EE">
        <w:rPr>
          <w:color w:val="auto"/>
        </w:rPr>
        <w:t xml:space="preserve">the Work in a manner that may cause an endangerment to </w:t>
      </w:r>
      <w:r w:rsidR="00CC1469" w:rsidRPr="006E75EE">
        <w:rPr>
          <w:color w:val="auto"/>
          <w:lang w:val="en-US"/>
        </w:rPr>
        <w:t>public</w:t>
      </w:r>
      <w:r w:rsidR="00CC1469" w:rsidRPr="006E75EE">
        <w:rPr>
          <w:color w:val="auto"/>
        </w:rPr>
        <w:t xml:space="preserve"> </w:t>
      </w:r>
      <w:r w:rsidRPr="006E75EE">
        <w:rPr>
          <w:color w:val="auto"/>
        </w:rPr>
        <w:t xml:space="preserve">health or </w:t>
      </w:r>
      <w:r w:rsidR="00CC1469" w:rsidRPr="006E75EE">
        <w:rPr>
          <w:color w:val="auto"/>
          <w:lang w:val="en-US"/>
        </w:rPr>
        <w:t xml:space="preserve">welfare or </w:t>
      </w:r>
      <w:r w:rsidRPr="006E75EE">
        <w:rPr>
          <w:color w:val="auto"/>
        </w:rPr>
        <w:t xml:space="preserve">the environment, EPA may issue a notice </w:t>
      </w:r>
      <w:r w:rsidRPr="006E75EE">
        <w:rPr>
          <w:color w:val="auto"/>
          <w:lang w:val="en-US"/>
        </w:rPr>
        <w:t xml:space="preserve">of </w:t>
      </w:r>
      <w:r w:rsidRPr="006E75EE">
        <w:rPr>
          <w:color w:val="auto"/>
        </w:rPr>
        <w:t>Work Takeover to Respondents</w:t>
      </w:r>
      <w:r w:rsidRPr="006E75EE">
        <w:rPr>
          <w:color w:val="auto"/>
          <w:lang w:val="en-US"/>
        </w:rPr>
        <w:t xml:space="preserve">, including a description of </w:t>
      </w:r>
      <w:r w:rsidRPr="006E75EE">
        <w:rPr>
          <w:color w:val="auto"/>
        </w:rPr>
        <w:t xml:space="preserve">the grounds </w:t>
      </w:r>
      <w:r w:rsidRPr="006E75EE">
        <w:rPr>
          <w:color w:val="auto"/>
          <w:lang w:val="en-US"/>
        </w:rPr>
        <w:t>for the</w:t>
      </w:r>
      <w:r w:rsidRPr="006E75EE">
        <w:rPr>
          <w:color w:val="auto"/>
        </w:rPr>
        <w:t xml:space="preserve"> notice </w:t>
      </w:r>
      <w:r w:rsidRPr="006E75EE">
        <w:rPr>
          <w:color w:val="auto"/>
          <w:lang w:val="en-US"/>
        </w:rPr>
        <w:t xml:space="preserve">and a period of time (“Remedy Period”) within which Respondents </w:t>
      </w:r>
      <w:r w:rsidR="008237C8" w:rsidRPr="006E75EE">
        <w:rPr>
          <w:color w:val="auto"/>
          <w:lang w:val="en-US"/>
        </w:rPr>
        <w:t>shall</w:t>
      </w:r>
      <w:r w:rsidRPr="006E75EE">
        <w:rPr>
          <w:color w:val="auto"/>
          <w:lang w:val="en-US"/>
        </w:rPr>
        <w:t xml:space="preserve"> remedy the circumstances giving rise to the notice</w:t>
      </w:r>
      <w:r w:rsidRPr="006E75EE">
        <w:rPr>
          <w:color w:val="auto"/>
        </w:rPr>
        <w:t>.</w:t>
      </w:r>
      <w:bookmarkEnd w:id="48"/>
      <w:r w:rsidRPr="006E75EE">
        <w:rPr>
          <w:color w:val="auto"/>
        </w:rPr>
        <w:t xml:space="preserve"> The Remedy Period will be [20]</w:t>
      </w:r>
      <w:r w:rsidR="009A7708" w:rsidRPr="006E75EE">
        <w:rPr>
          <w:color w:val="auto"/>
          <w:lang w:val="en-US"/>
        </w:rPr>
        <w:t> </w:t>
      </w:r>
      <w:r w:rsidRPr="006E75EE">
        <w:rPr>
          <w:color w:val="auto"/>
        </w:rPr>
        <w:t xml:space="preserve">days, unless EPA determines in its unreviewable discretion that there may be an endangerment, in which case the Remedy Period will be </w:t>
      </w:r>
      <w:r w:rsidRPr="006E75EE">
        <w:rPr>
          <w:color w:val="auto"/>
          <w:lang w:val="en-US"/>
        </w:rPr>
        <w:t>[</w:t>
      </w:r>
      <w:r w:rsidRPr="006E75EE">
        <w:rPr>
          <w:color w:val="auto"/>
        </w:rPr>
        <w:t>10</w:t>
      </w:r>
      <w:r w:rsidRPr="006E75EE">
        <w:rPr>
          <w:color w:val="auto"/>
          <w:lang w:val="en-US"/>
        </w:rPr>
        <w:t>]</w:t>
      </w:r>
      <w:r w:rsidR="00290A0C" w:rsidRPr="006E75EE">
        <w:rPr>
          <w:color w:val="auto"/>
        </w:rPr>
        <w:t> </w:t>
      </w:r>
      <w:r w:rsidRPr="006E75EE">
        <w:rPr>
          <w:color w:val="auto"/>
        </w:rPr>
        <w:t>days.</w:t>
      </w:r>
    </w:p>
    <w:p w14:paraId="0AA2085E" w14:textId="1B0C5680" w:rsidR="00E73242" w:rsidRPr="006E75EE" w:rsidRDefault="00E73242" w:rsidP="00E73242">
      <w:pPr>
        <w:pStyle w:val="LVL2"/>
        <w:rPr>
          <w:color w:val="auto"/>
        </w:rPr>
      </w:pPr>
      <w:bookmarkStart w:id="49" w:name="_Ref404343990"/>
      <w:r w:rsidRPr="006E75EE">
        <w:rPr>
          <w:color w:val="auto"/>
        </w:rPr>
        <w:t xml:space="preserve">If, by the end of the Remedy Period, </w:t>
      </w:r>
      <w:r w:rsidRPr="006E75EE">
        <w:rPr>
          <w:color w:val="auto"/>
          <w:lang w:val="en-US"/>
        </w:rPr>
        <w:t>Respondents</w:t>
      </w:r>
      <w:r w:rsidRPr="006E75EE">
        <w:rPr>
          <w:color w:val="auto"/>
        </w:rPr>
        <w:t xml:space="preserve"> do not remedy to EPA’s satisfaction the circumstances giving rise to the notice of Work Takeover, EPA may notify </w:t>
      </w:r>
      <w:r w:rsidRPr="006E75EE">
        <w:rPr>
          <w:color w:val="auto"/>
          <w:lang w:val="en-US"/>
        </w:rPr>
        <w:t>Respondents</w:t>
      </w:r>
      <w:r w:rsidRPr="006E75EE">
        <w:rPr>
          <w:color w:val="auto"/>
        </w:rPr>
        <w:t xml:space="preserve"> and, as it deems necessary, commence a Work Takeover</w:t>
      </w:r>
      <w:r w:rsidRPr="006E75EE">
        <w:rPr>
          <w:color w:val="auto"/>
          <w:lang w:val="en-US"/>
        </w:rPr>
        <w:t>.</w:t>
      </w:r>
      <w:r w:rsidRPr="006E75EE" w:rsidDel="00E6474F">
        <w:rPr>
          <w:color w:val="auto"/>
        </w:rPr>
        <w:t xml:space="preserve"> </w:t>
      </w:r>
      <w:bookmarkEnd w:id="49"/>
    </w:p>
    <w:p w14:paraId="0527C5A2" w14:textId="5CF78230" w:rsidR="00E73242" w:rsidRPr="006E75EE" w:rsidRDefault="00E73242" w:rsidP="00E73242">
      <w:pPr>
        <w:pStyle w:val="LVL2"/>
        <w:rPr>
          <w:color w:val="auto"/>
        </w:rPr>
      </w:pPr>
      <w:bookmarkStart w:id="50" w:name="_Ref403996875"/>
      <w:r w:rsidRPr="006E75EE">
        <w:rPr>
          <w:color w:val="auto"/>
        </w:rPr>
        <w:t>EPA may conduct the Work Takeover during the pendency of any dispute under Section</w:t>
      </w:r>
      <w:r w:rsidR="009A7708" w:rsidRPr="006E75EE">
        <w:rPr>
          <w:color w:val="auto"/>
          <w:lang w:val="en-US"/>
        </w:rPr>
        <w:t> </w:t>
      </w:r>
      <w:r w:rsidR="00290A0C" w:rsidRPr="006E75EE">
        <w:rPr>
          <w:color w:val="auto"/>
        </w:rPr>
        <w:fldChar w:fldCharType="begin"/>
      </w:r>
      <w:r w:rsidR="00290A0C" w:rsidRPr="006E75EE">
        <w:rPr>
          <w:color w:val="auto"/>
        </w:rPr>
        <w:instrText xml:space="preserve"> REF _Ref326220161 \w \h </w:instrText>
      </w:r>
      <w:r w:rsidR="006E75EE">
        <w:rPr>
          <w:color w:val="auto"/>
        </w:rPr>
        <w:instrText xml:space="preserve"> \* MERGEFORMAT </w:instrText>
      </w:r>
      <w:r w:rsidR="00290A0C" w:rsidRPr="006E75EE">
        <w:rPr>
          <w:color w:val="auto"/>
        </w:rPr>
      </w:r>
      <w:r w:rsidR="00290A0C" w:rsidRPr="006E75EE">
        <w:rPr>
          <w:color w:val="auto"/>
        </w:rPr>
        <w:fldChar w:fldCharType="separate"/>
      </w:r>
      <w:r w:rsidR="009166B4" w:rsidRPr="006E75EE">
        <w:rPr>
          <w:color w:val="auto"/>
        </w:rPr>
        <w:t>XIV</w:t>
      </w:r>
      <w:r w:rsidR="00290A0C" w:rsidRPr="006E75EE">
        <w:rPr>
          <w:color w:val="auto"/>
        </w:rPr>
        <w:fldChar w:fldCharType="end"/>
      </w:r>
      <w:r w:rsidR="00290A0C" w:rsidRPr="006E75EE">
        <w:rPr>
          <w:color w:val="auto"/>
          <w:lang w:val="en-US"/>
        </w:rPr>
        <w:t xml:space="preserve"> </w:t>
      </w:r>
      <w:r w:rsidRPr="006E75EE">
        <w:rPr>
          <w:color w:val="auto"/>
        </w:rPr>
        <w:t>but shall terminate t</w:t>
      </w:r>
      <w:r w:rsidR="008A6580" w:rsidRPr="006E75EE">
        <w:rPr>
          <w:color w:val="auto"/>
        </w:rPr>
        <w:t>he Work Takeover if and when: (1</w:t>
      </w:r>
      <w:r w:rsidRPr="006E75EE">
        <w:rPr>
          <w:color w:val="auto"/>
        </w:rPr>
        <w:t>)</w:t>
      </w:r>
      <w:r w:rsidR="009A7708" w:rsidRPr="006E75EE">
        <w:rPr>
          <w:color w:val="auto"/>
          <w:lang w:val="en-US"/>
        </w:rPr>
        <w:t> </w:t>
      </w:r>
      <w:r w:rsidRPr="006E75EE">
        <w:rPr>
          <w:color w:val="auto"/>
          <w:lang w:val="en-US"/>
        </w:rPr>
        <w:t>Respondent</w:t>
      </w:r>
      <w:r w:rsidRPr="006E75EE">
        <w:rPr>
          <w:color w:val="auto"/>
        </w:rPr>
        <w:t>s remed</w:t>
      </w:r>
      <w:r w:rsidRPr="006E75EE">
        <w:rPr>
          <w:color w:val="auto"/>
          <w:lang w:val="en-US"/>
        </w:rPr>
        <w:t>y</w:t>
      </w:r>
      <w:r w:rsidRPr="006E75EE">
        <w:rPr>
          <w:color w:val="auto"/>
        </w:rPr>
        <w:t>, to EPA’s satisfaction, the circumstances giving rise to the</w:t>
      </w:r>
      <w:r w:rsidR="008A6580" w:rsidRPr="006E75EE">
        <w:rPr>
          <w:color w:val="auto"/>
        </w:rPr>
        <w:t xml:space="preserve"> notice of Work Takeover; or (2</w:t>
      </w:r>
      <w:r w:rsidRPr="006E75EE">
        <w:rPr>
          <w:color w:val="auto"/>
        </w:rPr>
        <w:t>)</w:t>
      </w:r>
      <w:r w:rsidR="009A7708" w:rsidRPr="006E75EE">
        <w:rPr>
          <w:color w:val="auto"/>
          <w:lang w:val="en-US"/>
        </w:rPr>
        <w:t> </w:t>
      </w:r>
      <w:r w:rsidRPr="006E75EE">
        <w:rPr>
          <w:color w:val="auto"/>
        </w:rPr>
        <w:t>upon the issuance of a final determination under Section</w:t>
      </w:r>
      <w:r w:rsidR="009A7708" w:rsidRPr="006E75EE">
        <w:rPr>
          <w:color w:val="auto"/>
          <w:lang w:val="en-US"/>
        </w:rPr>
        <w:t> </w:t>
      </w:r>
      <w:r w:rsidR="00290A0C" w:rsidRPr="006E75EE">
        <w:rPr>
          <w:color w:val="auto"/>
        </w:rPr>
        <w:fldChar w:fldCharType="begin"/>
      </w:r>
      <w:r w:rsidR="00290A0C" w:rsidRPr="006E75EE">
        <w:rPr>
          <w:color w:val="auto"/>
        </w:rPr>
        <w:instrText xml:space="preserve"> REF _Ref326220161 \w \h </w:instrText>
      </w:r>
      <w:r w:rsidR="006E75EE">
        <w:rPr>
          <w:color w:val="auto"/>
        </w:rPr>
        <w:instrText xml:space="preserve"> \* MERGEFORMAT </w:instrText>
      </w:r>
      <w:r w:rsidR="00290A0C" w:rsidRPr="006E75EE">
        <w:rPr>
          <w:color w:val="auto"/>
        </w:rPr>
      </w:r>
      <w:r w:rsidR="00290A0C" w:rsidRPr="006E75EE">
        <w:rPr>
          <w:color w:val="auto"/>
        </w:rPr>
        <w:fldChar w:fldCharType="separate"/>
      </w:r>
      <w:r w:rsidR="009166B4" w:rsidRPr="006E75EE">
        <w:rPr>
          <w:color w:val="auto"/>
        </w:rPr>
        <w:t>XIV</w:t>
      </w:r>
      <w:r w:rsidR="00290A0C" w:rsidRPr="006E75EE">
        <w:rPr>
          <w:color w:val="auto"/>
        </w:rPr>
        <w:fldChar w:fldCharType="end"/>
      </w:r>
      <w:r w:rsidR="00290A0C" w:rsidRPr="006E75EE">
        <w:rPr>
          <w:color w:val="auto"/>
          <w:lang w:val="en-US"/>
        </w:rPr>
        <w:t xml:space="preserve"> </w:t>
      </w:r>
      <w:r w:rsidRPr="006E75EE">
        <w:rPr>
          <w:color w:val="auto"/>
        </w:rPr>
        <w:t>that EPA is required to terminate the Work Takeover.</w:t>
      </w:r>
      <w:bookmarkEnd w:id="50"/>
    </w:p>
    <w:p w14:paraId="5CB84A79" w14:textId="3F994B91" w:rsidR="006A3CAA" w:rsidRPr="006E75EE" w:rsidRDefault="00F27B51" w:rsidP="002B7658">
      <w:pPr>
        <w:pStyle w:val="Heading1"/>
      </w:pPr>
      <w:bookmarkStart w:id="51" w:name="_Ref326220118"/>
      <w:bookmarkStart w:id="52" w:name="_Ref415746805"/>
      <w:bookmarkStart w:id="53" w:name="_Toc80599611"/>
      <w:bookmarkStart w:id="54" w:name="_Ref92191272"/>
      <w:bookmarkStart w:id="55" w:name="_Toc184899539"/>
      <w:bookmarkStart w:id="56" w:name="_Ref378061137"/>
      <w:r w:rsidRPr="006E75EE">
        <w:t>PROPERTY REQUIREMENTS</w:t>
      </w:r>
      <w:bookmarkEnd w:id="51"/>
      <w:bookmarkEnd w:id="52"/>
      <w:bookmarkEnd w:id="53"/>
      <w:bookmarkEnd w:id="54"/>
      <w:r w:rsidR="00987163" w:rsidRPr="006E75EE">
        <w:rPr>
          <w:rStyle w:val="FootnoteReference"/>
          <w:color w:val="auto"/>
        </w:rPr>
        <w:footnoteReference w:id="21"/>
      </w:r>
      <w:bookmarkEnd w:id="55"/>
    </w:p>
    <w:p w14:paraId="6ED0CA8F" w14:textId="1E4A4C3F" w:rsidR="00FA236C" w:rsidRPr="006E75EE" w:rsidRDefault="00FA236C" w:rsidP="00ED2ECA">
      <w:pPr>
        <w:pStyle w:val="LVL1"/>
      </w:pPr>
      <w:bookmarkStart w:id="57" w:name="_Ref92191030"/>
      <w:bookmarkStart w:id="58" w:name="_Ref102749368"/>
      <w:bookmarkStart w:id="59" w:name="_Ref410741169"/>
      <w:bookmarkStart w:id="60" w:name="_Ref404261374"/>
      <w:bookmarkStart w:id="61" w:name="_Ref408240062"/>
      <w:bookmarkStart w:id="62" w:name="_Ref326224302"/>
      <w:bookmarkStart w:id="63" w:name="_Toc404318365"/>
      <w:r w:rsidRPr="006E75EE">
        <w:t xml:space="preserve">If the Site, or any other property where access is needed to implement this Settlement, is owned or controlled by any of the Respondents, such Respondents shall, commencing on the Effective Date, provide EPA and </w:t>
      </w:r>
      <w:r w:rsidR="005B5DDC" w:rsidRPr="006E75EE">
        <w:rPr>
          <w:lang w:val="en-US"/>
        </w:rPr>
        <w:t xml:space="preserve">its </w:t>
      </w:r>
      <w:r w:rsidRPr="006E75EE">
        <w:t xml:space="preserve">representatives, including contractors, with access at all reasonable times to the Site, or such other property, for the purpose of conducting any activity related to this Settlement. </w:t>
      </w:r>
      <w:r w:rsidR="009E7957" w:rsidRPr="006E75EE">
        <w:rPr>
          <w:lang w:val="en-US"/>
        </w:rPr>
        <w:t xml:space="preserve">[Owner Respondent shall refrain from using the Site in any manner that EPA determines will pose an </w:t>
      </w:r>
      <w:r w:rsidR="000C4541" w:rsidRPr="006E75EE">
        <w:rPr>
          <w:lang w:val="en-US"/>
        </w:rPr>
        <w:t>un</w:t>
      </w:r>
      <w:r w:rsidR="009E7957" w:rsidRPr="006E75EE">
        <w:rPr>
          <w:lang w:val="en-US"/>
        </w:rPr>
        <w:t xml:space="preserve">acceptable risk to </w:t>
      </w:r>
      <w:r w:rsidR="00CC1469" w:rsidRPr="006E75EE">
        <w:rPr>
          <w:lang w:val="en-US"/>
        </w:rPr>
        <w:t xml:space="preserve">public </w:t>
      </w:r>
      <w:r w:rsidR="009E7957" w:rsidRPr="006E75EE">
        <w:rPr>
          <w:lang w:val="en-US"/>
        </w:rPr>
        <w:t xml:space="preserve">health or </w:t>
      </w:r>
      <w:r w:rsidR="00CC1469" w:rsidRPr="006E75EE">
        <w:rPr>
          <w:lang w:val="en-US"/>
        </w:rPr>
        <w:t xml:space="preserve">welfare or </w:t>
      </w:r>
      <w:r w:rsidR="009E7957" w:rsidRPr="006E75EE">
        <w:rPr>
          <w:lang w:val="en-US"/>
        </w:rPr>
        <w:t>the environment</w:t>
      </w:r>
      <w:r w:rsidR="0067726C" w:rsidRPr="006E75EE">
        <w:rPr>
          <w:lang w:val="en-US"/>
        </w:rPr>
        <w:t xml:space="preserve"> because of exposure to Waste </w:t>
      </w:r>
      <w:proofErr w:type="gramStart"/>
      <w:r w:rsidR="0067726C" w:rsidRPr="006E75EE">
        <w:rPr>
          <w:lang w:val="en-US"/>
        </w:rPr>
        <w:t>Material,</w:t>
      </w:r>
      <w:r w:rsidR="00040BB0" w:rsidRPr="006E75EE">
        <w:rPr>
          <w:lang w:val="en-US"/>
        </w:rPr>
        <w:t xml:space="preserve"> </w:t>
      </w:r>
      <w:r w:rsidR="0067726C" w:rsidRPr="006E75EE">
        <w:rPr>
          <w:lang w:val="en-US"/>
        </w:rPr>
        <w:t>or</w:t>
      </w:r>
      <w:proofErr w:type="gramEnd"/>
      <w:r w:rsidR="0067726C" w:rsidRPr="006E75EE">
        <w:rPr>
          <w:lang w:val="en-US"/>
        </w:rPr>
        <w:t xml:space="preserve"> will interfere with or adversely affect the implementation or integrity of the Work.]</w:t>
      </w:r>
      <w:r w:rsidR="00D86D94" w:rsidRPr="006E75EE">
        <w:rPr>
          <w:lang w:val="en-US"/>
        </w:rPr>
        <w:t xml:space="preserve"> </w:t>
      </w:r>
      <w:r w:rsidRPr="006E75EE">
        <w:t xml:space="preserve">Where any action under this Settlement is to be performed in areas owned </w:t>
      </w:r>
      <w:r w:rsidR="005B5DDC" w:rsidRPr="006E75EE">
        <w:rPr>
          <w:lang w:val="en-US"/>
        </w:rPr>
        <w:t xml:space="preserve">or controlled </w:t>
      </w:r>
      <w:r w:rsidRPr="006E75EE">
        <w:t xml:space="preserve">by someone other than Respondents, Respondents shall use best efforts to obtain all </w:t>
      </w:r>
      <w:r w:rsidRPr="006E75EE">
        <w:lastRenderedPageBreak/>
        <w:t>necessary agreements for access, enforceable by Respondents and EPA, within __</w:t>
      </w:r>
      <w:r w:rsidR="004C7C1B" w:rsidRPr="006E75EE">
        <w:rPr>
          <w:lang w:val="en-US"/>
        </w:rPr>
        <w:t> </w:t>
      </w:r>
      <w:r w:rsidRPr="006E75EE">
        <w:t>days after the Effective Date, or as otherw</w:t>
      </w:r>
      <w:r w:rsidR="001C0548" w:rsidRPr="006E75EE">
        <w:t>ise specified in writing by EPA’</w:t>
      </w:r>
      <w:r w:rsidR="001C0548" w:rsidRPr="006E75EE">
        <w:rPr>
          <w:lang w:val="en-US"/>
        </w:rPr>
        <w:t xml:space="preserve">s </w:t>
      </w:r>
      <w:r w:rsidR="00FD0B2E" w:rsidRPr="006E75EE">
        <w:rPr>
          <w:lang w:val="en-US"/>
        </w:rPr>
        <w:t>P</w:t>
      </w:r>
      <w:r w:rsidR="001C0548" w:rsidRPr="006E75EE">
        <w:rPr>
          <w:lang w:val="en-US"/>
        </w:rPr>
        <w:t>roject Coordinator</w:t>
      </w:r>
      <w:r w:rsidRPr="006E75EE">
        <w:t>.</w:t>
      </w:r>
      <w:bookmarkEnd w:id="57"/>
      <w:r w:rsidR="00987163" w:rsidRPr="006E75EE">
        <w:rPr>
          <w:rStyle w:val="FootnoteReference"/>
          <w:color w:val="auto"/>
        </w:rPr>
        <w:footnoteReference w:id="22"/>
      </w:r>
      <w:r w:rsidR="00987163" w:rsidRPr="006E75EE">
        <w:t xml:space="preserve"> </w:t>
      </w:r>
      <w:r w:rsidR="00987163" w:rsidRPr="006E75EE">
        <w:rPr>
          <w:rStyle w:val="FootnoteReference"/>
          <w:color w:val="auto"/>
        </w:rPr>
        <w:footnoteReference w:id="23"/>
      </w:r>
      <w:r w:rsidR="0050028C" w:rsidRPr="006E75EE">
        <w:t xml:space="preserve"> </w:t>
      </w:r>
      <w:r w:rsidR="00B636F6" w:rsidRPr="006E75EE">
        <w:rPr>
          <w:lang w:val="en-US"/>
        </w:rPr>
        <w:t xml:space="preserve">Respondents shall provide a copy of each agreement required under </w:t>
      </w:r>
      <w:r w:rsidR="001E418E" w:rsidRPr="006E75EE">
        <w:rPr>
          <w:lang w:val="en-US"/>
        </w:rPr>
        <w:t xml:space="preserve">this </w:t>
      </w:r>
      <w:r w:rsidR="00B636F6" w:rsidRPr="006E75EE">
        <w:t>¶ </w:t>
      </w:r>
      <w:r w:rsidR="001E418E" w:rsidRPr="006E75EE">
        <w:fldChar w:fldCharType="begin"/>
      </w:r>
      <w:r w:rsidR="001E418E" w:rsidRPr="006E75EE">
        <w:instrText xml:space="preserve"> REF _Ref102749368 \r \h </w:instrText>
      </w:r>
      <w:r w:rsidR="006E75EE">
        <w:instrText xml:space="preserve"> \* MERGEFORMAT </w:instrText>
      </w:r>
      <w:r w:rsidR="001E418E" w:rsidRPr="006E75EE">
        <w:fldChar w:fldCharType="separate"/>
      </w:r>
      <w:r w:rsidR="009166B4" w:rsidRPr="006E75EE">
        <w:t>26</w:t>
      </w:r>
      <w:r w:rsidR="001E418E" w:rsidRPr="006E75EE">
        <w:fldChar w:fldCharType="end"/>
      </w:r>
      <w:r w:rsidR="001E418E" w:rsidRPr="006E75EE">
        <w:rPr>
          <w:lang w:val="en-US"/>
        </w:rPr>
        <w:t xml:space="preserve"> to EPA [and the State]</w:t>
      </w:r>
      <w:r w:rsidR="00B227AA" w:rsidRPr="006E75EE">
        <w:rPr>
          <w:lang w:val="en-US"/>
        </w:rPr>
        <w:t>.</w:t>
      </w:r>
      <w:bookmarkEnd w:id="58"/>
    </w:p>
    <w:p w14:paraId="46B6E4FD" w14:textId="1C47A2F8" w:rsidR="0050028C" w:rsidRPr="006E75EE" w:rsidRDefault="0050028C" w:rsidP="0050028C">
      <w:pPr>
        <w:pStyle w:val="LVL1"/>
      </w:pPr>
      <w:r w:rsidRPr="006E75EE">
        <w:t xml:space="preserve">As used in this Section, </w:t>
      </w:r>
      <w:r w:rsidRPr="006E75EE">
        <w:rPr>
          <w:lang w:val="en-US"/>
        </w:rPr>
        <w:t>“</w:t>
      </w:r>
      <w:r w:rsidRPr="006E75EE">
        <w:t>best efforts</w:t>
      </w:r>
      <w:r w:rsidRPr="006E75EE">
        <w:rPr>
          <w:lang w:val="en-US"/>
        </w:rPr>
        <w:t>”</w:t>
      </w:r>
      <w:r w:rsidRPr="006E75EE">
        <w:t xml:space="preserve"> means the efforts that a reasonable person in the position of Respondents would use to achieve the goal in a timely manner, including the cost of employing professional assistance and the payment of reasonable sums of money to secure access and/or use restriction agreements, as required by this Section. If Respondents cannot accom</w:t>
      </w:r>
      <w:r w:rsidR="005B5DDC" w:rsidRPr="006E75EE">
        <w:t>plish what is required through “</w:t>
      </w:r>
      <w:r w:rsidRPr="006E75EE">
        <w:t>best efforts</w:t>
      </w:r>
      <w:r w:rsidR="005B5DDC" w:rsidRPr="006E75EE">
        <w:rPr>
          <w:lang w:val="en-US"/>
        </w:rPr>
        <w:t>”</w:t>
      </w:r>
      <w:r w:rsidRPr="006E75EE">
        <w:t xml:space="preserve"> in a timely manner, they shall notify EPA, and include a description of the steps taken to achieve the requirements. If EPA deems it appropriate, it may assist Respondents, or take independent action, in obtaining such access and/or use restrictions. </w:t>
      </w:r>
      <w:bookmarkEnd w:id="59"/>
    </w:p>
    <w:p w14:paraId="4233B6E5" w14:textId="235BDA71" w:rsidR="001851E0" w:rsidRPr="006E75EE" w:rsidRDefault="00CB399F" w:rsidP="009A32AB">
      <w:pPr>
        <w:pStyle w:val="LVL1"/>
        <w:autoSpaceDE w:val="0"/>
        <w:autoSpaceDN w:val="0"/>
        <w:adjustRightInd w:val="0"/>
        <w:spacing w:before="180" w:after="180"/>
      </w:pPr>
      <w:bookmarkStart w:id="64" w:name="_Ref410741366"/>
      <w:bookmarkEnd w:id="60"/>
      <w:bookmarkEnd w:id="61"/>
      <w:r w:rsidRPr="006E75EE">
        <w:rPr>
          <w:lang w:val="en-US"/>
        </w:rPr>
        <w:t>Any Respondent</w:t>
      </w:r>
      <w:r w:rsidR="00333BFF" w:rsidRPr="006E75EE">
        <w:rPr>
          <w:lang w:val="en-US"/>
        </w:rPr>
        <w:t xml:space="preserve"> who own</w:t>
      </w:r>
      <w:r w:rsidRPr="006E75EE">
        <w:rPr>
          <w:lang w:val="en-US"/>
        </w:rPr>
        <w:t>s</w:t>
      </w:r>
      <w:r w:rsidR="00333BFF" w:rsidRPr="006E75EE">
        <w:rPr>
          <w:lang w:val="en-US"/>
        </w:rPr>
        <w:t xml:space="preserve"> or control</w:t>
      </w:r>
      <w:r w:rsidRPr="006E75EE">
        <w:rPr>
          <w:lang w:val="en-US"/>
        </w:rPr>
        <w:t>s</w:t>
      </w:r>
      <w:r w:rsidR="00333BFF" w:rsidRPr="006E75EE">
        <w:rPr>
          <w:lang w:val="en-US"/>
        </w:rPr>
        <w:t xml:space="preserve"> </w:t>
      </w:r>
      <w:r w:rsidRPr="006E75EE">
        <w:rPr>
          <w:lang w:val="en-US"/>
        </w:rPr>
        <w:t xml:space="preserve">any </w:t>
      </w:r>
      <w:r w:rsidR="00333BFF" w:rsidRPr="006E75EE">
        <w:rPr>
          <w:lang w:val="en-US"/>
        </w:rPr>
        <w:t>property at the Site shall, prior to entering into a contract to Transfer any of its property that is part of the Site,</w:t>
      </w:r>
      <w:r w:rsidR="00792CA9" w:rsidRPr="006E75EE">
        <w:rPr>
          <w:rStyle w:val="FootnoteReference"/>
          <w:color w:val="auto"/>
          <w:lang w:val="en-US"/>
        </w:rPr>
        <w:footnoteReference w:id="24"/>
      </w:r>
      <w:r w:rsidR="00333BFF" w:rsidRPr="006E75EE">
        <w:rPr>
          <w:lang w:val="en-US"/>
        </w:rPr>
        <w:t xml:space="preserve"> or 60</w:t>
      </w:r>
      <w:r w:rsidR="004C7C1B" w:rsidRPr="006E75EE">
        <w:rPr>
          <w:lang w:val="en-US"/>
        </w:rPr>
        <w:t> </w:t>
      </w:r>
      <w:r w:rsidR="00333BFF" w:rsidRPr="006E75EE">
        <w:rPr>
          <w:lang w:val="en-US"/>
        </w:rPr>
        <w:t>days prior to a Transfer of such property, whichever is earlier, (a)</w:t>
      </w:r>
      <w:r w:rsidR="00226D58" w:rsidRPr="006E75EE">
        <w:rPr>
          <w:lang w:val="en-US"/>
        </w:rPr>
        <w:t> </w:t>
      </w:r>
      <w:r w:rsidR="00333BFF" w:rsidRPr="006E75EE">
        <w:rPr>
          <w:lang w:val="en-US"/>
        </w:rPr>
        <w:t>give written notice to the proposed transferee that the property is su</w:t>
      </w:r>
      <w:r w:rsidR="0050028C" w:rsidRPr="006E75EE">
        <w:rPr>
          <w:lang w:val="en-US"/>
        </w:rPr>
        <w:t>bject to this Settlement; and (b</w:t>
      </w:r>
      <w:r w:rsidR="00333BFF" w:rsidRPr="006E75EE">
        <w:rPr>
          <w:lang w:val="en-US"/>
        </w:rPr>
        <w:t>)</w:t>
      </w:r>
      <w:r w:rsidR="00226D58" w:rsidRPr="006E75EE">
        <w:rPr>
          <w:lang w:val="en-US"/>
        </w:rPr>
        <w:t> </w:t>
      </w:r>
      <w:r w:rsidR="00333BFF" w:rsidRPr="006E75EE">
        <w:rPr>
          <w:lang w:val="en-US"/>
        </w:rPr>
        <w:t xml:space="preserve">give written notice to EPA of the proposed </w:t>
      </w:r>
      <w:r w:rsidR="00C1780D" w:rsidRPr="006E75EE">
        <w:rPr>
          <w:lang w:val="en-US"/>
        </w:rPr>
        <w:t>Transfer</w:t>
      </w:r>
      <w:r w:rsidR="00333BFF" w:rsidRPr="006E75EE">
        <w:rPr>
          <w:lang w:val="en-US"/>
        </w:rPr>
        <w:t xml:space="preserve">, including the name </w:t>
      </w:r>
      <w:r w:rsidRPr="006E75EE">
        <w:rPr>
          <w:lang w:val="en-US"/>
        </w:rPr>
        <w:t>and address of the transferee</w:t>
      </w:r>
      <w:bookmarkStart w:id="65" w:name="_Ref410743118"/>
      <w:r w:rsidRPr="006E75EE">
        <w:rPr>
          <w:lang w:val="en-US"/>
        </w:rPr>
        <w:t>. Any Respondent</w:t>
      </w:r>
      <w:r w:rsidR="00333BFF" w:rsidRPr="006E75EE">
        <w:rPr>
          <w:lang w:val="en-US"/>
        </w:rPr>
        <w:t xml:space="preserve"> who own</w:t>
      </w:r>
      <w:r w:rsidRPr="006E75EE">
        <w:rPr>
          <w:lang w:val="en-US"/>
        </w:rPr>
        <w:t>s</w:t>
      </w:r>
      <w:r w:rsidR="00333BFF" w:rsidRPr="006E75EE">
        <w:rPr>
          <w:lang w:val="en-US"/>
        </w:rPr>
        <w:t xml:space="preserve"> or control</w:t>
      </w:r>
      <w:r w:rsidRPr="006E75EE">
        <w:rPr>
          <w:lang w:val="en-US"/>
        </w:rPr>
        <w:t>s</w:t>
      </w:r>
      <w:r w:rsidR="00333BFF" w:rsidRPr="006E75EE">
        <w:rPr>
          <w:lang w:val="en-US"/>
        </w:rPr>
        <w:t xml:space="preserve"> property at the Site also agree</w:t>
      </w:r>
      <w:r w:rsidRPr="006E75EE">
        <w:rPr>
          <w:lang w:val="en-US"/>
        </w:rPr>
        <w:t>s</w:t>
      </w:r>
      <w:r w:rsidR="00333BFF" w:rsidRPr="006E75EE">
        <w:rPr>
          <w:lang w:val="en-US"/>
        </w:rPr>
        <w:t xml:space="preserve"> to </w:t>
      </w:r>
      <w:proofErr w:type="gramStart"/>
      <w:r w:rsidR="00333BFF" w:rsidRPr="006E75EE">
        <w:rPr>
          <w:lang w:val="en-US"/>
        </w:rPr>
        <w:t>require</w:t>
      </w:r>
      <w:proofErr w:type="gramEnd"/>
      <w:r w:rsidR="00333BFF" w:rsidRPr="006E75EE">
        <w:rPr>
          <w:lang w:val="en-US"/>
        </w:rPr>
        <w:t xml:space="preserve"> that their successors comply with </w:t>
      </w:r>
      <w:bookmarkEnd w:id="65"/>
      <w:r w:rsidRPr="006E75EE">
        <w:rPr>
          <w:lang w:val="en-US"/>
        </w:rPr>
        <w:t>this Section</w:t>
      </w:r>
      <w:r w:rsidR="001E15DC" w:rsidRPr="006E75EE">
        <w:rPr>
          <w:lang w:val="en-US"/>
        </w:rPr>
        <w:t xml:space="preserve"> </w:t>
      </w:r>
      <w:r w:rsidR="00333BFF" w:rsidRPr="006E75EE">
        <w:rPr>
          <w:lang w:val="en-US"/>
        </w:rPr>
        <w:t xml:space="preserve">and </w:t>
      </w:r>
      <w:r w:rsidRPr="006E75EE">
        <w:rPr>
          <w:lang w:val="en-US"/>
        </w:rPr>
        <w:t>Section</w:t>
      </w:r>
      <w:r w:rsidR="009A7708" w:rsidRPr="006E75EE">
        <w:rPr>
          <w:lang w:val="en-US"/>
        </w:rPr>
        <w:t> </w:t>
      </w:r>
      <w:r w:rsidRPr="006E75EE">
        <w:rPr>
          <w:lang w:val="en-US"/>
        </w:rPr>
        <w:fldChar w:fldCharType="begin"/>
      </w:r>
      <w:r w:rsidRPr="006E75EE">
        <w:rPr>
          <w:lang w:val="en-US"/>
        </w:rPr>
        <w:instrText xml:space="preserve"> REF _Ref76910990 \w \h </w:instrText>
      </w:r>
      <w:r w:rsidR="006E75EE">
        <w:rPr>
          <w:lang w:val="en-US"/>
        </w:rPr>
        <w:instrText xml:space="preserve"> \* MERGEFORMAT </w:instrText>
      </w:r>
      <w:r w:rsidRPr="006E75EE">
        <w:rPr>
          <w:lang w:val="en-US"/>
        </w:rPr>
      </w:r>
      <w:r w:rsidRPr="006E75EE">
        <w:rPr>
          <w:lang w:val="en-US"/>
        </w:rPr>
        <w:fldChar w:fldCharType="separate"/>
      </w:r>
      <w:r w:rsidR="009166B4" w:rsidRPr="006E75EE">
        <w:rPr>
          <w:lang w:val="en-US"/>
        </w:rPr>
        <w:t>XIX</w:t>
      </w:r>
      <w:r w:rsidRPr="006E75EE">
        <w:rPr>
          <w:lang w:val="en-US"/>
        </w:rPr>
        <w:fldChar w:fldCharType="end"/>
      </w:r>
      <w:r w:rsidRPr="006E75EE">
        <w:rPr>
          <w:lang w:val="en-US"/>
        </w:rPr>
        <w:t xml:space="preserve"> </w:t>
      </w:r>
      <w:r w:rsidR="00333BFF" w:rsidRPr="006E75EE">
        <w:rPr>
          <w:lang w:val="en-US"/>
        </w:rPr>
        <w:t>(</w:t>
      </w:r>
      <w:r w:rsidRPr="006E75EE">
        <w:rPr>
          <w:lang w:val="en-US"/>
        </w:rPr>
        <w:t>Records</w:t>
      </w:r>
      <w:r w:rsidR="00333BFF" w:rsidRPr="006E75EE">
        <w:rPr>
          <w:lang w:val="en-US"/>
        </w:rPr>
        <w:t>).</w:t>
      </w:r>
      <w:bookmarkEnd w:id="64"/>
    </w:p>
    <w:p w14:paraId="7FEC644A" w14:textId="06E11E06" w:rsidR="004D3C9E" w:rsidRPr="006E75EE" w:rsidRDefault="001851E0" w:rsidP="001313F5">
      <w:pPr>
        <w:pStyle w:val="LVL1"/>
      </w:pPr>
      <w:bookmarkStart w:id="66" w:name="_Ref410747240"/>
      <w:r w:rsidRPr="006E75EE">
        <w:t>Notwithstanding any provision of the Settlement, EPA retains all of its access authorities and rights, as well as all of its rights to require land, water, or other resource use restrictions, including enforcement authorities related thereto under CERCLA, RCRA, and any other applicable statute or regulations.</w:t>
      </w:r>
      <w:bookmarkEnd w:id="66"/>
      <w:r w:rsidRPr="006E75EE">
        <w:t xml:space="preserve"> </w:t>
      </w:r>
      <w:bookmarkStart w:id="67" w:name="_Ref243293294"/>
      <w:bookmarkStart w:id="68" w:name="_Ref243382324"/>
      <w:bookmarkStart w:id="69" w:name="_Ref247421045"/>
      <w:bookmarkStart w:id="70" w:name="_Toc409186376"/>
      <w:bookmarkEnd w:id="67"/>
      <w:bookmarkEnd w:id="68"/>
      <w:bookmarkEnd w:id="69"/>
      <w:bookmarkEnd w:id="70"/>
    </w:p>
    <w:p w14:paraId="0E4ED249" w14:textId="4322EBF4" w:rsidR="001313F5" w:rsidRPr="006E75EE" w:rsidRDefault="001313F5" w:rsidP="001313F5">
      <w:pPr>
        <w:pStyle w:val="Heading1"/>
      </w:pPr>
      <w:bookmarkStart w:id="71" w:name="_Ref326225115"/>
      <w:bookmarkStart w:id="72" w:name="_Toc408308270"/>
      <w:bookmarkStart w:id="73" w:name="_Ref453851067"/>
      <w:bookmarkStart w:id="74" w:name="_Toc80599612"/>
      <w:bookmarkStart w:id="75" w:name="_Ref76972599"/>
      <w:bookmarkStart w:id="76" w:name="_Ref76972963"/>
      <w:bookmarkStart w:id="77" w:name="_Toc184899540"/>
      <w:r w:rsidRPr="006E75EE">
        <w:rPr>
          <w:lang w:val="en-US"/>
        </w:rPr>
        <w:lastRenderedPageBreak/>
        <w:t>FINANCIAL ASSURANCE</w:t>
      </w:r>
      <w:bookmarkEnd w:id="71"/>
      <w:bookmarkEnd w:id="72"/>
      <w:bookmarkEnd w:id="73"/>
      <w:bookmarkEnd w:id="74"/>
      <w:bookmarkEnd w:id="75"/>
      <w:bookmarkEnd w:id="76"/>
      <w:r w:rsidR="00792CA9" w:rsidRPr="006E75EE">
        <w:rPr>
          <w:rStyle w:val="FootnoteReference"/>
          <w:color w:val="auto"/>
          <w:lang w:val="en-US"/>
        </w:rPr>
        <w:footnoteReference w:id="25"/>
      </w:r>
      <w:bookmarkEnd w:id="77"/>
    </w:p>
    <w:p w14:paraId="16C1E94A" w14:textId="315A4953" w:rsidR="00625B8E" w:rsidRPr="006E75EE" w:rsidRDefault="00625B8E" w:rsidP="00625B8E">
      <w:pPr>
        <w:pStyle w:val="LVL1"/>
      </w:pPr>
      <w:bookmarkStart w:id="78" w:name="_Ref243371164"/>
      <w:bookmarkStart w:id="79" w:name="_Ref362013837"/>
      <w:r w:rsidRPr="006E75EE">
        <w:rPr>
          <w:lang w:val="en-US"/>
        </w:rPr>
        <w:t>To</w:t>
      </w:r>
      <w:r w:rsidRPr="006E75EE">
        <w:t xml:space="preserve"> ensure completion of the Work</w:t>
      </w:r>
      <w:r w:rsidRPr="006E75EE">
        <w:rPr>
          <w:lang w:val="en-US"/>
        </w:rPr>
        <w:t xml:space="preserve"> required under Section</w:t>
      </w:r>
      <w:r w:rsidR="009A7708" w:rsidRPr="006E75EE">
        <w:rPr>
          <w:lang w:val="en-US"/>
        </w:rPr>
        <w:t> </w:t>
      </w:r>
      <w:r w:rsidRPr="006E75EE">
        <w:rPr>
          <w:lang w:val="en-US"/>
        </w:rPr>
        <w:t>VII</w:t>
      </w:r>
      <w:r w:rsidRPr="006E75EE">
        <w:t xml:space="preserve">, </w:t>
      </w:r>
      <w:r w:rsidRPr="006E75EE">
        <w:rPr>
          <w:lang w:val="en-US"/>
        </w:rPr>
        <w:t>Respondent</w:t>
      </w:r>
      <w:r w:rsidRPr="006E75EE">
        <w:t xml:space="preserve">s shall secure financial assurance, initially in the amount of $_______ (“Estimated Cost of the Work”), for the benefit of EPA. The financial assurance must be one or more of the mechanisms listed below, in a form substantially identical to the relevant sample documents available from </w:t>
      </w:r>
      <w:r w:rsidRPr="006E75EE">
        <w:rPr>
          <w:lang w:val="en-US"/>
        </w:rPr>
        <w:t xml:space="preserve">EPA, </w:t>
      </w:r>
      <w:r w:rsidRPr="006E75EE">
        <w:t xml:space="preserve">and </w:t>
      </w:r>
      <w:r w:rsidRPr="006E75EE">
        <w:rPr>
          <w:lang w:val="en-US"/>
        </w:rPr>
        <w:t xml:space="preserve">be </w:t>
      </w:r>
      <w:r w:rsidRPr="006E75EE">
        <w:t>satisfactory to EPA</w:t>
      </w:r>
      <w:r w:rsidRPr="006E75EE">
        <w:rPr>
          <w:lang w:val="en-US"/>
        </w:rPr>
        <w:t xml:space="preserve">. As of the date of signing this Settlement, the sample documents can be found under </w:t>
      </w:r>
      <w:r w:rsidRPr="006E75EE">
        <w:t>the “Financial Assurance</w:t>
      </w:r>
      <w:r w:rsidRPr="006E75EE">
        <w:rPr>
          <w:lang w:val="en-US"/>
        </w:rPr>
        <w:t xml:space="preserve"> - Settlements</w:t>
      </w:r>
      <w:r w:rsidRPr="006E75EE">
        <w:t xml:space="preserve">” category on the Cleanup Enforcement Model Language and Sample Documents Database at </w:t>
      </w:r>
      <w:r w:rsidR="00F4419E" w:rsidRPr="006E75EE">
        <w:rPr>
          <w:u w:val="single"/>
        </w:rPr>
        <w:t>https://cfpub.epa.gov/compliance/models/</w:t>
      </w:r>
      <w:r w:rsidRPr="006E75EE">
        <w:t xml:space="preserve">. </w:t>
      </w:r>
      <w:r w:rsidRPr="006E75EE">
        <w:rPr>
          <w:lang w:val="en-US"/>
        </w:rPr>
        <w:t>Respondent</w:t>
      </w:r>
      <w:r w:rsidRPr="006E75EE">
        <w:t>s may use multiple mechanisms if they are limited to surety bonds guaranteeing payment, letters of credit, trust funds, insurance policies</w:t>
      </w:r>
      <w:bookmarkEnd w:id="78"/>
      <w:r w:rsidRPr="006E75EE">
        <w:rPr>
          <w:lang w:val="en-US"/>
        </w:rPr>
        <w:t>, or some combination thereof</w:t>
      </w:r>
      <w:r w:rsidRPr="006E75EE">
        <w:t>.</w:t>
      </w:r>
      <w:bookmarkEnd w:id="79"/>
      <w:r w:rsidR="00470468" w:rsidRPr="006E75EE">
        <w:rPr>
          <w:lang w:val="en-US"/>
        </w:rPr>
        <w:t xml:space="preserve"> </w:t>
      </w:r>
      <w:r w:rsidR="008B466E" w:rsidRPr="006E75EE">
        <w:rPr>
          <w:lang w:val="en-US"/>
        </w:rPr>
        <w:t xml:space="preserve">The following are acceptable mechanisms: </w:t>
      </w:r>
    </w:p>
    <w:p w14:paraId="281F7C19" w14:textId="09F0B945" w:rsidR="00625B8E" w:rsidRPr="006E75EE" w:rsidRDefault="00625B8E" w:rsidP="00625B8E">
      <w:pPr>
        <w:pStyle w:val="LVL2"/>
        <w:rPr>
          <w:color w:val="auto"/>
        </w:rPr>
      </w:pPr>
      <w:bookmarkStart w:id="80" w:name="_Ref362014294"/>
      <w:bookmarkStart w:id="81" w:name="_Ref243377990"/>
      <w:r w:rsidRPr="006E75EE">
        <w:rPr>
          <w:color w:val="auto"/>
        </w:rPr>
        <w:t>A surety bond guaranteeing payment</w:t>
      </w:r>
      <w:r w:rsidRPr="006E75EE">
        <w:rPr>
          <w:color w:val="auto"/>
          <w:lang w:val="en-US"/>
        </w:rPr>
        <w:t>,</w:t>
      </w:r>
      <w:r w:rsidRPr="006E75EE">
        <w:rPr>
          <w:color w:val="auto"/>
        </w:rPr>
        <w:t xml:space="preserve"> performance of the Work</w:t>
      </w:r>
      <w:r w:rsidRPr="006E75EE">
        <w:rPr>
          <w:color w:val="auto"/>
          <w:lang w:val="en-US"/>
        </w:rPr>
        <w:t>, or both,</w:t>
      </w:r>
      <w:r w:rsidRPr="006E75EE">
        <w:rPr>
          <w:color w:val="auto"/>
        </w:rPr>
        <w:t xml:space="preserve"> that is issued by a surety company among those listed as acceptable sureties on federal bonds as set forth in Circular 570 of the U.S. Department of the Treasury;</w:t>
      </w:r>
      <w:bookmarkStart w:id="82" w:name="_Ref243378101"/>
      <w:bookmarkEnd w:id="80"/>
      <w:bookmarkEnd w:id="81"/>
    </w:p>
    <w:p w14:paraId="5AE8981B" w14:textId="77777777" w:rsidR="00625B8E" w:rsidRPr="006E75EE" w:rsidRDefault="00625B8E" w:rsidP="00625B8E">
      <w:pPr>
        <w:pStyle w:val="LVL2"/>
        <w:rPr>
          <w:color w:val="auto"/>
        </w:rPr>
      </w:pPr>
      <w:bookmarkStart w:id="83" w:name="_Ref247353643"/>
      <w:r w:rsidRPr="006E75EE">
        <w:rPr>
          <w:color w:val="auto"/>
        </w:rPr>
        <w:t xml:space="preserve">An irrevocable letter of credit, payable to </w:t>
      </w:r>
      <w:r w:rsidRPr="006E75EE">
        <w:rPr>
          <w:color w:val="auto"/>
          <w:lang w:val="en-US"/>
        </w:rPr>
        <w:t xml:space="preserve">EPA </w:t>
      </w:r>
      <w:r w:rsidRPr="006E75EE">
        <w:rPr>
          <w:color w:val="auto"/>
        </w:rPr>
        <w:t>or at the direction of EPA, that is issued by an entity that has the authority to issue letters of credit and whose letter-of-credit operations are regulated and examined by a federal or state agency;</w:t>
      </w:r>
      <w:bookmarkStart w:id="84" w:name="_Ref243378109"/>
      <w:bookmarkEnd w:id="82"/>
      <w:bookmarkEnd w:id="83"/>
    </w:p>
    <w:p w14:paraId="28203986" w14:textId="77777777" w:rsidR="00625B8E" w:rsidRPr="006E75EE" w:rsidRDefault="00625B8E" w:rsidP="00625B8E">
      <w:pPr>
        <w:pStyle w:val="LVL2"/>
        <w:rPr>
          <w:color w:val="auto"/>
        </w:rPr>
      </w:pPr>
      <w:bookmarkStart w:id="85" w:name="_Ref247353489"/>
      <w:r w:rsidRPr="006E75EE">
        <w:rPr>
          <w:color w:val="auto"/>
        </w:rPr>
        <w:t>A trust fund established for the benefit of EPA that is administered by a trustee that has the authority to act as a trustee and whose trust operations are regulated and examined by a federal or state agency;</w:t>
      </w:r>
      <w:bookmarkStart w:id="86" w:name="_Ref243378001"/>
      <w:bookmarkEnd w:id="84"/>
      <w:bookmarkEnd w:id="85"/>
    </w:p>
    <w:p w14:paraId="774B8ADD" w14:textId="77777777" w:rsidR="00625B8E" w:rsidRPr="006E75EE" w:rsidRDefault="00625B8E" w:rsidP="00625B8E">
      <w:pPr>
        <w:pStyle w:val="LVL2"/>
        <w:rPr>
          <w:color w:val="auto"/>
        </w:rPr>
      </w:pPr>
      <w:bookmarkStart w:id="87" w:name="_Ref362014295"/>
      <w:bookmarkStart w:id="88" w:name="_Ref247353680"/>
      <w:r w:rsidRPr="006E75EE">
        <w:rPr>
          <w:color w:val="auto"/>
        </w:rPr>
        <w:t>A policy of insurance that provides EPA with acceptable rights as a beneficiary thereof and that is issued by an insurance carrier that has the authority to issue insurance policies in the applicable jurisdiction(s) and whose insurance operations are regulated and examined by a federal or state agency;</w:t>
      </w:r>
      <w:bookmarkStart w:id="89" w:name="_Ref243377908"/>
      <w:bookmarkEnd w:id="86"/>
      <w:bookmarkEnd w:id="87"/>
      <w:bookmarkEnd w:id="88"/>
    </w:p>
    <w:p w14:paraId="281B418A" w14:textId="15D7D474" w:rsidR="00625B8E" w:rsidRPr="006E75EE" w:rsidRDefault="00625B8E" w:rsidP="00625B8E">
      <w:pPr>
        <w:pStyle w:val="LVL2"/>
        <w:rPr>
          <w:color w:val="auto"/>
          <w:lang w:val="en-US"/>
        </w:rPr>
      </w:pPr>
      <w:bookmarkStart w:id="90" w:name="_Ref362014207"/>
      <w:bookmarkStart w:id="91" w:name="_Ref247353255"/>
      <w:bookmarkStart w:id="92" w:name="_Ref431129969"/>
      <w:bookmarkStart w:id="93" w:name="_Ref462901235"/>
      <w:r w:rsidRPr="006E75EE">
        <w:rPr>
          <w:color w:val="auto"/>
        </w:rPr>
        <w:lastRenderedPageBreak/>
        <w:t xml:space="preserve">A demonstration by </w:t>
      </w:r>
      <w:r w:rsidRPr="006E75EE">
        <w:rPr>
          <w:color w:val="auto"/>
          <w:lang w:val="en-US"/>
        </w:rPr>
        <w:t>a Respondent</w:t>
      </w:r>
      <w:r w:rsidRPr="006E75EE">
        <w:rPr>
          <w:color w:val="auto"/>
        </w:rPr>
        <w:t xml:space="preserve"> that </w:t>
      </w:r>
      <w:r w:rsidRPr="006E75EE">
        <w:rPr>
          <w:color w:val="auto"/>
          <w:lang w:val="en-US"/>
        </w:rPr>
        <w:t>it</w:t>
      </w:r>
      <w:r w:rsidRPr="006E75EE">
        <w:rPr>
          <w:color w:val="auto"/>
        </w:rPr>
        <w:t xml:space="preserve"> meets the</w:t>
      </w:r>
      <w:r w:rsidRPr="006E75EE">
        <w:rPr>
          <w:color w:val="auto"/>
          <w:lang w:val="en-US"/>
        </w:rPr>
        <w:t xml:space="preserve"> relevant</w:t>
      </w:r>
      <w:r w:rsidRPr="006E75EE">
        <w:rPr>
          <w:color w:val="auto"/>
        </w:rPr>
        <w:t xml:space="preserve"> financial test criteria of</w:t>
      </w:r>
      <w:r w:rsidRPr="006E75EE">
        <w:rPr>
          <w:color w:val="auto"/>
          <w:lang w:val="en-US"/>
        </w:rPr>
        <w:t xml:space="preserve"> </w:t>
      </w:r>
      <w:r w:rsidR="00AD70A1" w:rsidRPr="006E75EE">
        <w:rPr>
          <w:color w:val="auto"/>
          <w:lang w:val="en-US"/>
        </w:rPr>
        <w:t>¶</w:t>
      </w:r>
      <w:r w:rsidR="00276366" w:rsidRPr="006E75EE">
        <w:rPr>
          <w:color w:val="auto"/>
          <w:lang w:val="en-US"/>
        </w:rPr>
        <w:t> </w:t>
      </w:r>
      <w:r w:rsidR="00734553" w:rsidRPr="006E75EE">
        <w:rPr>
          <w:color w:val="auto"/>
          <w:lang w:val="en-US"/>
        </w:rPr>
        <w:fldChar w:fldCharType="begin"/>
      </w:r>
      <w:r w:rsidR="00734553" w:rsidRPr="006E75EE">
        <w:rPr>
          <w:color w:val="auto"/>
          <w:lang w:val="en-US"/>
        </w:rPr>
        <w:instrText xml:space="preserve"> REF _Ref102749723 \r \h </w:instrText>
      </w:r>
      <w:r w:rsidR="006E75EE">
        <w:rPr>
          <w:color w:val="auto"/>
          <w:lang w:val="en-US"/>
        </w:rPr>
        <w:instrText xml:space="preserve"> \* MERGEFORMAT </w:instrText>
      </w:r>
      <w:r w:rsidR="00734553" w:rsidRPr="006E75EE">
        <w:rPr>
          <w:color w:val="auto"/>
          <w:lang w:val="en-US"/>
        </w:rPr>
      </w:r>
      <w:r w:rsidR="00734553" w:rsidRPr="006E75EE">
        <w:rPr>
          <w:color w:val="auto"/>
          <w:lang w:val="en-US"/>
        </w:rPr>
        <w:fldChar w:fldCharType="separate"/>
      </w:r>
      <w:r w:rsidR="009166B4" w:rsidRPr="006E75EE">
        <w:rPr>
          <w:color w:val="auto"/>
          <w:lang w:val="en-US"/>
        </w:rPr>
        <w:t>31</w:t>
      </w:r>
      <w:r w:rsidR="00734553" w:rsidRPr="006E75EE">
        <w:rPr>
          <w:color w:val="auto"/>
          <w:lang w:val="en-US"/>
        </w:rPr>
        <w:fldChar w:fldCharType="end"/>
      </w:r>
      <w:r w:rsidRPr="006E75EE">
        <w:rPr>
          <w:color w:val="auto"/>
          <w:lang w:val="en-US"/>
        </w:rPr>
        <w:t xml:space="preserve"> [, accompanied by a standby funding commitment,</w:t>
      </w:r>
      <w:r w:rsidR="00792CA9" w:rsidRPr="006E75EE">
        <w:rPr>
          <w:rStyle w:val="FootnoteReference"/>
          <w:color w:val="auto"/>
          <w:lang w:val="en-US"/>
        </w:rPr>
        <w:footnoteReference w:id="26"/>
      </w:r>
      <w:r w:rsidRPr="006E75EE">
        <w:rPr>
          <w:color w:val="auto"/>
          <w:lang w:val="en-US"/>
        </w:rPr>
        <w:t xml:space="preserve"> that requires the affected Respondent to pay funds to or at the direction of EPA, up to the amount financially assured through the use of this demonstration in the event of a Work Takeover]</w:t>
      </w:r>
      <w:r w:rsidRPr="006E75EE">
        <w:rPr>
          <w:color w:val="auto"/>
        </w:rPr>
        <w:t xml:space="preserve">; </w:t>
      </w:r>
      <w:bookmarkStart w:id="94" w:name="_Ref243371208"/>
      <w:bookmarkEnd w:id="89"/>
      <w:bookmarkEnd w:id="90"/>
      <w:bookmarkEnd w:id="91"/>
      <w:bookmarkEnd w:id="92"/>
      <w:r w:rsidRPr="006E75EE">
        <w:rPr>
          <w:color w:val="auto"/>
          <w:lang w:val="en-US"/>
        </w:rPr>
        <w:t>or</w:t>
      </w:r>
      <w:bookmarkEnd w:id="93"/>
    </w:p>
    <w:p w14:paraId="38AE0B59" w14:textId="13FE30D9" w:rsidR="00625B8E" w:rsidRPr="006E75EE" w:rsidRDefault="00625B8E" w:rsidP="00625B8E">
      <w:pPr>
        <w:pStyle w:val="LVL2"/>
        <w:rPr>
          <w:color w:val="auto"/>
        </w:rPr>
      </w:pPr>
      <w:bookmarkStart w:id="95" w:name="_Ref247353284"/>
      <w:bookmarkStart w:id="96" w:name="_Ref362014209"/>
      <w:r w:rsidRPr="006E75EE">
        <w:rPr>
          <w:color w:val="auto"/>
        </w:rPr>
        <w:t xml:space="preserve">A guarantee to fund </w:t>
      </w:r>
      <w:r w:rsidR="00384178" w:rsidRPr="006E75EE">
        <w:rPr>
          <w:color w:val="auto"/>
          <w:lang w:val="en-US"/>
        </w:rPr>
        <w:t>to</w:t>
      </w:r>
      <w:r w:rsidRPr="006E75EE">
        <w:rPr>
          <w:color w:val="auto"/>
        </w:rPr>
        <w:t xml:space="preserve"> perform the Work executed in favor of EPA by</w:t>
      </w:r>
      <w:r w:rsidRPr="006E75EE">
        <w:rPr>
          <w:color w:val="auto"/>
          <w:lang w:val="en-US"/>
        </w:rPr>
        <w:t xml:space="preserve"> a company</w:t>
      </w:r>
      <w:r w:rsidRPr="006E75EE">
        <w:rPr>
          <w:color w:val="auto"/>
        </w:rPr>
        <w:t>: (1)</w:t>
      </w:r>
      <w:r w:rsidR="006D17BD" w:rsidRPr="006E75EE">
        <w:rPr>
          <w:color w:val="auto"/>
          <w:lang w:val="en-US"/>
        </w:rPr>
        <w:t> </w:t>
      </w:r>
      <w:r w:rsidRPr="006E75EE">
        <w:rPr>
          <w:color w:val="auto"/>
          <w:lang w:val="en-US"/>
        </w:rPr>
        <w:t xml:space="preserve">that is </w:t>
      </w:r>
      <w:r w:rsidRPr="006E75EE">
        <w:rPr>
          <w:color w:val="auto"/>
        </w:rPr>
        <w:t xml:space="preserve">a direct or indirect parent company of a </w:t>
      </w:r>
      <w:r w:rsidRPr="006E75EE">
        <w:rPr>
          <w:color w:val="auto"/>
          <w:lang w:val="en-US"/>
        </w:rPr>
        <w:t>Respondent</w:t>
      </w:r>
      <w:r w:rsidRPr="006E75EE">
        <w:rPr>
          <w:color w:val="auto"/>
        </w:rPr>
        <w:t xml:space="preserve"> or has a “substantial business relationship” (as defined in 40</w:t>
      </w:r>
      <w:r w:rsidR="006D17BD" w:rsidRPr="006E75EE">
        <w:rPr>
          <w:color w:val="auto"/>
          <w:lang w:val="en-US"/>
        </w:rPr>
        <w:t> </w:t>
      </w:r>
      <w:r w:rsidRPr="006E75EE">
        <w:rPr>
          <w:color w:val="auto"/>
        </w:rPr>
        <w:t>C.F.R. §</w:t>
      </w:r>
      <w:r w:rsidR="00276366" w:rsidRPr="006E75EE">
        <w:rPr>
          <w:color w:val="auto"/>
          <w:lang w:val="en-US"/>
        </w:rPr>
        <w:t> </w:t>
      </w:r>
      <w:r w:rsidRPr="006E75EE">
        <w:rPr>
          <w:color w:val="auto"/>
        </w:rPr>
        <w:t xml:space="preserve">264.141(h)) with a </w:t>
      </w:r>
      <w:r w:rsidRPr="006E75EE">
        <w:rPr>
          <w:color w:val="auto"/>
          <w:lang w:val="en-US"/>
        </w:rPr>
        <w:t>Respondent</w:t>
      </w:r>
      <w:r w:rsidRPr="006E75EE">
        <w:rPr>
          <w:color w:val="auto"/>
        </w:rPr>
        <w:t xml:space="preserve">; </w:t>
      </w:r>
      <w:r w:rsidRPr="006E75EE">
        <w:rPr>
          <w:color w:val="auto"/>
          <w:lang w:val="en-US"/>
        </w:rPr>
        <w:t>and (2) </w:t>
      </w:r>
      <w:r w:rsidRPr="006E75EE">
        <w:rPr>
          <w:color w:val="auto"/>
        </w:rPr>
        <w:t>demonstrate</w:t>
      </w:r>
      <w:r w:rsidRPr="006E75EE">
        <w:rPr>
          <w:color w:val="auto"/>
          <w:lang w:val="en-US"/>
        </w:rPr>
        <w:t>s</w:t>
      </w:r>
      <w:r w:rsidRPr="006E75EE">
        <w:rPr>
          <w:color w:val="auto"/>
        </w:rPr>
        <w:t xml:space="preserve"> to EPA’s satisfaction that it meets the financial test criteria of </w:t>
      </w:r>
      <w:r w:rsidR="00AD70A1" w:rsidRPr="006E75EE">
        <w:rPr>
          <w:color w:val="auto"/>
          <w:lang w:val="en-US"/>
        </w:rPr>
        <w:t>¶</w:t>
      </w:r>
      <w:r w:rsidR="00276366" w:rsidRPr="006E75EE">
        <w:rPr>
          <w:color w:val="auto"/>
          <w:lang w:val="en-US"/>
        </w:rPr>
        <w:t> </w:t>
      </w:r>
      <w:r w:rsidRPr="006E75EE">
        <w:rPr>
          <w:color w:val="auto"/>
          <w:lang w:val="en-US"/>
        </w:rPr>
        <w:fldChar w:fldCharType="begin"/>
      </w:r>
      <w:r w:rsidRPr="006E75EE">
        <w:rPr>
          <w:color w:val="auto"/>
          <w:lang w:val="en-US"/>
        </w:rPr>
        <w:instrText xml:space="preserve"> REF _Ref362013837 \r \h </w:instrText>
      </w:r>
      <w:r w:rsidR="006E75EE">
        <w:rPr>
          <w:color w:val="auto"/>
          <w:lang w:val="en-US"/>
        </w:rPr>
        <w:instrText xml:space="preserve"> \* MERGEFORMAT </w:instrText>
      </w:r>
      <w:r w:rsidRPr="006E75EE">
        <w:rPr>
          <w:color w:val="auto"/>
          <w:lang w:val="en-US"/>
        </w:rPr>
      </w:r>
      <w:r w:rsidRPr="006E75EE">
        <w:rPr>
          <w:color w:val="auto"/>
          <w:lang w:val="en-US"/>
        </w:rPr>
        <w:fldChar w:fldCharType="separate"/>
      </w:r>
      <w:r w:rsidR="009166B4" w:rsidRPr="006E75EE">
        <w:rPr>
          <w:color w:val="auto"/>
          <w:lang w:val="en-US"/>
        </w:rPr>
        <w:t>30</w:t>
      </w:r>
      <w:r w:rsidRPr="006E75EE">
        <w:rPr>
          <w:color w:val="auto"/>
          <w:lang w:val="en-US"/>
        </w:rPr>
        <w:fldChar w:fldCharType="end"/>
      </w:r>
      <w:r w:rsidRPr="006E75EE">
        <w:rPr>
          <w:color w:val="auto"/>
        </w:rPr>
        <w:t>.</w:t>
      </w:r>
      <w:bookmarkEnd w:id="94"/>
      <w:bookmarkEnd w:id="95"/>
      <w:bookmarkEnd w:id="96"/>
    </w:p>
    <w:p w14:paraId="0890F2C6" w14:textId="5D668A08" w:rsidR="00625B8E" w:rsidRPr="006E75EE" w:rsidRDefault="00625B8E" w:rsidP="00625B8E">
      <w:pPr>
        <w:pStyle w:val="LVL1"/>
      </w:pPr>
      <w:bookmarkStart w:id="97" w:name="_Ref102749723"/>
      <w:bookmarkStart w:id="98" w:name="_Ref453846382"/>
      <w:bookmarkStart w:id="99" w:name="_Ref462901925"/>
      <w:r w:rsidRPr="006E75EE">
        <w:t xml:space="preserve">Respondents </w:t>
      </w:r>
      <w:r w:rsidRPr="006E75EE">
        <w:rPr>
          <w:lang w:val="en-US"/>
        </w:rPr>
        <w:t xml:space="preserve">seeking </w:t>
      </w:r>
      <w:r w:rsidRPr="006E75EE">
        <w:t>to</w:t>
      </w:r>
      <w:r w:rsidRPr="006E75EE">
        <w:rPr>
          <w:lang w:val="en-US"/>
        </w:rPr>
        <w:t xml:space="preserve"> </w:t>
      </w:r>
      <w:r w:rsidRPr="006E75EE">
        <w:t xml:space="preserve">provide financial assurance by means of a demonstration or guarantee under </w:t>
      </w:r>
      <w:r w:rsidR="00AD70A1" w:rsidRPr="006E75EE">
        <w:t>¶</w:t>
      </w:r>
      <w:r w:rsidR="00276366" w:rsidRPr="006E75EE">
        <w:rPr>
          <w:lang w:val="en-US"/>
        </w:rPr>
        <w:t> </w:t>
      </w:r>
      <w:r w:rsidRPr="006E75EE">
        <w:rPr>
          <w:lang w:val="en-US"/>
        </w:rPr>
        <w:fldChar w:fldCharType="begin"/>
      </w:r>
      <w:r w:rsidRPr="006E75EE">
        <w:rPr>
          <w:lang w:val="en-US"/>
        </w:rPr>
        <w:instrText xml:space="preserve"> REF _Ref462901235 \r \h </w:instrText>
      </w:r>
      <w:r w:rsidR="006E75EE">
        <w:rPr>
          <w:lang w:val="en-US"/>
        </w:rPr>
        <w:instrText xml:space="preserve"> \* MERGEFORMAT </w:instrText>
      </w:r>
      <w:r w:rsidRPr="006E75EE">
        <w:rPr>
          <w:lang w:val="en-US"/>
        </w:rPr>
      </w:r>
      <w:r w:rsidRPr="006E75EE">
        <w:rPr>
          <w:lang w:val="en-US"/>
        </w:rPr>
        <w:fldChar w:fldCharType="separate"/>
      </w:r>
      <w:r w:rsidR="009166B4" w:rsidRPr="006E75EE">
        <w:rPr>
          <w:lang w:val="en-US"/>
        </w:rPr>
        <w:t>30.e</w:t>
      </w:r>
      <w:r w:rsidRPr="006E75EE">
        <w:rPr>
          <w:lang w:val="en-US"/>
        </w:rPr>
        <w:fldChar w:fldCharType="end"/>
      </w:r>
      <w:r w:rsidRPr="006E75EE">
        <w:t xml:space="preserve"> or </w:t>
      </w:r>
      <w:r w:rsidRPr="006E75EE">
        <w:fldChar w:fldCharType="begin"/>
      </w:r>
      <w:r w:rsidRPr="006E75EE">
        <w:instrText xml:space="preserve"> REF _Ref247353284 \r \h </w:instrText>
      </w:r>
      <w:r w:rsidR="006E75EE">
        <w:instrText xml:space="preserve"> \* MERGEFORMAT </w:instrText>
      </w:r>
      <w:r w:rsidRPr="006E75EE">
        <w:fldChar w:fldCharType="separate"/>
      </w:r>
      <w:r w:rsidR="009166B4" w:rsidRPr="006E75EE">
        <w:t>30.f</w:t>
      </w:r>
      <w:r w:rsidRPr="006E75EE">
        <w:fldChar w:fldCharType="end"/>
      </w:r>
      <w:r w:rsidRPr="006E75EE">
        <w:rPr>
          <w:lang w:val="en-US"/>
        </w:rPr>
        <w:t xml:space="preserve"> </w:t>
      </w:r>
      <w:r w:rsidR="00627152" w:rsidRPr="006E75EE">
        <w:rPr>
          <w:lang w:val="en-US"/>
        </w:rPr>
        <w:t>shall</w:t>
      </w:r>
      <w:r w:rsidRPr="006E75EE">
        <w:rPr>
          <w:lang w:val="en-US"/>
        </w:rPr>
        <w:t>, within [30]</w:t>
      </w:r>
      <w:r w:rsidR="00276366" w:rsidRPr="006E75EE">
        <w:rPr>
          <w:lang w:val="en-US"/>
        </w:rPr>
        <w:t> </w:t>
      </w:r>
      <w:r w:rsidRPr="006E75EE">
        <w:rPr>
          <w:lang w:val="en-US"/>
        </w:rPr>
        <w:t>days of the Effective Date:</w:t>
      </w:r>
      <w:bookmarkEnd w:id="97"/>
    </w:p>
    <w:p w14:paraId="3BBE571E" w14:textId="77777777" w:rsidR="00625B8E" w:rsidRPr="006E75EE" w:rsidRDefault="00625B8E" w:rsidP="000808D6">
      <w:pPr>
        <w:pStyle w:val="LVL2"/>
        <w:tabs>
          <w:tab w:val="clear" w:pos="2160"/>
        </w:tabs>
        <w:rPr>
          <w:color w:val="auto"/>
        </w:rPr>
      </w:pPr>
      <w:r w:rsidRPr="006E75EE">
        <w:rPr>
          <w:color w:val="auto"/>
        </w:rPr>
        <w:t>Demonstrate that:</w:t>
      </w:r>
    </w:p>
    <w:p w14:paraId="1020F4CA" w14:textId="77777777" w:rsidR="00625B8E" w:rsidRPr="006E75EE" w:rsidRDefault="00625B8E" w:rsidP="005510E1">
      <w:pPr>
        <w:pStyle w:val="LVL3"/>
        <w:rPr>
          <w:color w:val="auto"/>
        </w:rPr>
      </w:pPr>
      <w:r w:rsidRPr="006E75EE">
        <w:rPr>
          <w:color w:val="auto"/>
        </w:rPr>
        <w:t>the affected Respondent or guarantor has:</w:t>
      </w:r>
    </w:p>
    <w:p w14:paraId="5B5BA985" w14:textId="22969E57" w:rsidR="00625B8E" w:rsidRPr="006E75EE" w:rsidRDefault="00FB5678" w:rsidP="00C76313">
      <w:pPr>
        <w:pStyle w:val="LVL4"/>
      </w:pPr>
      <w:r w:rsidRPr="006E75EE">
        <w:t>t</w:t>
      </w:r>
      <w:r w:rsidR="00625B8E" w:rsidRPr="006E75EE">
        <w:t>wo of the following three ratios: a ratio of total liabilities to net worth less than 2.0; a ratio of the sum of net income plus depreciation, depletion, and amortization to total liabilities greater than 0.1; and a ratio of current assets to current liabilities greater than 1.5; and</w:t>
      </w:r>
    </w:p>
    <w:p w14:paraId="66833FBC" w14:textId="65E5B48E" w:rsidR="00625B8E" w:rsidRPr="006E75EE" w:rsidRDefault="00FB5678" w:rsidP="00C76313">
      <w:pPr>
        <w:pStyle w:val="LVL4"/>
      </w:pPr>
      <w:bookmarkStart w:id="100" w:name="i_1_ii_B"/>
      <w:r w:rsidRPr="006E75EE">
        <w:t>n</w:t>
      </w:r>
      <w:r w:rsidR="00625B8E" w:rsidRPr="006E75EE">
        <w:t xml:space="preserve">et working capital and tangible net </w:t>
      </w:r>
      <w:proofErr w:type="gramStart"/>
      <w:r w:rsidR="00625B8E" w:rsidRPr="006E75EE">
        <w:t>worth each</w:t>
      </w:r>
      <w:proofErr w:type="gramEnd"/>
      <w:r w:rsidR="00625B8E" w:rsidRPr="006E75EE">
        <w:t xml:space="preserve"> at least six</w:t>
      </w:r>
      <w:r w:rsidR="001C1868" w:rsidRPr="006E75EE">
        <w:t> </w:t>
      </w:r>
      <w:r w:rsidR="00625B8E" w:rsidRPr="006E75EE">
        <w:t xml:space="preserve">times the sum of the Estimated Cost of the Work and the amounts, if any, of other federal, state, or tribal environmental obligations financially assured </w:t>
      </w:r>
      <w:proofErr w:type="gramStart"/>
      <w:r w:rsidR="00625B8E" w:rsidRPr="006E75EE">
        <w:t>through the use of</w:t>
      </w:r>
      <w:proofErr w:type="gramEnd"/>
      <w:r w:rsidR="00625B8E" w:rsidRPr="006E75EE">
        <w:t xml:space="preserve"> a financial test or guarantee</w:t>
      </w:r>
      <w:bookmarkStart w:id="101" w:name="i_1_ii_C"/>
      <w:r w:rsidR="00625B8E" w:rsidRPr="006E75EE">
        <w:t xml:space="preserve">; and </w:t>
      </w:r>
    </w:p>
    <w:p w14:paraId="54310921" w14:textId="755AEE32" w:rsidR="00625B8E" w:rsidRPr="006E75EE" w:rsidRDefault="00FB5678" w:rsidP="00C76313">
      <w:pPr>
        <w:pStyle w:val="LVL4"/>
      </w:pPr>
      <w:r w:rsidRPr="006E75EE">
        <w:t>t</w:t>
      </w:r>
      <w:r w:rsidR="00625B8E" w:rsidRPr="006E75EE">
        <w:t xml:space="preserve">angible net </w:t>
      </w:r>
      <w:proofErr w:type="gramStart"/>
      <w:r w:rsidR="00625B8E" w:rsidRPr="006E75EE">
        <w:t>worth of</w:t>
      </w:r>
      <w:proofErr w:type="gramEnd"/>
      <w:r w:rsidR="00625B8E" w:rsidRPr="006E75EE">
        <w:t xml:space="preserve"> at least $10</w:t>
      </w:r>
      <w:r w:rsidR="00634FD2" w:rsidRPr="006E75EE">
        <w:t> </w:t>
      </w:r>
      <w:r w:rsidR="00625B8E" w:rsidRPr="006E75EE">
        <w:t xml:space="preserve">million; and </w:t>
      </w:r>
      <w:bookmarkStart w:id="102" w:name="i_1_ii_D"/>
    </w:p>
    <w:p w14:paraId="78381E29" w14:textId="6F535978" w:rsidR="00625B8E" w:rsidRPr="006E75EE" w:rsidRDefault="00FB5678" w:rsidP="00C76313">
      <w:pPr>
        <w:pStyle w:val="LVL4"/>
      </w:pPr>
      <w:r w:rsidRPr="006E75EE">
        <w:t>a</w:t>
      </w:r>
      <w:r w:rsidR="00625B8E" w:rsidRPr="006E75EE">
        <w:t>ssets located in the United States amounting to at least 90 percent of total assets or at least six</w:t>
      </w:r>
      <w:r w:rsidR="001C1868" w:rsidRPr="006E75EE">
        <w:t> </w:t>
      </w:r>
      <w:r w:rsidR="00625B8E" w:rsidRPr="006E75EE">
        <w:t xml:space="preserve">times the sum of the Estimated Cost of the Work and the amounts, if any, of other federal, state, or tribal environmental obligations financially assured </w:t>
      </w:r>
      <w:proofErr w:type="gramStart"/>
      <w:r w:rsidR="00625B8E" w:rsidRPr="006E75EE">
        <w:t>through the use of</w:t>
      </w:r>
      <w:proofErr w:type="gramEnd"/>
      <w:r w:rsidR="00625B8E" w:rsidRPr="006E75EE">
        <w:t xml:space="preserve"> a financial test or guarantee; or </w:t>
      </w:r>
    </w:p>
    <w:p w14:paraId="1BEA0FAC" w14:textId="7C4348A6" w:rsidR="00625B8E" w:rsidRPr="006E75EE" w:rsidRDefault="003A6DE6" w:rsidP="005510E1">
      <w:pPr>
        <w:pStyle w:val="LVL3"/>
        <w:rPr>
          <w:color w:val="auto"/>
        </w:rPr>
      </w:pPr>
      <w:bookmarkStart w:id="103" w:name="_Ref445135255"/>
      <w:proofErr w:type="spellStart"/>
      <w:r w:rsidRPr="006E75EE">
        <w:rPr>
          <w:color w:val="auto"/>
          <w:lang w:val="en-US"/>
        </w:rPr>
        <w:t>t</w:t>
      </w:r>
      <w:r w:rsidR="00625B8E" w:rsidRPr="006E75EE">
        <w:rPr>
          <w:color w:val="auto"/>
        </w:rPr>
        <w:t>he</w:t>
      </w:r>
      <w:proofErr w:type="spellEnd"/>
      <w:r w:rsidR="00625B8E" w:rsidRPr="006E75EE">
        <w:rPr>
          <w:color w:val="auto"/>
        </w:rPr>
        <w:t xml:space="preserve"> affected Respondent or </w:t>
      </w:r>
      <w:r w:rsidR="00625B8E" w:rsidRPr="006E75EE">
        <w:rPr>
          <w:bCs/>
          <w:color w:val="auto"/>
          <w:lang w:val="en"/>
        </w:rPr>
        <w:t>guarantor has:</w:t>
      </w:r>
      <w:bookmarkEnd w:id="103"/>
    </w:p>
    <w:p w14:paraId="7D67E7DD" w14:textId="5EC5498D" w:rsidR="00625B8E" w:rsidRPr="006E75EE" w:rsidRDefault="003A6DE6" w:rsidP="002C1FF9">
      <w:pPr>
        <w:pStyle w:val="LVL4"/>
      </w:pPr>
      <w:r w:rsidRPr="006E75EE">
        <w:t>a</w:t>
      </w:r>
      <w:r w:rsidR="00625B8E" w:rsidRPr="006E75EE">
        <w:t xml:space="preserve"> current rating for its senior unsecured debt of AAA, AA, A, or BBB as issued by Standard and Poor’s or </w:t>
      </w:r>
      <w:proofErr w:type="spellStart"/>
      <w:r w:rsidR="00625B8E" w:rsidRPr="006E75EE">
        <w:t>Aaa</w:t>
      </w:r>
      <w:proofErr w:type="spellEnd"/>
      <w:r w:rsidR="00625B8E" w:rsidRPr="006E75EE">
        <w:t xml:space="preserve">, Aa, A or Baa as issued by Moody’s; and </w:t>
      </w:r>
      <w:bookmarkEnd w:id="100"/>
    </w:p>
    <w:p w14:paraId="1636F3D6" w14:textId="67334F83" w:rsidR="00625B8E" w:rsidRPr="006E75EE" w:rsidRDefault="003A6DE6" w:rsidP="002C1FF9">
      <w:pPr>
        <w:pStyle w:val="LVL4"/>
      </w:pPr>
      <w:r w:rsidRPr="006E75EE">
        <w:lastRenderedPageBreak/>
        <w:t>t</w:t>
      </w:r>
      <w:r w:rsidR="00625B8E" w:rsidRPr="006E75EE">
        <w:t>angible net worth at least six</w:t>
      </w:r>
      <w:r w:rsidR="001C1868" w:rsidRPr="006E75EE">
        <w:t> </w:t>
      </w:r>
      <w:r w:rsidR="00625B8E" w:rsidRPr="006E75EE">
        <w:t xml:space="preserve">times the sum of the Estimated Cost of the Work and the amounts, if any, of other federal, state, or tribal environmental obligations financially assured </w:t>
      </w:r>
      <w:proofErr w:type="gramStart"/>
      <w:r w:rsidR="00625B8E" w:rsidRPr="006E75EE">
        <w:t>through the use of</w:t>
      </w:r>
      <w:proofErr w:type="gramEnd"/>
      <w:r w:rsidR="00625B8E" w:rsidRPr="006E75EE">
        <w:t xml:space="preserve"> a financial test or guarantee; and </w:t>
      </w:r>
      <w:bookmarkEnd w:id="101"/>
    </w:p>
    <w:p w14:paraId="5535179B" w14:textId="52C91E00" w:rsidR="00625B8E" w:rsidRPr="006E75EE" w:rsidRDefault="003A6DE6" w:rsidP="002C1FF9">
      <w:pPr>
        <w:pStyle w:val="LVL4"/>
      </w:pPr>
      <w:r w:rsidRPr="006E75EE">
        <w:t>t</w:t>
      </w:r>
      <w:r w:rsidR="00625B8E" w:rsidRPr="006E75EE">
        <w:t xml:space="preserve">angible net </w:t>
      </w:r>
      <w:proofErr w:type="gramStart"/>
      <w:r w:rsidR="00625B8E" w:rsidRPr="006E75EE">
        <w:t>worth of</w:t>
      </w:r>
      <w:proofErr w:type="gramEnd"/>
      <w:r w:rsidR="00625B8E" w:rsidRPr="006E75EE">
        <w:t xml:space="preserve"> at least $10</w:t>
      </w:r>
      <w:r w:rsidR="00634FD2" w:rsidRPr="006E75EE">
        <w:t> </w:t>
      </w:r>
      <w:r w:rsidR="00625B8E" w:rsidRPr="006E75EE">
        <w:t xml:space="preserve">million; and </w:t>
      </w:r>
      <w:bookmarkEnd w:id="102"/>
    </w:p>
    <w:p w14:paraId="70D77E5B" w14:textId="11BA2CE1" w:rsidR="00625B8E" w:rsidRPr="006E75EE" w:rsidRDefault="003A6DE6" w:rsidP="002C1FF9">
      <w:pPr>
        <w:pStyle w:val="LVL4"/>
      </w:pPr>
      <w:r w:rsidRPr="006E75EE">
        <w:t>a</w:t>
      </w:r>
      <w:r w:rsidR="00625B8E" w:rsidRPr="006E75EE">
        <w:t xml:space="preserve">ssets located in the United States amounting to at least 90 percent of total assets or at least six times the sum of the Estimated Cost of the Work and the amounts, if any, of other federal, state, or tribal environmental obligations financially assured </w:t>
      </w:r>
      <w:proofErr w:type="gramStart"/>
      <w:r w:rsidR="00625B8E" w:rsidRPr="006E75EE">
        <w:t>through the use of</w:t>
      </w:r>
      <w:proofErr w:type="gramEnd"/>
      <w:r w:rsidR="00625B8E" w:rsidRPr="006E75EE">
        <w:t xml:space="preserve"> a financial test or guarantee; and </w:t>
      </w:r>
    </w:p>
    <w:p w14:paraId="16175C3A" w14:textId="0AAA6B29" w:rsidR="00625B8E" w:rsidRPr="006E75EE" w:rsidRDefault="003A6DE6" w:rsidP="00625B8E">
      <w:pPr>
        <w:pStyle w:val="LVL2"/>
        <w:rPr>
          <w:color w:val="auto"/>
        </w:rPr>
      </w:pPr>
      <w:bookmarkStart w:id="104" w:name="_Ref453847742"/>
      <w:r w:rsidRPr="006E75EE">
        <w:rPr>
          <w:color w:val="auto"/>
          <w:lang w:val="en"/>
        </w:rPr>
        <w:t>s</w:t>
      </w:r>
      <w:r w:rsidR="00625B8E" w:rsidRPr="006E75EE">
        <w:rPr>
          <w:color w:val="auto"/>
          <w:lang w:val="en"/>
        </w:rPr>
        <w:t xml:space="preserve">ubmit to </w:t>
      </w:r>
      <w:bookmarkStart w:id="105" w:name="_Ref449363038"/>
      <w:r w:rsidR="00625B8E" w:rsidRPr="006E75EE">
        <w:rPr>
          <w:color w:val="auto"/>
        </w:rPr>
        <w:t>EPA for the affected Respondent or guarantor: (1)</w:t>
      </w:r>
      <w:r w:rsidR="006D17BD" w:rsidRPr="006E75EE">
        <w:rPr>
          <w:color w:val="auto"/>
          <w:lang w:val="en-US"/>
        </w:rPr>
        <w:t> </w:t>
      </w:r>
      <w:r w:rsidR="00625B8E" w:rsidRPr="006E75EE">
        <w:rPr>
          <w:color w:val="auto"/>
        </w:rPr>
        <w:t>a copy of an independent certified public accountant’s report of the entity’s financial statements for the latest completed fiscal year, which must not express an adverse opinion or disclaimer of opinion; and (2)</w:t>
      </w:r>
      <w:r w:rsidR="00625B8E" w:rsidRPr="006E75EE">
        <w:rPr>
          <w:color w:val="auto"/>
          <w:lang w:val="en-US"/>
        </w:rPr>
        <w:t> </w:t>
      </w:r>
      <w:r w:rsidR="00625B8E" w:rsidRPr="006E75EE">
        <w:rPr>
          <w:color w:val="auto"/>
        </w:rPr>
        <w:t>a letter from its chief financial officer and a report from an independent certified public accountant substantially identical to the sample letter and reports available from EPA</w:t>
      </w:r>
      <w:r w:rsidR="00625B8E" w:rsidRPr="006E75EE">
        <w:rPr>
          <w:color w:val="auto"/>
          <w:lang w:val="en-US"/>
        </w:rPr>
        <w:t xml:space="preserve">. As of the date of signature of this Settlement, a sample letter and report are available </w:t>
      </w:r>
      <w:r w:rsidR="00625B8E" w:rsidRPr="006E75EE">
        <w:rPr>
          <w:color w:val="auto"/>
        </w:rPr>
        <w:t>under the “Financial Assurance</w:t>
      </w:r>
      <w:r w:rsidR="00625B8E" w:rsidRPr="006E75EE">
        <w:rPr>
          <w:color w:val="auto"/>
          <w:lang w:val="en-US"/>
        </w:rPr>
        <w:t xml:space="preserve"> </w:t>
      </w:r>
      <w:r w:rsidR="00625B8E" w:rsidRPr="006E75EE">
        <w:rPr>
          <w:color w:val="auto"/>
        </w:rPr>
        <w:t>-</w:t>
      </w:r>
      <w:r w:rsidR="00625B8E" w:rsidRPr="006E75EE">
        <w:rPr>
          <w:color w:val="auto"/>
          <w:lang w:val="en-US"/>
        </w:rPr>
        <w:t xml:space="preserve"> </w:t>
      </w:r>
      <w:r w:rsidR="00625B8E" w:rsidRPr="006E75EE">
        <w:rPr>
          <w:color w:val="auto"/>
        </w:rPr>
        <w:t xml:space="preserve">Settlements” subject list category on the Cleanup Enforcement Model Language and Sample Documents Database at </w:t>
      </w:r>
      <w:hyperlink r:id="rId10" w:history="1">
        <w:r w:rsidR="00625B8E" w:rsidRPr="006E75EE">
          <w:rPr>
            <w:rStyle w:val="Hyperlink"/>
            <w:color w:val="auto"/>
          </w:rPr>
          <w:t>https://cfpub.epa.gov/compliance/models/</w:t>
        </w:r>
      </w:hyperlink>
      <w:r w:rsidR="00625B8E" w:rsidRPr="006E75EE">
        <w:rPr>
          <w:color w:val="auto"/>
        </w:rPr>
        <w:t>.</w:t>
      </w:r>
      <w:bookmarkEnd w:id="104"/>
      <w:bookmarkEnd w:id="105"/>
    </w:p>
    <w:bookmarkEnd w:id="98"/>
    <w:p w14:paraId="1939D798" w14:textId="089A9715" w:rsidR="00625B8E" w:rsidRPr="006E75EE" w:rsidRDefault="00625B8E" w:rsidP="00625B8E">
      <w:pPr>
        <w:pStyle w:val="LVL1"/>
      </w:pPr>
      <w:r w:rsidRPr="006E75EE">
        <w:t xml:space="preserve">Respondents providing financial assurance by means of a demonstration or guarantee under </w:t>
      </w:r>
      <w:r w:rsidR="00AD70A1" w:rsidRPr="006E75EE">
        <w:t>¶</w:t>
      </w:r>
      <w:r w:rsidR="00276366" w:rsidRPr="006E75EE">
        <w:rPr>
          <w:lang w:val="en-US"/>
        </w:rPr>
        <w:t> </w:t>
      </w:r>
      <w:r w:rsidRPr="006E75EE">
        <w:rPr>
          <w:lang w:val="en-US"/>
        </w:rPr>
        <w:fldChar w:fldCharType="begin"/>
      </w:r>
      <w:r w:rsidRPr="006E75EE">
        <w:rPr>
          <w:lang w:val="en-US"/>
        </w:rPr>
        <w:instrText xml:space="preserve"> REF _Ref462901235 \r \h </w:instrText>
      </w:r>
      <w:r w:rsidR="006E75EE">
        <w:rPr>
          <w:lang w:val="en-US"/>
        </w:rPr>
        <w:instrText xml:space="preserve"> \* MERGEFORMAT </w:instrText>
      </w:r>
      <w:r w:rsidRPr="006E75EE">
        <w:rPr>
          <w:lang w:val="en-US"/>
        </w:rPr>
      </w:r>
      <w:r w:rsidRPr="006E75EE">
        <w:rPr>
          <w:lang w:val="en-US"/>
        </w:rPr>
        <w:fldChar w:fldCharType="separate"/>
      </w:r>
      <w:r w:rsidR="009166B4" w:rsidRPr="006E75EE">
        <w:rPr>
          <w:lang w:val="en-US"/>
        </w:rPr>
        <w:t>30.e</w:t>
      </w:r>
      <w:r w:rsidRPr="006E75EE">
        <w:rPr>
          <w:lang w:val="en-US"/>
        </w:rPr>
        <w:fldChar w:fldCharType="end"/>
      </w:r>
      <w:r w:rsidRPr="006E75EE">
        <w:t xml:space="preserve"> or </w:t>
      </w:r>
      <w:r w:rsidRPr="006E75EE">
        <w:fldChar w:fldCharType="begin"/>
      </w:r>
      <w:r w:rsidRPr="006E75EE">
        <w:instrText xml:space="preserve"> REF _Ref247353284 \r \h </w:instrText>
      </w:r>
      <w:r w:rsidR="006E75EE">
        <w:instrText xml:space="preserve"> \* MERGEFORMAT </w:instrText>
      </w:r>
      <w:r w:rsidRPr="006E75EE">
        <w:fldChar w:fldCharType="separate"/>
      </w:r>
      <w:r w:rsidR="009166B4" w:rsidRPr="006E75EE">
        <w:t>30.f</w:t>
      </w:r>
      <w:r w:rsidRPr="006E75EE">
        <w:fldChar w:fldCharType="end"/>
      </w:r>
      <w:r w:rsidRPr="006E75EE">
        <w:rPr>
          <w:lang w:val="en-US"/>
        </w:rPr>
        <w:t xml:space="preserve"> </w:t>
      </w:r>
      <w:r w:rsidR="00D74987" w:rsidRPr="006E75EE">
        <w:rPr>
          <w:lang w:val="en-US"/>
        </w:rPr>
        <w:t>shall</w:t>
      </w:r>
      <w:r w:rsidRPr="006E75EE">
        <w:t xml:space="preserve"> also:</w:t>
      </w:r>
    </w:p>
    <w:p w14:paraId="5B109060" w14:textId="2DA2B947" w:rsidR="00625B8E" w:rsidRPr="006E75EE" w:rsidRDefault="00F5578A" w:rsidP="00625B8E">
      <w:pPr>
        <w:pStyle w:val="LVL2"/>
        <w:rPr>
          <w:color w:val="auto"/>
        </w:rPr>
      </w:pPr>
      <w:r w:rsidRPr="006E75EE">
        <w:rPr>
          <w:color w:val="auto"/>
          <w:lang w:val="en-US"/>
        </w:rPr>
        <w:t>annually</w:t>
      </w:r>
      <w:r w:rsidR="00625B8E" w:rsidRPr="006E75EE">
        <w:rPr>
          <w:color w:val="auto"/>
        </w:rPr>
        <w:t xml:space="preserve"> resubmit the documents described in </w:t>
      </w:r>
      <w:r w:rsidR="00AD70A1" w:rsidRPr="006E75EE">
        <w:rPr>
          <w:color w:val="auto"/>
        </w:rPr>
        <w:t>¶</w:t>
      </w:r>
      <w:r w:rsidR="00276366" w:rsidRPr="006E75EE">
        <w:rPr>
          <w:color w:val="auto"/>
          <w:lang w:val="en-US"/>
        </w:rPr>
        <w:t> </w:t>
      </w:r>
      <w:r w:rsidR="00625B8E" w:rsidRPr="006E75EE">
        <w:rPr>
          <w:color w:val="auto"/>
        </w:rPr>
        <w:fldChar w:fldCharType="begin"/>
      </w:r>
      <w:r w:rsidR="00625B8E" w:rsidRPr="006E75EE">
        <w:rPr>
          <w:color w:val="auto"/>
        </w:rPr>
        <w:instrText xml:space="preserve"> REF _Ref453847742 \r \h </w:instrText>
      </w:r>
      <w:r w:rsidR="006E75EE">
        <w:rPr>
          <w:color w:val="auto"/>
        </w:rPr>
        <w:instrText xml:space="preserve"> \* MERGEFORMAT </w:instrText>
      </w:r>
      <w:r w:rsidR="00625B8E" w:rsidRPr="006E75EE">
        <w:rPr>
          <w:color w:val="auto"/>
        </w:rPr>
      </w:r>
      <w:r w:rsidR="00625B8E" w:rsidRPr="006E75EE">
        <w:rPr>
          <w:color w:val="auto"/>
        </w:rPr>
        <w:fldChar w:fldCharType="separate"/>
      </w:r>
      <w:r w:rsidR="009166B4" w:rsidRPr="006E75EE">
        <w:rPr>
          <w:color w:val="auto"/>
        </w:rPr>
        <w:t>31.b</w:t>
      </w:r>
      <w:r w:rsidR="00625B8E" w:rsidRPr="006E75EE">
        <w:rPr>
          <w:color w:val="auto"/>
        </w:rPr>
        <w:fldChar w:fldCharType="end"/>
      </w:r>
      <w:r w:rsidR="00625B8E" w:rsidRPr="006E75EE">
        <w:rPr>
          <w:color w:val="auto"/>
        </w:rPr>
        <w:t xml:space="preserve"> within 90</w:t>
      </w:r>
      <w:r w:rsidR="00625B8E" w:rsidRPr="006E75EE">
        <w:rPr>
          <w:color w:val="auto"/>
          <w:lang w:val="en-US"/>
        </w:rPr>
        <w:t> </w:t>
      </w:r>
      <w:r w:rsidR="00625B8E" w:rsidRPr="006E75EE">
        <w:rPr>
          <w:color w:val="auto"/>
        </w:rPr>
        <w:t xml:space="preserve">days after the close of the affected </w:t>
      </w:r>
      <w:r w:rsidR="00625B8E" w:rsidRPr="006E75EE">
        <w:rPr>
          <w:color w:val="auto"/>
          <w:lang w:val="en"/>
        </w:rPr>
        <w:t>Respondent’s</w:t>
      </w:r>
      <w:r w:rsidR="00625B8E" w:rsidRPr="006E75EE">
        <w:rPr>
          <w:color w:val="auto"/>
        </w:rPr>
        <w:t xml:space="preserve"> or guarantor’s fiscal </w:t>
      </w:r>
      <w:proofErr w:type="gramStart"/>
      <w:r w:rsidR="00625B8E" w:rsidRPr="006E75EE">
        <w:rPr>
          <w:color w:val="auto"/>
        </w:rPr>
        <w:t>year;</w:t>
      </w:r>
      <w:proofErr w:type="gramEnd"/>
      <w:r w:rsidR="00625B8E" w:rsidRPr="006E75EE">
        <w:rPr>
          <w:color w:val="auto"/>
        </w:rPr>
        <w:t xml:space="preserve"> </w:t>
      </w:r>
    </w:p>
    <w:p w14:paraId="257F8885" w14:textId="2A403795" w:rsidR="00625B8E" w:rsidRPr="006E75EE" w:rsidRDefault="00F5578A" w:rsidP="00625B8E">
      <w:pPr>
        <w:pStyle w:val="LVL2"/>
        <w:rPr>
          <w:color w:val="auto"/>
        </w:rPr>
      </w:pPr>
      <w:r w:rsidRPr="006E75EE">
        <w:rPr>
          <w:color w:val="auto"/>
          <w:lang w:val="en-US"/>
        </w:rPr>
        <w:t>notify</w:t>
      </w:r>
      <w:r w:rsidR="00625B8E" w:rsidRPr="006E75EE">
        <w:rPr>
          <w:color w:val="auto"/>
        </w:rPr>
        <w:t xml:space="preserve"> EPA within 30</w:t>
      </w:r>
      <w:r w:rsidR="00276366" w:rsidRPr="006E75EE">
        <w:rPr>
          <w:color w:val="auto"/>
          <w:lang w:val="en-US"/>
        </w:rPr>
        <w:t> </w:t>
      </w:r>
      <w:r w:rsidR="00625B8E" w:rsidRPr="006E75EE">
        <w:rPr>
          <w:color w:val="auto"/>
        </w:rPr>
        <w:t xml:space="preserve">days after the affected Respondent or guarantor determines that it no longer satisfies the relevant financial test criteria and requirements set forth in this Section; and </w:t>
      </w:r>
    </w:p>
    <w:p w14:paraId="28A52165" w14:textId="0FD8F9D3" w:rsidR="00625B8E" w:rsidRPr="006E75EE" w:rsidRDefault="00F5578A" w:rsidP="00625B8E">
      <w:pPr>
        <w:pStyle w:val="LVL2"/>
        <w:rPr>
          <w:color w:val="auto"/>
        </w:rPr>
      </w:pPr>
      <w:r w:rsidRPr="006E75EE">
        <w:rPr>
          <w:color w:val="auto"/>
          <w:lang w:val="en-US"/>
        </w:rPr>
        <w:t>provide</w:t>
      </w:r>
      <w:r w:rsidR="00625B8E" w:rsidRPr="006E75EE">
        <w:rPr>
          <w:color w:val="auto"/>
        </w:rPr>
        <w:t xml:space="preserve"> to EPA, within 30</w:t>
      </w:r>
      <w:r w:rsidR="00276366" w:rsidRPr="006E75EE">
        <w:rPr>
          <w:color w:val="auto"/>
          <w:lang w:val="en-US"/>
        </w:rPr>
        <w:t> </w:t>
      </w:r>
      <w:r w:rsidR="00625B8E" w:rsidRPr="006E75EE">
        <w:rPr>
          <w:color w:val="auto"/>
        </w:rPr>
        <w:t xml:space="preserve">days of EPA’s request, reports of the financial condition of the affected Respondent or guarantor in addition to those specified in </w:t>
      </w:r>
      <w:r w:rsidR="00AD70A1" w:rsidRPr="006E75EE">
        <w:rPr>
          <w:color w:val="auto"/>
        </w:rPr>
        <w:t>¶</w:t>
      </w:r>
      <w:r w:rsidR="00276366" w:rsidRPr="006E75EE">
        <w:rPr>
          <w:color w:val="auto"/>
          <w:lang w:val="en-US"/>
        </w:rPr>
        <w:t> </w:t>
      </w:r>
      <w:r w:rsidR="00625B8E" w:rsidRPr="006E75EE">
        <w:rPr>
          <w:color w:val="auto"/>
        </w:rPr>
        <w:fldChar w:fldCharType="begin"/>
      </w:r>
      <w:r w:rsidR="00625B8E" w:rsidRPr="006E75EE">
        <w:rPr>
          <w:color w:val="auto"/>
        </w:rPr>
        <w:instrText xml:space="preserve"> REF _Ref453847742 \w \h  \* MERGEFORMAT </w:instrText>
      </w:r>
      <w:r w:rsidR="00625B8E" w:rsidRPr="006E75EE">
        <w:rPr>
          <w:color w:val="auto"/>
        </w:rPr>
      </w:r>
      <w:r w:rsidR="00625B8E" w:rsidRPr="006E75EE">
        <w:rPr>
          <w:color w:val="auto"/>
        </w:rPr>
        <w:fldChar w:fldCharType="separate"/>
      </w:r>
      <w:r w:rsidR="009166B4" w:rsidRPr="006E75EE">
        <w:rPr>
          <w:color w:val="auto"/>
          <w:lang w:val="en-US"/>
        </w:rPr>
        <w:t>31.b</w:t>
      </w:r>
      <w:r w:rsidR="00625B8E" w:rsidRPr="006E75EE">
        <w:rPr>
          <w:color w:val="auto"/>
        </w:rPr>
        <w:fldChar w:fldCharType="end"/>
      </w:r>
      <w:r w:rsidR="00625B8E" w:rsidRPr="006E75EE">
        <w:rPr>
          <w:color w:val="auto"/>
        </w:rPr>
        <w:t>; EPA may make such a request at any time based on a belief that the affected Respondent or guarantor may no longer meet the financial test requirements of this Section.</w:t>
      </w:r>
    </w:p>
    <w:p w14:paraId="38343C9B" w14:textId="56AA988E" w:rsidR="009602C6" w:rsidRPr="006E75EE" w:rsidRDefault="00B915E7" w:rsidP="009602C6">
      <w:pPr>
        <w:pStyle w:val="LVL1"/>
      </w:pPr>
      <w:bookmarkStart w:id="106" w:name="_Ref453845699"/>
      <w:bookmarkStart w:id="107" w:name="_Ref462906777"/>
      <w:bookmarkStart w:id="108" w:name="_Ref243371185"/>
      <w:bookmarkStart w:id="109" w:name="_Ref362014176"/>
      <w:bookmarkStart w:id="110" w:name="_Ref92192954"/>
      <w:r w:rsidRPr="006E75EE">
        <w:rPr>
          <w:lang w:val="en-US"/>
        </w:rPr>
        <w:t>[</w:t>
      </w:r>
      <w:r w:rsidR="009602C6" w:rsidRPr="006E75EE">
        <w:rPr>
          <w:lang w:val="en-US"/>
        </w:rPr>
        <w:t>Respondent</w:t>
      </w:r>
      <w:r w:rsidR="009602C6" w:rsidRPr="006E75EE">
        <w:t>s have selected, and EPA has found satisfactory, a [</w:t>
      </w:r>
      <w:r w:rsidR="009602C6" w:rsidRPr="006E75EE">
        <w:rPr>
          <w:b/>
        </w:rPr>
        <w:t>insert type</w:t>
      </w:r>
      <w:r w:rsidR="009602C6" w:rsidRPr="006E75EE">
        <w:t xml:space="preserve">] as an initial </w:t>
      </w:r>
      <w:r w:rsidR="009602C6" w:rsidRPr="006E75EE">
        <w:rPr>
          <w:lang w:val="en-US"/>
        </w:rPr>
        <w:t xml:space="preserve">form of </w:t>
      </w:r>
      <w:r w:rsidR="009602C6" w:rsidRPr="006E75EE">
        <w:t>financial assurance.</w:t>
      </w:r>
      <w:r w:rsidRPr="006E75EE">
        <w:t>]</w:t>
      </w:r>
      <w:r w:rsidR="009A2E32" w:rsidRPr="006E75EE">
        <w:rPr>
          <w:rStyle w:val="FootnoteReference"/>
          <w:color w:val="auto"/>
        </w:rPr>
        <w:footnoteReference w:id="27"/>
      </w:r>
      <w:r w:rsidR="009602C6" w:rsidRPr="006E75EE">
        <w:t xml:space="preserve"> </w:t>
      </w:r>
      <w:r w:rsidRPr="006E75EE">
        <w:t>[</w:t>
      </w:r>
      <w:r w:rsidR="009602C6" w:rsidRPr="006E75EE">
        <w:rPr>
          <w:lang w:val="en-US"/>
        </w:rPr>
        <w:t>Respondent</w:t>
      </w:r>
      <w:r w:rsidR="009602C6" w:rsidRPr="006E75EE">
        <w:t>s shall</w:t>
      </w:r>
      <w:r w:rsidR="009602C6" w:rsidRPr="006E75EE">
        <w:rPr>
          <w:lang w:val="en-US"/>
        </w:rPr>
        <w:t>,</w:t>
      </w:r>
      <w:r w:rsidR="009602C6" w:rsidRPr="006E75EE">
        <w:t xml:space="preserve"> </w:t>
      </w:r>
      <w:r w:rsidR="009602C6" w:rsidRPr="006E75EE">
        <w:rPr>
          <w:lang w:val="en-US"/>
        </w:rPr>
        <w:t>within</w:t>
      </w:r>
      <w:r w:rsidR="009602C6" w:rsidRPr="006E75EE">
        <w:t xml:space="preserve"> </w:t>
      </w:r>
      <w:r w:rsidR="009602C6" w:rsidRPr="006E75EE">
        <w:rPr>
          <w:lang w:val="en-US"/>
        </w:rPr>
        <w:t>[</w:t>
      </w:r>
      <w:r w:rsidR="009602C6" w:rsidRPr="006E75EE">
        <w:t>30</w:t>
      </w:r>
      <w:r w:rsidR="009602C6" w:rsidRPr="006E75EE">
        <w:rPr>
          <w:lang w:val="en-US"/>
        </w:rPr>
        <w:t>]</w:t>
      </w:r>
      <w:r w:rsidR="009602C6" w:rsidRPr="006E75EE">
        <w:t> days after the Effective Date,</w:t>
      </w:r>
      <w:r w:rsidR="009602C6" w:rsidRPr="006E75EE">
        <w:rPr>
          <w:lang w:val="en-US"/>
        </w:rPr>
        <w:t xml:space="preserve"> seek EPA’s approval of the form of Respondents’ financial assurance.</w:t>
      </w:r>
      <w:r w:rsidRPr="006E75EE">
        <w:rPr>
          <w:lang w:val="en-US"/>
        </w:rPr>
        <w:t>]</w:t>
      </w:r>
      <w:r w:rsidR="009602C6" w:rsidRPr="006E75EE">
        <w:rPr>
          <w:lang w:val="en-US"/>
        </w:rPr>
        <w:t xml:space="preserve"> Within 30 days after [the Effective Date / EPA’s approval,]</w:t>
      </w:r>
      <w:bookmarkEnd w:id="106"/>
      <w:r w:rsidR="009602C6" w:rsidRPr="006E75EE">
        <w:rPr>
          <w:lang w:val="en-US"/>
        </w:rPr>
        <w:t xml:space="preserve"> Respondents shall </w:t>
      </w:r>
      <w:r w:rsidR="009602C6" w:rsidRPr="006E75EE">
        <w:t xml:space="preserve">secure all </w:t>
      </w:r>
      <w:r w:rsidR="009602C6" w:rsidRPr="006E75EE">
        <w:lastRenderedPageBreak/>
        <w:t xml:space="preserve">executed and/or otherwise finalized mechanisms or other documents consistent with the </w:t>
      </w:r>
      <w:r w:rsidR="009602C6" w:rsidRPr="006E75EE">
        <w:rPr>
          <w:lang w:val="en-US"/>
        </w:rPr>
        <w:t xml:space="preserve">EPA-approved </w:t>
      </w:r>
      <w:r w:rsidR="009602C6" w:rsidRPr="006E75EE">
        <w:t>form of financial assurance</w:t>
      </w:r>
      <w:bookmarkEnd w:id="107"/>
      <w:r w:rsidR="009602C6" w:rsidRPr="006E75EE">
        <w:t xml:space="preserve"> and shall submit such mechanisms and documents to the</w:t>
      </w:r>
      <w:r w:rsidR="009602C6" w:rsidRPr="006E75EE">
        <w:rPr>
          <w:lang w:val="en-US"/>
        </w:rPr>
        <w:t xml:space="preserve"> </w:t>
      </w:r>
      <w:r w:rsidR="009602C6" w:rsidRPr="006E75EE">
        <w:t>Regional Financial Management Officer</w:t>
      </w:r>
      <w:bookmarkEnd w:id="108"/>
      <w:bookmarkEnd w:id="109"/>
      <w:r w:rsidR="009602C6" w:rsidRPr="006E75EE">
        <w:t xml:space="preserve"> in accordance with ¶</w:t>
      </w:r>
      <w:r w:rsidR="009602C6" w:rsidRPr="006E75EE">
        <w:rPr>
          <w:lang w:val="en-US"/>
        </w:rPr>
        <w:t> </w:t>
      </w:r>
      <w:r w:rsidR="009602C6" w:rsidRPr="006E75EE">
        <w:rPr>
          <w:lang w:val="en-US"/>
        </w:rPr>
        <w:fldChar w:fldCharType="begin"/>
      </w:r>
      <w:r w:rsidR="009602C6" w:rsidRPr="006E75EE">
        <w:rPr>
          <w:lang w:val="en-US"/>
        </w:rPr>
        <w:instrText xml:space="preserve"> REF _Ref76833864 \r \h </w:instrText>
      </w:r>
      <w:r w:rsidR="006E75EE">
        <w:rPr>
          <w:lang w:val="en-US"/>
        </w:rPr>
        <w:instrText xml:space="preserve"> \* MERGEFORMAT </w:instrText>
      </w:r>
      <w:r w:rsidR="009602C6" w:rsidRPr="006E75EE">
        <w:rPr>
          <w:lang w:val="en-US"/>
        </w:rPr>
      </w:r>
      <w:r w:rsidR="009602C6" w:rsidRPr="006E75EE">
        <w:rPr>
          <w:lang w:val="en-US"/>
        </w:rPr>
        <w:fldChar w:fldCharType="separate"/>
      </w:r>
      <w:r w:rsidR="009166B4" w:rsidRPr="006E75EE">
        <w:rPr>
          <w:lang w:val="en-US"/>
        </w:rPr>
        <w:t>86</w:t>
      </w:r>
      <w:r w:rsidR="009602C6" w:rsidRPr="006E75EE">
        <w:rPr>
          <w:lang w:val="en-US"/>
        </w:rPr>
        <w:fldChar w:fldCharType="end"/>
      </w:r>
      <w:r w:rsidR="009602C6" w:rsidRPr="006E75EE">
        <w:rPr>
          <w:lang w:val="en-US"/>
        </w:rPr>
        <w:t>.</w:t>
      </w:r>
      <w:bookmarkEnd w:id="110"/>
    </w:p>
    <w:p w14:paraId="61FEF9AE" w14:textId="69AB6F87" w:rsidR="00625B8E" w:rsidRPr="006E75EE" w:rsidRDefault="00625B8E" w:rsidP="00625B8E">
      <w:pPr>
        <w:pStyle w:val="LVL1"/>
      </w:pPr>
      <w:bookmarkStart w:id="111" w:name="_Ref243376720"/>
      <w:bookmarkEnd w:id="99"/>
      <w:r w:rsidRPr="006E75EE">
        <w:t>Respondents shall diligently monitor the adequacy of the financial assurance. If any Respondent becomes aware of any information indicating that the financial assurance provided under this Section is inadequate or otherwise no longer satisfies the requirements of this Section, such Respondent shall notify EPA of such information within [7] days. If EPA determines that the financial assurance provided under this Section is inadequate or otherwise no longer satisfies the requirements of this Section, EPA will notify the affected Respondent of such determination. Respondents shall, within 30</w:t>
      </w:r>
      <w:r w:rsidR="00276366" w:rsidRPr="006E75EE">
        <w:rPr>
          <w:lang w:val="en-US"/>
        </w:rPr>
        <w:t> </w:t>
      </w:r>
      <w:r w:rsidRPr="006E75EE">
        <w:t xml:space="preserve">days after notifying EPA or receiving notice from EPA under this </w:t>
      </w:r>
      <w:r w:rsidR="00631C7F" w:rsidRPr="006E75EE">
        <w:t>Paragraph</w:t>
      </w:r>
      <w:r w:rsidRPr="006E75EE">
        <w:t>, secure and submit to EPA for approval a proposal for a revised or alternative financial assurance mechanism that satisfies the requirements of this Section. EPA may extend this deadline for such time as is reasonably necessary for the affected Respondent, in the exercise of due diligence, to secure and submit to EPA a proposal for a revised or alternative financial assurance mechanism, not to exceed [60]</w:t>
      </w:r>
      <w:r w:rsidR="00276366" w:rsidRPr="006E75EE">
        <w:rPr>
          <w:lang w:val="en-US"/>
        </w:rPr>
        <w:t> </w:t>
      </w:r>
      <w:r w:rsidRPr="006E75EE">
        <w:t xml:space="preserve">days. Respondents shall follow the procedures of </w:t>
      </w:r>
      <w:r w:rsidR="00AD70A1" w:rsidRPr="006E75EE">
        <w:rPr>
          <w:lang w:val="en-US"/>
        </w:rPr>
        <w:t>¶</w:t>
      </w:r>
      <w:r w:rsidRPr="006E75EE">
        <w:t> </w:t>
      </w:r>
      <w:r w:rsidR="00E35172" w:rsidRPr="006E75EE">
        <w:fldChar w:fldCharType="begin"/>
      </w:r>
      <w:r w:rsidR="00E35172" w:rsidRPr="006E75EE">
        <w:instrText xml:space="preserve"> REF _Ref362014481 \r \h </w:instrText>
      </w:r>
      <w:r w:rsidR="006E75EE">
        <w:instrText xml:space="preserve"> \* MERGEFORMAT </w:instrText>
      </w:r>
      <w:r w:rsidR="00E35172" w:rsidRPr="006E75EE">
        <w:fldChar w:fldCharType="separate"/>
      </w:r>
      <w:r w:rsidR="009166B4" w:rsidRPr="006E75EE">
        <w:t>36</w:t>
      </w:r>
      <w:r w:rsidR="00E35172" w:rsidRPr="006E75EE">
        <w:fldChar w:fldCharType="end"/>
      </w:r>
      <w:r w:rsidRPr="006E75EE">
        <w:t xml:space="preserve"> (Modification of Amount, Form, or Terms of Financial Assurance) in seeking approval of, and submitting documentation for, the revised or alternative financial assurance mechanism. Respondents’ inability to secure financial assurance in accordance with this Section </w:t>
      </w:r>
      <w:r w:rsidRPr="006E75EE">
        <w:rPr>
          <w:lang w:val="en-US"/>
        </w:rPr>
        <w:t xml:space="preserve">does not </w:t>
      </w:r>
      <w:r w:rsidRPr="006E75EE">
        <w:t xml:space="preserve">excuse performance of any other obligation </w:t>
      </w:r>
      <w:r w:rsidRPr="006E75EE">
        <w:rPr>
          <w:lang w:val="en-US"/>
        </w:rPr>
        <w:t>under</w:t>
      </w:r>
      <w:r w:rsidRPr="006E75EE">
        <w:t xml:space="preserve"> this Settlement.</w:t>
      </w:r>
      <w:bookmarkEnd w:id="111"/>
    </w:p>
    <w:p w14:paraId="0DBD67D3" w14:textId="6E110E4A" w:rsidR="00625B8E" w:rsidRPr="006E75EE" w:rsidRDefault="00625B8E" w:rsidP="00625B8E">
      <w:pPr>
        <w:pStyle w:val="LVL1"/>
      </w:pPr>
      <w:bookmarkStart w:id="112" w:name="_Ref362014500"/>
      <w:bookmarkStart w:id="113" w:name="_Ref76825819"/>
      <w:r w:rsidRPr="006E75EE">
        <w:rPr>
          <w:b/>
        </w:rPr>
        <w:t>Access to Financial Assurance</w:t>
      </w:r>
      <w:bookmarkEnd w:id="112"/>
      <w:bookmarkEnd w:id="113"/>
      <w:r w:rsidR="009A2E32" w:rsidRPr="006E75EE">
        <w:rPr>
          <w:rStyle w:val="FootnoteReference"/>
          <w:b/>
          <w:color w:val="auto"/>
        </w:rPr>
        <w:footnoteReference w:id="28"/>
      </w:r>
    </w:p>
    <w:p w14:paraId="3644B470" w14:textId="70E2761E" w:rsidR="00625B8E" w:rsidRPr="006E75EE" w:rsidRDefault="00625B8E" w:rsidP="00625B8E">
      <w:pPr>
        <w:pStyle w:val="LVL2"/>
        <w:rPr>
          <w:color w:val="auto"/>
        </w:rPr>
      </w:pPr>
      <w:r w:rsidRPr="006E75EE">
        <w:rPr>
          <w:color w:val="auto"/>
        </w:rPr>
        <w:t xml:space="preserve">If EPA issues a notice of a Work Takeover under </w:t>
      </w:r>
      <w:r w:rsidR="00AD70A1" w:rsidRPr="006E75EE">
        <w:rPr>
          <w:color w:val="auto"/>
          <w:lang w:val="en-US"/>
        </w:rPr>
        <w:t>¶</w:t>
      </w:r>
      <w:r w:rsidRPr="006E75EE">
        <w:rPr>
          <w:color w:val="auto"/>
        </w:rPr>
        <w:t> </w:t>
      </w:r>
      <w:r w:rsidRPr="006E75EE">
        <w:rPr>
          <w:color w:val="auto"/>
          <w:lang w:val="en-US"/>
        </w:rPr>
        <w:fldChar w:fldCharType="begin"/>
      </w:r>
      <w:r w:rsidRPr="006E75EE">
        <w:rPr>
          <w:color w:val="auto"/>
          <w:lang w:val="en-US"/>
        </w:rPr>
        <w:instrText xml:space="preserve"> REF _Ref404343990 \r \h </w:instrText>
      </w:r>
      <w:r w:rsidR="006E75EE">
        <w:rPr>
          <w:color w:val="auto"/>
          <w:lang w:val="en-US"/>
        </w:rPr>
        <w:instrText xml:space="preserve"> \* MERGEFORMAT </w:instrText>
      </w:r>
      <w:r w:rsidRPr="006E75EE">
        <w:rPr>
          <w:color w:val="auto"/>
          <w:lang w:val="en-US"/>
        </w:rPr>
      </w:r>
      <w:r w:rsidRPr="006E75EE">
        <w:rPr>
          <w:color w:val="auto"/>
          <w:lang w:val="en-US"/>
        </w:rPr>
        <w:fldChar w:fldCharType="separate"/>
      </w:r>
      <w:r w:rsidR="009166B4" w:rsidRPr="006E75EE">
        <w:rPr>
          <w:color w:val="auto"/>
          <w:lang w:val="en-US"/>
        </w:rPr>
        <w:t>25.b</w:t>
      </w:r>
      <w:r w:rsidRPr="006E75EE">
        <w:rPr>
          <w:color w:val="auto"/>
          <w:lang w:val="en-US"/>
        </w:rPr>
        <w:fldChar w:fldCharType="end"/>
      </w:r>
      <w:r w:rsidRPr="006E75EE">
        <w:rPr>
          <w:color w:val="auto"/>
        </w:rPr>
        <w:t>, then, in accordance with any applicable financial assurance mechanism</w:t>
      </w:r>
      <w:r w:rsidRPr="006E75EE">
        <w:rPr>
          <w:color w:val="auto"/>
          <w:lang w:val="en-US"/>
        </w:rPr>
        <w:t xml:space="preserve"> [</w:t>
      </w:r>
      <w:r w:rsidRPr="006E75EE">
        <w:rPr>
          <w:b/>
          <w:color w:val="auto"/>
          <w:lang w:val="en-US"/>
        </w:rPr>
        <w:t xml:space="preserve">if a standby funding commitment requirement is included in </w:t>
      </w:r>
      <w:r w:rsidR="00AD70A1" w:rsidRPr="006E75EE">
        <w:rPr>
          <w:b/>
          <w:color w:val="auto"/>
          <w:lang w:val="en-US"/>
        </w:rPr>
        <w:t>¶</w:t>
      </w:r>
      <w:r w:rsidRPr="006E75EE">
        <w:rPr>
          <w:b/>
          <w:color w:val="auto"/>
          <w:lang w:val="en-US"/>
        </w:rPr>
        <w:t xml:space="preserve"> </w:t>
      </w:r>
      <w:r w:rsidRPr="006E75EE">
        <w:rPr>
          <w:b/>
          <w:color w:val="auto"/>
          <w:lang w:val="en-US"/>
        </w:rPr>
        <w:fldChar w:fldCharType="begin"/>
      </w:r>
      <w:r w:rsidRPr="006E75EE">
        <w:rPr>
          <w:b/>
          <w:color w:val="auto"/>
          <w:lang w:val="en-US"/>
        </w:rPr>
        <w:instrText xml:space="preserve"> REF _Ref462901235 \r \h  \* MERGEFORMAT </w:instrText>
      </w:r>
      <w:r w:rsidRPr="006E75EE">
        <w:rPr>
          <w:b/>
          <w:color w:val="auto"/>
          <w:lang w:val="en-US"/>
        </w:rPr>
      </w:r>
      <w:r w:rsidRPr="006E75EE">
        <w:rPr>
          <w:b/>
          <w:color w:val="auto"/>
          <w:lang w:val="en-US"/>
        </w:rPr>
        <w:fldChar w:fldCharType="separate"/>
      </w:r>
      <w:r w:rsidR="009166B4" w:rsidRPr="006E75EE">
        <w:rPr>
          <w:b/>
          <w:color w:val="auto"/>
          <w:lang w:val="en-US"/>
        </w:rPr>
        <w:t>30.e</w:t>
      </w:r>
      <w:r w:rsidRPr="006E75EE">
        <w:rPr>
          <w:b/>
          <w:color w:val="auto"/>
          <w:lang w:val="en-US"/>
        </w:rPr>
        <w:fldChar w:fldCharType="end"/>
      </w:r>
      <w:r w:rsidRPr="006E75EE">
        <w:rPr>
          <w:b/>
          <w:color w:val="auto"/>
          <w:lang w:val="en-US"/>
        </w:rPr>
        <w:t>, insert:</w:t>
      </w:r>
      <w:r w:rsidRPr="006E75EE">
        <w:rPr>
          <w:color w:val="auto"/>
          <w:lang w:val="en-US"/>
        </w:rPr>
        <w:t xml:space="preserve"> and/or related standby funding commitment],</w:t>
      </w:r>
      <w:r w:rsidRPr="006E75EE">
        <w:rPr>
          <w:color w:val="auto"/>
        </w:rPr>
        <w:t xml:space="preserve"> EPA </w:t>
      </w:r>
      <w:r w:rsidRPr="006E75EE">
        <w:rPr>
          <w:color w:val="auto"/>
          <w:lang w:val="en-US"/>
        </w:rPr>
        <w:t>may require</w:t>
      </w:r>
      <w:r w:rsidRPr="006E75EE">
        <w:rPr>
          <w:color w:val="auto"/>
        </w:rPr>
        <w:t>: (1)</w:t>
      </w:r>
      <w:r w:rsidR="006D17BD" w:rsidRPr="006E75EE">
        <w:rPr>
          <w:color w:val="auto"/>
          <w:lang w:val="en-US"/>
        </w:rPr>
        <w:t> </w:t>
      </w:r>
      <w:r w:rsidRPr="006E75EE">
        <w:rPr>
          <w:color w:val="auto"/>
        </w:rPr>
        <w:t>the performance of the Work; and/or (2)</w:t>
      </w:r>
      <w:r w:rsidR="009751F6" w:rsidRPr="006E75EE">
        <w:rPr>
          <w:color w:val="auto"/>
          <w:lang w:val="en-US"/>
        </w:rPr>
        <w:t> </w:t>
      </w:r>
      <w:r w:rsidRPr="006E75EE">
        <w:rPr>
          <w:color w:val="auto"/>
        </w:rPr>
        <w:t xml:space="preserve">that any funds guaranteed be paid in accordance with </w:t>
      </w:r>
      <w:r w:rsidR="00AD70A1" w:rsidRPr="006E75EE">
        <w:rPr>
          <w:color w:val="auto"/>
          <w:lang w:val="en-US"/>
        </w:rPr>
        <w:t>¶</w:t>
      </w:r>
      <w:r w:rsidRPr="006E75EE">
        <w:rPr>
          <w:color w:val="auto"/>
        </w:rPr>
        <w:t> </w:t>
      </w:r>
      <w:r w:rsidRPr="006E75EE">
        <w:rPr>
          <w:color w:val="auto"/>
        </w:rPr>
        <w:fldChar w:fldCharType="begin"/>
      </w:r>
      <w:r w:rsidRPr="006E75EE">
        <w:rPr>
          <w:color w:val="auto"/>
        </w:rPr>
        <w:instrText xml:space="preserve"> REF _Ref362014763 \w \h  \* MERGEFORMAT </w:instrText>
      </w:r>
      <w:r w:rsidRPr="006E75EE">
        <w:rPr>
          <w:color w:val="auto"/>
        </w:rPr>
      </w:r>
      <w:r w:rsidRPr="006E75EE">
        <w:rPr>
          <w:color w:val="auto"/>
        </w:rPr>
        <w:fldChar w:fldCharType="separate"/>
      </w:r>
      <w:r w:rsidR="009166B4" w:rsidRPr="006E75EE">
        <w:rPr>
          <w:color w:val="auto"/>
          <w:lang w:val="en-US"/>
        </w:rPr>
        <w:t>35.d</w:t>
      </w:r>
      <w:r w:rsidRPr="006E75EE">
        <w:rPr>
          <w:color w:val="auto"/>
        </w:rPr>
        <w:fldChar w:fldCharType="end"/>
      </w:r>
      <w:r w:rsidRPr="006E75EE">
        <w:rPr>
          <w:color w:val="auto"/>
        </w:rPr>
        <w:t>.</w:t>
      </w:r>
    </w:p>
    <w:p w14:paraId="04CAFBAA" w14:textId="257D9A35" w:rsidR="00625B8E" w:rsidRPr="006E75EE" w:rsidRDefault="00625B8E" w:rsidP="00625B8E">
      <w:pPr>
        <w:pStyle w:val="LVL2"/>
        <w:rPr>
          <w:color w:val="auto"/>
        </w:rPr>
      </w:pPr>
      <w:r w:rsidRPr="006E75EE">
        <w:rPr>
          <w:color w:val="auto"/>
        </w:rPr>
        <w:t xml:space="preserve">If EPA is notified </w:t>
      </w:r>
      <w:r w:rsidRPr="006E75EE">
        <w:rPr>
          <w:color w:val="auto"/>
          <w:lang w:val="en-US"/>
        </w:rPr>
        <w:t>that</w:t>
      </w:r>
      <w:r w:rsidRPr="006E75EE">
        <w:rPr>
          <w:color w:val="auto"/>
        </w:rPr>
        <w:t xml:space="preserve"> the issuer of a financial assurance mechanism intends to cancel </w:t>
      </w:r>
      <w:r w:rsidRPr="006E75EE">
        <w:rPr>
          <w:color w:val="auto"/>
          <w:lang w:val="en-US"/>
        </w:rPr>
        <w:t>the</w:t>
      </w:r>
      <w:r w:rsidRPr="006E75EE">
        <w:rPr>
          <w:color w:val="auto"/>
        </w:rPr>
        <w:t xml:space="preserve"> mechanism, and the affected </w:t>
      </w:r>
      <w:r w:rsidRPr="006E75EE">
        <w:rPr>
          <w:color w:val="auto"/>
          <w:lang w:val="en-US"/>
        </w:rPr>
        <w:t>Respondent</w:t>
      </w:r>
      <w:r w:rsidRPr="006E75EE">
        <w:rPr>
          <w:color w:val="auto"/>
        </w:rPr>
        <w:t xml:space="preserve"> fails to provide an alternative financial assurance mechanism in accordance with this Section at least 30</w:t>
      </w:r>
      <w:r w:rsidR="009A7708" w:rsidRPr="006E75EE">
        <w:rPr>
          <w:color w:val="auto"/>
          <w:lang w:val="en-US"/>
        </w:rPr>
        <w:t> </w:t>
      </w:r>
      <w:r w:rsidRPr="006E75EE">
        <w:rPr>
          <w:color w:val="auto"/>
        </w:rPr>
        <w:t xml:space="preserve">days prior to the cancellation date, the funds guaranteed under such mechanism must be paid prior to cancellation in accordance with </w:t>
      </w:r>
      <w:r w:rsidR="00AD70A1" w:rsidRPr="006E75EE">
        <w:rPr>
          <w:color w:val="auto"/>
          <w:lang w:val="en-US"/>
        </w:rPr>
        <w:t>¶</w:t>
      </w:r>
      <w:r w:rsidRPr="006E75EE">
        <w:rPr>
          <w:color w:val="auto"/>
        </w:rPr>
        <w:t> </w:t>
      </w:r>
      <w:r w:rsidRPr="006E75EE">
        <w:rPr>
          <w:color w:val="auto"/>
        </w:rPr>
        <w:fldChar w:fldCharType="begin"/>
      </w:r>
      <w:r w:rsidRPr="006E75EE">
        <w:rPr>
          <w:color w:val="auto"/>
        </w:rPr>
        <w:instrText xml:space="preserve"> REF _Ref362014763 \w \h  \* MERGEFORMAT </w:instrText>
      </w:r>
      <w:r w:rsidRPr="006E75EE">
        <w:rPr>
          <w:color w:val="auto"/>
        </w:rPr>
      </w:r>
      <w:r w:rsidRPr="006E75EE">
        <w:rPr>
          <w:color w:val="auto"/>
        </w:rPr>
        <w:fldChar w:fldCharType="separate"/>
      </w:r>
      <w:r w:rsidR="009166B4" w:rsidRPr="006E75EE">
        <w:rPr>
          <w:color w:val="auto"/>
          <w:lang w:val="en-US"/>
        </w:rPr>
        <w:t>35.d</w:t>
      </w:r>
      <w:r w:rsidRPr="006E75EE">
        <w:rPr>
          <w:color w:val="auto"/>
        </w:rPr>
        <w:fldChar w:fldCharType="end"/>
      </w:r>
      <w:r w:rsidRPr="006E75EE">
        <w:rPr>
          <w:color w:val="auto"/>
        </w:rPr>
        <w:t>.</w:t>
      </w:r>
    </w:p>
    <w:p w14:paraId="7A256D77" w14:textId="15AB598B" w:rsidR="00625B8E" w:rsidRPr="006E75EE" w:rsidRDefault="00625B8E" w:rsidP="00625B8E">
      <w:pPr>
        <w:pStyle w:val="LVL2"/>
        <w:rPr>
          <w:color w:val="auto"/>
        </w:rPr>
      </w:pPr>
      <w:r w:rsidRPr="006E75EE">
        <w:rPr>
          <w:color w:val="auto"/>
        </w:rPr>
        <w:t>If, upon issuance of a notice of a Work Takeover under</w:t>
      </w:r>
      <w:r w:rsidRPr="006E75EE">
        <w:rPr>
          <w:color w:val="auto"/>
          <w:lang w:val="en-US"/>
        </w:rPr>
        <w:t xml:space="preserve"> </w:t>
      </w:r>
      <w:r w:rsidR="00AD70A1" w:rsidRPr="006E75EE">
        <w:rPr>
          <w:color w:val="auto"/>
          <w:lang w:val="en-US"/>
        </w:rPr>
        <w:t>¶</w:t>
      </w:r>
      <w:r w:rsidRPr="006E75EE">
        <w:rPr>
          <w:color w:val="auto"/>
        </w:rPr>
        <w:t> </w:t>
      </w:r>
      <w:r w:rsidR="00E35172" w:rsidRPr="006E75EE">
        <w:rPr>
          <w:color w:val="auto"/>
        </w:rPr>
        <w:fldChar w:fldCharType="begin"/>
      </w:r>
      <w:r w:rsidR="00E35172" w:rsidRPr="006E75EE">
        <w:rPr>
          <w:color w:val="auto"/>
        </w:rPr>
        <w:instrText xml:space="preserve"> REF _Ref76826270 \r \h </w:instrText>
      </w:r>
      <w:r w:rsidR="006E75EE">
        <w:rPr>
          <w:color w:val="auto"/>
        </w:rPr>
        <w:instrText xml:space="preserve"> \* MERGEFORMAT </w:instrText>
      </w:r>
      <w:r w:rsidR="00E35172" w:rsidRPr="006E75EE">
        <w:rPr>
          <w:color w:val="auto"/>
        </w:rPr>
      </w:r>
      <w:r w:rsidR="00E35172" w:rsidRPr="006E75EE">
        <w:rPr>
          <w:color w:val="auto"/>
        </w:rPr>
        <w:fldChar w:fldCharType="separate"/>
      </w:r>
      <w:r w:rsidR="009166B4" w:rsidRPr="006E75EE">
        <w:rPr>
          <w:color w:val="auto"/>
        </w:rPr>
        <w:t>25</w:t>
      </w:r>
      <w:r w:rsidR="00E35172" w:rsidRPr="006E75EE">
        <w:rPr>
          <w:color w:val="auto"/>
        </w:rPr>
        <w:fldChar w:fldCharType="end"/>
      </w:r>
      <w:r w:rsidRPr="006E75EE">
        <w:rPr>
          <w:color w:val="auto"/>
        </w:rPr>
        <w:t>, either: (1)</w:t>
      </w:r>
      <w:r w:rsidR="00276366" w:rsidRPr="006E75EE">
        <w:rPr>
          <w:color w:val="auto"/>
          <w:lang w:val="en-US"/>
        </w:rPr>
        <w:t> </w:t>
      </w:r>
      <w:r w:rsidRPr="006E75EE">
        <w:rPr>
          <w:color w:val="auto"/>
        </w:rPr>
        <w:t>EPA is unable for any reason to promptly secure the resources guaranteed under any applicable financial assurance mechanism</w:t>
      </w:r>
      <w:r w:rsidRPr="006E75EE">
        <w:rPr>
          <w:color w:val="auto"/>
          <w:lang w:val="en-US"/>
        </w:rPr>
        <w:t xml:space="preserve"> [including the related standby funding commitment]</w:t>
      </w:r>
      <w:r w:rsidRPr="006E75EE">
        <w:rPr>
          <w:color w:val="auto"/>
        </w:rPr>
        <w:t xml:space="preserve">, whether in cash or in kind, to continue and complete the Work; or (2) the </w:t>
      </w:r>
      <w:r w:rsidRPr="006E75EE">
        <w:rPr>
          <w:color w:val="auto"/>
        </w:rPr>
        <w:lastRenderedPageBreak/>
        <w:t xml:space="preserve">financial assurance is </w:t>
      </w:r>
      <w:r w:rsidRPr="006E75EE">
        <w:rPr>
          <w:color w:val="auto"/>
          <w:lang w:val="en-US"/>
        </w:rPr>
        <w:t xml:space="preserve">a demonstration or guarantee </w:t>
      </w:r>
      <w:r w:rsidRPr="006E75EE">
        <w:rPr>
          <w:color w:val="auto"/>
        </w:rPr>
        <w:t>under</w:t>
      </w:r>
      <w:r w:rsidRPr="006E75EE">
        <w:rPr>
          <w:color w:val="auto"/>
          <w:lang w:val="en-US"/>
        </w:rPr>
        <w:t xml:space="preserve"> </w:t>
      </w:r>
      <w:r w:rsidR="00AD70A1" w:rsidRPr="006E75EE">
        <w:rPr>
          <w:color w:val="auto"/>
          <w:lang w:val="en-US"/>
        </w:rPr>
        <w:t>¶</w:t>
      </w:r>
      <w:r w:rsidRPr="006E75EE">
        <w:rPr>
          <w:color w:val="auto"/>
        </w:rPr>
        <w:t> </w:t>
      </w:r>
      <w:r w:rsidRPr="006E75EE">
        <w:rPr>
          <w:color w:val="auto"/>
        </w:rPr>
        <w:fldChar w:fldCharType="begin"/>
      </w:r>
      <w:r w:rsidRPr="006E75EE">
        <w:rPr>
          <w:color w:val="auto"/>
        </w:rPr>
        <w:instrText xml:space="preserve"> REF _Ref462901235 \r \h </w:instrText>
      </w:r>
      <w:r w:rsidR="006E75EE">
        <w:rPr>
          <w:color w:val="auto"/>
        </w:rPr>
        <w:instrText xml:space="preserve"> \* MERGEFORMAT </w:instrText>
      </w:r>
      <w:r w:rsidRPr="006E75EE">
        <w:rPr>
          <w:color w:val="auto"/>
        </w:rPr>
      </w:r>
      <w:r w:rsidRPr="006E75EE">
        <w:rPr>
          <w:color w:val="auto"/>
        </w:rPr>
        <w:fldChar w:fldCharType="separate"/>
      </w:r>
      <w:r w:rsidR="009166B4" w:rsidRPr="006E75EE">
        <w:rPr>
          <w:color w:val="auto"/>
        </w:rPr>
        <w:t>30.e</w:t>
      </w:r>
      <w:r w:rsidRPr="006E75EE">
        <w:rPr>
          <w:color w:val="auto"/>
        </w:rPr>
        <w:fldChar w:fldCharType="end"/>
      </w:r>
      <w:r w:rsidRPr="006E75EE">
        <w:rPr>
          <w:color w:val="auto"/>
        </w:rPr>
        <w:t xml:space="preserve"> or</w:t>
      </w:r>
      <w:r w:rsidRPr="006E75EE">
        <w:rPr>
          <w:color w:val="auto"/>
          <w:lang w:val="en-US"/>
        </w:rPr>
        <w:t xml:space="preserve"> </w:t>
      </w:r>
      <w:r w:rsidRPr="006E75EE">
        <w:rPr>
          <w:color w:val="auto"/>
        </w:rPr>
        <w:fldChar w:fldCharType="begin"/>
      </w:r>
      <w:r w:rsidRPr="006E75EE">
        <w:rPr>
          <w:color w:val="auto"/>
        </w:rPr>
        <w:instrText xml:space="preserve"> REF _Ref247353284 \r \h </w:instrText>
      </w:r>
      <w:r w:rsidR="006E75EE">
        <w:rPr>
          <w:color w:val="auto"/>
        </w:rPr>
        <w:instrText xml:space="preserve"> \* MERGEFORMAT </w:instrText>
      </w:r>
      <w:r w:rsidRPr="006E75EE">
        <w:rPr>
          <w:color w:val="auto"/>
        </w:rPr>
      </w:r>
      <w:r w:rsidRPr="006E75EE">
        <w:rPr>
          <w:color w:val="auto"/>
        </w:rPr>
        <w:fldChar w:fldCharType="separate"/>
      </w:r>
      <w:r w:rsidR="009166B4" w:rsidRPr="006E75EE">
        <w:rPr>
          <w:color w:val="auto"/>
        </w:rPr>
        <w:t>30.f</w:t>
      </w:r>
      <w:r w:rsidRPr="006E75EE">
        <w:rPr>
          <w:color w:val="auto"/>
        </w:rPr>
        <w:fldChar w:fldCharType="end"/>
      </w:r>
      <w:r w:rsidRPr="006E75EE">
        <w:rPr>
          <w:color w:val="auto"/>
        </w:rPr>
        <w:t xml:space="preserve">, then EPA </w:t>
      </w:r>
      <w:r w:rsidRPr="006E75EE">
        <w:rPr>
          <w:color w:val="auto"/>
          <w:lang w:val="en-US"/>
        </w:rPr>
        <w:t xml:space="preserve">is entitled to </w:t>
      </w:r>
      <w:r w:rsidRPr="006E75EE">
        <w:rPr>
          <w:color w:val="auto"/>
        </w:rPr>
        <w:t xml:space="preserve">demand an amount, as determined by EPA, sufficient to cover the cost of the remaining Work to be performed. </w:t>
      </w:r>
      <w:r w:rsidRPr="006E75EE">
        <w:rPr>
          <w:color w:val="auto"/>
          <w:lang w:val="en-US"/>
        </w:rPr>
        <w:t>Respondent</w:t>
      </w:r>
      <w:r w:rsidRPr="006E75EE">
        <w:rPr>
          <w:color w:val="auto"/>
        </w:rPr>
        <w:t>s shall, within __ days of such demand, pay the amount demanded as directed by EPA.</w:t>
      </w:r>
    </w:p>
    <w:p w14:paraId="08E55DBA" w14:textId="6996E450" w:rsidR="00625B8E" w:rsidRPr="006E75EE" w:rsidRDefault="00625B8E" w:rsidP="00625B8E">
      <w:pPr>
        <w:pStyle w:val="LVL2"/>
        <w:rPr>
          <w:color w:val="auto"/>
        </w:rPr>
      </w:pPr>
      <w:bookmarkStart w:id="114" w:name="_Ref362014763"/>
      <w:r w:rsidRPr="006E75EE">
        <w:rPr>
          <w:color w:val="auto"/>
        </w:rPr>
        <w:t>Any amounts required to be paid under this</w:t>
      </w:r>
      <w:r w:rsidRPr="006E75EE">
        <w:rPr>
          <w:color w:val="auto"/>
          <w:lang w:val="en-US"/>
        </w:rPr>
        <w:t xml:space="preserve"> </w:t>
      </w:r>
      <w:r w:rsidR="00AD70A1" w:rsidRPr="006E75EE">
        <w:rPr>
          <w:color w:val="auto"/>
          <w:lang w:val="en-US"/>
        </w:rPr>
        <w:t>¶</w:t>
      </w:r>
      <w:r w:rsidRPr="006E75EE">
        <w:rPr>
          <w:color w:val="auto"/>
        </w:rPr>
        <w:t> </w:t>
      </w:r>
      <w:r w:rsidR="00E35172" w:rsidRPr="006E75EE">
        <w:rPr>
          <w:color w:val="auto"/>
        </w:rPr>
        <w:fldChar w:fldCharType="begin"/>
      </w:r>
      <w:r w:rsidR="00E35172" w:rsidRPr="006E75EE">
        <w:rPr>
          <w:color w:val="auto"/>
        </w:rPr>
        <w:instrText xml:space="preserve"> REF _Ref362014500 \r \h </w:instrText>
      </w:r>
      <w:r w:rsidR="006E75EE">
        <w:rPr>
          <w:color w:val="auto"/>
        </w:rPr>
        <w:instrText xml:space="preserve"> \* MERGEFORMAT </w:instrText>
      </w:r>
      <w:r w:rsidR="00E35172" w:rsidRPr="006E75EE">
        <w:rPr>
          <w:color w:val="auto"/>
        </w:rPr>
      </w:r>
      <w:r w:rsidR="00E35172" w:rsidRPr="006E75EE">
        <w:rPr>
          <w:color w:val="auto"/>
        </w:rPr>
        <w:fldChar w:fldCharType="separate"/>
      </w:r>
      <w:r w:rsidR="009166B4" w:rsidRPr="006E75EE">
        <w:rPr>
          <w:color w:val="auto"/>
        </w:rPr>
        <w:t>35</w:t>
      </w:r>
      <w:r w:rsidR="00E35172" w:rsidRPr="006E75EE">
        <w:rPr>
          <w:color w:val="auto"/>
        </w:rPr>
        <w:fldChar w:fldCharType="end"/>
      </w:r>
      <w:r w:rsidRPr="006E75EE">
        <w:rPr>
          <w:color w:val="auto"/>
        </w:rPr>
        <w:t xml:space="preserve"> </w:t>
      </w:r>
      <w:r w:rsidRPr="006E75EE">
        <w:rPr>
          <w:color w:val="auto"/>
          <w:lang w:val="en-US"/>
        </w:rPr>
        <w:t>will</w:t>
      </w:r>
      <w:r w:rsidRPr="006E75EE">
        <w:rPr>
          <w:color w:val="auto"/>
        </w:rPr>
        <w:t xml:space="preserve"> be, as directed by EPA: (i) paid to EPA in order to facilitate the completion of the Work by EPA</w:t>
      </w:r>
      <w:r w:rsidRPr="006E75EE">
        <w:rPr>
          <w:color w:val="auto"/>
          <w:lang w:val="en-US"/>
        </w:rPr>
        <w:t>, the State,</w:t>
      </w:r>
      <w:r w:rsidRPr="006E75EE">
        <w:rPr>
          <w:color w:val="auto"/>
        </w:rPr>
        <w:t xml:space="preserve"> or by another person; or (ii)</w:t>
      </w:r>
      <w:r w:rsidR="006D17BD" w:rsidRPr="006E75EE">
        <w:rPr>
          <w:color w:val="auto"/>
          <w:lang w:val="en-US"/>
        </w:rPr>
        <w:t> </w:t>
      </w:r>
      <w:r w:rsidRPr="006E75EE">
        <w:rPr>
          <w:color w:val="auto"/>
        </w:rPr>
        <w:t xml:space="preserve">deposited into an interest-bearing account, established at a duly chartered bank or trust company that is insured by the </w:t>
      </w:r>
      <w:r w:rsidR="0094031D" w:rsidRPr="006E75EE">
        <w:rPr>
          <w:color w:val="auto"/>
          <w:lang w:val="en-US"/>
        </w:rPr>
        <w:t>Federal Deposit Insurance Corporation (“</w:t>
      </w:r>
      <w:r w:rsidRPr="006E75EE">
        <w:rPr>
          <w:color w:val="auto"/>
        </w:rPr>
        <w:t>FDIC</w:t>
      </w:r>
      <w:r w:rsidR="0094031D" w:rsidRPr="006E75EE">
        <w:rPr>
          <w:color w:val="auto"/>
          <w:lang w:val="en-US"/>
        </w:rPr>
        <w:t>”)</w:t>
      </w:r>
      <w:r w:rsidRPr="006E75EE">
        <w:rPr>
          <w:color w:val="auto"/>
        </w:rPr>
        <w:t xml:space="preserve">, in order to facilitate the completion of the Work by another person. If payment is made to EPA, EPA may deposit the payment into the </w:t>
      </w:r>
      <w:r w:rsidR="0019757D" w:rsidRPr="006E75EE">
        <w:rPr>
          <w:color w:val="auto"/>
          <w:lang w:val="en-US"/>
        </w:rPr>
        <w:t>Fund</w:t>
      </w:r>
      <w:r w:rsidRPr="006E75EE">
        <w:rPr>
          <w:color w:val="auto"/>
        </w:rPr>
        <w:t xml:space="preserve"> or into the [</w:t>
      </w:r>
      <w:r w:rsidRPr="006E75EE">
        <w:rPr>
          <w:b/>
          <w:color w:val="auto"/>
        </w:rPr>
        <w:t>Site name</w:t>
      </w:r>
      <w:r w:rsidRPr="006E75EE">
        <w:rPr>
          <w:color w:val="auto"/>
        </w:rPr>
        <w:t xml:space="preserve">] Special Account to be retained and used to conduct or finance response actions at or in connection with the Site, or to be transferred by EPA to the </w:t>
      </w:r>
      <w:r w:rsidR="0019757D" w:rsidRPr="006E75EE">
        <w:rPr>
          <w:color w:val="auto"/>
          <w:lang w:val="en-US"/>
        </w:rPr>
        <w:t>Fund</w:t>
      </w:r>
      <w:r w:rsidRPr="006E75EE">
        <w:rPr>
          <w:color w:val="auto"/>
        </w:rPr>
        <w:t>.</w:t>
      </w:r>
      <w:bookmarkEnd w:id="114"/>
    </w:p>
    <w:p w14:paraId="34FAF769" w14:textId="10276AAA" w:rsidR="00625B8E" w:rsidRPr="006E75EE" w:rsidRDefault="00625B8E" w:rsidP="00625B8E">
      <w:pPr>
        <w:pStyle w:val="LVL1"/>
      </w:pPr>
      <w:bookmarkStart w:id="115" w:name="_Ref243371332"/>
      <w:bookmarkStart w:id="116" w:name="_Ref362014481"/>
      <w:r w:rsidRPr="006E75EE">
        <w:rPr>
          <w:b/>
        </w:rPr>
        <w:t>Modification of Amount, Form</w:t>
      </w:r>
      <w:bookmarkStart w:id="117" w:name="_Ref243378195"/>
      <w:bookmarkEnd w:id="115"/>
      <w:r w:rsidRPr="006E75EE">
        <w:rPr>
          <w:b/>
        </w:rPr>
        <w:t>, or Terms of Financial Assurance</w:t>
      </w:r>
      <w:r w:rsidRPr="006E75EE">
        <w:t xml:space="preserve">. </w:t>
      </w:r>
      <w:r w:rsidR="00B960FD" w:rsidRPr="006E75EE">
        <w:rPr>
          <w:lang w:val="en-US"/>
        </w:rPr>
        <w:t xml:space="preserve">Beginning after the first </w:t>
      </w:r>
      <w:r w:rsidRPr="006E75EE">
        <w:t xml:space="preserve">anniversary of the Effective Date or at any other time agreed to by the Parties, </w:t>
      </w:r>
      <w:r w:rsidR="00B960FD" w:rsidRPr="006E75EE">
        <w:rPr>
          <w:lang w:val="en-US"/>
        </w:rPr>
        <w:t xml:space="preserve">Respondents may </w:t>
      </w:r>
      <w:r w:rsidRPr="006E75EE">
        <w:t>request to change the form</w:t>
      </w:r>
      <w:r w:rsidRPr="006E75EE">
        <w:rPr>
          <w:lang w:val="en-US"/>
        </w:rPr>
        <w:t>,</w:t>
      </w:r>
      <w:r w:rsidRPr="006E75EE">
        <w:t xml:space="preserve"> terms, </w:t>
      </w:r>
      <w:r w:rsidRPr="006E75EE">
        <w:rPr>
          <w:lang w:val="en-US"/>
        </w:rPr>
        <w:t xml:space="preserve">or amount </w:t>
      </w:r>
      <w:r w:rsidRPr="006E75EE">
        <w:t xml:space="preserve">of the financial assurance mechanism. </w:t>
      </w:r>
      <w:r w:rsidR="00FF6F5C" w:rsidRPr="006E75EE">
        <w:rPr>
          <w:lang w:val="en-US"/>
        </w:rPr>
        <w:t>Respondent shall submit any</w:t>
      </w:r>
      <w:r w:rsidRPr="006E75EE">
        <w:t xml:space="preserve"> </w:t>
      </w:r>
      <w:r w:rsidR="00FF6F5C" w:rsidRPr="006E75EE">
        <w:rPr>
          <w:lang w:val="en-US"/>
        </w:rPr>
        <w:t>request</w:t>
      </w:r>
      <w:r w:rsidRPr="006E75EE">
        <w:t xml:space="preserve"> to EPA in accordance with </w:t>
      </w:r>
      <w:r w:rsidR="00AD70A1" w:rsidRPr="006E75EE">
        <w:rPr>
          <w:lang w:val="en-US"/>
        </w:rPr>
        <w:t>¶</w:t>
      </w:r>
      <w:r w:rsidRPr="006E75EE">
        <w:t> </w:t>
      </w:r>
      <w:r w:rsidR="00E35172" w:rsidRPr="006E75EE">
        <w:fldChar w:fldCharType="begin"/>
      </w:r>
      <w:r w:rsidR="00E35172" w:rsidRPr="006E75EE">
        <w:instrText xml:space="preserve"> REF _Ref92192954 \r \h </w:instrText>
      </w:r>
      <w:r w:rsidR="006E75EE">
        <w:instrText xml:space="preserve"> \* MERGEFORMAT </w:instrText>
      </w:r>
      <w:r w:rsidR="00E35172" w:rsidRPr="006E75EE">
        <w:fldChar w:fldCharType="separate"/>
      </w:r>
      <w:r w:rsidR="009166B4" w:rsidRPr="006E75EE">
        <w:t>33</w:t>
      </w:r>
      <w:r w:rsidR="00E35172" w:rsidRPr="006E75EE">
        <w:fldChar w:fldCharType="end"/>
      </w:r>
      <w:r w:rsidRPr="006E75EE">
        <w:t xml:space="preserve">, and </w:t>
      </w:r>
      <w:r w:rsidR="00FF6F5C" w:rsidRPr="006E75EE">
        <w:rPr>
          <w:lang w:val="en-US"/>
        </w:rPr>
        <w:t>shall</w:t>
      </w:r>
      <w:r w:rsidRPr="006E75EE">
        <w:t xml:space="preserve"> include an estimate of the cost of the remaining Work, an explanation of the bases for the cost calculation, and a description of the proposed changes, if any, to the form or terms of the financial assurance. EPA</w:t>
      </w:r>
      <w:r w:rsidRPr="006E75EE">
        <w:rPr>
          <w:lang w:val="en-US"/>
        </w:rPr>
        <w:t xml:space="preserve"> </w:t>
      </w:r>
      <w:r w:rsidRPr="006E75EE">
        <w:t xml:space="preserve">will notify </w:t>
      </w:r>
      <w:r w:rsidRPr="006E75EE">
        <w:rPr>
          <w:lang w:val="en-US"/>
        </w:rPr>
        <w:t>Respondent</w:t>
      </w:r>
      <w:r w:rsidRPr="006E75EE">
        <w:t xml:space="preserve">s of its decision </w:t>
      </w:r>
      <w:r w:rsidRPr="006E75EE">
        <w:rPr>
          <w:lang w:val="en-US"/>
        </w:rPr>
        <w:t>regarding the request</w:t>
      </w:r>
      <w:r w:rsidRPr="006E75EE">
        <w:t xml:space="preserve">. </w:t>
      </w:r>
      <w:r w:rsidRPr="006E75EE">
        <w:rPr>
          <w:lang w:val="en-US"/>
        </w:rPr>
        <w:t>Respondent</w:t>
      </w:r>
      <w:r w:rsidRPr="006E75EE">
        <w:t>s may modify the form, terms, or the amount of the financial assurance mechanism only in accordance with: (a)</w:t>
      </w:r>
      <w:r w:rsidR="00226D58" w:rsidRPr="006E75EE">
        <w:rPr>
          <w:lang w:val="en-US"/>
        </w:rPr>
        <w:t> </w:t>
      </w:r>
      <w:r w:rsidRPr="006E75EE">
        <w:t>EPA’s approval; or (b)</w:t>
      </w:r>
      <w:r w:rsidR="00226D58" w:rsidRPr="006E75EE">
        <w:rPr>
          <w:lang w:val="en-US"/>
        </w:rPr>
        <w:t> </w:t>
      </w:r>
      <w:r w:rsidRPr="006E75EE">
        <w:rPr>
          <w:lang w:val="en-US"/>
        </w:rPr>
        <w:t xml:space="preserve">any resolution of </w:t>
      </w:r>
      <w:r w:rsidRPr="006E75EE">
        <w:t>a dispute</w:t>
      </w:r>
      <w:r w:rsidRPr="006E75EE">
        <w:rPr>
          <w:lang w:val="en-US"/>
        </w:rPr>
        <w:t xml:space="preserve"> on the appropriate amount of financial assurance </w:t>
      </w:r>
      <w:r w:rsidRPr="006E75EE">
        <w:t>under Section </w:t>
      </w:r>
      <w:r w:rsidRPr="006E75EE">
        <w:fldChar w:fldCharType="begin"/>
      </w:r>
      <w:r w:rsidRPr="006E75EE">
        <w:instrText xml:space="preserve"> REF _Ref326220161 \w \h </w:instrText>
      </w:r>
      <w:r w:rsidR="006E75EE">
        <w:instrText xml:space="preserve"> \* MERGEFORMAT </w:instrText>
      </w:r>
      <w:r w:rsidRPr="006E75EE">
        <w:fldChar w:fldCharType="separate"/>
      </w:r>
      <w:r w:rsidR="009166B4" w:rsidRPr="006E75EE">
        <w:t>XIV</w:t>
      </w:r>
      <w:r w:rsidRPr="006E75EE">
        <w:fldChar w:fldCharType="end"/>
      </w:r>
      <w:bookmarkEnd w:id="117"/>
      <w:r w:rsidRPr="006E75EE">
        <w:t xml:space="preserve">. Any decision made by EPA on a request submitted under this </w:t>
      </w:r>
      <w:r w:rsidR="00631C7F" w:rsidRPr="006E75EE">
        <w:t>Paragraph</w:t>
      </w:r>
      <w:r w:rsidRPr="006E75EE">
        <w:t xml:space="preserve"> to change the form or terms of a financial assurance mechanism shall not be subject to challenge by </w:t>
      </w:r>
      <w:r w:rsidRPr="006E75EE">
        <w:rPr>
          <w:lang w:val="en-US"/>
        </w:rPr>
        <w:t>Respondent</w:t>
      </w:r>
      <w:r w:rsidRPr="006E75EE">
        <w:t xml:space="preserve">s pursuant to the dispute resolution provisions of this </w:t>
      </w:r>
      <w:r w:rsidRPr="006E75EE">
        <w:rPr>
          <w:lang w:val="en-US"/>
        </w:rPr>
        <w:t>Settlement</w:t>
      </w:r>
      <w:r w:rsidRPr="006E75EE">
        <w:t xml:space="preserve"> or in any other forum. </w:t>
      </w:r>
      <w:r w:rsidR="001509D7" w:rsidRPr="006E75EE">
        <w:rPr>
          <w:lang w:val="en-US"/>
        </w:rPr>
        <w:t xml:space="preserve">Respondents </w:t>
      </w:r>
      <w:r w:rsidRPr="006E75EE">
        <w:t xml:space="preserve">shall submit to </w:t>
      </w:r>
      <w:proofErr w:type="gramStart"/>
      <w:r w:rsidRPr="006E75EE">
        <w:t>EPA,</w:t>
      </w:r>
      <w:proofErr w:type="gramEnd"/>
      <w:r w:rsidRPr="006E75EE">
        <w:t xml:space="preserve"> within 30</w:t>
      </w:r>
      <w:r w:rsidR="00226D58" w:rsidRPr="006E75EE">
        <w:rPr>
          <w:lang w:val="en-US"/>
        </w:rPr>
        <w:t> </w:t>
      </w:r>
      <w:r w:rsidRPr="006E75EE">
        <w:t>days after receipt of EPA’s approval</w:t>
      </w:r>
      <w:r w:rsidRPr="006E75EE">
        <w:rPr>
          <w:lang w:val="en-US"/>
        </w:rPr>
        <w:t>,</w:t>
      </w:r>
      <w:r w:rsidRPr="006E75EE">
        <w:t xml:space="preserve"> or consistent with the terms of the resolution of the dispute, documentation of the change to the form, terms, or amount of the financial assurance instrument.</w:t>
      </w:r>
      <w:bookmarkStart w:id="118" w:name="_Ref243379123"/>
      <w:bookmarkEnd w:id="116"/>
    </w:p>
    <w:p w14:paraId="3DABBE42" w14:textId="5333C855" w:rsidR="001313F5" w:rsidRPr="006E75EE" w:rsidRDefault="00625B8E" w:rsidP="00625B8E">
      <w:pPr>
        <w:pStyle w:val="LVL1"/>
      </w:pPr>
      <w:r w:rsidRPr="006E75EE">
        <w:rPr>
          <w:b/>
        </w:rPr>
        <w:t>Release, Cancellation, or Discontinuation of Financial Assurance</w:t>
      </w:r>
      <w:r w:rsidRPr="006E75EE">
        <w:t xml:space="preserve">. </w:t>
      </w:r>
      <w:r w:rsidRPr="006E75EE">
        <w:rPr>
          <w:lang w:val="en-US"/>
        </w:rPr>
        <w:t>Respondent</w:t>
      </w:r>
      <w:r w:rsidRPr="006E75EE">
        <w:t>s may release, cancel, or discontinue any financial assurance provided under this Section only: (a)</w:t>
      </w:r>
      <w:r w:rsidR="00226D58" w:rsidRPr="006E75EE">
        <w:rPr>
          <w:lang w:val="en-US"/>
        </w:rPr>
        <w:t> </w:t>
      </w:r>
      <w:r w:rsidRPr="006E75EE">
        <w:t xml:space="preserve">if EPA issues a </w:t>
      </w:r>
      <w:r w:rsidRPr="006E75EE">
        <w:rPr>
          <w:lang w:val="en-US"/>
        </w:rPr>
        <w:t>Notice</w:t>
      </w:r>
      <w:r w:rsidRPr="006E75EE">
        <w:t xml:space="preserve"> of Completion </w:t>
      </w:r>
      <w:r w:rsidRPr="006E75EE">
        <w:rPr>
          <w:lang w:val="en-US"/>
        </w:rPr>
        <w:t xml:space="preserve">of Work </w:t>
      </w:r>
      <w:r w:rsidRPr="006E75EE">
        <w:t>under</w:t>
      </w:r>
      <w:r w:rsidRPr="006E75EE">
        <w:rPr>
          <w:lang w:val="en-US"/>
        </w:rPr>
        <w:t xml:space="preserve"> Section</w:t>
      </w:r>
      <w:r w:rsidR="009A7708" w:rsidRPr="006E75EE">
        <w:rPr>
          <w:lang w:val="en-US"/>
        </w:rPr>
        <w:t> </w:t>
      </w:r>
      <w:r w:rsidR="003633B5" w:rsidRPr="006E75EE">
        <w:rPr>
          <w:lang w:val="en-US"/>
        </w:rPr>
        <w:t>7</w:t>
      </w:r>
      <w:r w:rsidR="005A0868" w:rsidRPr="006E75EE">
        <w:rPr>
          <w:lang w:val="en-US"/>
        </w:rPr>
        <w:t>.7 of the SOW</w:t>
      </w:r>
      <w:r w:rsidRPr="006E75EE">
        <w:rPr>
          <w:lang w:val="en-US"/>
        </w:rPr>
        <w:t xml:space="preserve"> (Notice of Completion of</w:t>
      </w:r>
      <w:r w:rsidR="00B10C36" w:rsidRPr="006E75EE">
        <w:rPr>
          <w:lang w:val="en-US"/>
        </w:rPr>
        <w:t xml:space="preserve"> RI/FS</w:t>
      </w:r>
      <w:r w:rsidRPr="006E75EE">
        <w:rPr>
          <w:lang w:val="en-US"/>
        </w:rPr>
        <w:t xml:space="preserve"> Work)</w:t>
      </w:r>
      <w:r w:rsidRPr="006E75EE">
        <w:t>; (b)</w:t>
      </w:r>
      <w:r w:rsidR="00226D58" w:rsidRPr="006E75EE">
        <w:rPr>
          <w:lang w:val="en-US"/>
        </w:rPr>
        <w:t> </w:t>
      </w:r>
      <w:r w:rsidRPr="006E75EE">
        <w:t>in accordance with EPA’s approval of such release, cancellation, or discontinuation; or (c)</w:t>
      </w:r>
      <w:r w:rsidR="00226D58" w:rsidRPr="006E75EE">
        <w:rPr>
          <w:lang w:val="en-US"/>
        </w:rPr>
        <w:t> </w:t>
      </w:r>
      <w:r w:rsidRPr="006E75EE">
        <w:t>if there is a dispute regarding the release, cancellation</w:t>
      </w:r>
      <w:r w:rsidRPr="006E75EE">
        <w:rPr>
          <w:lang w:val="en-US"/>
        </w:rPr>
        <w:t>,</w:t>
      </w:r>
      <w:r w:rsidRPr="006E75EE">
        <w:t xml:space="preserve"> or discontinuance of any financial assurance, in accordance with the agreement</w:t>
      </w:r>
      <w:r w:rsidRPr="006E75EE">
        <w:rPr>
          <w:lang w:val="en-US"/>
        </w:rPr>
        <w:t xml:space="preserve"> or</w:t>
      </w:r>
      <w:r w:rsidRPr="006E75EE">
        <w:t xml:space="preserve"> final decision resolving such dispute under Section</w:t>
      </w:r>
      <w:bookmarkEnd w:id="118"/>
      <w:r w:rsidR="009A7708" w:rsidRPr="006E75EE">
        <w:rPr>
          <w:lang w:val="en-US"/>
        </w:rPr>
        <w:t> </w:t>
      </w:r>
      <w:r w:rsidRPr="006E75EE">
        <w:rPr>
          <w:lang w:val="en-US"/>
        </w:rPr>
        <w:fldChar w:fldCharType="begin"/>
      </w:r>
      <w:r w:rsidRPr="006E75EE">
        <w:rPr>
          <w:lang w:val="en-US"/>
        </w:rPr>
        <w:instrText xml:space="preserve"> REF _Ref326220161 \w \h </w:instrText>
      </w:r>
      <w:r w:rsidR="006E75EE">
        <w:rPr>
          <w:lang w:val="en-US"/>
        </w:rPr>
        <w:instrText xml:space="preserve"> \* MERGEFORMAT </w:instrText>
      </w:r>
      <w:r w:rsidRPr="006E75EE">
        <w:rPr>
          <w:lang w:val="en-US"/>
        </w:rPr>
      </w:r>
      <w:r w:rsidRPr="006E75EE">
        <w:rPr>
          <w:lang w:val="en-US"/>
        </w:rPr>
        <w:fldChar w:fldCharType="separate"/>
      </w:r>
      <w:r w:rsidR="009166B4" w:rsidRPr="006E75EE">
        <w:rPr>
          <w:lang w:val="en-US"/>
        </w:rPr>
        <w:t>XIV</w:t>
      </w:r>
      <w:r w:rsidRPr="006E75EE">
        <w:rPr>
          <w:lang w:val="en-US"/>
        </w:rPr>
        <w:fldChar w:fldCharType="end"/>
      </w:r>
      <w:r w:rsidRPr="006E75EE">
        <w:t>.</w:t>
      </w:r>
    </w:p>
    <w:p w14:paraId="35A3C51D" w14:textId="406AF940" w:rsidR="001313F5" w:rsidRPr="006E75EE" w:rsidRDefault="001313F5" w:rsidP="001313F5">
      <w:pPr>
        <w:pStyle w:val="Heading1"/>
      </w:pPr>
      <w:bookmarkStart w:id="119" w:name="_Ref76826952"/>
      <w:bookmarkStart w:id="120" w:name="_Toc80599613"/>
      <w:bookmarkStart w:id="121" w:name="_Toc184899541"/>
      <w:r w:rsidRPr="006E75EE">
        <w:rPr>
          <w:lang w:val="en-US"/>
        </w:rPr>
        <w:t>INDEMNIFICATION AND INSURANCE</w:t>
      </w:r>
      <w:bookmarkEnd w:id="119"/>
      <w:bookmarkEnd w:id="120"/>
      <w:bookmarkEnd w:id="121"/>
    </w:p>
    <w:p w14:paraId="37E2C82D" w14:textId="2BFFFFCD" w:rsidR="00F31974" w:rsidRPr="006E75EE" w:rsidRDefault="00F31974" w:rsidP="00F31974">
      <w:pPr>
        <w:pStyle w:val="LVL1"/>
        <w:rPr>
          <w:b/>
        </w:rPr>
      </w:pPr>
      <w:bookmarkStart w:id="122" w:name="_Ref76739451"/>
      <w:r w:rsidRPr="006E75EE">
        <w:rPr>
          <w:b/>
        </w:rPr>
        <w:t>Indemnification</w:t>
      </w:r>
      <w:bookmarkEnd w:id="122"/>
    </w:p>
    <w:p w14:paraId="12263806" w14:textId="10E9F07D" w:rsidR="00F31974" w:rsidRPr="006E75EE" w:rsidRDefault="00F31974" w:rsidP="003A4049">
      <w:pPr>
        <w:pStyle w:val="LVL2"/>
        <w:rPr>
          <w:color w:val="auto"/>
        </w:rPr>
      </w:pPr>
      <w:r w:rsidRPr="006E75EE">
        <w:rPr>
          <w:color w:val="auto"/>
        </w:rPr>
        <w:lastRenderedPageBreak/>
        <w:t xml:space="preserve">EPA does not assume any liability by entering into this </w:t>
      </w:r>
      <w:r w:rsidRPr="006E75EE">
        <w:rPr>
          <w:color w:val="auto"/>
          <w:lang w:val="en-US"/>
        </w:rPr>
        <w:t>Settlement</w:t>
      </w:r>
      <w:r w:rsidRPr="006E75EE">
        <w:rPr>
          <w:color w:val="auto"/>
        </w:rPr>
        <w:t xml:space="preserve"> or by virtue of any designation of Respondents as EPA</w:t>
      </w:r>
      <w:r w:rsidR="00837673" w:rsidRPr="006E75EE">
        <w:rPr>
          <w:color w:val="auto"/>
          <w:lang w:val="en-US"/>
        </w:rPr>
        <w:t>’</w:t>
      </w:r>
      <w:r w:rsidRPr="006E75EE">
        <w:rPr>
          <w:color w:val="auto"/>
        </w:rPr>
        <w:t>s authorized representative under section</w:t>
      </w:r>
      <w:r w:rsidR="009A7708" w:rsidRPr="006E75EE">
        <w:rPr>
          <w:color w:val="auto"/>
          <w:lang w:val="en-US"/>
        </w:rPr>
        <w:t> </w:t>
      </w:r>
      <w:r w:rsidRPr="006E75EE">
        <w:rPr>
          <w:color w:val="auto"/>
        </w:rPr>
        <w:t xml:space="preserve">104(e)(1) of CERCLA. Respondents shall indemnify and save and hold harmless EPA and its officials, agents, employees, contractors, subcontractors, and representatives for or from any claims arising from, or on account of, negligent or other wrongful acts or omissions of Respondents, their officers, directors, employees, agents, contractors, subcontractors, and any persons acting on Respondents’ behalf or under their control, in carrying out activities under this </w:t>
      </w:r>
      <w:r w:rsidRPr="006E75EE">
        <w:rPr>
          <w:color w:val="auto"/>
          <w:lang w:val="en-US"/>
        </w:rPr>
        <w:t>Settlement</w:t>
      </w:r>
      <w:r w:rsidRPr="006E75EE">
        <w:rPr>
          <w:color w:val="auto"/>
        </w:rPr>
        <w:t>, including any claims arising from any designation of Respondents as EPA’s authorized representatives under section</w:t>
      </w:r>
      <w:r w:rsidR="009A7708" w:rsidRPr="006E75EE">
        <w:rPr>
          <w:color w:val="auto"/>
          <w:lang w:val="en-US"/>
        </w:rPr>
        <w:t> </w:t>
      </w:r>
      <w:r w:rsidRPr="006E75EE">
        <w:rPr>
          <w:color w:val="auto"/>
        </w:rPr>
        <w:t xml:space="preserve">104(e)(1) of CERCLA. Further, Respondents agree to pay EPA all costs it incurs including attorneys’ fees and other expenses of litigation and settlement arising from, or on account of, claims made against EPA based on negligent or other wrongful acts or omissions of Respondents, their officers, directors, employees, agents, contractors, subcontractors, and any persons acting on their behalf or under their control in carrying out activities under this </w:t>
      </w:r>
      <w:r w:rsidRPr="006E75EE">
        <w:rPr>
          <w:color w:val="auto"/>
          <w:lang w:val="en-US"/>
        </w:rPr>
        <w:t>Settlement</w:t>
      </w:r>
      <w:r w:rsidRPr="006E75EE">
        <w:rPr>
          <w:color w:val="auto"/>
        </w:rPr>
        <w:t xml:space="preserve">. EPA may not be held out as a party to any contract entered into by or on behalf of Respondents in carrying out activities under this </w:t>
      </w:r>
      <w:r w:rsidRPr="006E75EE">
        <w:rPr>
          <w:color w:val="auto"/>
          <w:lang w:val="en-US"/>
        </w:rPr>
        <w:t>Settlement</w:t>
      </w:r>
      <w:r w:rsidRPr="006E75EE">
        <w:rPr>
          <w:color w:val="auto"/>
        </w:rPr>
        <w:t>. The Respondents and any such contractor may not be considered an agent of EPA.</w:t>
      </w:r>
    </w:p>
    <w:p w14:paraId="5F3FF134" w14:textId="04995726" w:rsidR="00F31974" w:rsidRPr="006E75EE" w:rsidRDefault="00F31974" w:rsidP="003A4049">
      <w:pPr>
        <w:pStyle w:val="LVL2"/>
        <w:rPr>
          <w:color w:val="auto"/>
        </w:rPr>
      </w:pPr>
      <w:r w:rsidRPr="006E75EE">
        <w:rPr>
          <w:color w:val="auto"/>
        </w:rPr>
        <w:t xml:space="preserve">EPA </w:t>
      </w:r>
      <w:r w:rsidR="00A85C7E" w:rsidRPr="006E75EE">
        <w:rPr>
          <w:color w:val="auto"/>
          <w:lang w:val="en-US"/>
        </w:rPr>
        <w:t>may</w:t>
      </w:r>
      <w:r w:rsidRPr="006E75EE">
        <w:rPr>
          <w:color w:val="auto"/>
        </w:rPr>
        <w:t xml:space="preserve"> give Respondents notice of any claim for which EPA plans to seek indemnification in accordance with this </w:t>
      </w:r>
      <w:r w:rsidRPr="006E75EE">
        <w:rPr>
          <w:color w:val="auto"/>
          <w:lang w:val="en-US"/>
        </w:rPr>
        <w:t>¶</w:t>
      </w:r>
      <w:r w:rsidR="00276366" w:rsidRPr="006E75EE">
        <w:rPr>
          <w:color w:val="auto"/>
          <w:lang w:val="en-US"/>
        </w:rPr>
        <w:t> </w:t>
      </w:r>
      <w:r w:rsidR="00E35172" w:rsidRPr="006E75EE">
        <w:rPr>
          <w:color w:val="auto"/>
          <w:lang w:val="en-US"/>
        </w:rPr>
        <w:fldChar w:fldCharType="begin"/>
      </w:r>
      <w:r w:rsidR="00E35172" w:rsidRPr="006E75EE">
        <w:rPr>
          <w:color w:val="auto"/>
          <w:lang w:val="en-US"/>
        </w:rPr>
        <w:instrText xml:space="preserve"> REF _Ref76739451 \r \h </w:instrText>
      </w:r>
      <w:r w:rsidR="006E75EE">
        <w:rPr>
          <w:color w:val="auto"/>
          <w:lang w:val="en-US"/>
        </w:rPr>
        <w:instrText xml:space="preserve"> \* MERGEFORMAT </w:instrText>
      </w:r>
      <w:r w:rsidR="00E35172" w:rsidRPr="006E75EE">
        <w:rPr>
          <w:color w:val="auto"/>
          <w:lang w:val="en-US"/>
        </w:rPr>
      </w:r>
      <w:r w:rsidR="00E35172" w:rsidRPr="006E75EE">
        <w:rPr>
          <w:color w:val="auto"/>
          <w:lang w:val="en-US"/>
        </w:rPr>
        <w:fldChar w:fldCharType="separate"/>
      </w:r>
      <w:r w:rsidR="009166B4" w:rsidRPr="006E75EE">
        <w:rPr>
          <w:color w:val="auto"/>
          <w:lang w:val="en-US"/>
        </w:rPr>
        <w:t>38</w:t>
      </w:r>
      <w:r w:rsidR="00E35172" w:rsidRPr="006E75EE">
        <w:rPr>
          <w:color w:val="auto"/>
          <w:lang w:val="en-US"/>
        </w:rPr>
        <w:fldChar w:fldCharType="end"/>
      </w:r>
      <w:r w:rsidRPr="006E75EE">
        <w:rPr>
          <w:color w:val="auto"/>
        </w:rPr>
        <w:t>, and shall consult with Respondents prior to settling such claim.</w:t>
      </w:r>
    </w:p>
    <w:p w14:paraId="33154C7B" w14:textId="4E6659CA" w:rsidR="00F31974" w:rsidRPr="006E75EE" w:rsidRDefault="00F31974" w:rsidP="00F31974">
      <w:pPr>
        <w:pStyle w:val="LVL1"/>
      </w:pPr>
      <w:r w:rsidRPr="006E75EE">
        <w:t>Respondents covenant not to sue and shall not assert any claim against EPA for damages or reimbursement or for set-off of any payments made or to be made to EPA, arising from or on account of any contract, agreement, or arrangement between any one or more of Respondents and any person for performance of Work or other activities on or relating to the Site, including claims on account of construction delays. In addition, Respondents shall indemnify and save and hold EPA harmless with respect to any claims for damages or reimbursement arising from or on account of any contract, agreement, or arrangement between any one or more of Respondents and any person for performance of work at or relating to the Site, including claims on account of construction delays.</w:t>
      </w:r>
    </w:p>
    <w:p w14:paraId="6C9EFE57" w14:textId="14F4F46F" w:rsidR="00F31974" w:rsidRPr="006E75EE" w:rsidRDefault="00F31974" w:rsidP="00F31974">
      <w:pPr>
        <w:pStyle w:val="LVL1"/>
      </w:pPr>
      <w:r w:rsidRPr="006E75EE">
        <w:rPr>
          <w:b/>
        </w:rPr>
        <w:t>Insurance</w:t>
      </w:r>
      <w:r w:rsidRPr="006E75EE">
        <w:t>. Respondents shall secure, by no later than 15</w:t>
      </w:r>
      <w:r w:rsidR="00226D58" w:rsidRPr="006E75EE">
        <w:rPr>
          <w:lang w:val="en-US"/>
        </w:rPr>
        <w:t> </w:t>
      </w:r>
      <w:r w:rsidRPr="006E75EE">
        <w:t>days before commencing any on-site Work, the following insurance: (a)</w:t>
      </w:r>
      <w:r w:rsidR="00226D58" w:rsidRPr="006E75EE">
        <w:rPr>
          <w:lang w:val="en-US"/>
        </w:rPr>
        <w:t> </w:t>
      </w:r>
      <w:r w:rsidRPr="006E75EE">
        <w:t>commercial general liability insurance with limits of liability of $1</w:t>
      </w:r>
      <w:r w:rsidR="00226D58" w:rsidRPr="006E75EE">
        <w:rPr>
          <w:lang w:val="en-US"/>
        </w:rPr>
        <w:t> </w:t>
      </w:r>
      <w:r w:rsidRPr="006E75EE">
        <w:t>million per occurrence; (b)</w:t>
      </w:r>
      <w:r w:rsidR="00226D58" w:rsidRPr="006E75EE">
        <w:rPr>
          <w:lang w:val="en-US"/>
        </w:rPr>
        <w:t> </w:t>
      </w:r>
      <w:r w:rsidRPr="006E75EE">
        <w:t>automobile liability insurance with limits of liability of $1</w:t>
      </w:r>
      <w:r w:rsidR="00276366" w:rsidRPr="006E75EE">
        <w:rPr>
          <w:lang w:val="en-US"/>
        </w:rPr>
        <w:t> </w:t>
      </w:r>
      <w:r w:rsidRPr="006E75EE">
        <w:t>million per accident; and (c)</w:t>
      </w:r>
      <w:r w:rsidR="00276366" w:rsidRPr="006E75EE">
        <w:rPr>
          <w:lang w:val="en-US"/>
        </w:rPr>
        <w:t> </w:t>
      </w:r>
      <w:r w:rsidRPr="006E75EE">
        <w:t>umbrella liability insurance with limits of liability of $5</w:t>
      </w:r>
      <w:r w:rsidR="00276366" w:rsidRPr="006E75EE">
        <w:rPr>
          <w:lang w:val="en-US"/>
        </w:rPr>
        <w:t> </w:t>
      </w:r>
      <w:r w:rsidRPr="006E75EE">
        <w:t xml:space="preserve">million in excess of the required commercial general liability and automobile liability limits. The insurance policy must name EPA as an additional insured with respect to all liability arising out of the activities performed by or on behalf of Respondents under this </w:t>
      </w:r>
      <w:r w:rsidRPr="006E75EE">
        <w:rPr>
          <w:lang w:val="en-US"/>
        </w:rPr>
        <w:t>Settlement</w:t>
      </w:r>
      <w:r w:rsidRPr="006E75EE">
        <w:t xml:space="preserve">. Respondents shall maintain this insurance until the first anniversary after </w:t>
      </w:r>
      <w:r w:rsidRPr="006E75EE">
        <w:rPr>
          <w:lang w:val="en-US"/>
        </w:rPr>
        <w:t xml:space="preserve">EPA’s </w:t>
      </w:r>
      <w:r w:rsidRPr="006E75EE">
        <w:t xml:space="preserve">issuance of </w:t>
      </w:r>
      <w:r w:rsidRPr="006E75EE">
        <w:rPr>
          <w:lang w:val="en-US"/>
        </w:rPr>
        <w:t xml:space="preserve">the Notice of Completion of </w:t>
      </w:r>
      <w:r w:rsidR="001C638E" w:rsidRPr="006E75EE">
        <w:rPr>
          <w:lang w:val="en-US"/>
        </w:rPr>
        <w:t xml:space="preserve">RI/FS </w:t>
      </w:r>
      <w:r w:rsidRPr="006E75EE">
        <w:rPr>
          <w:lang w:val="en-US"/>
        </w:rPr>
        <w:t xml:space="preserve">Work under </w:t>
      </w:r>
      <w:r w:rsidR="001E11A9" w:rsidRPr="006E75EE">
        <w:rPr>
          <w:lang w:val="en-US"/>
        </w:rPr>
        <w:t>Section</w:t>
      </w:r>
      <w:r w:rsidR="009A7708" w:rsidRPr="006E75EE">
        <w:rPr>
          <w:lang w:val="en-US"/>
        </w:rPr>
        <w:t> </w:t>
      </w:r>
      <w:r w:rsidR="003633B5" w:rsidRPr="006E75EE">
        <w:rPr>
          <w:lang w:val="en-US"/>
        </w:rPr>
        <w:t>7</w:t>
      </w:r>
      <w:r w:rsidR="001E11A9" w:rsidRPr="006E75EE">
        <w:rPr>
          <w:lang w:val="en-US"/>
        </w:rPr>
        <w:t xml:space="preserve">.7 of the SOW. </w:t>
      </w:r>
      <w:r w:rsidRPr="006E75EE">
        <w:t xml:space="preserve">In addition, for the duration of this </w:t>
      </w:r>
      <w:r w:rsidRPr="006E75EE">
        <w:rPr>
          <w:lang w:val="en-US"/>
        </w:rPr>
        <w:t>Settlement</w:t>
      </w:r>
      <w:r w:rsidRPr="006E75EE">
        <w:t xml:space="preserve">, Respondents shall satisfy, or shall ensure that their contractors or subcontractors satisfy, all applicable laws and regulations regarding the provision of worker’s compensation insurance for all </w:t>
      </w:r>
      <w:r w:rsidRPr="006E75EE">
        <w:lastRenderedPageBreak/>
        <w:t xml:space="preserve">persons performing the Work on behalf of Respondents in furtherance of this </w:t>
      </w:r>
      <w:r w:rsidRPr="006E75EE">
        <w:rPr>
          <w:lang w:val="en-US"/>
        </w:rPr>
        <w:t>Settlement</w:t>
      </w:r>
      <w:r w:rsidRPr="006E75EE">
        <w:t xml:space="preserve">. Prior to commencement of the Work, Respondents shall provide to EPA certificates of such insurance and a copy of each insurance policy. Respondents shall resubmit such certificates and copies of policies each year on the anniversary of the Effective Date. If Respondents demonstrate by evidence satisfactory to EPA that any contractor or subcontractor maintains insurance equivalent to that described above, or insurance covering the same risks but in a lesser amount, then, with respect to that contractor or subcontractor, Respondents need provide only that portion of the insurance described above that is not maintained by the contractor or subcontractor. Respondents shall ensure that all submittals to EPA under this </w:t>
      </w:r>
      <w:r w:rsidR="00631C7F" w:rsidRPr="006E75EE">
        <w:t xml:space="preserve">Paragraph </w:t>
      </w:r>
      <w:r w:rsidRPr="006E75EE">
        <w:t>identify the [</w:t>
      </w:r>
      <w:r w:rsidRPr="006E75EE">
        <w:rPr>
          <w:b/>
        </w:rPr>
        <w:t>Site name, city, state</w:t>
      </w:r>
      <w:r w:rsidRPr="006E75EE">
        <w:t xml:space="preserve">] and the </w:t>
      </w:r>
      <w:r w:rsidR="0099001C" w:rsidRPr="006E75EE">
        <w:t>EPA docket</w:t>
      </w:r>
      <w:r w:rsidRPr="006E75EE">
        <w:t xml:space="preserve"> number of this case.</w:t>
      </w:r>
      <w:r w:rsidR="00631C7F" w:rsidRPr="006E75EE">
        <w:rPr>
          <w:lang w:val="en-US"/>
        </w:rPr>
        <w:t xml:space="preserve"> </w:t>
      </w:r>
    </w:p>
    <w:p w14:paraId="2AD065B1" w14:textId="65C839A6" w:rsidR="008170B1" w:rsidRPr="006E75EE" w:rsidRDefault="008170B1" w:rsidP="002B7658">
      <w:pPr>
        <w:pStyle w:val="Heading1"/>
      </w:pPr>
      <w:bookmarkStart w:id="123" w:name="_Ref326224281"/>
      <w:bookmarkStart w:id="124" w:name="_Toc404318369"/>
      <w:bookmarkStart w:id="125" w:name="_Toc80599614"/>
      <w:bookmarkStart w:id="126" w:name="_Toc184899542"/>
      <w:r w:rsidRPr="006E75EE">
        <w:t>PAYMENT</w:t>
      </w:r>
      <w:r w:rsidR="003D4E90" w:rsidRPr="006E75EE">
        <w:rPr>
          <w:lang w:val="en-US"/>
        </w:rPr>
        <w:t>S</w:t>
      </w:r>
      <w:r w:rsidRPr="006E75EE">
        <w:t xml:space="preserve"> </w:t>
      </w:r>
      <w:r w:rsidR="003D4E90" w:rsidRPr="006E75EE">
        <w:rPr>
          <w:lang w:val="en-US"/>
        </w:rPr>
        <w:t>FOR</w:t>
      </w:r>
      <w:r w:rsidRPr="006E75EE">
        <w:t xml:space="preserve"> RESPONSE COSTS</w:t>
      </w:r>
      <w:bookmarkEnd w:id="123"/>
      <w:bookmarkEnd w:id="124"/>
      <w:bookmarkEnd w:id="125"/>
      <w:bookmarkEnd w:id="126"/>
      <w:r w:rsidRPr="006E75EE">
        <w:t xml:space="preserve"> </w:t>
      </w:r>
    </w:p>
    <w:p w14:paraId="15FEE136" w14:textId="2B01574C" w:rsidR="008170B1" w:rsidRPr="006E75EE" w:rsidRDefault="008170B1" w:rsidP="00662681">
      <w:pPr>
        <w:pStyle w:val="LVL1"/>
        <w:rPr>
          <w:lang w:val="en-US"/>
        </w:rPr>
      </w:pPr>
      <w:bookmarkStart w:id="127" w:name="_Ref326155588"/>
      <w:bookmarkStart w:id="128" w:name="_Ref76740162"/>
      <w:r w:rsidRPr="006E75EE">
        <w:rPr>
          <w:b/>
        </w:rPr>
        <w:t xml:space="preserve">Payment </w:t>
      </w:r>
      <w:r w:rsidR="00807D2F" w:rsidRPr="006E75EE">
        <w:rPr>
          <w:b/>
          <w:lang w:val="en-US"/>
        </w:rPr>
        <w:t xml:space="preserve">by Respondents </w:t>
      </w:r>
      <w:r w:rsidRPr="006E75EE">
        <w:rPr>
          <w:b/>
        </w:rPr>
        <w:t>for Past Response Costs</w:t>
      </w:r>
      <w:bookmarkEnd w:id="127"/>
      <w:r w:rsidR="00B763AF" w:rsidRPr="006E75EE">
        <w:t xml:space="preserve">. </w:t>
      </w:r>
      <w:bookmarkStart w:id="129" w:name="_Ref326155583"/>
      <w:r w:rsidR="00B763AF" w:rsidRPr="006E75EE">
        <w:t>Within 30</w:t>
      </w:r>
      <w:r w:rsidR="00634FD2" w:rsidRPr="006E75EE">
        <w:rPr>
          <w:lang w:val="en-US"/>
        </w:rPr>
        <w:t> </w:t>
      </w:r>
      <w:r w:rsidR="00B763AF" w:rsidRPr="006E75EE">
        <w:t xml:space="preserve">days after the Effective Date, Respondents shall pay EPA, in reimbursement of Past Response Costs in connection with the Site, $_____. </w:t>
      </w:r>
      <w:r w:rsidR="00B763AF" w:rsidRPr="006E75EE">
        <w:rPr>
          <w:lang w:val="en-US"/>
        </w:rPr>
        <w:t xml:space="preserve">Respondents shall make payment </w:t>
      </w:r>
      <w:bookmarkEnd w:id="129"/>
      <w:r w:rsidR="00B763AF" w:rsidRPr="006E75EE">
        <w:rPr>
          <w:lang w:val="en-US"/>
        </w:rPr>
        <w:t xml:space="preserve">at </w:t>
      </w:r>
      <w:r w:rsidR="00B763AF" w:rsidRPr="006E75EE">
        <w:rPr>
          <w:u w:val="single"/>
          <w:lang w:val="en-US"/>
        </w:rPr>
        <w:t>https://www.pay.gov</w:t>
      </w:r>
      <w:r w:rsidR="00EC3F6F" w:rsidRPr="006E75EE">
        <w:rPr>
          <w:rStyle w:val="FootnoteReference"/>
          <w:color w:val="auto"/>
          <w:u w:val="single"/>
          <w:lang w:val="en-US"/>
        </w:rPr>
        <w:footnoteReference w:id="29"/>
      </w:r>
      <w:r w:rsidR="00B763AF" w:rsidRPr="006E75EE">
        <w:rPr>
          <w:lang w:val="en-US"/>
        </w:rPr>
        <w:t xml:space="preserve"> using the “EPA Miscellaneous Payments Cincinnati Finance Center” link, and including references to the Site/Spill ID </w:t>
      </w:r>
      <w:r w:rsidR="00785D1F" w:rsidRPr="006E75EE">
        <w:rPr>
          <w:lang w:val="en-US"/>
        </w:rPr>
        <w:t>number</w:t>
      </w:r>
      <w:r w:rsidR="00B763AF" w:rsidRPr="006E75EE">
        <w:rPr>
          <w:lang w:val="en-US"/>
        </w:rPr>
        <w:t xml:space="preserve"> listed in ¶</w:t>
      </w:r>
      <w:r w:rsidR="009A7708" w:rsidRPr="006E75EE">
        <w:rPr>
          <w:lang w:val="en-US"/>
        </w:rPr>
        <w:t> </w:t>
      </w:r>
      <w:r w:rsidR="00E35172" w:rsidRPr="006E75EE">
        <w:rPr>
          <w:lang w:val="en-US"/>
        </w:rPr>
        <w:fldChar w:fldCharType="begin"/>
      </w:r>
      <w:r w:rsidR="00E35172" w:rsidRPr="006E75EE">
        <w:rPr>
          <w:lang w:val="en-US"/>
        </w:rPr>
        <w:instrText xml:space="preserve"> REF _Ref76833864 \r \h </w:instrText>
      </w:r>
      <w:r w:rsidR="006E75EE">
        <w:rPr>
          <w:lang w:val="en-US"/>
        </w:rPr>
        <w:instrText xml:space="preserve"> \* MERGEFORMAT </w:instrText>
      </w:r>
      <w:r w:rsidR="00E35172" w:rsidRPr="006E75EE">
        <w:rPr>
          <w:lang w:val="en-US"/>
        </w:rPr>
      </w:r>
      <w:r w:rsidR="00E35172" w:rsidRPr="006E75EE">
        <w:rPr>
          <w:lang w:val="en-US"/>
        </w:rPr>
        <w:fldChar w:fldCharType="separate"/>
      </w:r>
      <w:r w:rsidR="009166B4" w:rsidRPr="006E75EE">
        <w:rPr>
          <w:lang w:val="en-US"/>
        </w:rPr>
        <w:t>86</w:t>
      </w:r>
      <w:r w:rsidR="00E35172" w:rsidRPr="006E75EE">
        <w:rPr>
          <w:lang w:val="en-US"/>
        </w:rPr>
        <w:fldChar w:fldCharType="end"/>
      </w:r>
      <w:r w:rsidR="00B763AF" w:rsidRPr="006E75EE">
        <w:rPr>
          <w:lang w:val="en-US"/>
        </w:rPr>
        <w:t xml:space="preserve"> and the purpose of the payment. Respondents shall send notices of this payment to EPA in accordance with ¶</w:t>
      </w:r>
      <w:r w:rsidR="009A7708" w:rsidRPr="006E75EE">
        <w:rPr>
          <w:lang w:val="en-US"/>
        </w:rPr>
        <w:t> </w:t>
      </w:r>
      <w:r w:rsidR="00E35172" w:rsidRPr="006E75EE">
        <w:rPr>
          <w:lang w:val="en-US"/>
        </w:rPr>
        <w:fldChar w:fldCharType="begin"/>
      </w:r>
      <w:r w:rsidR="00E35172" w:rsidRPr="006E75EE">
        <w:rPr>
          <w:lang w:val="en-US"/>
        </w:rPr>
        <w:instrText xml:space="preserve"> REF _Ref76833864 \r \h </w:instrText>
      </w:r>
      <w:r w:rsidR="006E75EE">
        <w:rPr>
          <w:lang w:val="en-US"/>
        </w:rPr>
        <w:instrText xml:space="preserve"> \* MERGEFORMAT </w:instrText>
      </w:r>
      <w:r w:rsidR="00E35172" w:rsidRPr="006E75EE">
        <w:rPr>
          <w:lang w:val="en-US"/>
        </w:rPr>
      </w:r>
      <w:r w:rsidR="00E35172" w:rsidRPr="006E75EE">
        <w:rPr>
          <w:lang w:val="en-US"/>
        </w:rPr>
        <w:fldChar w:fldCharType="separate"/>
      </w:r>
      <w:r w:rsidR="009166B4" w:rsidRPr="006E75EE">
        <w:rPr>
          <w:lang w:val="en-US"/>
        </w:rPr>
        <w:t>86</w:t>
      </w:r>
      <w:r w:rsidR="00E35172" w:rsidRPr="006E75EE">
        <w:rPr>
          <w:lang w:val="en-US"/>
        </w:rPr>
        <w:fldChar w:fldCharType="end"/>
      </w:r>
      <w:r w:rsidR="00B763AF" w:rsidRPr="006E75EE">
        <w:rPr>
          <w:lang w:val="en-US"/>
        </w:rPr>
        <w:t xml:space="preserve">. If the payment required under this </w:t>
      </w:r>
      <w:r w:rsidR="00785D1F" w:rsidRPr="006E75EE">
        <w:rPr>
          <w:lang w:val="en-US"/>
        </w:rPr>
        <w:t xml:space="preserve">Paragraph </w:t>
      </w:r>
      <w:r w:rsidR="00B763AF" w:rsidRPr="006E75EE">
        <w:rPr>
          <w:lang w:val="en-US"/>
        </w:rPr>
        <w:t xml:space="preserve">is late, Respondents shall pay, in addition to any stipulated </w:t>
      </w:r>
      <w:r w:rsidR="00785D1F" w:rsidRPr="006E75EE">
        <w:rPr>
          <w:lang w:val="en-US"/>
        </w:rPr>
        <w:t>penalties owed under Section</w:t>
      </w:r>
      <w:r w:rsidR="009A7708" w:rsidRPr="006E75EE">
        <w:rPr>
          <w:lang w:val="en-US"/>
        </w:rPr>
        <w:t> </w:t>
      </w:r>
      <w:r w:rsidR="00785D1F" w:rsidRPr="006E75EE">
        <w:rPr>
          <w:lang w:val="en-US"/>
        </w:rPr>
        <w:fldChar w:fldCharType="begin"/>
      </w:r>
      <w:r w:rsidR="00785D1F" w:rsidRPr="006E75EE">
        <w:rPr>
          <w:lang w:val="en-US"/>
        </w:rPr>
        <w:instrText xml:space="preserve"> REF _Ref326221439 \w \h </w:instrText>
      </w:r>
      <w:r w:rsidR="006E75EE">
        <w:rPr>
          <w:lang w:val="en-US"/>
        </w:rPr>
        <w:instrText xml:space="preserve"> \* MERGEFORMAT </w:instrText>
      </w:r>
      <w:r w:rsidR="00785D1F" w:rsidRPr="006E75EE">
        <w:rPr>
          <w:lang w:val="en-US"/>
        </w:rPr>
      </w:r>
      <w:r w:rsidR="00785D1F" w:rsidRPr="006E75EE">
        <w:rPr>
          <w:lang w:val="en-US"/>
        </w:rPr>
        <w:fldChar w:fldCharType="separate"/>
      </w:r>
      <w:r w:rsidR="009166B4" w:rsidRPr="006E75EE">
        <w:rPr>
          <w:lang w:val="en-US"/>
        </w:rPr>
        <w:t>XV</w:t>
      </w:r>
      <w:r w:rsidR="00785D1F" w:rsidRPr="006E75EE">
        <w:rPr>
          <w:lang w:val="en-US"/>
        </w:rPr>
        <w:fldChar w:fldCharType="end"/>
      </w:r>
      <w:r w:rsidR="00B763AF" w:rsidRPr="006E75EE">
        <w:rPr>
          <w:lang w:val="en-US"/>
        </w:rPr>
        <w:t>, an additional amount for Interest accrued from the Effective Date until the date of payment.</w:t>
      </w:r>
      <w:bookmarkEnd w:id="128"/>
      <w:r w:rsidRPr="006E75EE">
        <w:t xml:space="preserve"> </w:t>
      </w:r>
    </w:p>
    <w:p w14:paraId="12BCECE5" w14:textId="48C68BAE" w:rsidR="00BF0226" w:rsidRPr="006E75EE" w:rsidRDefault="00BF0226" w:rsidP="00BF0226">
      <w:pPr>
        <w:pStyle w:val="LVL1"/>
        <w:rPr>
          <w:lang w:val="en-US"/>
        </w:rPr>
      </w:pPr>
      <w:bookmarkStart w:id="130" w:name="_Ref76972257"/>
      <w:bookmarkStart w:id="131" w:name="_Ref326154300"/>
      <w:bookmarkStart w:id="132" w:name="_Ref102998949"/>
      <w:bookmarkStart w:id="133" w:name="_Ref215739262"/>
      <w:r w:rsidRPr="006E75EE">
        <w:rPr>
          <w:b/>
          <w:lang w:val="en-US"/>
        </w:rPr>
        <w:t xml:space="preserve">Payments </w:t>
      </w:r>
      <w:r w:rsidR="004B6B9C" w:rsidRPr="006E75EE">
        <w:rPr>
          <w:b/>
          <w:lang w:val="en-US"/>
        </w:rPr>
        <w:t xml:space="preserve">by Respondents </w:t>
      </w:r>
      <w:r w:rsidRPr="006E75EE">
        <w:rPr>
          <w:b/>
          <w:lang w:val="en-US"/>
        </w:rPr>
        <w:t>for Future Response Costs</w:t>
      </w:r>
      <w:bookmarkEnd w:id="130"/>
      <w:bookmarkEnd w:id="131"/>
      <w:bookmarkEnd w:id="132"/>
      <w:r w:rsidR="00EC3F6F" w:rsidRPr="006E75EE">
        <w:rPr>
          <w:rStyle w:val="FootnoteReference"/>
          <w:b/>
          <w:color w:val="auto"/>
          <w:lang w:val="en-US"/>
        </w:rPr>
        <w:footnoteReference w:id="30"/>
      </w:r>
      <w:bookmarkEnd w:id="133"/>
    </w:p>
    <w:p w14:paraId="3357544E" w14:textId="13C45A92" w:rsidR="00BF0226" w:rsidRPr="006E75EE" w:rsidRDefault="00BF0226" w:rsidP="003E430A">
      <w:pPr>
        <w:pStyle w:val="LVL2"/>
        <w:rPr>
          <w:color w:val="auto"/>
        </w:rPr>
      </w:pPr>
      <w:bookmarkStart w:id="134" w:name="_Ref245892335"/>
      <w:bookmarkStart w:id="135" w:name="_Ref247429713"/>
      <w:bookmarkStart w:id="136" w:name="_Ref92193233"/>
      <w:r w:rsidRPr="006E75EE">
        <w:rPr>
          <w:b/>
          <w:color w:val="auto"/>
        </w:rPr>
        <w:lastRenderedPageBreak/>
        <w:t>Periodic Bills</w:t>
      </w:r>
      <w:r w:rsidRPr="006E75EE">
        <w:rPr>
          <w:color w:val="auto"/>
        </w:rPr>
        <w:t>.</w:t>
      </w:r>
      <w:r w:rsidR="00E114EA" w:rsidRPr="006E75EE">
        <w:rPr>
          <w:color w:val="auto"/>
        </w:rPr>
        <w:t xml:space="preserve"> </w:t>
      </w:r>
      <w:r w:rsidRPr="006E75EE">
        <w:rPr>
          <w:color w:val="auto"/>
        </w:rPr>
        <w:t>On a periodic basis, EPA will send Respondents a bill for Future Response Costs, including a [</w:t>
      </w:r>
      <w:r w:rsidRPr="006E75EE">
        <w:rPr>
          <w:b/>
          <w:color w:val="auto"/>
        </w:rPr>
        <w:t>“</w:t>
      </w:r>
      <w:r w:rsidR="00685B04" w:rsidRPr="006E75EE">
        <w:rPr>
          <w:b/>
          <w:color w:val="auto"/>
          <w:lang w:val="en-US"/>
        </w:rPr>
        <w:t xml:space="preserve">e-Recovery </w:t>
      </w:r>
      <w:r w:rsidRPr="006E75EE">
        <w:rPr>
          <w:b/>
          <w:color w:val="auto"/>
        </w:rPr>
        <w:t>Report” or other standard cost summary</w:t>
      </w:r>
      <w:r w:rsidRPr="006E75EE">
        <w:rPr>
          <w:color w:val="auto"/>
        </w:rPr>
        <w:t>] listing direct costs paid by EPA, its contractors, and subcontractors</w:t>
      </w:r>
      <w:bookmarkStart w:id="137" w:name="_Ref326155627"/>
      <w:bookmarkEnd w:id="134"/>
      <w:bookmarkEnd w:id="135"/>
      <w:r w:rsidR="00083D7E" w:rsidRPr="006E75EE">
        <w:rPr>
          <w:color w:val="auto"/>
          <w:lang w:val="en-US"/>
        </w:rPr>
        <w:t xml:space="preserve"> and related indirect costs</w:t>
      </w:r>
      <w:r w:rsidRPr="006E75EE">
        <w:rPr>
          <w:color w:val="auto"/>
        </w:rPr>
        <w:t>. Respondents may initiate a dispute under Section</w:t>
      </w:r>
      <w:r w:rsidR="009A7708" w:rsidRPr="006E75EE">
        <w:rPr>
          <w:color w:val="auto"/>
          <w:lang w:val="en-US"/>
        </w:rPr>
        <w:t> </w:t>
      </w:r>
      <w:r w:rsidR="00EB3326" w:rsidRPr="006E75EE">
        <w:rPr>
          <w:color w:val="auto"/>
        </w:rPr>
        <w:fldChar w:fldCharType="begin"/>
      </w:r>
      <w:r w:rsidR="00EB3326" w:rsidRPr="006E75EE">
        <w:rPr>
          <w:color w:val="auto"/>
        </w:rPr>
        <w:instrText xml:space="preserve"> REF _Ref326220161 \r \h </w:instrText>
      </w:r>
      <w:r w:rsidR="006E75EE">
        <w:rPr>
          <w:color w:val="auto"/>
        </w:rPr>
        <w:instrText xml:space="preserve"> \* MERGEFORMAT </w:instrText>
      </w:r>
      <w:r w:rsidR="00EB3326" w:rsidRPr="006E75EE">
        <w:rPr>
          <w:color w:val="auto"/>
        </w:rPr>
      </w:r>
      <w:r w:rsidR="00EB3326" w:rsidRPr="006E75EE">
        <w:rPr>
          <w:color w:val="auto"/>
        </w:rPr>
        <w:fldChar w:fldCharType="separate"/>
      </w:r>
      <w:r w:rsidR="009166B4" w:rsidRPr="006E75EE">
        <w:rPr>
          <w:color w:val="auto"/>
        </w:rPr>
        <w:t>XIV</w:t>
      </w:r>
      <w:r w:rsidR="00EB3326" w:rsidRPr="006E75EE">
        <w:rPr>
          <w:color w:val="auto"/>
        </w:rPr>
        <w:fldChar w:fldCharType="end"/>
      </w:r>
      <w:r w:rsidRPr="006E75EE">
        <w:rPr>
          <w:color w:val="auto"/>
        </w:rPr>
        <w:t xml:space="preserve"> regarding a Future Response Cost billing, but only if the dispute relates to one or more of the following issues: (</w:t>
      </w:r>
      <w:r w:rsidR="009C28F6" w:rsidRPr="006E75EE">
        <w:rPr>
          <w:color w:val="auto"/>
          <w:lang w:val="en-US"/>
        </w:rPr>
        <w:t>1</w:t>
      </w:r>
      <w:r w:rsidRPr="006E75EE">
        <w:rPr>
          <w:color w:val="auto"/>
        </w:rPr>
        <w:t>)</w:t>
      </w:r>
      <w:r w:rsidR="00276366" w:rsidRPr="006E75EE">
        <w:rPr>
          <w:color w:val="auto"/>
          <w:lang w:val="en-US"/>
        </w:rPr>
        <w:t> </w:t>
      </w:r>
      <w:r w:rsidRPr="006E75EE">
        <w:rPr>
          <w:color w:val="auto"/>
        </w:rPr>
        <w:t>whether EPA has made an arithmetical error; (</w:t>
      </w:r>
      <w:r w:rsidR="009C28F6" w:rsidRPr="006E75EE">
        <w:rPr>
          <w:color w:val="auto"/>
          <w:lang w:val="en-US"/>
        </w:rPr>
        <w:t>2</w:t>
      </w:r>
      <w:r w:rsidRPr="006E75EE">
        <w:rPr>
          <w:color w:val="auto"/>
        </w:rPr>
        <w:t>)</w:t>
      </w:r>
      <w:r w:rsidR="006D17BD" w:rsidRPr="006E75EE">
        <w:rPr>
          <w:color w:val="auto"/>
          <w:lang w:val="en-US"/>
        </w:rPr>
        <w:t> </w:t>
      </w:r>
      <w:r w:rsidRPr="006E75EE">
        <w:rPr>
          <w:color w:val="auto"/>
        </w:rPr>
        <w:t>whether EPA has included a cost item that is not within the definition of Future Response Costs; or (</w:t>
      </w:r>
      <w:r w:rsidR="009C28F6" w:rsidRPr="006E75EE">
        <w:rPr>
          <w:color w:val="auto"/>
          <w:lang w:val="en-US"/>
        </w:rPr>
        <w:t>3</w:t>
      </w:r>
      <w:r w:rsidRPr="006E75EE">
        <w:rPr>
          <w:color w:val="auto"/>
        </w:rPr>
        <w:t>)</w:t>
      </w:r>
      <w:r w:rsidR="006D17BD" w:rsidRPr="006E75EE">
        <w:rPr>
          <w:color w:val="auto"/>
          <w:lang w:val="en-US"/>
        </w:rPr>
        <w:t> </w:t>
      </w:r>
      <w:r w:rsidRPr="006E75EE">
        <w:rPr>
          <w:color w:val="auto"/>
        </w:rPr>
        <w:t xml:space="preserve">whether EPA has paid excess costs as a direct result of an EPA action that was inconsistent with a specific provision or provisions of the NCP. </w:t>
      </w:r>
      <w:r w:rsidR="002A0499" w:rsidRPr="006E75EE">
        <w:rPr>
          <w:color w:val="auto"/>
        </w:rPr>
        <w:t>If Respondents submit a Notice of Dispute, Respondents shall within the 30-day period, also as a requirement for initiating the dispute, (a) pay all uncontested Future Response Costs to EPA in the manner described in ¶</w:t>
      </w:r>
      <w:r w:rsidR="009547C3" w:rsidRPr="006E75EE">
        <w:rPr>
          <w:color w:val="auto"/>
        </w:rPr>
        <w:t xml:space="preserve"> </w:t>
      </w:r>
      <w:r w:rsidR="009547C3" w:rsidRPr="006E75EE">
        <w:rPr>
          <w:color w:val="auto"/>
        </w:rPr>
        <w:fldChar w:fldCharType="begin"/>
      </w:r>
      <w:r w:rsidR="009547C3" w:rsidRPr="006E75EE">
        <w:rPr>
          <w:color w:val="auto"/>
        </w:rPr>
        <w:instrText xml:space="preserve"> REF _Ref76972466 \w \h </w:instrText>
      </w:r>
      <w:r w:rsidR="006E75EE">
        <w:rPr>
          <w:color w:val="auto"/>
        </w:rPr>
        <w:instrText xml:space="preserve"> \* MERGEFORMAT </w:instrText>
      </w:r>
      <w:r w:rsidR="009547C3" w:rsidRPr="006E75EE">
        <w:rPr>
          <w:color w:val="auto"/>
        </w:rPr>
      </w:r>
      <w:r w:rsidR="009547C3" w:rsidRPr="006E75EE">
        <w:rPr>
          <w:color w:val="auto"/>
        </w:rPr>
        <w:fldChar w:fldCharType="separate"/>
      </w:r>
      <w:r w:rsidR="009166B4" w:rsidRPr="006E75EE">
        <w:rPr>
          <w:color w:val="auto"/>
        </w:rPr>
        <w:t>42.b</w:t>
      </w:r>
      <w:r w:rsidR="009547C3" w:rsidRPr="006E75EE">
        <w:rPr>
          <w:color w:val="auto"/>
        </w:rPr>
        <w:fldChar w:fldCharType="end"/>
      </w:r>
      <w:r w:rsidR="002A0499" w:rsidRPr="006E75EE">
        <w:rPr>
          <w:color w:val="auto"/>
        </w:rPr>
        <w:t>, and (b)</w:t>
      </w:r>
      <w:r w:rsidR="00226D58" w:rsidRPr="006E75EE">
        <w:rPr>
          <w:color w:val="auto"/>
          <w:lang w:val="en-US"/>
        </w:rPr>
        <w:t> </w:t>
      </w:r>
      <w:r w:rsidR="002A0499" w:rsidRPr="006E75EE">
        <w:rPr>
          <w:color w:val="auto"/>
        </w:rPr>
        <w:t>establish, in a duly chartered bank or trust company, an interest-bearing escrow account that is insured by the FDIC and remit to that escrow account funds equivalent to the amount of the contested Future Response Costs</w:t>
      </w:r>
      <w:r w:rsidR="00BC6706" w:rsidRPr="006E75EE">
        <w:rPr>
          <w:color w:val="auto"/>
          <w:lang w:val="en-US"/>
        </w:rPr>
        <w:t>.</w:t>
      </w:r>
      <w:r w:rsidR="002A0499" w:rsidRPr="006E75EE">
        <w:rPr>
          <w:color w:val="auto"/>
        </w:rPr>
        <w:t xml:space="preserve"> The dispute resolution procedures set forth in this Paragraph in conjunction with the procedures set forth in Section</w:t>
      </w:r>
      <w:r w:rsidR="0070761F" w:rsidRPr="006E75EE">
        <w:rPr>
          <w:color w:val="auto"/>
          <w:lang w:val="en-US"/>
        </w:rPr>
        <w:t> </w:t>
      </w:r>
      <w:r w:rsidR="008768FA" w:rsidRPr="006E75EE">
        <w:rPr>
          <w:color w:val="auto"/>
          <w:lang w:val="en-US"/>
        </w:rPr>
        <w:fldChar w:fldCharType="begin"/>
      </w:r>
      <w:r w:rsidR="008768FA" w:rsidRPr="006E75EE">
        <w:rPr>
          <w:color w:val="auto"/>
          <w:lang w:val="en-US"/>
        </w:rPr>
        <w:instrText xml:space="preserve"> REF _Ref326220161 \r \h </w:instrText>
      </w:r>
      <w:r w:rsidR="006E75EE">
        <w:rPr>
          <w:color w:val="auto"/>
          <w:lang w:val="en-US"/>
        </w:rPr>
        <w:instrText xml:space="preserve"> \* MERGEFORMAT </w:instrText>
      </w:r>
      <w:r w:rsidR="008768FA" w:rsidRPr="006E75EE">
        <w:rPr>
          <w:color w:val="auto"/>
          <w:lang w:val="en-US"/>
        </w:rPr>
      </w:r>
      <w:r w:rsidR="008768FA" w:rsidRPr="006E75EE">
        <w:rPr>
          <w:color w:val="auto"/>
          <w:lang w:val="en-US"/>
        </w:rPr>
        <w:fldChar w:fldCharType="separate"/>
      </w:r>
      <w:r w:rsidR="009166B4" w:rsidRPr="006E75EE">
        <w:rPr>
          <w:color w:val="auto"/>
          <w:lang w:val="en-US"/>
        </w:rPr>
        <w:t>XIV</w:t>
      </w:r>
      <w:r w:rsidR="008768FA" w:rsidRPr="006E75EE">
        <w:rPr>
          <w:color w:val="auto"/>
          <w:lang w:val="en-US"/>
        </w:rPr>
        <w:fldChar w:fldCharType="end"/>
      </w:r>
      <w:r w:rsidR="00023BEC" w:rsidRPr="006E75EE">
        <w:rPr>
          <w:color w:val="auto"/>
          <w:lang w:val="en-US"/>
        </w:rPr>
        <w:t xml:space="preserve"> </w:t>
      </w:r>
      <w:r w:rsidR="002A0499" w:rsidRPr="006E75EE">
        <w:rPr>
          <w:color w:val="auto"/>
        </w:rPr>
        <w:t>shall be the exclusive mechanisms for resolving disputes regarding Respondents’ obligation to reimburse EPA for its Future Response Costs</w:t>
      </w:r>
      <w:r w:rsidR="005977DC" w:rsidRPr="006E75EE">
        <w:rPr>
          <w:color w:val="auto"/>
          <w:lang w:val="en-US"/>
        </w:rPr>
        <w:t>.</w:t>
      </w:r>
      <w:r w:rsidR="00EC3FEC" w:rsidRPr="006E75EE">
        <w:rPr>
          <w:color w:val="auto"/>
          <w:lang w:val="en-US"/>
        </w:rPr>
        <w:t xml:space="preserve"> </w:t>
      </w:r>
      <w:r w:rsidRPr="006E75EE">
        <w:rPr>
          <w:color w:val="auto"/>
        </w:rPr>
        <w:t xml:space="preserve">Respondents </w:t>
      </w:r>
      <w:r w:rsidR="00FF6F5C" w:rsidRPr="006E75EE">
        <w:rPr>
          <w:color w:val="auto"/>
          <w:lang w:val="en-US"/>
        </w:rPr>
        <w:t>shall</w:t>
      </w:r>
      <w:r w:rsidRPr="006E75EE">
        <w:rPr>
          <w:color w:val="auto"/>
        </w:rPr>
        <w:t xml:space="preserve"> specify in the Notice of Dispute the contested costs and the basis for the objection.</w:t>
      </w:r>
      <w:bookmarkEnd w:id="136"/>
      <w:bookmarkEnd w:id="137"/>
    </w:p>
    <w:p w14:paraId="40FF6872" w14:textId="71CA7C07" w:rsidR="00BF0226" w:rsidRPr="006E75EE" w:rsidRDefault="00BF0226" w:rsidP="00BF0226">
      <w:pPr>
        <w:pStyle w:val="LVL2"/>
        <w:rPr>
          <w:color w:val="auto"/>
        </w:rPr>
      </w:pPr>
      <w:bookmarkStart w:id="138" w:name="_Ref76972466"/>
      <w:r w:rsidRPr="006E75EE">
        <w:rPr>
          <w:b/>
          <w:color w:val="auto"/>
        </w:rPr>
        <w:t>Payment of Bill</w:t>
      </w:r>
      <w:r w:rsidRPr="006E75EE">
        <w:rPr>
          <w:color w:val="auto"/>
        </w:rPr>
        <w:t>. Respondents shall pay the bill, or if they initiate dispute resolution, the uncontested portion of the bill, if any, within 30</w:t>
      </w:r>
      <w:r w:rsidR="0070761F" w:rsidRPr="006E75EE">
        <w:rPr>
          <w:color w:val="auto"/>
          <w:lang w:val="en-US"/>
        </w:rPr>
        <w:t> </w:t>
      </w:r>
      <w:r w:rsidRPr="006E75EE">
        <w:rPr>
          <w:color w:val="auto"/>
        </w:rPr>
        <w:t>days after receipt of the bill. Respondents shall pay the contested portion of the bill determined to be owed, if any, within 30 days after the determination regarding the dispute. Each payment for: (</w:t>
      </w:r>
      <w:r w:rsidR="009C28F6" w:rsidRPr="006E75EE">
        <w:rPr>
          <w:color w:val="auto"/>
          <w:lang w:val="en-US"/>
        </w:rPr>
        <w:t>1</w:t>
      </w:r>
      <w:r w:rsidRPr="006E75EE">
        <w:rPr>
          <w:color w:val="auto"/>
        </w:rPr>
        <w:t>)</w:t>
      </w:r>
      <w:r w:rsidR="006D17BD" w:rsidRPr="006E75EE">
        <w:rPr>
          <w:color w:val="auto"/>
          <w:lang w:val="en-US"/>
        </w:rPr>
        <w:t> </w:t>
      </w:r>
      <w:r w:rsidRPr="006E75EE">
        <w:rPr>
          <w:color w:val="auto"/>
        </w:rPr>
        <w:t>the uncontested bill or portion of bill, if late, and; (</w:t>
      </w:r>
      <w:r w:rsidR="009C28F6" w:rsidRPr="006E75EE">
        <w:rPr>
          <w:color w:val="auto"/>
          <w:lang w:val="en-US"/>
        </w:rPr>
        <w:t>2</w:t>
      </w:r>
      <w:r w:rsidRPr="006E75EE">
        <w:rPr>
          <w:color w:val="auto"/>
        </w:rPr>
        <w:t>)</w:t>
      </w:r>
      <w:r w:rsidR="006D17BD" w:rsidRPr="006E75EE">
        <w:rPr>
          <w:color w:val="auto"/>
          <w:lang w:val="en-US"/>
        </w:rPr>
        <w:t> </w:t>
      </w:r>
      <w:r w:rsidRPr="006E75EE">
        <w:rPr>
          <w:color w:val="auto"/>
        </w:rPr>
        <w:t xml:space="preserve">the contested portion of the bill determined to be owed, if any, must include an additional amount for Interest accrued from the date of receipt of the bill through the date of payment. Respondents shall make payment at </w:t>
      </w:r>
      <w:r w:rsidRPr="006E75EE">
        <w:rPr>
          <w:color w:val="auto"/>
          <w:u w:val="single"/>
        </w:rPr>
        <w:t>https://www.pay.gov</w:t>
      </w:r>
      <w:r w:rsidR="003303C3">
        <w:rPr>
          <w:rStyle w:val="FootnoteReference"/>
        </w:rPr>
        <w:footnoteReference w:id="31"/>
      </w:r>
      <w:r w:rsidR="003303C3">
        <w:rPr>
          <w:color w:val="auto"/>
        </w:rPr>
        <w:t xml:space="preserve"> </w:t>
      </w:r>
      <w:r w:rsidRPr="006E75EE">
        <w:rPr>
          <w:color w:val="auto"/>
        </w:rPr>
        <w:t>using the “EPA Miscellaneous Payments Cincinnati Finance Center</w:t>
      </w:r>
      <w:r w:rsidRPr="006E75EE">
        <w:rPr>
          <w:color w:val="auto"/>
          <w:lang w:val="en-US"/>
        </w:rPr>
        <w:t>”</w:t>
      </w:r>
      <w:r w:rsidRPr="006E75EE">
        <w:rPr>
          <w:color w:val="auto"/>
        </w:rPr>
        <w:t xml:space="preserve"> link, and including references to the Site/Spill ID </w:t>
      </w:r>
      <w:r w:rsidR="00A044A7" w:rsidRPr="006E75EE">
        <w:rPr>
          <w:color w:val="auto"/>
        </w:rPr>
        <w:t>number</w:t>
      </w:r>
      <w:r w:rsidRPr="006E75EE">
        <w:rPr>
          <w:color w:val="auto"/>
        </w:rPr>
        <w:t xml:space="preserve"> listed in </w:t>
      </w:r>
      <w:r w:rsidRPr="006E75EE">
        <w:rPr>
          <w:color w:val="auto"/>
          <w:lang w:val="en-US"/>
        </w:rPr>
        <w:t>¶</w:t>
      </w:r>
      <w:r w:rsidR="00276366" w:rsidRPr="006E75EE">
        <w:rPr>
          <w:color w:val="auto"/>
          <w:lang w:val="en-US"/>
        </w:rPr>
        <w:t> </w:t>
      </w:r>
      <w:r w:rsidR="008768FA" w:rsidRPr="006E75EE">
        <w:rPr>
          <w:color w:val="auto"/>
          <w:lang w:val="en-US"/>
        </w:rPr>
        <w:fldChar w:fldCharType="begin"/>
      </w:r>
      <w:r w:rsidR="008768FA" w:rsidRPr="006E75EE">
        <w:rPr>
          <w:color w:val="auto"/>
          <w:lang w:val="en-US"/>
        </w:rPr>
        <w:instrText xml:space="preserve"> REF _Ref76833864 \r \h </w:instrText>
      </w:r>
      <w:r w:rsidR="006E75EE">
        <w:rPr>
          <w:color w:val="auto"/>
          <w:lang w:val="en-US"/>
        </w:rPr>
        <w:instrText xml:space="preserve"> \* MERGEFORMAT </w:instrText>
      </w:r>
      <w:r w:rsidR="008768FA" w:rsidRPr="006E75EE">
        <w:rPr>
          <w:color w:val="auto"/>
          <w:lang w:val="en-US"/>
        </w:rPr>
      </w:r>
      <w:r w:rsidR="008768FA" w:rsidRPr="006E75EE">
        <w:rPr>
          <w:color w:val="auto"/>
          <w:lang w:val="en-US"/>
        </w:rPr>
        <w:fldChar w:fldCharType="separate"/>
      </w:r>
      <w:r w:rsidR="009166B4" w:rsidRPr="006E75EE">
        <w:rPr>
          <w:color w:val="auto"/>
          <w:lang w:val="en-US"/>
        </w:rPr>
        <w:t>86</w:t>
      </w:r>
      <w:r w:rsidR="008768FA" w:rsidRPr="006E75EE">
        <w:rPr>
          <w:color w:val="auto"/>
          <w:lang w:val="en-US"/>
        </w:rPr>
        <w:fldChar w:fldCharType="end"/>
      </w:r>
      <w:r w:rsidRPr="006E75EE">
        <w:rPr>
          <w:color w:val="auto"/>
        </w:rPr>
        <w:t xml:space="preserve"> and the purpose of the payment. Respondents shall send notices of this payment to EPA.</w:t>
      </w:r>
      <w:bookmarkEnd w:id="138"/>
      <w:r w:rsidR="00807D2F" w:rsidRPr="006E75EE">
        <w:rPr>
          <w:color w:val="auto"/>
          <w:lang w:val="en-US"/>
        </w:rPr>
        <w:t xml:space="preserve"> </w:t>
      </w:r>
    </w:p>
    <w:p w14:paraId="634D2726" w14:textId="3AB04FFB" w:rsidR="004B6B9C" w:rsidRPr="006E75EE" w:rsidRDefault="00E114EA" w:rsidP="00C00530">
      <w:pPr>
        <w:pStyle w:val="LVL1"/>
        <w:rPr>
          <w:b/>
          <w:bCs/>
        </w:rPr>
      </w:pPr>
      <w:bookmarkStart w:id="139" w:name="_Ref92193761"/>
      <w:bookmarkStart w:id="140" w:name="_Ref76826775"/>
      <w:r w:rsidRPr="006E75EE">
        <w:rPr>
          <w:b/>
          <w:bCs/>
          <w:lang w:val="en-US"/>
        </w:rPr>
        <w:t>[</w:t>
      </w:r>
      <w:r w:rsidR="00116D92" w:rsidRPr="006E75EE">
        <w:rPr>
          <w:b/>
          <w:bCs/>
          <w:lang w:val="en-US"/>
        </w:rPr>
        <w:t>Payments by Settling Federal Agencies</w:t>
      </w:r>
      <w:bookmarkEnd w:id="139"/>
    </w:p>
    <w:p w14:paraId="47539EC4" w14:textId="77777777" w:rsidR="00116D92" w:rsidRPr="006E75EE" w:rsidRDefault="00116D92" w:rsidP="00116D92">
      <w:pPr>
        <w:pStyle w:val="LVL2"/>
        <w:rPr>
          <w:color w:val="auto"/>
        </w:rPr>
      </w:pPr>
      <w:bookmarkStart w:id="141" w:name="_Ref92193733"/>
      <w:r w:rsidRPr="006E75EE">
        <w:rPr>
          <w:color w:val="auto"/>
        </w:rPr>
        <w:lastRenderedPageBreak/>
        <w:t>As soon as reasonably practicable after the Effective Date, the United States, on behalf of Settling Federal Agencies, shall pay:</w:t>
      </w:r>
      <w:bookmarkEnd w:id="141"/>
      <w:r w:rsidRPr="006E75EE">
        <w:rPr>
          <w:color w:val="auto"/>
        </w:rPr>
        <w:t xml:space="preserve"> </w:t>
      </w:r>
    </w:p>
    <w:p w14:paraId="6DFE9C44" w14:textId="77777777" w:rsidR="00116D92" w:rsidRPr="006E75EE" w:rsidRDefault="00116D92" w:rsidP="00116D92">
      <w:pPr>
        <w:pStyle w:val="LVL3"/>
        <w:rPr>
          <w:color w:val="auto"/>
        </w:rPr>
      </w:pPr>
      <w:bookmarkStart w:id="142" w:name="_Ref92117886"/>
      <w:r w:rsidRPr="006E75EE">
        <w:rPr>
          <w:color w:val="auto"/>
        </w:rPr>
        <w:t>To EPA $______, in payment of Past Response Costs and Future Response Costs;</w:t>
      </w:r>
      <w:bookmarkEnd w:id="142"/>
    </w:p>
    <w:p w14:paraId="5BBDDF74" w14:textId="77777777" w:rsidR="00116D92" w:rsidRPr="006E75EE" w:rsidRDefault="00116D92" w:rsidP="00116D92">
      <w:pPr>
        <w:pStyle w:val="LVL3"/>
        <w:rPr>
          <w:color w:val="auto"/>
        </w:rPr>
      </w:pPr>
      <w:r w:rsidRPr="006E75EE">
        <w:rPr>
          <w:color w:val="auto"/>
        </w:rPr>
        <w:t xml:space="preserve">To the State $______ [insert as appropriate: in payment of State Past Response Costs and State Future Response Costs] by Automated Clearing House (“ACH”) Electronic Funds Transfer in accordance with instructions provided by the State; and </w:t>
      </w:r>
    </w:p>
    <w:p w14:paraId="1E323DA2" w14:textId="564024AC" w:rsidR="00116D92" w:rsidRPr="006E75EE" w:rsidRDefault="00116D92" w:rsidP="00116D92">
      <w:pPr>
        <w:pStyle w:val="LVL3"/>
        <w:rPr>
          <w:color w:val="auto"/>
        </w:rPr>
      </w:pPr>
      <w:r w:rsidRPr="006E75EE">
        <w:rPr>
          <w:color w:val="auto"/>
        </w:rPr>
        <w:t xml:space="preserve">To </w:t>
      </w:r>
      <w:r w:rsidRPr="006E75EE">
        <w:rPr>
          <w:color w:val="auto"/>
          <w:lang w:val="en-US"/>
        </w:rPr>
        <w:t>Respondents</w:t>
      </w:r>
      <w:r w:rsidRPr="006E75EE">
        <w:rPr>
          <w:color w:val="auto"/>
        </w:rPr>
        <w:t xml:space="preserve"> $______ </w:t>
      </w:r>
      <w:r w:rsidRPr="006E75EE">
        <w:rPr>
          <w:color w:val="auto"/>
        </w:rPr>
        <w:fldChar w:fldCharType="begin"/>
      </w:r>
      <w:r w:rsidRPr="006E75EE">
        <w:rPr>
          <w:color w:val="auto"/>
        </w:rPr>
        <w:instrText xml:space="preserve"> SEQ CHAPTER \h \r 1</w:instrText>
      </w:r>
      <w:r w:rsidRPr="006E75EE">
        <w:rPr>
          <w:color w:val="auto"/>
        </w:rPr>
        <w:fldChar w:fldCharType="end"/>
      </w:r>
      <w:r w:rsidRPr="006E75EE">
        <w:rPr>
          <w:color w:val="auto"/>
        </w:rPr>
        <w:t xml:space="preserve">[insert as appropriate: in payment of </w:t>
      </w:r>
      <w:r w:rsidRPr="006E75EE">
        <w:rPr>
          <w:color w:val="auto"/>
          <w:lang w:val="en-US"/>
        </w:rPr>
        <w:t>Respondents</w:t>
      </w:r>
      <w:r w:rsidRPr="006E75EE">
        <w:rPr>
          <w:color w:val="auto"/>
        </w:rPr>
        <w:t xml:space="preserve">’ Past Response Costs and </w:t>
      </w:r>
      <w:r w:rsidRPr="006E75EE">
        <w:rPr>
          <w:color w:val="auto"/>
          <w:lang w:val="en-US"/>
        </w:rPr>
        <w:t>Respondents</w:t>
      </w:r>
      <w:r w:rsidRPr="006E75EE">
        <w:rPr>
          <w:color w:val="auto"/>
        </w:rPr>
        <w:t>’ Future Response Costs] by Automated Clearing House (</w:t>
      </w:r>
      <w:r w:rsidR="0010123C" w:rsidRPr="006E75EE">
        <w:rPr>
          <w:color w:val="auto"/>
          <w:lang w:val="en-US"/>
        </w:rPr>
        <w:t>“</w:t>
      </w:r>
      <w:r w:rsidRPr="006E75EE">
        <w:rPr>
          <w:color w:val="auto"/>
        </w:rPr>
        <w:t>ACH</w:t>
      </w:r>
      <w:r w:rsidR="0010123C" w:rsidRPr="006E75EE">
        <w:rPr>
          <w:color w:val="auto"/>
          <w:lang w:val="en-US"/>
        </w:rPr>
        <w:t>”</w:t>
      </w:r>
      <w:r w:rsidRPr="006E75EE">
        <w:rPr>
          <w:color w:val="auto"/>
        </w:rPr>
        <w:t xml:space="preserve">) Electronic Funds Transfer in accordance with instructions provided by </w:t>
      </w:r>
      <w:r w:rsidRPr="006E75EE">
        <w:rPr>
          <w:color w:val="auto"/>
          <w:lang w:val="en-US"/>
        </w:rPr>
        <w:t>Respondents</w:t>
      </w:r>
      <w:r w:rsidRPr="006E75EE">
        <w:rPr>
          <w:color w:val="auto"/>
        </w:rPr>
        <w:t>.</w:t>
      </w:r>
    </w:p>
    <w:p w14:paraId="26F66139" w14:textId="3B9B183C" w:rsidR="00116D92" w:rsidRPr="006E75EE" w:rsidRDefault="00116D92" w:rsidP="00116D92">
      <w:pPr>
        <w:pStyle w:val="LVL2"/>
        <w:rPr>
          <w:color w:val="auto"/>
        </w:rPr>
      </w:pPr>
      <w:r w:rsidRPr="006E75EE">
        <w:rPr>
          <w:b/>
          <w:bCs/>
          <w:color w:val="auto"/>
        </w:rPr>
        <w:t>Interest.</w:t>
      </w:r>
      <w:r w:rsidRPr="006E75EE">
        <w:rPr>
          <w:color w:val="auto"/>
        </w:rPr>
        <w:t xml:space="preserve"> If any payment required by ¶</w:t>
      </w:r>
      <w:r w:rsidR="009547C3" w:rsidRPr="006E75EE">
        <w:rPr>
          <w:color w:val="auto"/>
        </w:rPr>
        <w:t xml:space="preserve"> </w:t>
      </w:r>
      <w:r w:rsidR="009547C3" w:rsidRPr="006E75EE">
        <w:rPr>
          <w:color w:val="auto"/>
        </w:rPr>
        <w:fldChar w:fldCharType="begin"/>
      </w:r>
      <w:r w:rsidR="009547C3" w:rsidRPr="006E75EE">
        <w:rPr>
          <w:color w:val="auto"/>
        </w:rPr>
        <w:instrText xml:space="preserve"> REF _Ref92193733 \w \h </w:instrText>
      </w:r>
      <w:r w:rsidR="006E75EE">
        <w:rPr>
          <w:color w:val="auto"/>
        </w:rPr>
        <w:instrText xml:space="preserve"> \* MERGEFORMAT </w:instrText>
      </w:r>
      <w:r w:rsidR="009547C3" w:rsidRPr="006E75EE">
        <w:rPr>
          <w:color w:val="auto"/>
        </w:rPr>
      </w:r>
      <w:r w:rsidR="009547C3" w:rsidRPr="006E75EE">
        <w:rPr>
          <w:color w:val="auto"/>
        </w:rPr>
        <w:fldChar w:fldCharType="separate"/>
      </w:r>
      <w:r w:rsidR="009166B4" w:rsidRPr="006E75EE">
        <w:rPr>
          <w:color w:val="auto"/>
        </w:rPr>
        <w:t>43.a</w:t>
      </w:r>
      <w:r w:rsidR="009547C3" w:rsidRPr="006E75EE">
        <w:rPr>
          <w:color w:val="auto"/>
        </w:rPr>
        <w:fldChar w:fldCharType="end"/>
      </w:r>
      <w:r w:rsidR="008D51FF" w:rsidRPr="006E75EE">
        <w:rPr>
          <w:color w:val="auto"/>
          <w:lang w:val="en-US"/>
        </w:rPr>
        <w:t xml:space="preserve"> </w:t>
      </w:r>
      <w:r w:rsidRPr="006E75EE">
        <w:rPr>
          <w:color w:val="auto"/>
        </w:rPr>
        <w:t>is not made within 120</w:t>
      </w:r>
      <w:r w:rsidR="0070761F" w:rsidRPr="006E75EE">
        <w:rPr>
          <w:color w:val="auto"/>
          <w:lang w:val="en-US"/>
        </w:rPr>
        <w:t> </w:t>
      </w:r>
      <w:r w:rsidRPr="006E75EE">
        <w:rPr>
          <w:color w:val="auto"/>
        </w:rPr>
        <w:t>days after the Effective Date, the United States, on behalf of Settling Federal Agencies, shall pay Interest on the unpaid balance, with such Interest commencing on the 121st</w:t>
      </w:r>
      <w:r w:rsidR="0070761F" w:rsidRPr="006E75EE">
        <w:rPr>
          <w:color w:val="auto"/>
          <w:lang w:val="en-US"/>
        </w:rPr>
        <w:t> </w:t>
      </w:r>
      <w:r w:rsidRPr="006E75EE">
        <w:rPr>
          <w:color w:val="auto"/>
        </w:rPr>
        <w:t xml:space="preserve">day after the Effective Date and accruing through the date of the payment. </w:t>
      </w:r>
    </w:p>
    <w:p w14:paraId="2FEAE3C1" w14:textId="485331F5" w:rsidR="00116D92" w:rsidRPr="006E75EE" w:rsidRDefault="00116D92" w:rsidP="007E5EEC">
      <w:pPr>
        <w:pStyle w:val="LVL2"/>
        <w:rPr>
          <w:color w:val="auto"/>
        </w:rPr>
      </w:pPr>
      <w:r w:rsidRPr="006E75EE">
        <w:rPr>
          <w:color w:val="auto"/>
        </w:rPr>
        <w:t xml:space="preserve">The Settling Federal Agencies’ payment[s] under this </w:t>
      </w:r>
      <w:r w:rsidR="00E71E34" w:rsidRPr="006E75EE">
        <w:rPr>
          <w:color w:val="auto"/>
          <w:lang w:val="en-US"/>
        </w:rPr>
        <w:t xml:space="preserve">Settlement </w:t>
      </w:r>
      <w:r w:rsidRPr="006E75EE">
        <w:rPr>
          <w:color w:val="auto"/>
        </w:rPr>
        <w:t xml:space="preserve">can only be paid from appropriated funds legally available for such purpose. Nothing in this </w:t>
      </w:r>
      <w:r w:rsidR="00E71E34" w:rsidRPr="006E75EE">
        <w:rPr>
          <w:color w:val="auto"/>
          <w:lang w:val="en-US"/>
        </w:rPr>
        <w:t>Settlement</w:t>
      </w:r>
      <w:r w:rsidRPr="006E75EE">
        <w:rPr>
          <w:color w:val="auto"/>
        </w:rPr>
        <w:t xml:space="preserve"> constitutes a commitment or requirement that any Settling Federal Agency obligate or pay funds in contravention of the Anti-Deficiency Act, 31</w:t>
      </w:r>
      <w:r w:rsidR="0070761F" w:rsidRPr="006E75EE">
        <w:rPr>
          <w:color w:val="auto"/>
          <w:lang w:val="en-US"/>
        </w:rPr>
        <w:t> </w:t>
      </w:r>
      <w:r w:rsidRPr="006E75EE">
        <w:rPr>
          <w:color w:val="auto"/>
        </w:rPr>
        <w:t>U.S.C. §</w:t>
      </w:r>
      <w:r w:rsidR="0070761F" w:rsidRPr="006E75EE">
        <w:rPr>
          <w:color w:val="auto"/>
          <w:lang w:val="en-US"/>
        </w:rPr>
        <w:t> </w:t>
      </w:r>
      <w:r w:rsidRPr="006E75EE">
        <w:rPr>
          <w:color w:val="auto"/>
        </w:rPr>
        <w:t>1341, or any other applicable provision of law.</w:t>
      </w:r>
      <w:r w:rsidR="00E114EA" w:rsidRPr="006E75EE">
        <w:rPr>
          <w:color w:val="auto"/>
        </w:rPr>
        <w:t>]</w:t>
      </w:r>
    </w:p>
    <w:p w14:paraId="23FA2777" w14:textId="296A403D" w:rsidR="004025E3" w:rsidRPr="006E75EE" w:rsidRDefault="00CB066A" w:rsidP="001E4683">
      <w:pPr>
        <w:pStyle w:val="LVL1"/>
      </w:pPr>
      <w:bookmarkStart w:id="143" w:name="_Ref92193298"/>
      <w:r w:rsidRPr="006E75EE">
        <w:rPr>
          <w:b/>
        </w:rPr>
        <w:t>Deposit of Payments</w:t>
      </w:r>
      <w:r w:rsidRPr="006E75EE">
        <w:t xml:space="preserve">. EPA may, in its unreviewable discretion, deposit the amounts paid under </w:t>
      </w:r>
      <w:r w:rsidRPr="006E75EE">
        <w:rPr>
          <w:lang w:val="en-US"/>
        </w:rPr>
        <w:t>¶¶</w:t>
      </w:r>
      <w:r w:rsidR="0070761F" w:rsidRPr="006E75EE">
        <w:rPr>
          <w:lang w:val="en-US"/>
        </w:rPr>
        <w:t> </w:t>
      </w:r>
      <w:r w:rsidR="008768FA" w:rsidRPr="006E75EE">
        <w:rPr>
          <w:lang w:val="en-US"/>
        </w:rPr>
        <w:fldChar w:fldCharType="begin"/>
      </w:r>
      <w:r w:rsidR="008768FA" w:rsidRPr="006E75EE">
        <w:rPr>
          <w:lang w:val="en-US"/>
        </w:rPr>
        <w:instrText xml:space="preserve"> REF _Ref76740162 \r \h </w:instrText>
      </w:r>
      <w:r w:rsidR="006E75EE">
        <w:rPr>
          <w:lang w:val="en-US"/>
        </w:rPr>
        <w:instrText xml:space="preserve"> \* MERGEFORMAT </w:instrText>
      </w:r>
      <w:r w:rsidR="008768FA" w:rsidRPr="006E75EE">
        <w:rPr>
          <w:lang w:val="en-US"/>
        </w:rPr>
      </w:r>
      <w:r w:rsidR="008768FA" w:rsidRPr="006E75EE">
        <w:rPr>
          <w:lang w:val="en-US"/>
        </w:rPr>
        <w:fldChar w:fldCharType="separate"/>
      </w:r>
      <w:r w:rsidR="00E114EA" w:rsidRPr="006E75EE">
        <w:rPr>
          <w:lang w:val="en-US"/>
        </w:rPr>
        <w:t>41</w:t>
      </w:r>
      <w:r w:rsidR="008768FA" w:rsidRPr="006E75EE">
        <w:rPr>
          <w:lang w:val="en-US"/>
        </w:rPr>
        <w:fldChar w:fldCharType="end"/>
      </w:r>
      <w:r w:rsidR="008D51FF" w:rsidRPr="006E75EE">
        <w:rPr>
          <w:lang w:val="en-US"/>
        </w:rPr>
        <w:t>,</w:t>
      </w:r>
      <w:r w:rsidRPr="006E75EE">
        <w:rPr>
          <w:lang w:val="en-US"/>
        </w:rPr>
        <w:t xml:space="preserve"> </w:t>
      </w:r>
      <w:r w:rsidR="00EB420A" w:rsidRPr="006E75EE">
        <w:rPr>
          <w:lang w:val="en-US"/>
        </w:rPr>
        <w:t xml:space="preserve">[and] </w:t>
      </w:r>
      <w:r w:rsidR="008768FA" w:rsidRPr="006E75EE">
        <w:rPr>
          <w:lang w:val="en-US"/>
        </w:rPr>
        <w:fldChar w:fldCharType="begin"/>
      </w:r>
      <w:r w:rsidR="008768FA" w:rsidRPr="006E75EE">
        <w:rPr>
          <w:lang w:val="en-US"/>
        </w:rPr>
        <w:instrText xml:space="preserve"> REF _Ref76972257 \r \h </w:instrText>
      </w:r>
      <w:r w:rsidR="006E75EE">
        <w:rPr>
          <w:lang w:val="en-US"/>
        </w:rPr>
        <w:instrText xml:space="preserve"> \* MERGEFORMAT </w:instrText>
      </w:r>
      <w:r w:rsidR="008768FA" w:rsidRPr="006E75EE">
        <w:rPr>
          <w:lang w:val="en-US"/>
        </w:rPr>
      </w:r>
      <w:r w:rsidR="008768FA" w:rsidRPr="006E75EE">
        <w:rPr>
          <w:lang w:val="en-US"/>
        </w:rPr>
        <w:fldChar w:fldCharType="separate"/>
      </w:r>
      <w:r w:rsidR="00E114EA" w:rsidRPr="006E75EE">
        <w:rPr>
          <w:lang w:val="en-US"/>
        </w:rPr>
        <w:t>42</w:t>
      </w:r>
      <w:r w:rsidR="008768FA" w:rsidRPr="006E75EE">
        <w:rPr>
          <w:lang w:val="en-US"/>
        </w:rPr>
        <w:fldChar w:fldCharType="end"/>
      </w:r>
      <w:r w:rsidR="003303C3">
        <w:rPr>
          <w:lang w:val="en-US"/>
        </w:rPr>
        <w:t xml:space="preserve"> </w:t>
      </w:r>
      <w:r w:rsidR="00EB420A" w:rsidRPr="006E75EE">
        <w:rPr>
          <w:lang w:val="en-US"/>
        </w:rPr>
        <w:t>[</w:t>
      </w:r>
      <w:r w:rsidR="003303C3">
        <w:rPr>
          <w:lang w:val="en-US"/>
        </w:rPr>
        <w:t xml:space="preserve">, </w:t>
      </w:r>
      <w:r w:rsidR="00116D92" w:rsidRPr="006E75EE">
        <w:rPr>
          <w:lang w:val="en-US"/>
        </w:rPr>
        <w:t>and</w:t>
      </w:r>
      <w:r w:rsidR="009547C3" w:rsidRPr="006E75EE">
        <w:rPr>
          <w:lang w:val="en-US"/>
        </w:rPr>
        <w:t xml:space="preserve"> </w:t>
      </w:r>
      <w:r w:rsidR="009547C3" w:rsidRPr="006E75EE">
        <w:rPr>
          <w:lang w:val="en-US"/>
        </w:rPr>
        <w:fldChar w:fldCharType="begin"/>
      </w:r>
      <w:r w:rsidR="009547C3" w:rsidRPr="006E75EE">
        <w:rPr>
          <w:lang w:val="en-US"/>
        </w:rPr>
        <w:instrText xml:space="preserve"> REF _Ref92117886 \w \h </w:instrText>
      </w:r>
      <w:r w:rsidR="006E75EE">
        <w:rPr>
          <w:lang w:val="en-US"/>
        </w:rPr>
        <w:instrText xml:space="preserve"> \* MERGEFORMAT </w:instrText>
      </w:r>
      <w:r w:rsidR="009547C3" w:rsidRPr="006E75EE">
        <w:rPr>
          <w:lang w:val="en-US"/>
        </w:rPr>
      </w:r>
      <w:r w:rsidR="009547C3" w:rsidRPr="006E75EE">
        <w:rPr>
          <w:lang w:val="en-US"/>
        </w:rPr>
        <w:fldChar w:fldCharType="separate"/>
      </w:r>
      <w:r w:rsidR="00E114EA" w:rsidRPr="006E75EE">
        <w:rPr>
          <w:lang w:val="en-US"/>
        </w:rPr>
        <w:t>43.a(1)</w:t>
      </w:r>
      <w:r w:rsidR="009547C3" w:rsidRPr="006E75EE">
        <w:rPr>
          <w:lang w:val="en-US"/>
        </w:rPr>
        <w:fldChar w:fldCharType="end"/>
      </w:r>
      <w:r w:rsidR="00EB420A" w:rsidRPr="006E75EE">
        <w:rPr>
          <w:lang w:val="en-US"/>
        </w:rPr>
        <w:t>]</w:t>
      </w:r>
      <w:r w:rsidR="00316F9E" w:rsidRPr="006E75EE">
        <w:t xml:space="preserve"> </w:t>
      </w:r>
      <w:r w:rsidR="008305B5" w:rsidRPr="006E75EE">
        <w:rPr>
          <w:lang w:val="en-US"/>
        </w:rPr>
        <w:t>i</w:t>
      </w:r>
      <w:r w:rsidRPr="006E75EE">
        <w:t>n the Fund, in the Special Account, or both</w:t>
      </w:r>
      <w:r w:rsidR="00C00530" w:rsidRPr="006E75EE">
        <w:t xml:space="preserve">. EPA may, in its </w:t>
      </w:r>
      <w:r w:rsidRPr="006E75EE">
        <w:t>unreviewable discretion, retain and use any amounts deposited in the Special Account to conduct or finance response actions at or in connection with the Site, or transfer those amounts to the Fund.</w:t>
      </w:r>
      <w:bookmarkEnd w:id="140"/>
      <w:bookmarkEnd w:id="143"/>
      <w:r w:rsidR="004025E3" w:rsidRPr="006E75EE">
        <w:t xml:space="preserve"> </w:t>
      </w:r>
    </w:p>
    <w:p w14:paraId="0C32222A" w14:textId="2DAB284C" w:rsidR="000F6590" w:rsidRPr="006E75EE" w:rsidRDefault="00EB420A" w:rsidP="001E4683">
      <w:pPr>
        <w:pStyle w:val="Heading1"/>
      </w:pPr>
      <w:bookmarkStart w:id="144" w:name="_Toc50034373"/>
      <w:bookmarkStart w:id="145" w:name="_Toc184899543"/>
      <w:r w:rsidRPr="006E75EE">
        <w:rPr>
          <w:b w:val="0"/>
          <w:bCs w:val="0"/>
        </w:rPr>
        <w:t>[</w:t>
      </w:r>
      <w:r w:rsidRPr="006E75EE">
        <w:t xml:space="preserve">For SAA </w:t>
      </w:r>
      <w:r w:rsidR="00733F19">
        <w:t xml:space="preserve">(non-NPL) </w:t>
      </w:r>
      <w:r w:rsidRPr="006E75EE">
        <w:t>Sites</w:t>
      </w:r>
      <w:r w:rsidRPr="006E75EE">
        <w:rPr>
          <w:b w:val="0"/>
          <w:bCs w:val="0"/>
        </w:rPr>
        <w:t>]</w:t>
      </w:r>
      <w:r w:rsidR="000F6590" w:rsidRPr="006E75EE">
        <w:rPr>
          <w:b w:val="0"/>
          <w:bCs w:val="0"/>
        </w:rPr>
        <w:t>[</w:t>
      </w:r>
      <w:r w:rsidR="000F6590" w:rsidRPr="006E75EE">
        <w:t>NATURAL RESOURCE DAMAGES]</w:t>
      </w:r>
      <w:bookmarkEnd w:id="144"/>
      <w:bookmarkEnd w:id="145"/>
    </w:p>
    <w:p w14:paraId="3A9020F9" w14:textId="16B7F78C" w:rsidR="004025E3" w:rsidRPr="006E75EE" w:rsidRDefault="004025E3" w:rsidP="004025E3">
      <w:pPr>
        <w:pStyle w:val="LVL1"/>
      </w:pPr>
      <w:r w:rsidRPr="006E75EE">
        <w:t> </w:t>
      </w:r>
      <w:r w:rsidR="000F6590" w:rsidRPr="006E75EE">
        <w:rPr>
          <w:b/>
          <w:bCs/>
          <w:lang w:val="en-US"/>
        </w:rPr>
        <w:t>[</w:t>
      </w:r>
      <w:r w:rsidRPr="006E75EE">
        <w:t xml:space="preserve">For the purposes of Section 113(g)(1) of CERCLA, the parties agree that, upon issuance of this Order for performance of an RI/FS at the Site, remedial action under CERCLA shall be deemed to be scheduled and an action for damages (as defined in 42 U.S.C. § 9601(6)) must be commenced within </w:t>
      </w:r>
      <w:r w:rsidR="00EB420A" w:rsidRPr="006E75EE">
        <w:t>three</w:t>
      </w:r>
      <w:r w:rsidRPr="006E75EE">
        <w:t xml:space="preserve"> years after the completion of the remedial action.]</w:t>
      </w:r>
    </w:p>
    <w:p w14:paraId="5F6D7EAA" w14:textId="0DDA811F" w:rsidR="001313F5" w:rsidRPr="006E75EE" w:rsidRDefault="001313F5" w:rsidP="001313F5">
      <w:pPr>
        <w:pStyle w:val="Heading1"/>
      </w:pPr>
      <w:bookmarkStart w:id="146" w:name="_Ref76720724"/>
      <w:bookmarkStart w:id="147" w:name="_Ref364856006"/>
      <w:bookmarkStart w:id="148" w:name="_Toc80599615"/>
      <w:bookmarkStart w:id="149" w:name="_Toc184899544"/>
      <w:r w:rsidRPr="006E75EE">
        <w:rPr>
          <w:lang w:val="en-US"/>
        </w:rPr>
        <w:t xml:space="preserve">FORCE </w:t>
      </w:r>
      <w:r w:rsidRPr="006E75EE">
        <w:t>MAJEURE</w:t>
      </w:r>
      <w:bookmarkEnd w:id="146"/>
      <w:bookmarkEnd w:id="147"/>
      <w:bookmarkEnd w:id="148"/>
      <w:bookmarkEnd w:id="149"/>
    </w:p>
    <w:p w14:paraId="16F791E6" w14:textId="7D5E2425" w:rsidR="006A1933" w:rsidRPr="006E75EE" w:rsidRDefault="006A1933" w:rsidP="006A1933">
      <w:pPr>
        <w:pStyle w:val="LVL1"/>
        <w:rPr>
          <w:lang w:val="en-US"/>
        </w:rPr>
      </w:pPr>
      <w:bookmarkStart w:id="150" w:name="_Ref76741032"/>
      <w:bookmarkStart w:id="151" w:name="_Ref408928929"/>
      <w:bookmarkStart w:id="152" w:name="_Ref326156611"/>
      <w:r w:rsidRPr="006E75EE">
        <w:rPr>
          <w:lang w:val="en-US"/>
        </w:rPr>
        <w:t xml:space="preserve">“Force majeure,” for purposes of this Settlement, means any event arising from causes beyond the control of Respondents, of any entity controlled by Respondents, </w:t>
      </w:r>
      <w:r w:rsidRPr="006E75EE">
        <w:rPr>
          <w:lang w:val="en-US"/>
        </w:rPr>
        <w:lastRenderedPageBreak/>
        <w:t>or of Respondents’ contractors that delays or prevents the performance of any obligation under this Settlement despite Respondents’ best efforts to fulfill the obligation. Given the need to protect public health and welfare and the environment, the requirement that Respondents exercise “best efforts to fulfill the obligation” includes using best efforts to anticipate any potential force majeure and best efforts to address the effects of any potential force majeure (a)</w:t>
      </w:r>
      <w:r w:rsidR="00226D58" w:rsidRPr="006E75EE">
        <w:rPr>
          <w:lang w:val="en-US"/>
        </w:rPr>
        <w:t> </w:t>
      </w:r>
      <w:r w:rsidRPr="006E75EE">
        <w:rPr>
          <w:lang w:val="en-US"/>
        </w:rPr>
        <w:t>as it is occurring and (b)</w:t>
      </w:r>
      <w:r w:rsidR="00276366" w:rsidRPr="006E75EE">
        <w:rPr>
          <w:lang w:val="en-US"/>
        </w:rPr>
        <w:t> </w:t>
      </w:r>
      <w:r w:rsidRPr="006E75EE">
        <w:rPr>
          <w:lang w:val="en-US"/>
        </w:rPr>
        <w:t>following the potential force majeure such that the delay and any adverse effects of the delay are minimized to the greatest extent possible. “Force majeure” does not include financial inability to complete the Work</w:t>
      </w:r>
      <w:r w:rsidR="00B535F4" w:rsidRPr="006E75EE">
        <w:rPr>
          <w:lang w:val="en-US"/>
        </w:rPr>
        <w:t xml:space="preserve"> or increased cost of performance</w:t>
      </w:r>
      <w:r w:rsidRPr="006E75EE">
        <w:rPr>
          <w:lang w:val="en-US"/>
        </w:rPr>
        <w:t>.</w:t>
      </w:r>
      <w:bookmarkEnd w:id="150"/>
      <w:bookmarkEnd w:id="151"/>
    </w:p>
    <w:p w14:paraId="32A4D0D7" w14:textId="379A54E3" w:rsidR="006A1933" w:rsidRPr="006E75EE" w:rsidRDefault="006A1933" w:rsidP="006A1933">
      <w:pPr>
        <w:pStyle w:val="LVL1"/>
        <w:rPr>
          <w:lang w:val="en-US"/>
        </w:rPr>
      </w:pPr>
      <w:bookmarkStart w:id="153" w:name="_Ref408929054"/>
      <w:r w:rsidRPr="006E75EE">
        <w:rPr>
          <w:lang w:val="en-US"/>
        </w:rPr>
        <w:t>If any event occurs for which Respondents will or may claim a force majeure, Respondents shall notify EPA’s Project Coordinator by email. The deadline for the initial notice is __</w:t>
      </w:r>
      <w:r w:rsidR="00634FD2" w:rsidRPr="006E75EE">
        <w:rPr>
          <w:lang w:val="en-US"/>
        </w:rPr>
        <w:t> </w:t>
      </w:r>
      <w:r w:rsidRPr="006E75EE">
        <w:rPr>
          <w:lang w:val="en-US"/>
        </w:rPr>
        <w:t xml:space="preserve">days after the date Respondents first knew or should have known that the event would likely delay performance. Respondents shall be deemed to know of any circumstance of which any contractor </w:t>
      </w:r>
      <w:proofErr w:type="gramStart"/>
      <w:r w:rsidRPr="006E75EE">
        <w:rPr>
          <w:lang w:val="en-US"/>
        </w:rPr>
        <w:t>of,</w:t>
      </w:r>
      <w:proofErr w:type="gramEnd"/>
      <w:r w:rsidRPr="006E75EE">
        <w:rPr>
          <w:lang w:val="en-US"/>
        </w:rPr>
        <w:t xml:space="preserve"> subcontractor of, or entity controlled by Respondents knew or should have known. Within __</w:t>
      </w:r>
      <w:r w:rsidR="00634FD2" w:rsidRPr="006E75EE">
        <w:rPr>
          <w:lang w:val="en-US"/>
        </w:rPr>
        <w:t> </w:t>
      </w:r>
      <w:r w:rsidRPr="006E75EE">
        <w:rPr>
          <w:lang w:val="en-US"/>
        </w:rPr>
        <w:t>days thereafter, Respondents shall send a further notice to EPA that includes: (i)</w:t>
      </w:r>
      <w:r w:rsidR="006D17BD" w:rsidRPr="006E75EE">
        <w:rPr>
          <w:lang w:val="en-US"/>
        </w:rPr>
        <w:t> </w:t>
      </w:r>
      <w:r w:rsidRPr="006E75EE">
        <w:rPr>
          <w:lang w:val="en-US"/>
        </w:rPr>
        <w:t>a description of the event and its effect on Respondents’ completion of the requirements of the Settlement; (ii)</w:t>
      </w:r>
      <w:r w:rsidR="006D17BD" w:rsidRPr="006E75EE">
        <w:rPr>
          <w:lang w:val="en-US"/>
        </w:rPr>
        <w:t> </w:t>
      </w:r>
      <w:r w:rsidRPr="006E75EE">
        <w:rPr>
          <w:lang w:val="en-US"/>
        </w:rPr>
        <w:t>a description of all actions taken or to be taken to prevent or minimize the adverse effects or delay; (iii)</w:t>
      </w:r>
      <w:r w:rsidR="006D17BD" w:rsidRPr="006E75EE">
        <w:rPr>
          <w:lang w:val="en-US"/>
        </w:rPr>
        <w:t> </w:t>
      </w:r>
      <w:r w:rsidRPr="006E75EE">
        <w:rPr>
          <w:lang w:val="en-US"/>
        </w:rPr>
        <w:t>the proposed extension of time for Respondents to complete the requirements of the Settlement; (iv)</w:t>
      </w:r>
      <w:r w:rsidR="006D17BD" w:rsidRPr="006E75EE">
        <w:rPr>
          <w:lang w:val="en-US"/>
        </w:rPr>
        <w:t> </w:t>
      </w:r>
      <w:r w:rsidRPr="006E75EE">
        <w:rPr>
          <w:lang w:val="en-US"/>
        </w:rPr>
        <w:t>a statement as to whether, in the opinion of Respondents, such event may cause or contribute to an endangerment to public health or welfare or the environment; and (v)</w:t>
      </w:r>
      <w:r w:rsidR="006D17BD" w:rsidRPr="006E75EE">
        <w:rPr>
          <w:lang w:val="en-US"/>
        </w:rPr>
        <w:t> </w:t>
      </w:r>
      <w:r w:rsidRPr="006E75EE">
        <w:rPr>
          <w:lang w:val="en-US"/>
        </w:rPr>
        <w:t>all available proof supporting their claim of force majeure. Failure to comply with the notice requirements herein regarding an event precludes Respondents from asserting any claim of force majeure regarding that event, provided, however, that if EPA, despite late or incomplete notice, is able to assess to its satisfaction whether the event is a force majeure under ¶</w:t>
      </w:r>
      <w:r w:rsidR="00276366" w:rsidRPr="006E75EE">
        <w:rPr>
          <w:lang w:val="en-US"/>
        </w:rPr>
        <w:t> </w:t>
      </w:r>
      <w:r w:rsidR="00DA5C23" w:rsidRPr="006E75EE">
        <w:rPr>
          <w:lang w:val="en-US"/>
        </w:rPr>
        <w:fldChar w:fldCharType="begin"/>
      </w:r>
      <w:r w:rsidR="00DA5C23" w:rsidRPr="006E75EE">
        <w:rPr>
          <w:lang w:val="en-US"/>
        </w:rPr>
        <w:instrText xml:space="preserve"> REF _Ref76741032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46</w:t>
      </w:r>
      <w:r w:rsidR="00DA5C23" w:rsidRPr="006E75EE">
        <w:rPr>
          <w:lang w:val="en-US"/>
        </w:rPr>
        <w:fldChar w:fldCharType="end"/>
      </w:r>
      <w:r w:rsidRPr="006E75EE">
        <w:rPr>
          <w:lang w:val="en-US"/>
        </w:rPr>
        <w:t xml:space="preserve"> and whether Respondents have exercised their best efforts under ¶</w:t>
      </w:r>
      <w:r w:rsidR="00276366" w:rsidRPr="006E75EE">
        <w:rPr>
          <w:lang w:val="en-US"/>
        </w:rPr>
        <w:t> </w:t>
      </w:r>
      <w:r w:rsidR="00DA5C23" w:rsidRPr="006E75EE">
        <w:rPr>
          <w:lang w:val="en-US"/>
        </w:rPr>
        <w:fldChar w:fldCharType="begin"/>
      </w:r>
      <w:r w:rsidR="00DA5C23" w:rsidRPr="006E75EE">
        <w:rPr>
          <w:lang w:val="en-US"/>
        </w:rPr>
        <w:instrText xml:space="preserve"> REF _Ref76741032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46</w:t>
      </w:r>
      <w:r w:rsidR="00DA5C23" w:rsidRPr="006E75EE">
        <w:rPr>
          <w:lang w:val="en-US"/>
        </w:rPr>
        <w:fldChar w:fldCharType="end"/>
      </w:r>
      <w:r w:rsidRPr="006E75EE">
        <w:rPr>
          <w:lang w:val="en-US"/>
        </w:rPr>
        <w:t xml:space="preserve">, EPA may, in its unreviewable discretion, excuse in writing Respondents’ failure to submit timely or complete notices under this </w:t>
      </w:r>
      <w:r w:rsidR="00631C7F" w:rsidRPr="006E75EE">
        <w:rPr>
          <w:lang w:val="en-US"/>
        </w:rPr>
        <w:t>Paragraph</w:t>
      </w:r>
      <w:r w:rsidRPr="006E75EE">
        <w:rPr>
          <w:lang w:val="en-US"/>
        </w:rPr>
        <w:t>.</w:t>
      </w:r>
      <w:bookmarkEnd w:id="153"/>
    </w:p>
    <w:p w14:paraId="77EC88FE" w14:textId="020DDCA1" w:rsidR="006A1933" w:rsidRPr="006E75EE" w:rsidRDefault="006A1933" w:rsidP="006A1933">
      <w:pPr>
        <w:pStyle w:val="LVL1"/>
        <w:rPr>
          <w:lang w:val="en-US"/>
        </w:rPr>
      </w:pPr>
      <w:r w:rsidRPr="006E75EE">
        <w:rPr>
          <w:lang w:val="en-US"/>
        </w:rPr>
        <w:t>EPA will notify Respondents of its determination whether Respondents are entitled to relief under ¶</w:t>
      </w:r>
      <w:r w:rsidR="0070761F" w:rsidRPr="006E75EE">
        <w:rPr>
          <w:lang w:val="en-US"/>
        </w:rPr>
        <w:t> </w:t>
      </w:r>
      <w:r w:rsidR="00DA5C23" w:rsidRPr="006E75EE">
        <w:rPr>
          <w:lang w:val="en-US"/>
        </w:rPr>
        <w:fldChar w:fldCharType="begin"/>
      </w:r>
      <w:r w:rsidR="00DA5C23" w:rsidRPr="006E75EE">
        <w:rPr>
          <w:lang w:val="en-US"/>
        </w:rPr>
        <w:instrText xml:space="preserve"> REF _Ref76741032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46</w:t>
      </w:r>
      <w:r w:rsidR="00DA5C23" w:rsidRPr="006E75EE">
        <w:rPr>
          <w:lang w:val="en-US"/>
        </w:rPr>
        <w:fldChar w:fldCharType="end"/>
      </w:r>
      <w:r w:rsidRPr="006E75EE">
        <w:rPr>
          <w:lang w:val="en-US"/>
        </w:rPr>
        <w:t xml:space="preserve">, and, if so, the duration of the extension of time for performance of the obligations affected by the force majeure. An extension of the time for performance of the obligations affected by the force majeure shall not, </w:t>
      </w:r>
      <w:proofErr w:type="gramStart"/>
      <w:r w:rsidRPr="006E75EE">
        <w:rPr>
          <w:lang w:val="en-US"/>
        </w:rPr>
        <w:t>of</w:t>
      </w:r>
      <w:proofErr w:type="gramEnd"/>
      <w:r w:rsidRPr="006E75EE">
        <w:rPr>
          <w:lang w:val="en-US"/>
        </w:rPr>
        <w:t xml:space="preserve"> itself, extend the time for performance of any other obligation. Respondents may initiate dispute resolution under Section</w:t>
      </w:r>
      <w:r w:rsidR="0070761F" w:rsidRPr="006E75EE">
        <w:rPr>
          <w:lang w:val="en-US"/>
        </w:rPr>
        <w:t> </w:t>
      </w:r>
      <w:r w:rsidRPr="006E75EE">
        <w:rPr>
          <w:lang w:val="en-US"/>
        </w:rPr>
        <w:fldChar w:fldCharType="begin"/>
      </w:r>
      <w:r w:rsidRPr="006E75EE">
        <w:rPr>
          <w:lang w:val="en-US"/>
        </w:rPr>
        <w:instrText xml:space="preserve"> REF _Ref326220161 \w \h </w:instrText>
      </w:r>
      <w:r w:rsidR="006E75EE">
        <w:rPr>
          <w:lang w:val="en-US"/>
        </w:rPr>
        <w:instrText xml:space="preserve"> \* MERGEFORMAT </w:instrText>
      </w:r>
      <w:r w:rsidRPr="006E75EE">
        <w:rPr>
          <w:lang w:val="en-US"/>
        </w:rPr>
      </w:r>
      <w:r w:rsidRPr="006E75EE">
        <w:rPr>
          <w:lang w:val="en-US"/>
        </w:rPr>
        <w:fldChar w:fldCharType="separate"/>
      </w:r>
      <w:r w:rsidR="009166B4" w:rsidRPr="006E75EE">
        <w:rPr>
          <w:lang w:val="en-US"/>
        </w:rPr>
        <w:t>XIV</w:t>
      </w:r>
      <w:r w:rsidRPr="006E75EE">
        <w:rPr>
          <w:lang w:val="en-US"/>
        </w:rPr>
        <w:fldChar w:fldCharType="end"/>
      </w:r>
      <w:r w:rsidRPr="006E75EE">
        <w:rPr>
          <w:lang w:val="en-US"/>
        </w:rPr>
        <w:t xml:space="preserve"> regarding EPA’s determination within 15</w:t>
      </w:r>
      <w:r w:rsidR="0070761F" w:rsidRPr="006E75EE">
        <w:rPr>
          <w:lang w:val="en-US"/>
        </w:rPr>
        <w:t> </w:t>
      </w:r>
      <w:r w:rsidRPr="006E75EE">
        <w:rPr>
          <w:lang w:val="en-US"/>
        </w:rPr>
        <w:t>days after receipt of the determination. In any such proceeding, Respondents have the burden of proving that they are entitled to relief under ¶</w:t>
      </w:r>
      <w:r w:rsidR="0070761F" w:rsidRPr="006E75EE">
        <w:rPr>
          <w:lang w:val="en-US"/>
        </w:rPr>
        <w:t> </w:t>
      </w:r>
      <w:r w:rsidR="00DA5C23" w:rsidRPr="006E75EE">
        <w:rPr>
          <w:lang w:val="en-US"/>
        </w:rPr>
        <w:fldChar w:fldCharType="begin"/>
      </w:r>
      <w:r w:rsidR="00DA5C23" w:rsidRPr="006E75EE">
        <w:rPr>
          <w:lang w:val="en-US"/>
        </w:rPr>
        <w:instrText xml:space="preserve"> REF _Ref76741032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46</w:t>
      </w:r>
      <w:r w:rsidR="00DA5C23" w:rsidRPr="006E75EE">
        <w:rPr>
          <w:lang w:val="en-US"/>
        </w:rPr>
        <w:fldChar w:fldCharType="end"/>
      </w:r>
      <w:r w:rsidRPr="006E75EE">
        <w:rPr>
          <w:lang w:val="en-US"/>
        </w:rPr>
        <w:t xml:space="preserve"> and that their proposed extension was or will be warranted under the circumstances.</w:t>
      </w:r>
    </w:p>
    <w:p w14:paraId="6A975D72" w14:textId="4E7E7B1C" w:rsidR="006A1933" w:rsidRPr="006E75EE" w:rsidRDefault="006A1933" w:rsidP="006A1933">
      <w:pPr>
        <w:pStyle w:val="LVL1"/>
        <w:rPr>
          <w:lang w:val="en-US"/>
        </w:rPr>
      </w:pPr>
      <w:r w:rsidRPr="006E75EE">
        <w:rPr>
          <w:lang w:val="en-US"/>
        </w:rPr>
        <w:t>The failure by EPA to timely complete any activity under the Settlement is not a violation of the Settlement, provided, however, that if such failure prevents Respondents from timely completing a requirement of the Settlement, Respondents may seek relief under this Section.</w:t>
      </w:r>
    </w:p>
    <w:p w14:paraId="74FAF8F5" w14:textId="1298404E" w:rsidR="008170B1" w:rsidRPr="006E75EE" w:rsidRDefault="008170B1" w:rsidP="00353716">
      <w:pPr>
        <w:pStyle w:val="Heading1"/>
      </w:pPr>
      <w:bookmarkStart w:id="154" w:name="_Ref326220161"/>
      <w:bookmarkStart w:id="155" w:name="_Ref364855795"/>
      <w:bookmarkStart w:id="156" w:name="_Toc80599616"/>
      <w:bookmarkStart w:id="157" w:name="_Toc184899545"/>
      <w:bookmarkEnd w:id="152"/>
      <w:r w:rsidRPr="006E75EE">
        <w:lastRenderedPageBreak/>
        <w:t>DISPUTE RESOLUTIO</w:t>
      </w:r>
      <w:r w:rsidR="00280BAC" w:rsidRPr="006E75EE">
        <w:rPr>
          <w:lang w:val="en-US"/>
        </w:rPr>
        <w:t>N</w:t>
      </w:r>
      <w:bookmarkEnd w:id="154"/>
      <w:bookmarkEnd w:id="155"/>
      <w:bookmarkEnd w:id="156"/>
      <w:bookmarkEnd w:id="157"/>
    </w:p>
    <w:p w14:paraId="5B2DBBE0" w14:textId="5D99E5C9" w:rsidR="008170B1" w:rsidRPr="006E75EE" w:rsidRDefault="005E3981" w:rsidP="005E3981">
      <w:pPr>
        <w:pStyle w:val="LVL1"/>
        <w:rPr>
          <w:lang w:val="en-US"/>
        </w:rPr>
      </w:pPr>
      <w:r w:rsidRPr="006E75EE">
        <w:rPr>
          <w:lang w:val="en-US"/>
        </w:rPr>
        <w:t xml:space="preserve">Unless otherwise provided in this Settlement, Respondents </w:t>
      </w:r>
      <w:r w:rsidR="00FF6F5C" w:rsidRPr="006E75EE">
        <w:rPr>
          <w:lang w:val="en-US"/>
        </w:rPr>
        <w:t>shall</w:t>
      </w:r>
      <w:r w:rsidRPr="006E75EE">
        <w:rPr>
          <w:lang w:val="en-US"/>
        </w:rPr>
        <w:t xml:space="preserve"> use the dispute resolution procedures of this Section to resolve any dispute arising under this Settlement.</w:t>
      </w:r>
    </w:p>
    <w:p w14:paraId="170DE317" w14:textId="68D5C881" w:rsidR="000B4BBD" w:rsidRPr="006E75EE" w:rsidRDefault="000B4BBD" w:rsidP="000B4BBD">
      <w:pPr>
        <w:pStyle w:val="LVL1"/>
        <w:rPr>
          <w:lang w:val="en-US"/>
        </w:rPr>
      </w:pPr>
      <w:bookmarkStart w:id="158" w:name="_Ref92194321"/>
      <w:r w:rsidRPr="006E75EE">
        <w:rPr>
          <w:lang w:val="en-US"/>
        </w:rPr>
        <w:t>A dispute will be considered to have arisen when one or more parties sends a written notice of dispute (“Notice of Dispute”)</w:t>
      </w:r>
      <w:r w:rsidR="006B3250" w:rsidRPr="006E75EE">
        <w:rPr>
          <w:lang w:val="en-US"/>
        </w:rPr>
        <w:t xml:space="preserve"> to EPA</w:t>
      </w:r>
      <w:r w:rsidRPr="006E75EE">
        <w:rPr>
          <w:lang w:val="en-US"/>
        </w:rPr>
        <w:t>.</w:t>
      </w:r>
      <w:r w:rsidR="00083D7E" w:rsidRPr="006E75EE">
        <w:rPr>
          <w:lang w:val="en-US"/>
        </w:rPr>
        <w:t xml:space="preserve"> A notice is timely if sent within 30 days after receipt of the EPA notice or determination giving rise to the dispute or within 15 days in the case of a force majeure determination.</w:t>
      </w:r>
      <w:r w:rsidRPr="006E75EE">
        <w:rPr>
          <w:lang w:val="en-US"/>
        </w:rPr>
        <w:t xml:space="preserve"> Disputes arising under this Settlement must in the first instance be the subject of informal negotiations between the parties to the dispute. The period for informal negotiations may not exceed 20</w:t>
      </w:r>
      <w:r w:rsidR="00634FD2" w:rsidRPr="006E75EE">
        <w:rPr>
          <w:lang w:val="en-US"/>
        </w:rPr>
        <w:t> </w:t>
      </w:r>
      <w:r w:rsidRPr="006E75EE">
        <w:rPr>
          <w:lang w:val="en-US"/>
        </w:rPr>
        <w:t>days after the dispute arises, unless EPA otherwise agrees. If the parties cannot resolve the dispute by informal negotiations, the position advanced by EPA is binding unless Respondents initiate formal dispute resolution under ¶</w:t>
      </w:r>
      <w:r w:rsidR="00634FD2" w:rsidRPr="006E75EE">
        <w:rPr>
          <w:lang w:val="en-US"/>
        </w:rPr>
        <w:t> </w:t>
      </w:r>
      <w:r w:rsidR="008A33B1" w:rsidRPr="006E75EE">
        <w:rPr>
          <w:lang w:val="en-US"/>
        </w:rPr>
        <w:fldChar w:fldCharType="begin"/>
      </w:r>
      <w:r w:rsidR="008A33B1" w:rsidRPr="006E75EE">
        <w:rPr>
          <w:lang w:val="en-US"/>
        </w:rPr>
        <w:instrText xml:space="preserve"> REF _Ref76972184 \r \h </w:instrText>
      </w:r>
      <w:r w:rsidR="006E75EE">
        <w:rPr>
          <w:lang w:val="en-US"/>
        </w:rPr>
        <w:instrText xml:space="preserve"> \* MERGEFORMAT </w:instrText>
      </w:r>
      <w:r w:rsidR="008A33B1" w:rsidRPr="006E75EE">
        <w:rPr>
          <w:lang w:val="en-US"/>
        </w:rPr>
      </w:r>
      <w:r w:rsidR="008A33B1" w:rsidRPr="006E75EE">
        <w:rPr>
          <w:lang w:val="en-US"/>
        </w:rPr>
        <w:fldChar w:fldCharType="separate"/>
      </w:r>
      <w:r w:rsidR="009166B4" w:rsidRPr="006E75EE">
        <w:rPr>
          <w:lang w:val="en-US"/>
        </w:rPr>
        <w:t>52</w:t>
      </w:r>
      <w:r w:rsidR="008A33B1" w:rsidRPr="006E75EE">
        <w:rPr>
          <w:lang w:val="en-US"/>
        </w:rPr>
        <w:fldChar w:fldCharType="end"/>
      </w:r>
      <w:r w:rsidRPr="006E75EE">
        <w:rPr>
          <w:lang w:val="en-US"/>
        </w:rPr>
        <w:t>. [By agreement of the parties, mediation may be used during this informal negotiation period to assist the parties in reaching a voluntary resolution or narrowing of the matters in dispute.]</w:t>
      </w:r>
      <w:bookmarkEnd w:id="158"/>
    </w:p>
    <w:p w14:paraId="6B0A6BB8" w14:textId="093D7B56" w:rsidR="000B4BBD" w:rsidRPr="006E75EE" w:rsidRDefault="00CD30F5" w:rsidP="00CE2336">
      <w:pPr>
        <w:pStyle w:val="LVL1"/>
      </w:pPr>
      <w:bookmarkStart w:id="159" w:name="_Ref76972184"/>
      <w:bookmarkStart w:id="160" w:name="_Ref326218345"/>
      <w:r w:rsidRPr="006E75EE">
        <w:rPr>
          <w:b/>
        </w:rPr>
        <w:t>Formal Dispute Resolution</w:t>
      </w:r>
      <w:bookmarkEnd w:id="159"/>
    </w:p>
    <w:p w14:paraId="11F64B2E" w14:textId="6C79E9A9" w:rsidR="000B4BBD" w:rsidRPr="006E75EE" w:rsidRDefault="000B4BBD" w:rsidP="000B4BBD">
      <w:pPr>
        <w:pStyle w:val="LVL2"/>
        <w:rPr>
          <w:color w:val="auto"/>
        </w:rPr>
      </w:pPr>
      <w:r w:rsidRPr="006E75EE">
        <w:rPr>
          <w:b/>
          <w:color w:val="auto"/>
        </w:rPr>
        <w:t>Statement of Position</w:t>
      </w:r>
      <w:r w:rsidRPr="006E75EE">
        <w:rPr>
          <w:color w:val="auto"/>
        </w:rPr>
        <w:t>. Respondents may initiate formal dispute resolution by serving on EPA, within [20]</w:t>
      </w:r>
      <w:r w:rsidR="00276366" w:rsidRPr="006E75EE">
        <w:rPr>
          <w:color w:val="auto"/>
          <w:lang w:val="en-US"/>
        </w:rPr>
        <w:t> </w:t>
      </w:r>
      <w:r w:rsidRPr="006E75EE">
        <w:rPr>
          <w:color w:val="auto"/>
        </w:rPr>
        <w:t xml:space="preserve">days after the conclusion of informal dispute resolution under </w:t>
      </w:r>
      <w:r w:rsidR="00972231" w:rsidRPr="006E75EE">
        <w:rPr>
          <w:color w:val="auto"/>
          <w:lang w:val="en-US"/>
        </w:rPr>
        <w:t>¶</w:t>
      </w:r>
      <w:r w:rsidR="00276366" w:rsidRPr="006E75EE">
        <w:rPr>
          <w:color w:val="auto"/>
          <w:lang w:val="en-US"/>
        </w:rPr>
        <w:t> </w:t>
      </w:r>
      <w:r w:rsidR="00DA5C23" w:rsidRPr="006E75EE">
        <w:rPr>
          <w:color w:val="auto"/>
          <w:lang w:val="en-US"/>
        </w:rPr>
        <w:fldChar w:fldCharType="begin"/>
      </w:r>
      <w:r w:rsidR="00DA5C23" w:rsidRPr="006E75EE">
        <w:rPr>
          <w:color w:val="auto"/>
          <w:lang w:val="en-US"/>
        </w:rPr>
        <w:instrText xml:space="preserve"> REF _Ref92194321 \r \h </w:instrText>
      </w:r>
      <w:r w:rsidR="006E75EE">
        <w:rPr>
          <w:color w:val="auto"/>
          <w:lang w:val="en-US"/>
        </w:rPr>
        <w:instrText xml:space="preserve"> \* MERGEFORMAT </w:instrText>
      </w:r>
      <w:r w:rsidR="00DA5C23" w:rsidRPr="006E75EE">
        <w:rPr>
          <w:color w:val="auto"/>
          <w:lang w:val="en-US"/>
        </w:rPr>
      </w:r>
      <w:r w:rsidR="00DA5C23" w:rsidRPr="006E75EE">
        <w:rPr>
          <w:color w:val="auto"/>
          <w:lang w:val="en-US"/>
        </w:rPr>
        <w:fldChar w:fldCharType="separate"/>
      </w:r>
      <w:r w:rsidR="009166B4" w:rsidRPr="006E75EE">
        <w:rPr>
          <w:color w:val="auto"/>
          <w:lang w:val="en-US"/>
        </w:rPr>
        <w:t>51</w:t>
      </w:r>
      <w:r w:rsidR="00DA5C23" w:rsidRPr="006E75EE">
        <w:rPr>
          <w:color w:val="auto"/>
          <w:lang w:val="en-US"/>
        </w:rPr>
        <w:fldChar w:fldCharType="end"/>
      </w:r>
      <w:r w:rsidRPr="006E75EE">
        <w:rPr>
          <w:color w:val="auto"/>
        </w:rPr>
        <w:t>, an initial Statement of Position regar</w:t>
      </w:r>
      <w:r w:rsidR="001C0548" w:rsidRPr="006E75EE">
        <w:rPr>
          <w:color w:val="auto"/>
        </w:rPr>
        <w:t xml:space="preserve">ding the matter in dispute. </w:t>
      </w:r>
      <w:r w:rsidRPr="006E75EE">
        <w:rPr>
          <w:color w:val="auto"/>
        </w:rPr>
        <w:t>EPA</w:t>
      </w:r>
      <w:r w:rsidR="00972231" w:rsidRPr="006E75EE">
        <w:rPr>
          <w:color w:val="auto"/>
          <w:lang w:val="en-US"/>
        </w:rPr>
        <w:t>’</w:t>
      </w:r>
      <w:r w:rsidRPr="006E75EE">
        <w:rPr>
          <w:color w:val="auto"/>
        </w:rPr>
        <w:t>s responsive Statement of Position is due within [20]</w:t>
      </w:r>
      <w:r w:rsidR="00276366" w:rsidRPr="006E75EE">
        <w:rPr>
          <w:color w:val="auto"/>
          <w:lang w:val="en-US"/>
        </w:rPr>
        <w:t> </w:t>
      </w:r>
      <w:r w:rsidRPr="006E75EE">
        <w:rPr>
          <w:color w:val="auto"/>
        </w:rPr>
        <w:t xml:space="preserve">days after receipt of the initial Statement of Position. All </w:t>
      </w:r>
      <w:r w:rsidR="00274A9C" w:rsidRPr="006E75EE">
        <w:rPr>
          <w:color w:val="auto"/>
        </w:rPr>
        <w:t>statements</w:t>
      </w:r>
      <w:r w:rsidRPr="006E75EE">
        <w:rPr>
          <w:color w:val="auto"/>
        </w:rPr>
        <w:t xml:space="preserve"> of </w:t>
      </w:r>
      <w:r w:rsidR="00274A9C" w:rsidRPr="006E75EE">
        <w:rPr>
          <w:color w:val="auto"/>
        </w:rPr>
        <w:t>position</w:t>
      </w:r>
      <w:r w:rsidRPr="006E75EE">
        <w:rPr>
          <w:color w:val="auto"/>
        </w:rPr>
        <w:t xml:space="preserve"> must include supporting factual data, analysis, opinion, and other documentation. A reply, if any, is due within [10]</w:t>
      </w:r>
      <w:r w:rsidR="00276366" w:rsidRPr="006E75EE">
        <w:rPr>
          <w:color w:val="auto"/>
          <w:lang w:val="en-US"/>
        </w:rPr>
        <w:t> </w:t>
      </w:r>
      <w:r w:rsidRPr="006E75EE">
        <w:rPr>
          <w:color w:val="auto"/>
        </w:rPr>
        <w:t>days after receipt of the response. If appropriate, EPA may extend the deadlines for filing statements of position for up to [45]</w:t>
      </w:r>
      <w:r w:rsidR="00276366" w:rsidRPr="006E75EE">
        <w:rPr>
          <w:color w:val="auto"/>
          <w:lang w:val="en-US"/>
        </w:rPr>
        <w:t> </w:t>
      </w:r>
      <w:r w:rsidRPr="006E75EE">
        <w:rPr>
          <w:color w:val="auto"/>
        </w:rPr>
        <w:t>days and may allow the submission of supplemental statements of position.</w:t>
      </w:r>
    </w:p>
    <w:p w14:paraId="7C52CE80" w14:textId="485E9589" w:rsidR="000B4BBD" w:rsidRPr="006E75EE" w:rsidRDefault="000B4BBD" w:rsidP="000B4BBD">
      <w:pPr>
        <w:pStyle w:val="LVL2"/>
        <w:rPr>
          <w:color w:val="auto"/>
        </w:rPr>
      </w:pPr>
      <w:bookmarkStart w:id="161" w:name="_Ref76742338"/>
      <w:r w:rsidRPr="006E75EE">
        <w:rPr>
          <w:b/>
          <w:color w:val="auto"/>
        </w:rPr>
        <w:t>Formal Decision</w:t>
      </w:r>
      <w:r w:rsidRPr="006E75EE">
        <w:rPr>
          <w:color w:val="auto"/>
        </w:rPr>
        <w:t>. The Director of the [Superfund &amp; Emergency Management Division], EPA Region</w:t>
      </w:r>
      <w:r w:rsidR="00276366" w:rsidRPr="006E75EE">
        <w:rPr>
          <w:color w:val="auto"/>
          <w:lang w:val="en-US"/>
        </w:rPr>
        <w:t> </w:t>
      </w:r>
      <w:r w:rsidRPr="006E75EE">
        <w:rPr>
          <w:color w:val="auto"/>
        </w:rPr>
        <w:t>__, will issue a formal decision resolving the dispute (“Formal Decision”) based on the statements of position and any replies and supplemental statements of position. The Formal Decision is binding on Respondents.</w:t>
      </w:r>
      <w:bookmarkEnd w:id="161"/>
    </w:p>
    <w:p w14:paraId="252DDBA5" w14:textId="0B890C98" w:rsidR="000B4BBD" w:rsidRPr="006E75EE" w:rsidRDefault="00EB420A" w:rsidP="000B4BBD">
      <w:pPr>
        <w:pStyle w:val="LVL1"/>
      </w:pPr>
      <w:bookmarkStart w:id="162" w:name="_Ref76972615"/>
      <w:r w:rsidRPr="006E75EE">
        <w:rPr>
          <w:bCs/>
        </w:rPr>
        <w:t>[</w:t>
      </w:r>
      <w:r w:rsidRPr="006E75EE">
        <w:rPr>
          <w:b/>
        </w:rPr>
        <w:t>Optional</w:t>
      </w:r>
      <w:r w:rsidRPr="006E75EE">
        <w:rPr>
          <w:bCs/>
        </w:rPr>
        <w:t>][</w:t>
      </w:r>
      <w:r w:rsidR="000B4BBD" w:rsidRPr="006E75EE">
        <w:rPr>
          <w:b/>
        </w:rPr>
        <w:t>Escrow Account</w:t>
      </w:r>
      <w:r w:rsidR="000B4BBD" w:rsidRPr="006E75EE">
        <w:t>. For disputes regarding a Future Response Cost billing, Respondents shall: (a)</w:t>
      </w:r>
      <w:r w:rsidR="00226D58" w:rsidRPr="006E75EE">
        <w:rPr>
          <w:lang w:val="en-US"/>
        </w:rPr>
        <w:t> </w:t>
      </w:r>
      <w:r w:rsidR="000B4BBD" w:rsidRPr="006E75EE">
        <w:t>establish, in a duly chartered bank or trust company, an interest-bearing escrow account that is insured by the FDIC; (b)</w:t>
      </w:r>
      <w:r w:rsidR="00226D58" w:rsidRPr="006E75EE">
        <w:rPr>
          <w:lang w:val="en-US"/>
        </w:rPr>
        <w:t> </w:t>
      </w:r>
      <w:r w:rsidR="000B4BBD" w:rsidRPr="006E75EE">
        <w:t>remit to that escrow account funds equal to the amount of the contested</w:t>
      </w:r>
      <w:r w:rsidR="00696F86" w:rsidRPr="006E75EE">
        <w:t xml:space="preserve"> Future Response Costs; and (c) </w:t>
      </w:r>
      <w:r w:rsidR="000B4BBD" w:rsidRPr="006E75EE">
        <w:t xml:space="preserve">send to EPA copies of the correspondence and of the payment documentation (e.g., the check) that established and funded the escrow account, including the name of the bank, the bank account number, and a bank statement showing the initial balance in the account. EPA may, in its unreviewable discretion, waive the requirement to establish the escrow account. Respondents shall cause the escrow agent to pay the amounts due to EPA under </w:t>
      </w:r>
      <w:r w:rsidR="00696F86" w:rsidRPr="006E75EE">
        <w:rPr>
          <w:lang w:val="en-US"/>
        </w:rPr>
        <w:lastRenderedPageBreak/>
        <w:t>¶</w:t>
      </w:r>
      <w:r w:rsidR="00276366" w:rsidRPr="006E75EE">
        <w:rPr>
          <w:lang w:val="en-US"/>
        </w:rPr>
        <w:t> </w:t>
      </w:r>
      <w:r w:rsidR="00DA5C23" w:rsidRPr="006E75EE">
        <w:rPr>
          <w:lang w:val="en-US"/>
        </w:rPr>
        <w:fldChar w:fldCharType="begin"/>
      </w:r>
      <w:r w:rsidR="00DA5C23" w:rsidRPr="006E75EE">
        <w:rPr>
          <w:lang w:val="en-US"/>
        </w:rPr>
        <w:instrText xml:space="preserve"> REF _Ref76972257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42</w:t>
      </w:r>
      <w:r w:rsidR="00DA5C23" w:rsidRPr="006E75EE">
        <w:rPr>
          <w:lang w:val="en-US"/>
        </w:rPr>
        <w:fldChar w:fldCharType="end"/>
      </w:r>
      <w:r w:rsidR="000B4BBD" w:rsidRPr="006E75EE">
        <w:t xml:space="preserve">, if any, by the deadline for such payment in </w:t>
      </w:r>
      <w:r w:rsidR="00696F86" w:rsidRPr="006E75EE">
        <w:rPr>
          <w:lang w:val="en-US"/>
        </w:rPr>
        <w:t>¶</w:t>
      </w:r>
      <w:r w:rsidR="00276366" w:rsidRPr="006E75EE">
        <w:rPr>
          <w:lang w:val="en-US"/>
        </w:rPr>
        <w:t> </w:t>
      </w:r>
      <w:r w:rsidR="00DA5C23" w:rsidRPr="006E75EE">
        <w:rPr>
          <w:lang w:val="en-US"/>
        </w:rPr>
        <w:fldChar w:fldCharType="begin"/>
      </w:r>
      <w:r w:rsidR="00DA5C23" w:rsidRPr="006E75EE">
        <w:rPr>
          <w:lang w:val="en-US"/>
        </w:rPr>
        <w:instrText xml:space="preserve"> REF _Ref76972257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42</w:t>
      </w:r>
      <w:r w:rsidR="00DA5C23" w:rsidRPr="006E75EE">
        <w:rPr>
          <w:lang w:val="en-US"/>
        </w:rPr>
        <w:fldChar w:fldCharType="end"/>
      </w:r>
      <w:r w:rsidR="000B4BBD" w:rsidRPr="006E75EE">
        <w:t xml:space="preserve">. Respondents are responsible for any balance due under </w:t>
      </w:r>
      <w:r w:rsidR="00696F86" w:rsidRPr="006E75EE">
        <w:rPr>
          <w:lang w:val="en-US"/>
        </w:rPr>
        <w:t>¶</w:t>
      </w:r>
      <w:r w:rsidR="00276366" w:rsidRPr="006E75EE">
        <w:rPr>
          <w:lang w:val="en-US"/>
        </w:rPr>
        <w:t> </w:t>
      </w:r>
      <w:r w:rsidR="00DA5C23" w:rsidRPr="006E75EE">
        <w:rPr>
          <w:lang w:val="en-US"/>
        </w:rPr>
        <w:fldChar w:fldCharType="begin"/>
      </w:r>
      <w:r w:rsidR="00DA5C23" w:rsidRPr="006E75EE">
        <w:rPr>
          <w:lang w:val="en-US"/>
        </w:rPr>
        <w:instrText xml:space="preserve"> REF _Ref76972257 \r \h </w:instrText>
      </w:r>
      <w:r w:rsidR="006E75EE">
        <w:rPr>
          <w:lang w:val="en-US"/>
        </w:rPr>
        <w:instrText xml:space="preserve"> \* MERGEFORMAT </w:instrText>
      </w:r>
      <w:r w:rsidR="00DA5C23" w:rsidRPr="006E75EE">
        <w:rPr>
          <w:lang w:val="en-US"/>
        </w:rPr>
      </w:r>
      <w:r w:rsidR="00DA5C23" w:rsidRPr="006E75EE">
        <w:rPr>
          <w:lang w:val="en-US"/>
        </w:rPr>
        <w:fldChar w:fldCharType="separate"/>
      </w:r>
      <w:r w:rsidR="009166B4" w:rsidRPr="006E75EE">
        <w:rPr>
          <w:lang w:val="en-US"/>
        </w:rPr>
        <w:t>42</w:t>
      </w:r>
      <w:r w:rsidR="00DA5C23" w:rsidRPr="006E75EE">
        <w:rPr>
          <w:lang w:val="en-US"/>
        </w:rPr>
        <w:fldChar w:fldCharType="end"/>
      </w:r>
      <w:r w:rsidR="000E6CD3" w:rsidRPr="006E75EE">
        <w:rPr>
          <w:lang w:val="en-US"/>
        </w:rPr>
        <w:t xml:space="preserve"> </w:t>
      </w:r>
      <w:r w:rsidR="000B4BBD" w:rsidRPr="006E75EE">
        <w:t>after the payment by the escrow agent.</w:t>
      </w:r>
      <w:bookmarkEnd w:id="162"/>
      <w:r w:rsidRPr="006E75EE">
        <w:t>]</w:t>
      </w:r>
    </w:p>
    <w:p w14:paraId="69C57AA5" w14:textId="23B4DE0A" w:rsidR="000B4BBD" w:rsidRPr="006E75EE" w:rsidRDefault="00696F86" w:rsidP="00696F86">
      <w:pPr>
        <w:pStyle w:val="LVL1"/>
      </w:pPr>
      <w:r w:rsidRPr="006E75EE">
        <w:t>The initiation of dispute resolution procedures under this Section does not extend, postpone, or affect in any way any requirement of this Settlement, except as EPA agrees</w:t>
      </w:r>
      <w:r w:rsidR="008D5F89" w:rsidRPr="006E75EE">
        <w:rPr>
          <w:lang w:val="en-US"/>
        </w:rPr>
        <w:t xml:space="preserve">. </w:t>
      </w:r>
      <w:r w:rsidRPr="006E75EE">
        <w:t>Stipulated penalties with respect to the disputed matter will continue to accrue, but payment is stayed pending resolution of the disp</w:t>
      </w:r>
      <w:r w:rsidR="000E6CD3" w:rsidRPr="006E75EE">
        <w:t>ute, as provided in ¶</w:t>
      </w:r>
      <w:r w:rsidR="00276366" w:rsidRPr="006E75EE">
        <w:rPr>
          <w:lang w:val="en-US"/>
        </w:rPr>
        <w:t> </w:t>
      </w:r>
      <w:r w:rsidR="00E619E3" w:rsidRPr="006E75EE">
        <w:fldChar w:fldCharType="begin"/>
      </w:r>
      <w:r w:rsidR="00E619E3" w:rsidRPr="006E75EE">
        <w:instrText xml:space="preserve"> REF _Ref76972552 \r \h </w:instrText>
      </w:r>
      <w:r w:rsidR="006E75EE">
        <w:instrText xml:space="preserve"> \* MERGEFORMAT </w:instrText>
      </w:r>
      <w:r w:rsidR="00E619E3" w:rsidRPr="006E75EE">
        <w:fldChar w:fldCharType="separate"/>
      </w:r>
      <w:r w:rsidR="009166B4" w:rsidRPr="006E75EE">
        <w:t>57</w:t>
      </w:r>
      <w:r w:rsidR="00E619E3" w:rsidRPr="006E75EE">
        <w:fldChar w:fldCharType="end"/>
      </w:r>
      <w:r w:rsidRPr="006E75EE">
        <w:t>.</w:t>
      </w:r>
    </w:p>
    <w:p w14:paraId="38F7195B" w14:textId="1ABD2B54" w:rsidR="008170B1" w:rsidRPr="006E75EE" w:rsidRDefault="008170B1" w:rsidP="002B7658">
      <w:pPr>
        <w:pStyle w:val="Heading1"/>
      </w:pPr>
      <w:bookmarkStart w:id="163" w:name="_Ref326221439"/>
      <w:bookmarkStart w:id="164" w:name="_Ref364855845"/>
      <w:bookmarkStart w:id="165" w:name="_Toc80599617"/>
      <w:bookmarkStart w:id="166" w:name="_Ref447018476"/>
      <w:bookmarkStart w:id="167" w:name="_Ref447018654"/>
      <w:bookmarkStart w:id="168" w:name="_Toc184899546"/>
      <w:bookmarkEnd w:id="160"/>
      <w:r w:rsidRPr="006E75EE">
        <w:t>STIPULATED PENALTIES</w:t>
      </w:r>
      <w:bookmarkEnd w:id="163"/>
      <w:bookmarkEnd w:id="164"/>
      <w:bookmarkEnd w:id="165"/>
      <w:bookmarkEnd w:id="166"/>
      <w:bookmarkEnd w:id="167"/>
      <w:bookmarkEnd w:id="168"/>
    </w:p>
    <w:p w14:paraId="7A949A70" w14:textId="6CB6EFA9" w:rsidR="008170B1" w:rsidRPr="006E75EE" w:rsidRDefault="00B960FD" w:rsidP="00E4736C">
      <w:pPr>
        <w:pStyle w:val="LVL1"/>
      </w:pPr>
      <w:bookmarkStart w:id="169" w:name="_Ref377733925"/>
      <w:r w:rsidRPr="006E75EE">
        <w:t>Unless the non</w:t>
      </w:r>
      <w:r w:rsidR="00A23909" w:rsidRPr="006E75EE">
        <w:t>compliance is excused under Section</w:t>
      </w:r>
      <w:r w:rsidR="0070761F" w:rsidRPr="006E75EE">
        <w:rPr>
          <w:lang w:val="en-US"/>
        </w:rPr>
        <w:t> </w:t>
      </w:r>
      <w:r w:rsidR="00E619E3" w:rsidRPr="006E75EE">
        <w:fldChar w:fldCharType="begin"/>
      </w:r>
      <w:r w:rsidR="00E619E3" w:rsidRPr="006E75EE">
        <w:instrText xml:space="preserve"> REF _Ref76720724 \r \h </w:instrText>
      </w:r>
      <w:r w:rsidR="006E75EE">
        <w:instrText xml:space="preserve"> \* MERGEFORMAT </w:instrText>
      </w:r>
      <w:r w:rsidR="00E619E3" w:rsidRPr="006E75EE">
        <w:fldChar w:fldCharType="separate"/>
      </w:r>
      <w:r w:rsidR="009166B4" w:rsidRPr="006E75EE">
        <w:t>XIII</w:t>
      </w:r>
      <w:r w:rsidR="00E619E3" w:rsidRPr="006E75EE">
        <w:fldChar w:fldCharType="end"/>
      </w:r>
      <w:r w:rsidR="008D51FF" w:rsidRPr="006E75EE">
        <w:rPr>
          <w:lang w:val="en-US"/>
        </w:rPr>
        <w:t xml:space="preserve"> </w:t>
      </w:r>
      <w:r w:rsidR="00A23909" w:rsidRPr="006E75EE">
        <w:t xml:space="preserve">(Force Majeure), </w:t>
      </w:r>
      <w:r w:rsidR="00A23909" w:rsidRPr="006E75EE">
        <w:rPr>
          <w:lang w:val="en-US"/>
        </w:rPr>
        <w:t>Respondents</w:t>
      </w:r>
      <w:r w:rsidR="00A23909" w:rsidRPr="006E75EE">
        <w:t xml:space="preserve"> are liable to </w:t>
      </w:r>
      <w:r w:rsidR="00A23909" w:rsidRPr="006E75EE">
        <w:rPr>
          <w:lang w:val="en-US"/>
        </w:rPr>
        <w:t>EPA</w:t>
      </w:r>
      <w:r w:rsidR="00A23909" w:rsidRPr="006E75EE">
        <w:t xml:space="preserve"> for the following stipulated penalties</w:t>
      </w:r>
      <w:r w:rsidR="00A23909" w:rsidRPr="006E75EE">
        <w:rPr>
          <w:lang w:val="en-US"/>
        </w:rPr>
        <w:t>:</w:t>
      </w:r>
      <w:r w:rsidR="00690C7E" w:rsidRPr="006E75EE">
        <w:t xml:space="preserve"> </w:t>
      </w:r>
    </w:p>
    <w:p w14:paraId="03B98E6E" w14:textId="722E860C" w:rsidR="0052350E" w:rsidRPr="006E75EE" w:rsidRDefault="0052350E" w:rsidP="00556A12">
      <w:pPr>
        <w:pStyle w:val="LVL2"/>
        <w:rPr>
          <w:color w:val="auto"/>
        </w:rPr>
      </w:pPr>
      <w:bookmarkStart w:id="170" w:name="_Ref76972637"/>
      <w:r w:rsidRPr="006E75EE">
        <w:rPr>
          <w:color w:val="auto"/>
        </w:rPr>
        <w:t>for any failure: (i)</w:t>
      </w:r>
      <w:r w:rsidR="006D17BD" w:rsidRPr="006E75EE">
        <w:rPr>
          <w:color w:val="auto"/>
          <w:lang w:val="en-US"/>
        </w:rPr>
        <w:t> </w:t>
      </w:r>
      <w:r w:rsidRPr="006E75EE">
        <w:rPr>
          <w:color w:val="auto"/>
        </w:rPr>
        <w:t>to pay any amount due under Section</w:t>
      </w:r>
      <w:r w:rsidR="0070761F" w:rsidRPr="006E75EE">
        <w:rPr>
          <w:color w:val="auto"/>
          <w:lang w:val="en-US"/>
        </w:rPr>
        <w:t> </w:t>
      </w:r>
      <w:r w:rsidR="000E6CD3" w:rsidRPr="006E75EE">
        <w:rPr>
          <w:iCs w:val="0"/>
          <w:color w:val="auto"/>
        </w:rPr>
        <w:fldChar w:fldCharType="begin"/>
      </w:r>
      <w:r w:rsidR="000E6CD3" w:rsidRPr="006E75EE">
        <w:rPr>
          <w:color w:val="auto"/>
        </w:rPr>
        <w:instrText xml:space="preserve"> REF _Ref326224281 \w \h </w:instrText>
      </w:r>
      <w:r w:rsidR="006E75EE">
        <w:rPr>
          <w:iCs w:val="0"/>
          <w:color w:val="auto"/>
        </w:rPr>
        <w:instrText xml:space="preserve"> \* MERGEFORMAT </w:instrText>
      </w:r>
      <w:r w:rsidR="000E6CD3" w:rsidRPr="006E75EE">
        <w:rPr>
          <w:iCs w:val="0"/>
          <w:color w:val="auto"/>
        </w:rPr>
      </w:r>
      <w:r w:rsidR="000E6CD3" w:rsidRPr="006E75EE">
        <w:rPr>
          <w:iCs w:val="0"/>
          <w:color w:val="auto"/>
        </w:rPr>
        <w:fldChar w:fldCharType="separate"/>
      </w:r>
      <w:r w:rsidR="009166B4" w:rsidRPr="006E75EE">
        <w:rPr>
          <w:color w:val="auto"/>
        </w:rPr>
        <w:t>XI</w:t>
      </w:r>
      <w:r w:rsidR="000E6CD3" w:rsidRPr="006E75EE">
        <w:rPr>
          <w:iCs w:val="0"/>
          <w:color w:val="auto"/>
        </w:rPr>
        <w:fldChar w:fldCharType="end"/>
      </w:r>
      <w:r w:rsidRPr="006E75EE">
        <w:rPr>
          <w:color w:val="auto"/>
        </w:rPr>
        <w:t>; (ii)</w:t>
      </w:r>
      <w:r w:rsidR="00711A88" w:rsidRPr="006E75EE">
        <w:rPr>
          <w:color w:val="auto"/>
          <w:lang w:val="en-US"/>
        </w:rPr>
        <w:t> </w:t>
      </w:r>
      <w:r w:rsidRPr="006E75EE">
        <w:rPr>
          <w:color w:val="auto"/>
        </w:rPr>
        <w:t>[to establish and maintain financial assurance in accordance with Section</w:t>
      </w:r>
      <w:r w:rsidR="0070761F" w:rsidRPr="006E75EE">
        <w:rPr>
          <w:color w:val="auto"/>
          <w:lang w:val="en-US"/>
        </w:rPr>
        <w:t> </w:t>
      </w:r>
      <w:r w:rsidR="000E6CD3" w:rsidRPr="006E75EE">
        <w:rPr>
          <w:color w:val="auto"/>
        </w:rPr>
        <w:fldChar w:fldCharType="begin"/>
      </w:r>
      <w:r w:rsidR="000E6CD3" w:rsidRPr="006E75EE">
        <w:rPr>
          <w:color w:val="auto"/>
        </w:rPr>
        <w:instrText xml:space="preserve"> REF _Ref76972599 \w \h </w:instrText>
      </w:r>
      <w:r w:rsidR="006E75EE">
        <w:rPr>
          <w:color w:val="auto"/>
        </w:rPr>
        <w:instrText xml:space="preserve"> \* MERGEFORMAT </w:instrText>
      </w:r>
      <w:r w:rsidR="000E6CD3" w:rsidRPr="006E75EE">
        <w:rPr>
          <w:color w:val="auto"/>
        </w:rPr>
      </w:r>
      <w:r w:rsidR="000E6CD3" w:rsidRPr="006E75EE">
        <w:rPr>
          <w:color w:val="auto"/>
        </w:rPr>
        <w:fldChar w:fldCharType="separate"/>
      </w:r>
      <w:r w:rsidR="009166B4" w:rsidRPr="006E75EE">
        <w:rPr>
          <w:color w:val="auto"/>
        </w:rPr>
        <w:t>IX</w:t>
      </w:r>
      <w:r w:rsidR="000E6CD3" w:rsidRPr="006E75EE">
        <w:rPr>
          <w:color w:val="auto"/>
        </w:rPr>
        <w:fldChar w:fldCharType="end"/>
      </w:r>
      <w:r w:rsidRPr="006E75EE">
        <w:rPr>
          <w:color w:val="auto"/>
        </w:rPr>
        <w:t>]; (iii)</w:t>
      </w:r>
      <w:r w:rsidR="00711A88" w:rsidRPr="006E75EE">
        <w:rPr>
          <w:color w:val="auto"/>
          <w:lang w:val="en-US"/>
        </w:rPr>
        <w:t> </w:t>
      </w:r>
      <w:r w:rsidRPr="006E75EE">
        <w:rPr>
          <w:color w:val="auto"/>
        </w:rPr>
        <w:t xml:space="preserve">[to establish any escrow account required under </w:t>
      </w:r>
      <w:r w:rsidR="00AD70A1" w:rsidRPr="006E75EE">
        <w:rPr>
          <w:color w:val="auto"/>
        </w:rPr>
        <w:t>¶</w:t>
      </w:r>
      <w:r w:rsidR="00276366" w:rsidRPr="006E75EE">
        <w:rPr>
          <w:color w:val="auto"/>
          <w:lang w:val="en-US"/>
        </w:rPr>
        <w:t> </w:t>
      </w:r>
      <w:r w:rsidR="00E619E3" w:rsidRPr="006E75EE">
        <w:rPr>
          <w:color w:val="auto"/>
        </w:rPr>
        <w:fldChar w:fldCharType="begin"/>
      </w:r>
      <w:r w:rsidR="00E619E3" w:rsidRPr="006E75EE">
        <w:rPr>
          <w:color w:val="auto"/>
        </w:rPr>
        <w:instrText xml:space="preserve"> REF _Ref76972615 \r \h </w:instrText>
      </w:r>
      <w:r w:rsidR="006E75EE">
        <w:rPr>
          <w:color w:val="auto"/>
        </w:rPr>
        <w:instrText xml:space="preserve"> \* MERGEFORMAT </w:instrText>
      </w:r>
      <w:r w:rsidR="00E619E3" w:rsidRPr="006E75EE">
        <w:rPr>
          <w:color w:val="auto"/>
        </w:rPr>
      </w:r>
      <w:r w:rsidR="00E619E3" w:rsidRPr="006E75EE">
        <w:rPr>
          <w:color w:val="auto"/>
        </w:rPr>
        <w:fldChar w:fldCharType="separate"/>
      </w:r>
      <w:r w:rsidR="009166B4" w:rsidRPr="006E75EE">
        <w:rPr>
          <w:color w:val="auto"/>
        </w:rPr>
        <w:t>53</w:t>
      </w:r>
      <w:r w:rsidR="00E619E3" w:rsidRPr="006E75EE">
        <w:rPr>
          <w:color w:val="auto"/>
        </w:rPr>
        <w:fldChar w:fldCharType="end"/>
      </w:r>
      <w:r w:rsidR="001C0548" w:rsidRPr="006E75EE">
        <w:rPr>
          <w:color w:val="auto"/>
        </w:rPr>
        <w:t xml:space="preserve">]; </w:t>
      </w:r>
      <w:r w:rsidRPr="006E75EE">
        <w:rPr>
          <w:color w:val="auto"/>
        </w:rPr>
        <w:t>(iv)</w:t>
      </w:r>
      <w:r w:rsidR="00711A88" w:rsidRPr="006E75EE">
        <w:rPr>
          <w:color w:val="auto"/>
          <w:lang w:val="en-US"/>
        </w:rPr>
        <w:t> </w:t>
      </w:r>
      <w:r w:rsidRPr="006E75EE">
        <w:rPr>
          <w:color w:val="auto"/>
        </w:rPr>
        <w:t>to submit timely or adequate deliverables, including [</w:t>
      </w:r>
      <w:r w:rsidRPr="006E75EE">
        <w:rPr>
          <w:b/>
          <w:color w:val="auto"/>
        </w:rPr>
        <w:t>list major deliver</w:t>
      </w:r>
      <w:r w:rsidR="00AF0B7E" w:rsidRPr="006E75EE">
        <w:rPr>
          <w:b/>
          <w:color w:val="auto"/>
        </w:rPr>
        <w:t>ables and compliance milestones</w:t>
      </w:r>
      <w:r w:rsidRPr="006E75EE">
        <w:rPr>
          <w:color w:val="auto"/>
        </w:rPr>
        <w:t>]:</w:t>
      </w:r>
      <w:bookmarkEnd w:id="170"/>
    </w:p>
    <w:tbl>
      <w:tblPr>
        <w:tblStyle w:val="TableGrid"/>
        <w:tblW w:w="0" w:type="auto"/>
        <w:tblInd w:w="1075" w:type="dxa"/>
        <w:tblLook w:val="04A0" w:firstRow="1" w:lastRow="0" w:firstColumn="1" w:lastColumn="0" w:noHBand="0" w:noVBand="1"/>
      </w:tblPr>
      <w:tblGrid>
        <w:gridCol w:w="2790"/>
        <w:gridCol w:w="3960"/>
      </w:tblGrid>
      <w:tr w:rsidR="001B3C38" w:rsidRPr="006E75EE" w14:paraId="27087AAF" w14:textId="77777777" w:rsidTr="00AF0B7E">
        <w:tc>
          <w:tcPr>
            <w:tcW w:w="2790" w:type="dxa"/>
            <w:shd w:val="clear" w:color="auto" w:fill="D9D9D9" w:themeFill="background1" w:themeFillShade="D9"/>
          </w:tcPr>
          <w:p w14:paraId="483EEDA9" w14:textId="2EA3EE84" w:rsidR="00DE0C69" w:rsidRPr="006E75EE" w:rsidRDefault="00DE0C69" w:rsidP="001A56C6">
            <w:pPr>
              <w:pStyle w:val="NoSpacing"/>
              <w:jc w:val="center"/>
            </w:pPr>
            <w:bookmarkStart w:id="171" w:name="_Ref377733892"/>
            <w:bookmarkEnd w:id="169"/>
            <w:r w:rsidRPr="006E75EE">
              <w:t>Period of Noncompliance</w:t>
            </w:r>
          </w:p>
        </w:tc>
        <w:tc>
          <w:tcPr>
            <w:tcW w:w="3960" w:type="dxa"/>
            <w:shd w:val="clear" w:color="auto" w:fill="D9D9D9" w:themeFill="background1" w:themeFillShade="D9"/>
          </w:tcPr>
          <w:p w14:paraId="31305A64" w14:textId="77777777" w:rsidR="00DE0C69" w:rsidRPr="006E75EE" w:rsidRDefault="00DE0C69" w:rsidP="001A56C6">
            <w:pPr>
              <w:pStyle w:val="NoSpacing"/>
              <w:jc w:val="center"/>
            </w:pPr>
            <w:r w:rsidRPr="006E75EE">
              <w:t>Penalty Per Noncompliance Per Day</w:t>
            </w:r>
          </w:p>
        </w:tc>
      </w:tr>
      <w:tr w:rsidR="001B3C38" w:rsidRPr="006E75EE" w14:paraId="318217F1" w14:textId="77777777" w:rsidTr="001A56C6">
        <w:tc>
          <w:tcPr>
            <w:tcW w:w="2790" w:type="dxa"/>
          </w:tcPr>
          <w:p w14:paraId="0B574293" w14:textId="77777777" w:rsidR="00DE0C69" w:rsidRPr="006E75EE" w:rsidRDefault="00DE0C69" w:rsidP="001A56C6">
            <w:pPr>
              <w:pStyle w:val="NoSpacing"/>
              <w:jc w:val="center"/>
            </w:pPr>
            <w:r w:rsidRPr="006E75EE">
              <w:t>1st through 14th day</w:t>
            </w:r>
          </w:p>
        </w:tc>
        <w:tc>
          <w:tcPr>
            <w:tcW w:w="3960" w:type="dxa"/>
          </w:tcPr>
          <w:p w14:paraId="2DA1C151" w14:textId="77777777" w:rsidR="00DE0C69" w:rsidRPr="006E75EE" w:rsidRDefault="00DE0C69" w:rsidP="001A56C6">
            <w:pPr>
              <w:pStyle w:val="NoSpacing"/>
              <w:jc w:val="center"/>
            </w:pPr>
            <w:r w:rsidRPr="006E75EE">
              <w:t>$</w:t>
            </w:r>
          </w:p>
        </w:tc>
      </w:tr>
      <w:tr w:rsidR="001B3C38" w:rsidRPr="006E75EE" w14:paraId="620B28A4" w14:textId="77777777" w:rsidTr="001A56C6">
        <w:tc>
          <w:tcPr>
            <w:tcW w:w="2790" w:type="dxa"/>
          </w:tcPr>
          <w:p w14:paraId="66DD5862" w14:textId="77777777" w:rsidR="00DE0C69" w:rsidRPr="006E75EE" w:rsidRDefault="00DE0C69" w:rsidP="001A56C6">
            <w:pPr>
              <w:pStyle w:val="NoSpacing"/>
              <w:jc w:val="center"/>
            </w:pPr>
            <w:r w:rsidRPr="006E75EE">
              <w:t>15th through 30th day</w:t>
            </w:r>
          </w:p>
        </w:tc>
        <w:tc>
          <w:tcPr>
            <w:tcW w:w="3960" w:type="dxa"/>
          </w:tcPr>
          <w:p w14:paraId="54948DA7" w14:textId="77777777" w:rsidR="00DE0C69" w:rsidRPr="006E75EE" w:rsidRDefault="00DE0C69" w:rsidP="001A56C6">
            <w:pPr>
              <w:pStyle w:val="NoSpacing"/>
              <w:jc w:val="center"/>
            </w:pPr>
            <w:r w:rsidRPr="006E75EE">
              <w:t>$</w:t>
            </w:r>
          </w:p>
        </w:tc>
      </w:tr>
      <w:tr w:rsidR="001B3C38" w:rsidRPr="006E75EE" w14:paraId="24AF941A" w14:textId="77777777" w:rsidTr="001A56C6">
        <w:tc>
          <w:tcPr>
            <w:tcW w:w="2790" w:type="dxa"/>
          </w:tcPr>
          <w:p w14:paraId="612307C6" w14:textId="77777777" w:rsidR="00DE0C69" w:rsidRPr="006E75EE" w:rsidRDefault="00DE0C69" w:rsidP="001A56C6">
            <w:pPr>
              <w:pStyle w:val="NoSpacing"/>
              <w:jc w:val="center"/>
            </w:pPr>
            <w:r w:rsidRPr="006E75EE">
              <w:t>31st day and beyond</w:t>
            </w:r>
          </w:p>
        </w:tc>
        <w:tc>
          <w:tcPr>
            <w:tcW w:w="3960" w:type="dxa"/>
          </w:tcPr>
          <w:p w14:paraId="17EE1BDC" w14:textId="77777777" w:rsidR="00DE0C69" w:rsidRPr="006E75EE" w:rsidRDefault="00DE0C69" w:rsidP="001A56C6">
            <w:pPr>
              <w:pStyle w:val="NoSpacing"/>
              <w:jc w:val="center"/>
            </w:pPr>
            <w:r w:rsidRPr="006E75EE">
              <w:t>$</w:t>
            </w:r>
          </w:p>
        </w:tc>
      </w:tr>
    </w:tbl>
    <w:p w14:paraId="68B73680" w14:textId="7DD97683" w:rsidR="0052350E" w:rsidRPr="006E75EE" w:rsidRDefault="0052350E" w:rsidP="00556A12">
      <w:pPr>
        <w:pStyle w:val="LVL2"/>
        <w:rPr>
          <w:color w:val="auto"/>
          <w:lang w:val="en-US"/>
        </w:rPr>
      </w:pPr>
      <w:r w:rsidRPr="006E75EE">
        <w:rPr>
          <w:color w:val="auto"/>
          <w:lang w:val="en-US"/>
        </w:rPr>
        <w:t>for any failure to submit timely or adequate deliverables required by this Settlement other than those specified in ¶</w:t>
      </w:r>
      <w:r w:rsidR="00276366" w:rsidRPr="006E75EE">
        <w:rPr>
          <w:color w:val="auto"/>
          <w:lang w:val="en-US"/>
        </w:rPr>
        <w:t> </w:t>
      </w:r>
      <w:r w:rsidR="00785D1F" w:rsidRPr="006E75EE">
        <w:rPr>
          <w:color w:val="auto"/>
          <w:lang w:val="en-US"/>
        </w:rPr>
        <w:fldChar w:fldCharType="begin"/>
      </w:r>
      <w:r w:rsidR="00785D1F" w:rsidRPr="006E75EE">
        <w:rPr>
          <w:color w:val="auto"/>
          <w:lang w:val="en-US"/>
        </w:rPr>
        <w:instrText xml:space="preserve"> REF _Ref76972637 \w \h </w:instrText>
      </w:r>
      <w:r w:rsidR="006E75EE">
        <w:rPr>
          <w:color w:val="auto"/>
          <w:lang w:val="en-US"/>
        </w:rPr>
        <w:instrText xml:space="preserve"> \* MERGEFORMAT </w:instrText>
      </w:r>
      <w:r w:rsidR="00785D1F" w:rsidRPr="006E75EE">
        <w:rPr>
          <w:color w:val="auto"/>
          <w:lang w:val="en-US"/>
        </w:rPr>
      </w:r>
      <w:r w:rsidR="00785D1F" w:rsidRPr="006E75EE">
        <w:rPr>
          <w:color w:val="auto"/>
          <w:lang w:val="en-US"/>
        </w:rPr>
        <w:fldChar w:fldCharType="separate"/>
      </w:r>
      <w:r w:rsidR="009166B4" w:rsidRPr="006E75EE">
        <w:rPr>
          <w:color w:val="auto"/>
          <w:lang w:val="en-US"/>
        </w:rPr>
        <w:t>55.a</w:t>
      </w:r>
      <w:r w:rsidR="00785D1F" w:rsidRPr="006E75EE">
        <w:rPr>
          <w:color w:val="auto"/>
          <w:lang w:val="en-US"/>
        </w:rPr>
        <w:fldChar w:fldCharType="end"/>
      </w:r>
      <w:r w:rsidRPr="006E75EE">
        <w:rPr>
          <w:color w:val="auto"/>
          <w:lang w:val="en-US"/>
        </w:rPr>
        <w:t>:</w:t>
      </w:r>
      <w:bookmarkEnd w:id="171"/>
    </w:p>
    <w:tbl>
      <w:tblPr>
        <w:tblStyle w:val="TableGrid"/>
        <w:tblW w:w="0" w:type="auto"/>
        <w:tblInd w:w="1075" w:type="dxa"/>
        <w:tblLook w:val="04A0" w:firstRow="1" w:lastRow="0" w:firstColumn="1" w:lastColumn="0" w:noHBand="0" w:noVBand="1"/>
      </w:tblPr>
      <w:tblGrid>
        <w:gridCol w:w="2790"/>
        <w:gridCol w:w="3960"/>
      </w:tblGrid>
      <w:tr w:rsidR="001B3C38" w:rsidRPr="006E75EE" w14:paraId="5E87380E" w14:textId="77777777" w:rsidTr="00AF0B7E">
        <w:tc>
          <w:tcPr>
            <w:tcW w:w="2790" w:type="dxa"/>
            <w:shd w:val="clear" w:color="auto" w:fill="D9D9D9" w:themeFill="background1" w:themeFillShade="D9"/>
          </w:tcPr>
          <w:p w14:paraId="6EA5FDC1" w14:textId="5FE574B7" w:rsidR="00DE0C69" w:rsidRPr="006E75EE" w:rsidRDefault="00DE0C69" w:rsidP="001A56C6">
            <w:pPr>
              <w:pStyle w:val="NoSpacing"/>
              <w:jc w:val="center"/>
            </w:pPr>
            <w:bookmarkStart w:id="172" w:name="_Ref377733945"/>
            <w:r w:rsidRPr="006E75EE">
              <w:t>Period of Noncompliance</w:t>
            </w:r>
          </w:p>
        </w:tc>
        <w:tc>
          <w:tcPr>
            <w:tcW w:w="3960" w:type="dxa"/>
            <w:shd w:val="clear" w:color="auto" w:fill="D9D9D9" w:themeFill="background1" w:themeFillShade="D9"/>
          </w:tcPr>
          <w:p w14:paraId="7104C1AF" w14:textId="77777777" w:rsidR="00DE0C69" w:rsidRPr="006E75EE" w:rsidRDefault="00DE0C69" w:rsidP="001A56C6">
            <w:pPr>
              <w:pStyle w:val="NoSpacing"/>
              <w:jc w:val="center"/>
            </w:pPr>
            <w:r w:rsidRPr="006E75EE">
              <w:t>Penalty Per Noncompliance Per Day</w:t>
            </w:r>
          </w:p>
        </w:tc>
      </w:tr>
      <w:tr w:rsidR="001B3C38" w:rsidRPr="006E75EE" w14:paraId="6AB05C3E" w14:textId="77777777" w:rsidTr="001A56C6">
        <w:tc>
          <w:tcPr>
            <w:tcW w:w="2790" w:type="dxa"/>
          </w:tcPr>
          <w:p w14:paraId="047E5711" w14:textId="77777777" w:rsidR="00DE0C69" w:rsidRPr="006E75EE" w:rsidRDefault="00DE0C69" w:rsidP="001A56C6">
            <w:pPr>
              <w:pStyle w:val="NoSpacing"/>
              <w:jc w:val="center"/>
            </w:pPr>
            <w:r w:rsidRPr="006E75EE">
              <w:t>1st through 14th day</w:t>
            </w:r>
          </w:p>
        </w:tc>
        <w:tc>
          <w:tcPr>
            <w:tcW w:w="3960" w:type="dxa"/>
          </w:tcPr>
          <w:p w14:paraId="7DDEE2D1" w14:textId="77777777" w:rsidR="00DE0C69" w:rsidRPr="006E75EE" w:rsidRDefault="00DE0C69" w:rsidP="001A56C6">
            <w:pPr>
              <w:pStyle w:val="NoSpacing"/>
              <w:jc w:val="center"/>
            </w:pPr>
            <w:r w:rsidRPr="006E75EE">
              <w:t>$</w:t>
            </w:r>
          </w:p>
        </w:tc>
      </w:tr>
      <w:tr w:rsidR="001B3C38" w:rsidRPr="006E75EE" w14:paraId="1E601F27" w14:textId="77777777" w:rsidTr="001A56C6">
        <w:tc>
          <w:tcPr>
            <w:tcW w:w="2790" w:type="dxa"/>
          </w:tcPr>
          <w:p w14:paraId="0ACF9B28" w14:textId="77777777" w:rsidR="00DE0C69" w:rsidRPr="006E75EE" w:rsidRDefault="00DE0C69" w:rsidP="001A56C6">
            <w:pPr>
              <w:pStyle w:val="NoSpacing"/>
              <w:jc w:val="center"/>
            </w:pPr>
            <w:r w:rsidRPr="006E75EE">
              <w:t>15th through 30th day</w:t>
            </w:r>
          </w:p>
        </w:tc>
        <w:tc>
          <w:tcPr>
            <w:tcW w:w="3960" w:type="dxa"/>
          </w:tcPr>
          <w:p w14:paraId="597FFED5" w14:textId="77777777" w:rsidR="00DE0C69" w:rsidRPr="006E75EE" w:rsidRDefault="00DE0C69" w:rsidP="001A56C6">
            <w:pPr>
              <w:pStyle w:val="NoSpacing"/>
              <w:jc w:val="center"/>
            </w:pPr>
            <w:r w:rsidRPr="006E75EE">
              <w:t>$</w:t>
            </w:r>
          </w:p>
        </w:tc>
      </w:tr>
      <w:tr w:rsidR="001B3C38" w:rsidRPr="006E75EE" w14:paraId="434489A1" w14:textId="77777777" w:rsidTr="001A56C6">
        <w:tc>
          <w:tcPr>
            <w:tcW w:w="2790" w:type="dxa"/>
          </w:tcPr>
          <w:p w14:paraId="6897D29D" w14:textId="77777777" w:rsidR="00DE0C69" w:rsidRPr="006E75EE" w:rsidRDefault="00DE0C69" w:rsidP="001A56C6">
            <w:pPr>
              <w:pStyle w:val="NoSpacing"/>
              <w:jc w:val="center"/>
            </w:pPr>
            <w:r w:rsidRPr="006E75EE">
              <w:t>31st day and beyond</w:t>
            </w:r>
          </w:p>
        </w:tc>
        <w:tc>
          <w:tcPr>
            <w:tcW w:w="3960" w:type="dxa"/>
          </w:tcPr>
          <w:p w14:paraId="2377BAC3" w14:textId="77777777" w:rsidR="00DE0C69" w:rsidRPr="006E75EE" w:rsidRDefault="00DE0C69" w:rsidP="001A56C6">
            <w:pPr>
              <w:pStyle w:val="NoSpacing"/>
              <w:jc w:val="center"/>
            </w:pPr>
            <w:r w:rsidRPr="006E75EE">
              <w:t>$</w:t>
            </w:r>
          </w:p>
        </w:tc>
      </w:tr>
    </w:tbl>
    <w:p w14:paraId="0177445A" w14:textId="33AAA1CA" w:rsidR="008170B1" w:rsidRPr="006E75EE" w:rsidRDefault="00AF0B7E" w:rsidP="00AF0B7E">
      <w:pPr>
        <w:pStyle w:val="LVL1"/>
      </w:pPr>
      <w:bookmarkStart w:id="173" w:name="_Ref326154947"/>
      <w:r w:rsidRPr="006E75EE">
        <w:rPr>
          <w:b/>
          <w:lang w:val="en-US"/>
        </w:rPr>
        <w:t>Work Takeover Penalty</w:t>
      </w:r>
      <w:r w:rsidRPr="006E75EE">
        <w:rPr>
          <w:lang w:val="en-US"/>
        </w:rPr>
        <w:t xml:space="preserve">. </w:t>
      </w:r>
      <w:r w:rsidR="00184F0F" w:rsidRPr="006E75EE">
        <w:rPr>
          <w:lang w:val="en-US"/>
        </w:rPr>
        <w:t>If</w:t>
      </w:r>
      <w:r w:rsidR="008170B1" w:rsidRPr="006E75EE">
        <w:t xml:space="preserve"> EPA </w:t>
      </w:r>
      <w:r w:rsidR="00184F0F" w:rsidRPr="006E75EE">
        <w:rPr>
          <w:lang w:val="en-US"/>
        </w:rPr>
        <w:t xml:space="preserve">commences a </w:t>
      </w:r>
      <w:r w:rsidR="008170B1" w:rsidRPr="006E75EE">
        <w:t xml:space="preserve">Work </w:t>
      </w:r>
      <w:r w:rsidR="00184F0F" w:rsidRPr="006E75EE">
        <w:rPr>
          <w:lang w:val="en-US"/>
        </w:rPr>
        <w:t>Takeover</w:t>
      </w:r>
      <w:r w:rsidR="00DE0C69" w:rsidRPr="006E75EE">
        <w:rPr>
          <w:lang w:val="en-US"/>
        </w:rPr>
        <w:t xml:space="preserve"> under ¶ </w:t>
      </w:r>
      <w:r w:rsidR="00E619E3" w:rsidRPr="006E75EE">
        <w:rPr>
          <w:lang w:val="en-US"/>
        </w:rPr>
        <w:fldChar w:fldCharType="begin"/>
      </w:r>
      <w:r w:rsidR="00E619E3" w:rsidRPr="006E75EE">
        <w:rPr>
          <w:lang w:val="en-US"/>
        </w:rPr>
        <w:instrText xml:space="preserve"> REF _Ref76826270 \r \h </w:instrText>
      </w:r>
      <w:r w:rsidR="006E75EE">
        <w:rPr>
          <w:lang w:val="en-US"/>
        </w:rPr>
        <w:instrText xml:space="preserve"> \* MERGEFORMAT </w:instrText>
      </w:r>
      <w:r w:rsidR="00E619E3" w:rsidRPr="006E75EE">
        <w:rPr>
          <w:lang w:val="en-US"/>
        </w:rPr>
      </w:r>
      <w:r w:rsidR="00E619E3" w:rsidRPr="006E75EE">
        <w:rPr>
          <w:lang w:val="en-US"/>
        </w:rPr>
        <w:fldChar w:fldCharType="separate"/>
      </w:r>
      <w:r w:rsidR="009166B4" w:rsidRPr="006E75EE">
        <w:rPr>
          <w:lang w:val="en-US"/>
        </w:rPr>
        <w:t>25</w:t>
      </w:r>
      <w:r w:rsidR="00E619E3" w:rsidRPr="006E75EE">
        <w:rPr>
          <w:lang w:val="en-US"/>
        </w:rPr>
        <w:fldChar w:fldCharType="end"/>
      </w:r>
      <w:r w:rsidR="008170B1" w:rsidRPr="006E75EE">
        <w:t xml:space="preserve">, Respondents </w:t>
      </w:r>
      <w:r w:rsidR="00184F0F" w:rsidRPr="006E75EE">
        <w:rPr>
          <w:lang w:val="en-US"/>
        </w:rPr>
        <w:t>are</w:t>
      </w:r>
      <w:r w:rsidR="008170B1" w:rsidRPr="006E75EE">
        <w:t xml:space="preserve"> liable for a stipulated penalty in the amount of </w:t>
      </w:r>
      <w:bookmarkEnd w:id="172"/>
      <w:r w:rsidR="00711A88" w:rsidRPr="006E75EE">
        <w:rPr>
          <w:lang w:val="en-US"/>
        </w:rPr>
        <w:t>$</w:t>
      </w:r>
      <w:r w:rsidR="008170B1" w:rsidRPr="006E75EE">
        <w:t>________.</w:t>
      </w:r>
      <w:bookmarkEnd w:id="173"/>
      <w:r w:rsidRPr="006E75EE">
        <w:t xml:space="preserve"> This stipulated penalty is in addition to the remedy available to EPA under ¶</w:t>
      </w:r>
      <w:r w:rsidR="00276366" w:rsidRPr="006E75EE">
        <w:rPr>
          <w:lang w:val="en-US"/>
        </w:rPr>
        <w:t> </w:t>
      </w:r>
      <w:r w:rsidR="00160321" w:rsidRPr="006E75EE">
        <w:fldChar w:fldCharType="begin"/>
      </w:r>
      <w:r w:rsidR="00160321" w:rsidRPr="006E75EE">
        <w:instrText xml:space="preserve"> REF _Ref362014500 \r \h </w:instrText>
      </w:r>
      <w:r w:rsidR="006E75EE">
        <w:instrText xml:space="preserve"> \* MERGEFORMAT </w:instrText>
      </w:r>
      <w:r w:rsidR="00160321" w:rsidRPr="006E75EE">
        <w:fldChar w:fldCharType="separate"/>
      </w:r>
      <w:r w:rsidR="009166B4" w:rsidRPr="006E75EE">
        <w:t>35</w:t>
      </w:r>
      <w:r w:rsidR="00160321" w:rsidRPr="006E75EE">
        <w:fldChar w:fldCharType="end"/>
      </w:r>
      <w:r w:rsidRPr="006E75EE">
        <w:t xml:space="preserve"> (Access to Financial Assurance).</w:t>
      </w:r>
    </w:p>
    <w:p w14:paraId="5C35192C" w14:textId="340D7F3A" w:rsidR="00AF0B7E" w:rsidRPr="006E75EE" w:rsidRDefault="00AF0B7E" w:rsidP="00AF0B7E">
      <w:pPr>
        <w:pStyle w:val="LVL1"/>
        <w:rPr>
          <w:lang w:val="en-US"/>
        </w:rPr>
      </w:pPr>
      <w:bookmarkStart w:id="174" w:name="_Ref76972552"/>
      <w:bookmarkStart w:id="175" w:name="_Ref377734179"/>
      <w:bookmarkStart w:id="176" w:name="_Ref408928773"/>
      <w:r w:rsidRPr="006E75EE">
        <w:rPr>
          <w:b/>
          <w:lang w:val="en-US"/>
        </w:rPr>
        <w:t>Accrual of Penalties</w:t>
      </w:r>
      <w:r w:rsidRPr="006E75EE">
        <w:rPr>
          <w:lang w:val="en-US"/>
        </w:rPr>
        <w:t xml:space="preserve">. Stipulated penalties accrue from the date performance is due, or the day a noncompliance occurs, whichever is applicable, until the date the requirement is completed or the final day of the correction of the noncompliance. Nothing in this Settlement prevents the simultaneous accrual of separate penalties for separate </w:t>
      </w:r>
      <w:proofErr w:type="spellStart"/>
      <w:r w:rsidRPr="006E75EE">
        <w:rPr>
          <w:lang w:val="en-US"/>
        </w:rPr>
        <w:t>noncompliances</w:t>
      </w:r>
      <w:proofErr w:type="spellEnd"/>
      <w:r w:rsidRPr="006E75EE">
        <w:rPr>
          <w:lang w:val="en-US"/>
        </w:rPr>
        <w:t xml:space="preserve"> with this Settlement. Stipulated penalties accrue regardless of whether Respondents have been notified of their noncompliance, and regardless of </w:t>
      </w:r>
      <w:r w:rsidRPr="006E75EE">
        <w:rPr>
          <w:lang w:val="en-US"/>
        </w:rPr>
        <w:lastRenderedPageBreak/>
        <w:t>whether Respondents have initiated dispute resolution under Section</w:t>
      </w:r>
      <w:r w:rsidR="0070761F" w:rsidRPr="006E75EE">
        <w:rPr>
          <w:lang w:val="en-US"/>
        </w:rPr>
        <w:t> </w:t>
      </w:r>
      <w:r w:rsidR="00785D1F" w:rsidRPr="006E75EE">
        <w:rPr>
          <w:lang w:val="en-US"/>
        </w:rPr>
        <w:fldChar w:fldCharType="begin"/>
      </w:r>
      <w:r w:rsidR="00785D1F" w:rsidRPr="006E75EE">
        <w:rPr>
          <w:lang w:val="en-US"/>
        </w:rPr>
        <w:instrText xml:space="preserve"> REF _Ref326220161 \w \h </w:instrText>
      </w:r>
      <w:r w:rsidR="006E75EE">
        <w:rPr>
          <w:lang w:val="en-US"/>
        </w:rPr>
        <w:instrText xml:space="preserve"> \* MERGEFORMAT </w:instrText>
      </w:r>
      <w:r w:rsidR="00785D1F" w:rsidRPr="006E75EE">
        <w:rPr>
          <w:lang w:val="en-US"/>
        </w:rPr>
      </w:r>
      <w:r w:rsidR="00785D1F" w:rsidRPr="006E75EE">
        <w:rPr>
          <w:lang w:val="en-US"/>
        </w:rPr>
        <w:fldChar w:fldCharType="separate"/>
      </w:r>
      <w:r w:rsidR="009166B4" w:rsidRPr="006E75EE">
        <w:rPr>
          <w:lang w:val="en-US"/>
        </w:rPr>
        <w:t>XIV</w:t>
      </w:r>
      <w:r w:rsidR="00785D1F" w:rsidRPr="006E75EE">
        <w:rPr>
          <w:lang w:val="en-US"/>
        </w:rPr>
        <w:fldChar w:fldCharType="end"/>
      </w:r>
      <w:r w:rsidRPr="006E75EE">
        <w:rPr>
          <w:lang w:val="en-US"/>
        </w:rPr>
        <w:t>, provided, however, that no penalties will accrue as follows:</w:t>
      </w:r>
      <w:bookmarkEnd w:id="174"/>
    </w:p>
    <w:p w14:paraId="7C13A132" w14:textId="6AA4180B" w:rsidR="00AF0B7E" w:rsidRPr="006E75EE" w:rsidRDefault="00AF0B7E" w:rsidP="00AF0B7E">
      <w:pPr>
        <w:pStyle w:val="LVL2"/>
        <w:rPr>
          <w:color w:val="auto"/>
        </w:rPr>
      </w:pPr>
      <w:r w:rsidRPr="006E75EE">
        <w:rPr>
          <w:color w:val="auto"/>
        </w:rPr>
        <w:t>with respect to a submission that EPA subsequently determines is deficient</w:t>
      </w:r>
      <w:r w:rsidR="00A84C33" w:rsidRPr="006E75EE">
        <w:rPr>
          <w:color w:val="auto"/>
          <w:lang w:val="en-US"/>
        </w:rPr>
        <w:t xml:space="preserve"> under </w:t>
      </w:r>
      <w:r w:rsidR="00A82B25" w:rsidRPr="006E75EE">
        <w:rPr>
          <w:color w:val="auto"/>
        </w:rPr>
        <w:t>¶</w:t>
      </w:r>
      <w:r w:rsidR="0080774F" w:rsidRPr="006E75EE">
        <w:rPr>
          <w:color w:val="auto"/>
          <w:lang w:val="en-US"/>
        </w:rPr>
        <w:t> </w:t>
      </w:r>
      <w:r w:rsidR="00A82B25" w:rsidRPr="006E75EE">
        <w:rPr>
          <w:color w:val="auto"/>
          <w:lang w:val="en-US"/>
        </w:rPr>
        <w:t>[</w:t>
      </w:r>
      <w:r w:rsidR="003633B5" w:rsidRPr="006E75EE">
        <w:rPr>
          <w:color w:val="auto"/>
          <w:lang w:val="en-US"/>
        </w:rPr>
        <w:t>7</w:t>
      </w:r>
      <w:r w:rsidR="00A84C33" w:rsidRPr="006E75EE">
        <w:rPr>
          <w:color w:val="auto"/>
          <w:lang w:val="en-US"/>
        </w:rPr>
        <w:t>.5</w:t>
      </w:r>
      <w:r w:rsidR="00A82B25" w:rsidRPr="006E75EE">
        <w:rPr>
          <w:color w:val="auto"/>
          <w:lang w:val="en-US"/>
        </w:rPr>
        <w:t>]</w:t>
      </w:r>
      <w:r w:rsidR="00A84C33" w:rsidRPr="006E75EE">
        <w:rPr>
          <w:color w:val="auto"/>
          <w:lang w:val="en-US"/>
        </w:rPr>
        <w:t xml:space="preserve"> of the SOW</w:t>
      </w:r>
      <w:r w:rsidRPr="006E75EE">
        <w:rPr>
          <w:color w:val="auto"/>
        </w:rPr>
        <w:t>, during the period, if any, beginning on the 31st</w:t>
      </w:r>
      <w:r w:rsidR="0070761F" w:rsidRPr="006E75EE">
        <w:rPr>
          <w:color w:val="auto"/>
          <w:lang w:val="en-US"/>
        </w:rPr>
        <w:t> </w:t>
      </w:r>
      <w:r w:rsidRPr="006E75EE">
        <w:rPr>
          <w:color w:val="auto"/>
        </w:rPr>
        <w:t>day after EPA’s receipt of such submission until the date that EPA notifies Respondents of any deficiency;</w:t>
      </w:r>
      <w:r w:rsidRPr="006E75EE">
        <w:rPr>
          <w:color w:val="auto"/>
          <w:lang w:val="en-US"/>
        </w:rPr>
        <w:t xml:space="preserve"> or</w:t>
      </w:r>
    </w:p>
    <w:p w14:paraId="02F1C936" w14:textId="37EF36F1" w:rsidR="00AF0B7E" w:rsidRPr="006E75EE" w:rsidRDefault="00AF0B7E" w:rsidP="00401A19">
      <w:pPr>
        <w:pStyle w:val="LVL2"/>
        <w:rPr>
          <w:color w:val="auto"/>
        </w:rPr>
      </w:pPr>
      <w:r w:rsidRPr="006E75EE">
        <w:rPr>
          <w:color w:val="auto"/>
        </w:rPr>
        <w:t>with respect to a matter that is the subject of dispute resolution under Section</w:t>
      </w:r>
      <w:r w:rsidR="0070761F" w:rsidRPr="006E75EE">
        <w:rPr>
          <w:color w:val="auto"/>
          <w:lang w:val="en-US"/>
        </w:rPr>
        <w:t> </w:t>
      </w:r>
      <w:r w:rsidR="00785D1F" w:rsidRPr="006E75EE">
        <w:rPr>
          <w:color w:val="auto"/>
          <w:lang w:val="en-US"/>
        </w:rPr>
        <w:fldChar w:fldCharType="begin"/>
      </w:r>
      <w:r w:rsidR="00785D1F" w:rsidRPr="006E75EE">
        <w:rPr>
          <w:color w:val="auto"/>
          <w:lang w:val="en-US"/>
        </w:rPr>
        <w:instrText xml:space="preserve"> REF _Ref326220161 \w \h </w:instrText>
      </w:r>
      <w:r w:rsidR="006E75EE">
        <w:rPr>
          <w:color w:val="auto"/>
          <w:lang w:val="en-US"/>
        </w:rPr>
        <w:instrText xml:space="preserve"> \* MERGEFORMAT </w:instrText>
      </w:r>
      <w:r w:rsidR="00785D1F" w:rsidRPr="006E75EE">
        <w:rPr>
          <w:color w:val="auto"/>
          <w:lang w:val="en-US"/>
        </w:rPr>
      </w:r>
      <w:r w:rsidR="00785D1F" w:rsidRPr="006E75EE">
        <w:rPr>
          <w:color w:val="auto"/>
          <w:lang w:val="en-US"/>
        </w:rPr>
        <w:fldChar w:fldCharType="separate"/>
      </w:r>
      <w:r w:rsidR="009166B4" w:rsidRPr="006E75EE">
        <w:rPr>
          <w:color w:val="auto"/>
          <w:lang w:val="en-US"/>
        </w:rPr>
        <w:t>XIV</w:t>
      </w:r>
      <w:r w:rsidR="00785D1F" w:rsidRPr="006E75EE">
        <w:rPr>
          <w:color w:val="auto"/>
          <w:lang w:val="en-US"/>
        </w:rPr>
        <w:fldChar w:fldCharType="end"/>
      </w:r>
      <w:r w:rsidRPr="006E75EE">
        <w:rPr>
          <w:color w:val="auto"/>
        </w:rPr>
        <w:t>, during the period, if any, beginning on the 21st</w:t>
      </w:r>
      <w:r w:rsidR="0070761F" w:rsidRPr="006E75EE">
        <w:rPr>
          <w:color w:val="auto"/>
          <w:lang w:val="en-US"/>
        </w:rPr>
        <w:t> </w:t>
      </w:r>
      <w:r w:rsidRPr="006E75EE">
        <w:rPr>
          <w:color w:val="auto"/>
        </w:rPr>
        <w:t xml:space="preserve">day after the </w:t>
      </w:r>
      <w:bookmarkEnd w:id="175"/>
      <w:bookmarkEnd w:id="176"/>
      <w:r w:rsidRPr="006E75EE">
        <w:rPr>
          <w:color w:val="auto"/>
        </w:rPr>
        <w:t xml:space="preserve">later of the date that EPA’s Statement of Position is received or the date that Respondents’ reply thereto (if any) is received until the date of the Formal Decision under </w:t>
      </w:r>
      <w:r w:rsidRPr="006E75EE">
        <w:rPr>
          <w:color w:val="auto"/>
          <w:lang w:val="en-US"/>
        </w:rPr>
        <w:t>¶</w:t>
      </w:r>
      <w:r w:rsidR="0070761F" w:rsidRPr="006E75EE">
        <w:rPr>
          <w:color w:val="auto"/>
          <w:lang w:val="en-US"/>
        </w:rPr>
        <w:t> </w:t>
      </w:r>
      <w:r w:rsidRPr="006E75EE">
        <w:rPr>
          <w:color w:val="auto"/>
          <w:lang w:val="en-US"/>
        </w:rPr>
        <w:fldChar w:fldCharType="begin"/>
      </w:r>
      <w:r w:rsidRPr="006E75EE">
        <w:rPr>
          <w:color w:val="auto"/>
          <w:lang w:val="en-US"/>
        </w:rPr>
        <w:instrText xml:space="preserve"> REF _Ref76742338 \w \h </w:instrText>
      </w:r>
      <w:r w:rsidR="006E75EE">
        <w:rPr>
          <w:color w:val="auto"/>
          <w:lang w:val="en-US"/>
        </w:rPr>
        <w:instrText xml:space="preserve"> \* MERGEFORMAT </w:instrText>
      </w:r>
      <w:r w:rsidRPr="006E75EE">
        <w:rPr>
          <w:color w:val="auto"/>
          <w:lang w:val="en-US"/>
        </w:rPr>
      </w:r>
      <w:r w:rsidRPr="006E75EE">
        <w:rPr>
          <w:color w:val="auto"/>
          <w:lang w:val="en-US"/>
        </w:rPr>
        <w:fldChar w:fldCharType="separate"/>
      </w:r>
      <w:r w:rsidR="009166B4" w:rsidRPr="006E75EE">
        <w:rPr>
          <w:color w:val="auto"/>
          <w:lang w:val="en-US"/>
        </w:rPr>
        <w:t>52.b</w:t>
      </w:r>
      <w:r w:rsidRPr="006E75EE">
        <w:rPr>
          <w:color w:val="auto"/>
          <w:lang w:val="en-US"/>
        </w:rPr>
        <w:fldChar w:fldCharType="end"/>
      </w:r>
      <w:r w:rsidRPr="006E75EE">
        <w:rPr>
          <w:color w:val="auto"/>
        </w:rPr>
        <w:t>.</w:t>
      </w:r>
    </w:p>
    <w:p w14:paraId="10C0BCD7" w14:textId="0FC6346F" w:rsidR="00AF0B7E" w:rsidRPr="006E75EE" w:rsidRDefault="00AF0B7E" w:rsidP="00AF0B7E">
      <w:pPr>
        <w:pStyle w:val="LVL1"/>
        <w:rPr>
          <w:lang w:val="en-US"/>
        </w:rPr>
      </w:pPr>
      <w:r w:rsidRPr="006E75EE">
        <w:rPr>
          <w:b/>
          <w:lang w:val="en-US"/>
        </w:rPr>
        <w:t>Demand and Payment of Stipulated Penalties</w:t>
      </w:r>
      <w:r w:rsidRPr="006E75EE">
        <w:rPr>
          <w:lang w:val="en-US"/>
        </w:rPr>
        <w:t>. EPA may send Respondents a demand for stipulated penalties. The demand will include a description of the noncompliance and will specify the amount of the stipulated penalties owed. Respondents may initiate dispute resolution under Section</w:t>
      </w:r>
      <w:r w:rsidR="0070761F" w:rsidRPr="006E75EE">
        <w:rPr>
          <w:lang w:val="en-US"/>
        </w:rPr>
        <w:t> </w:t>
      </w:r>
      <w:r w:rsidR="00785D1F" w:rsidRPr="006E75EE">
        <w:fldChar w:fldCharType="begin"/>
      </w:r>
      <w:r w:rsidR="00785D1F" w:rsidRPr="006E75EE">
        <w:rPr>
          <w:lang w:val="en-US"/>
        </w:rPr>
        <w:instrText xml:space="preserve"> REF _Ref326220161 \w \h </w:instrText>
      </w:r>
      <w:r w:rsidR="006E75EE">
        <w:instrText xml:space="preserve"> \* MERGEFORMAT </w:instrText>
      </w:r>
      <w:r w:rsidR="00785D1F" w:rsidRPr="006E75EE">
        <w:fldChar w:fldCharType="separate"/>
      </w:r>
      <w:r w:rsidR="009166B4" w:rsidRPr="006E75EE">
        <w:rPr>
          <w:lang w:val="en-US"/>
        </w:rPr>
        <w:t>XIV</w:t>
      </w:r>
      <w:r w:rsidR="00785D1F" w:rsidRPr="006E75EE">
        <w:fldChar w:fldCharType="end"/>
      </w:r>
      <w:r w:rsidRPr="006E75EE">
        <w:rPr>
          <w:lang w:val="en-US"/>
        </w:rPr>
        <w:t xml:space="preserve"> within 30</w:t>
      </w:r>
      <w:r w:rsidR="0070761F" w:rsidRPr="006E75EE">
        <w:rPr>
          <w:lang w:val="en-US"/>
        </w:rPr>
        <w:t> </w:t>
      </w:r>
      <w:r w:rsidRPr="006E75EE">
        <w:rPr>
          <w:lang w:val="en-US"/>
        </w:rPr>
        <w:t>days after receipt of the demand. Respondents shall pay the amount demanded or, if they initiate dispute resolution, the uncontested portion of the amount demanded, within 30</w:t>
      </w:r>
      <w:r w:rsidR="004C7C1B" w:rsidRPr="006E75EE">
        <w:rPr>
          <w:lang w:val="en-US"/>
        </w:rPr>
        <w:t> </w:t>
      </w:r>
      <w:r w:rsidRPr="006E75EE">
        <w:rPr>
          <w:lang w:val="en-US"/>
        </w:rPr>
        <w:t>days after receipt of the demand. Respondents shall pay the contested portion of the penalties determined to be owed, if any, within 30</w:t>
      </w:r>
      <w:r w:rsidR="004C7C1B" w:rsidRPr="006E75EE">
        <w:rPr>
          <w:lang w:val="en-US"/>
        </w:rPr>
        <w:t> </w:t>
      </w:r>
      <w:r w:rsidRPr="006E75EE">
        <w:rPr>
          <w:lang w:val="en-US"/>
        </w:rPr>
        <w:t>days after the resolution of the dispute. Each payment for: (a</w:t>
      </w:r>
      <w:bookmarkStart w:id="177" w:name="_Ref408929252"/>
      <w:bookmarkStart w:id="178" w:name="_Ref377734195"/>
      <w:r w:rsidRPr="006E75EE">
        <w:rPr>
          <w:lang w:val="en-US"/>
        </w:rPr>
        <w:t>)</w:t>
      </w:r>
      <w:r w:rsidR="0070761F" w:rsidRPr="006E75EE">
        <w:rPr>
          <w:lang w:val="en-US"/>
        </w:rPr>
        <w:t> </w:t>
      </w:r>
      <w:r w:rsidRPr="006E75EE">
        <w:rPr>
          <w:lang w:val="en-US"/>
        </w:rPr>
        <w:t>the uncontested penalty demand or uncontested portion, if late</w:t>
      </w:r>
      <w:r w:rsidR="00DE4299" w:rsidRPr="006E75EE">
        <w:rPr>
          <w:lang w:val="en-US"/>
        </w:rPr>
        <w:t>;</w:t>
      </w:r>
      <w:r w:rsidRPr="006E75EE">
        <w:rPr>
          <w:lang w:val="en-US"/>
        </w:rPr>
        <w:t xml:space="preserve"> and (b)</w:t>
      </w:r>
      <w:r w:rsidR="0070761F" w:rsidRPr="006E75EE">
        <w:rPr>
          <w:lang w:val="en-US"/>
        </w:rPr>
        <w:t> </w:t>
      </w:r>
      <w:r w:rsidRPr="006E75EE">
        <w:rPr>
          <w:lang w:val="en-US"/>
        </w:rPr>
        <w:t xml:space="preserve">the contested portion of the penalty demand determined to be owed, if any, must include an additional amount for Interest accrued from the date of receipt of the demand through the date of payment. Respondents shall make payment at </w:t>
      </w:r>
      <w:r w:rsidRPr="006E75EE">
        <w:rPr>
          <w:u w:val="single"/>
          <w:lang w:val="en-US"/>
        </w:rPr>
        <w:t>https://www.pay.gov</w:t>
      </w:r>
      <w:r w:rsidRPr="006E75EE">
        <w:rPr>
          <w:lang w:val="en-US"/>
        </w:rPr>
        <w:t xml:space="preserve"> using the link for “EPA Miscellaneous Payments Cincinnati Finance Center,” including references to the Site/Spill ID </w:t>
      </w:r>
      <w:r w:rsidR="00A044A7" w:rsidRPr="006E75EE">
        <w:rPr>
          <w:lang w:val="en-US"/>
        </w:rPr>
        <w:t>number</w:t>
      </w:r>
      <w:r w:rsidRPr="006E75EE">
        <w:rPr>
          <w:lang w:val="en-US"/>
        </w:rPr>
        <w:t xml:space="preserve"> listed in ¶</w:t>
      </w:r>
      <w:r w:rsidR="0070761F" w:rsidRPr="006E75EE">
        <w:rPr>
          <w:lang w:val="en-US"/>
        </w:rPr>
        <w:t> </w:t>
      </w:r>
      <w:r w:rsidR="00E619E3" w:rsidRPr="006E75EE">
        <w:rPr>
          <w:lang w:val="en-US"/>
        </w:rPr>
        <w:fldChar w:fldCharType="begin"/>
      </w:r>
      <w:r w:rsidR="00E619E3" w:rsidRPr="006E75EE">
        <w:rPr>
          <w:lang w:val="en-US"/>
        </w:rPr>
        <w:instrText xml:space="preserve"> REF _Ref76833864 \r \h </w:instrText>
      </w:r>
      <w:r w:rsidR="006E75EE">
        <w:rPr>
          <w:lang w:val="en-US"/>
        </w:rPr>
        <w:instrText xml:space="preserve"> \* MERGEFORMAT </w:instrText>
      </w:r>
      <w:r w:rsidR="00E619E3" w:rsidRPr="006E75EE">
        <w:rPr>
          <w:lang w:val="en-US"/>
        </w:rPr>
      </w:r>
      <w:r w:rsidR="00E619E3" w:rsidRPr="006E75EE">
        <w:rPr>
          <w:lang w:val="en-US"/>
        </w:rPr>
        <w:fldChar w:fldCharType="separate"/>
      </w:r>
      <w:r w:rsidR="009166B4" w:rsidRPr="006E75EE">
        <w:rPr>
          <w:lang w:val="en-US"/>
        </w:rPr>
        <w:t>86</w:t>
      </w:r>
      <w:r w:rsidR="00E619E3" w:rsidRPr="006E75EE">
        <w:rPr>
          <w:lang w:val="en-US"/>
        </w:rPr>
        <w:fldChar w:fldCharType="end"/>
      </w:r>
      <w:r w:rsidRPr="006E75EE">
        <w:rPr>
          <w:lang w:val="en-US"/>
        </w:rPr>
        <w:t>, and the purpose of the payment. Respondents shall send a notice of this payment to EPA</w:t>
      </w:r>
      <w:bookmarkEnd w:id="177"/>
      <w:bookmarkEnd w:id="178"/>
      <w:r w:rsidRPr="006E75EE">
        <w:rPr>
          <w:lang w:val="en-US"/>
        </w:rPr>
        <w:t>. The payment of stipulated penalties and Interest, if any, does not alter any obligation by Respondents under the Settlement.</w:t>
      </w:r>
    </w:p>
    <w:p w14:paraId="4D193BA1" w14:textId="5DD58869" w:rsidR="00AF0B7E" w:rsidRPr="006E75EE" w:rsidRDefault="00AF0B7E" w:rsidP="00AF0B7E">
      <w:pPr>
        <w:pStyle w:val="LVL1"/>
        <w:rPr>
          <w:lang w:val="en-US"/>
        </w:rPr>
      </w:pPr>
      <w:r w:rsidRPr="006E75EE">
        <w:rPr>
          <w:lang w:val="en-US"/>
        </w:rPr>
        <w:t>Nothing in this Settlement limits the authority of EPA: (a)</w:t>
      </w:r>
      <w:r w:rsidR="0070761F" w:rsidRPr="006E75EE">
        <w:rPr>
          <w:lang w:val="en-US"/>
        </w:rPr>
        <w:t> </w:t>
      </w:r>
      <w:r w:rsidRPr="006E75EE">
        <w:rPr>
          <w:lang w:val="en-US"/>
        </w:rPr>
        <w:t xml:space="preserve">to seek any remedy otherwise provided by law for Respondents’ failure to pay stipulated penalties or interest; or (b) to seek any other remedies or sanctions available by virtue of Respondents’ </w:t>
      </w:r>
      <w:proofErr w:type="spellStart"/>
      <w:r w:rsidRPr="006E75EE">
        <w:rPr>
          <w:lang w:val="en-US"/>
        </w:rPr>
        <w:t>noncompliances</w:t>
      </w:r>
      <w:proofErr w:type="spellEnd"/>
      <w:r w:rsidRPr="006E75EE">
        <w:rPr>
          <w:lang w:val="en-US"/>
        </w:rPr>
        <w:t xml:space="preserve"> with this Settlement or of the statutes and regulations upon which it is based, including penalties under section</w:t>
      </w:r>
      <w:r w:rsidR="0070761F" w:rsidRPr="006E75EE">
        <w:rPr>
          <w:lang w:val="en-US"/>
        </w:rPr>
        <w:t> </w:t>
      </w:r>
      <w:r w:rsidRPr="006E75EE">
        <w:rPr>
          <w:lang w:val="en-US"/>
        </w:rPr>
        <w:t xml:space="preserve">122(l) of CERCLA, </w:t>
      </w:r>
      <w:r w:rsidR="00BF42A0" w:rsidRPr="006E75EE">
        <w:t xml:space="preserve">and punitive damages pursuant to </w:t>
      </w:r>
      <w:r w:rsidR="00202967" w:rsidRPr="006E75EE">
        <w:rPr>
          <w:lang w:val="en-US"/>
        </w:rPr>
        <w:t>section</w:t>
      </w:r>
      <w:r w:rsidR="0070761F" w:rsidRPr="006E75EE">
        <w:rPr>
          <w:lang w:val="en-US"/>
        </w:rPr>
        <w:t> </w:t>
      </w:r>
      <w:r w:rsidR="00BF42A0" w:rsidRPr="006E75EE">
        <w:t xml:space="preserve">107(c)(3) of </w:t>
      </w:r>
      <w:r w:rsidR="00DE4299" w:rsidRPr="006E75EE">
        <w:rPr>
          <w:lang w:val="en-US"/>
        </w:rPr>
        <w:t xml:space="preserve">CERCLA, </w:t>
      </w:r>
      <w:r w:rsidRPr="006E75EE">
        <w:rPr>
          <w:lang w:val="en-US"/>
        </w:rPr>
        <w:t>provided, however, that EPA may not seek civil penalties under section</w:t>
      </w:r>
      <w:r w:rsidR="0070761F" w:rsidRPr="006E75EE">
        <w:rPr>
          <w:lang w:val="en-US"/>
        </w:rPr>
        <w:t> </w:t>
      </w:r>
      <w:r w:rsidRPr="006E75EE">
        <w:rPr>
          <w:lang w:val="en-US"/>
        </w:rPr>
        <w:t xml:space="preserve">122(l) of CERCLA </w:t>
      </w:r>
      <w:r w:rsidR="00BF42A0" w:rsidRPr="006E75EE">
        <w:t xml:space="preserve">or punitive damages pursuant to </w:t>
      </w:r>
      <w:r w:rsidR="00202967" w:rsidRPr="006E75EE">
        <w:rPr>
          <w:lang w:val="en-US"/>
        </w:rPr>
        <w:t>section</w:t>
      </w:r>
      <w:r w:rsidR="0070761F" w:rsidRPr="006E75EE">
        <w:rPr>
          <w:lang w:val="en-US"/>
        </w:rPr>
        <w:t> </w:t>
      </w:r>
      <w:r w:rsidR="00BF42A0" w:rsidRPr="006E75EE">
        <w:t xml:space="preserve">107(c)(3) of CERCLA </w:t>
      </w:r>
      <w:r w:rsidRPr="006E75EE">
        <w:rPr>
          <w:lang w:val="en-US"/>
        </w:rPr>
        <w:t>for any noncompliance for which a stipulated penalty is provided in this Settlement, except in the case of a willful noncompliance with this Settlement.</w:t>
      </w:r>
    </w:p>
    <w:p w14:paraId="58FB2650" w14:textId="1B5CA7AC" w:rsidR="008170B1" w:rsidRPr="006E75EE" w:rsidRDefault="00AF0B7E" w:rsidP="00AF0B7E">
      <w:pPr>
        <w:pStyle w:val="LVL1"/>
      </w:pPr>
      <w:r w:rsidRPr="006E75EE">
        <w:rPr>
          <w:lang w:val="en-US"/>
        </w:rPr>
        <w:t>Notwithstanding any other provision of this Section, EPA may, in its unreviewable discretion, waive any portion of stipulated penalties that have accrued under this Settlement.</w:t>
      </w:r>
    </w:p>
    <w:p w14:paraId="0D4D056C" w14:textId="66E1ECF6" w:rsidR="00D0008A" w:rsidRPr="006E75EE" w:rsidRDefault="00D0008A" w:rsidP="00D0008A">
      <w:pPr>
        <w:pStyle w:val="LVL1"/>
      </w:pPr>
      <w:r w:rsidRPr="006E75EE">
        <w:lastRenderedPageBreak/>
        <w:t xml:space="preserve">No action or decision by EPA pursuant to this Settlement gives rise to any right to judicial review, except as set forth in </w:t>
      </w:r>
      <w:r w:rsidR="00202967" w:rsidRPr="006E75EE">
        <w:rPr>
          <w:lang w:val="en-US"/>
        </w:rPr>
        <w:t>section</w:t>
      </w:r>
      <w:r w:rsidR="0070761F" w:rsidRPr="006E75EE">
        <w:rPr>
          <w:lang w:val="en-US"/>
        </w:rPr>
        <w:t> </w:t>
      </w:r>
      <w:r w:rsidRPr="006E75EE">
        <w:t>113(h) of CERCLA.</w:t>
      </w:r>
    </w:p>
    <w:p w14:paraId="35F9B47D" w14:textId="3E45A5BC" w:rsidR="008170B1" w:rsidRPr="006E75EE" w:rsidRDefault="008170B1" w:rsidP="002B7658">
      <w:pPr>
        <w:pStyle w:val="Heading1"/>
      </w:pPr>
      <w:bookmarkStart w:id="179" w:name="_Ref326225235"/>
      <w:bookmarkStart w:id="180" w:name="_Ref364857586"/>
      <w:bookmarkStart w:id="181" w:name="_Toc80599618"/>
      <w:bookmarkStart w:id="182" w:name="_Toc184899547"/>
      <w:r w:rsidRPr="006E75EE">
        <w:t>COVENANTS BY EPA</w:t>
      </w:r>
      <w:bookmarkEnd w:id="179"/>
      <w:bookmarkEnd w:id="180"/>
      <w:bookmarkEnd w:id="181"/>
      <w:bookmarkEnd w:id="182"/>
    </w:p>
    <w:p w14:paraId="5476EE79" w14:textId="41D64CFB" w:rsidR="001A56C6" w:rsidRPr="006E75EE" w:rsidRDefault="00B960FD" w:rsidP="00E4736C">
      <w:pPr>
        <w:pStyle w:val="LVL1"/>
      </w:pPr>
      <w:bookmarkStart w:id="183" w:name="_Ref76729790"/>
      <w:bookmarkStart w:id="184" w:name="_Ref326218256"/>
      <w:bookmarkStart w:id="185" w:name="_Ref377734357"/>
      <w:r w:rsidRPr="006E75EE">
        <w:rPr>
          <w:b/>
          <w:lang w:val="en-US"/>
        </w:rPr>
        <w:t>Covenants for Respondents</w:t>
      </w:r>
      <w:r w:rsidRPr="006E75EE">
        <w:rPr>
          <w:lang w:val="en-US"/>
        </w:rPr>
        <w:t xml:space="preserve">. </w:t>
      </w:r>
      <w:r w:rsidR="002D1294" w:rsidRPr="006E75EE">
        <w:rPr>
          <w:lang w:val="en-US"/>
        </w:rPr>
        <w:t>Subject to</w:t>
      </w:r>
      <w:r w:rsidR="008170B1" w:rsidRPr="006E75EE">
        <w:t xml:space="preserve"> </w:t>
      </w:r>
      <w:r w:rsidR="00E16823" w:rsidRPr="006E75EE">
        <w:rPr>
          <w:lang w:val="en-US"/>
        </w:rPr>
        <w:t>¶</w:t>
      </w:r>
      <w:r w:rsidR="0070761F" w:rsidRPr="006E75EE">
        <w:rPr>
          <w:lang w:val="en-US"/>
        </w:rPr>
        <w:t> </w:t>
      </w:r>
      <w:r w:rsidR="0012461D" w:rsidRPr="006E75EE">
        <w:rPr>
          <w:lang w:val="en-US"/>
        </w:rPr>
        <w:fldChar w:fldCharType="begin"/>
      </w:r>
      <w:r w:rsidR="0012461D" w:rsidRPr="006E75EE">
        <w:rPr>
          <w:lang w:val="en-US"/>
        </w:rPr>
        <w:instrText xml:space="preserve"> REF _Ref76729850 \r \h </w:instrText>
      </w:r>
      <w:r w:rsidR="006E75EE">
        <w:rPr>
          <w:lang w:val="en-US"/>
        </w:rPr>
        <w:instrText xml:space="preserve"> \* MERGEFORMAT </w:instrText>
      </w:r>
      <w:r w:rsidR="0012461D" w:rsidRPr="006E75EE">
        <w:rPr>
          <w:lang w:val="en-US"/>
        </w:rPr>
      </w:r>
      <w:r w:rsidR="0012461D" w:rsidRPr="006E75EE">
        <w:rPr>
          <w:lang w:val="en-US"/>
        </w:rPr>
        <w:fldChar w:fldCharType="separate"/>
      </w:r>
      <w:r w:rsidR="009166B4" w:rsidRPr="006E75EE">
        <w:rPr>
          <w:lang w:val="en-US"/>
        </w:rPr>
        <w:t>65</w:t>
      </w:r>
      <w:r w:rsidR="0012461D" w:rsidRPr="006E75EE">
        <w:rPr>
          <w:lang w:val="en-US"/>
        </w:rPr>
        <w:fldChar w:fldCharType="end"/>
      </w:r>
      <w:r w:rsidR="008170B1" w:rsidRPr="006E75EE">
        <w:t xml:space="preserve">, EPA covenants not to sue or to take administrative action against Respondents </w:t>
      </w:r>
      <w:r w:rsidR="001A56C6" w:rsidRPr="006E75EE">
        <w:rPr>
          <w:lang w:val="en-US"/>
        </w:rPr>
        <w:t>under</w:t>
      </w:r>
      <w:r w:rsidR="003A3DC2" w:rsidRPr="006E75EE">
        <w:rPr>
          <w:lang w:val="en-US"/>
        </w:rPr>
        <w:t xml:space="preserve"> sections</w:t>
      </w:r>
      <w:r w:rsidR="0070761F" w:rsidRPr="006E75EE">
        <w:rPr>
          <w:lang w:val="en-US"/>
        </w:rPr>
        <w:t> </w:t>
      </w:r>
      <w:r w:rsidR="001A56C6" w:rsidRPr="006E75EE">
        <w:t xml:space="preserve">106 and 107(a) of CERCLA </w:t>
      </w:r>
      <w:r w:rsidR="001A56C6" w:rsidRPr="006E75EE">
        <w:rPr>
          <w:lang w:val="en-US"/>
        </w:rPr>
        <w:t xml:space="preserve">regarding </w:t>
      </w:r>
      <w:r w:rsidR="008170B1" w:rsidRPr="006E75EE">
        <w:t>the Work</w:t>
      </w:r>
      <w:r w:rsidR="00E9320C" w:rsidRPr="006E75EE">
        <w:rPr>
          <w:lang w:val="en-US"/>
        </w:rPr>
        <w:t xml:space="preserve"> [</w:t>
      </w:r>
      <w:r w:rsidR="00872FA9" w:rsidRPr="006E75EE">
        <w:rPr>
          <w:b/>
          <w:lang w:val="en-US"/>
        </w:rPr>
        <w:t xml:space="preserve">, </w:t>
      </w:r>
      <w:r w:rsidR="008170B1" w:rsidRPr="006E75EE">
        <w:t>Past Response Costs,</w:t>
      </w:r>
      <w:r w:rsidR="00E9320C" w:rsidRPr="006E75EE">
        <w:rPr>
          <w:lang w:val="en-US"/>
        </w:rPr>
        <w:t>]</w:t>
      </w:r>
      <w:r w:rsidR="008170B1" w:rsidRPr="006E75EE">
        <w:t xml:space="preserve"> and Future Response Costs.</w:t>
      </w:r>
      <w:bookmarkEnd w:id="183"/>
      <w:r w:rsidR="00690C7E" w:rsidRPr="006E75EE">
        <w:t xml:space="preserve"> </w:t>
      </w:r>
    </w:p>
    <w:p w14:paraId="1439AECC" w14:textId="55541E09" w:rsidR="006805EF" w:rsidRPr="006E75EE" w:rsidRDefault="00EB420A" w:rsidP="00E4736C">
      <w:pPr>
        <w:pStyle w:val="LVL1"/>
      </w:pPr>
      <w:bookmarkStart w:id="186" w:name="_Ref92118981"/>
      <w:bookmarkStart w:id="187" w:name="_Ref92188142"/>
      <w:r w:rsidRPr="006E75EE">
        <w:rPr>
          <w:bCs/>
        </w:rPr>
        <w:t>[</w:t>
      </w:r>
      <w:r w:rsidR="006805EF" w:rsidRPr="006E75EE">
        <w:rPr>
          <w:b/>
        </w:rPr>
        <w:t xml:space="preserve">Covenants for </w:t>
      </w:r>
      <w:r w:rsidR="00BA2A83" w:rsidRPr="006E75EE">
        <w:rPr>
          <w:b/>
        </w:rPr>
        <w:t>Settling Federal Agencies</w:t>
      </w:r>
      <w:r w:rsidR="006805EF" w:rsidRPr="006E75EE">
        <w:rPr>
          <w:b/>
        </w:rPr>
        <w:t xml:space="preserve"> by EPA.</w:t>
      </w:r>
      <w:r w:rsidR="006805EF" w:rsidRPr="006E75EE">
        <w:t xml:space="preserve"> </w:t>
      </w:r>
      <w:r w:rsidR="0012461D" w:rsidRPr="006E75EE">
        <w:rPr>
          <w:lang w:val="en-US"/>
        </w:rPr>
        <w:t>Subject to</w:t>
      </w:r>
      <w:r w:rsidR="006805EF" w:rsidRPr="006E75EE">
        <w:t xml:space="preserve"> ¶</w:t>
      </w:r>
      <w:r w:rsidR="0070761F" w:rsidRPr="006E75EE">
        <w:rPr>
          <w:lang w:val="en-US"/>
        </w:rPr>
        <w:t> </w:t>
      </w:r>
      <w:r w:rsidR="006805EF" w:rsidRPr="006E75EE">
        <w:rPr>
          <w:lang w:val="en-US"/>
        </w:rPr>
        <w:fldChar w:fldCharType="begin"/>
      </w:r>
      <w:r w:rsidR="006805EF" w:rsidRPr="006E75EE">
        <w:rPr>
          <w:lang w:val="en-US"/>
        </w:rPr>
        <w:instrText xml:space="preserve"> REF _Ref92118671 \r \h </w:instrText>
      </w:r>
      <w:r w:rsidR="006E75EE">
        <w:rPr>
          <w:lang w:val="en-US"/>
        </w:rPr>
        <w:instrText xml:space="preserve"> \* MERGEFORMAT </w:instrText>
      </w:r>
      <w:r w:rsidR="006805EF" w:rsidRPr="006E75EE">
        <w:rPr>
          <w:lang w:val="en-US"/>
        </w:rPr>
      </w:r>
      <w:r w:rsidR="006805EF" w:rsidRPr="006E75EE">
        <w:rPr>
          <w:lang w:val="en-US"/>
        </w:rPr>
        <w:fldChar w:fldCharType="separate"/>
      </w:r>
      <w:r w:rsidR="009166B4" w:rsidRPr="006E75EE">
        <w:rPr>
          <w:lang w:val="en-US"/>
        </w:rPr>
        <w:t>65</w:t>
      </w:r>
      <w:r w:rsidR="006805EF" w:rsidRPr="006E75EE">
        <w:rPr>
          <w:lang w:val="en-US"/>
        </w:rPr>
        <w:fldChar w:fldCharType="end"/>
      </w:r>
      <w:r w:rsidR="006805EF" w:rsidRPr="006E75EE">
        <w:t xml:space="preserve">, EPA covenants not to take administrative action against </w:t>
      </w:r>
      <w:r w:rsidR="00BA2A83" w:rsidRPr="006E75EE">
        <w:t>Settling Federal Agencies</w:t>
      </w:r>
      <w:r w:rsidR="006805EF" w:rsidRPr="006E75EE">
        <w:t xml:space="preserve"> pursuant to </w:t>
      </w:r>
      <w:r w:rsidR="008B3A3C" w:rsidRPr="006E75EE">
        <w:t>sections</w:t>
      </w:r>
      <w:r w:rsidR="00DE4299" w:rsidRPr="006E75EE">
        <w:rPr>
          <w:lang w:val="en-US"/>
        </w:rPr>
        <w:t> </w:t>
      </w:r>
      <w:r w:rsidR="006805EF" w:rsidRPr="006E75EE">
        <w:t>106 and 107(a) of CERCLA for the Work [, Past Response Costs,] and Future Response Costs.</w:t>
      </w:r>
      <w:r w:rsidR="006805EF" w:rsidRPr="006E75EE">
        <w:rPr>
          <w:lang w:val="en-US"/>
        </w:rPr>
        <w:t>]</w:t>
      </w:r>
      <w:bookmarkEnd w:id="186"/>
      <w:bookmarkEnd w:id="187"/>
      <w:r w:rsidR="00F22B3E" w:rsidRPr="006E75EE">
        <w:rPr>
          <w:rStyle w:val="FootnoteReference"/>
          <w:color w:val="auto"/>
          <w:lang w:val="en-US"/>
        </w:rPr>
        <w:footnoteReference w:id="32"/>
      </w:r>
    </w:p>
    <w:p w14:paraId="478DE8B1" w14:textId="08CBB884" w:rsidR="008170B1" w:rsidRPr="006E75EE" w:rsidRDefault="00B960FD" w:rsidP="00E4736C">
      <w:pPr>
        <w:pStyle w:val="LVL1"/>
      </w:pPr>
      <w:r w:rsidRPr="006E75EE">
        <w:t>The</w:t>
      </w:r>
      <w:r w:rsidR="008170B1" w:rsidRPr="006E75EE">
        <w:t xml:space="preserve"> covenants</w:t>
      </w:r>
      <w:r w:rsidR="001A56C6" w:rsidRPr="006E75EE">
        <w:rPr>
          <w:lang w:val="en-US"/>
        </w:rPr>
        <w:t xml:space="preserve"> under ¶</w:t>
      </w:r>
      <w:r w:rsidR="0070761F" w:rsidRPr="006E75EE">
        <w:rPr>
          <w:lang w:val="en-US"/>
        </w:rPr>
        <w:t> </w:t>
      </w:r>
      <w:r w:rsidR="0012461D" w:rsidRPr="006E75EE">
        <w:rPr>
          <w:lang w:val="en-US"/>
        </w:rPr>
        <w:fldChar w:fldCharType="begin"/>
      </w:r>
      <w:r w:rsidR="0012461D" w:rsidRPr="006E75EE">
        <w:rPr>
          <w:lang w:val="en-US"/>
        </w:rPr>
        <w:instrText xml:space="preserve"> REF _Ref76729790 \r \h </w:instrText>
      </w:r>
      <w:r w:rsidR="006E75EE">
        <w:rPr>
          <w:lang w:val="en-US"/>
        </w:rPr>
        <w:instrText xml:space="preserve"> \* MERGEFORMAT </w:instrText>
      </w:r>
      <w:r w:rsidR="0012461D" w:rsidRPr="006E75EE">
        <w:rPr>
          <w:lang w:val="en-US"/>
        </w:rPr>
      </w:r>
      <w:r w:rsidR="0012461D" w:rsidRPr="006E75EE">
        <w:rPr>
          <w:lang w:val="en-US"/>
        </w:rPr>
        <w:fldChar w:fldCharType="separate"/>
      </w:r>
      <w:r w:rsidR="009166B4" w:rsidRPr="006E75EE">
        <w:rPr>
          <w:lang w:val="en-US"/>
        </w:rPr>
        <w:t>62</w:t>
      </w:r>
      <w:r w:rsidR="0012461D" w:rsidRPr="006E75EE">
        <w:rPr>
          <w:lang w:val="en-US"/>
        </w:rPr>
        <w:fldChar w:fldCharType="end"/>
      </w:r>
      <w:r w:rsidR="008170B1" w:rsidRPr="006E75EE">
        <w:t xml:space="preserve"> </w:t>
      </w:r>
      <w:r w:rsidR="006805EF" w:rsidRPr="006E75EE">
        <w:rPr>
          <w:lang w:val="en-US"/>
        </w:rPr>
        <w:t>and ¶</w:t>
      </w:r>
      <w:r w:rsidR="0070761F" w:rsidRPr="006E75EE">
        <w:rPr>
          <w:lang w:val="en-US"/>
        </w:rPr>
        <w:t> </w:t>
      </w:r>
      <w:r w:rsidR="006805EF" w:rsidRPr="006E75EE">
        <w:rPr>
          <w:lang w:val="en-US"/>
        </w:rPr>
        <w:fldChar w:fldCharType="begin"/>
      </w:r>
      <w:r w:rsidR="006805EF" w:rsidRPr="006E75EE">
        <w:rPr>
          <w:lang w:val="en-US"/>
        </w:rPr>
        <w:instrText xml:space="preserve"> REF _Ref92118981 \r \h </w:instrText>
      </w:r>
      <w:r w:rsidR="006E75EE">
        <w:rPr>
          <w:lang w:val="en-US"/>
        </w:rPr>
        <w:instrText xml:space="preserve"> \* MERGEFORMAT </w:instrText>
      </w:r>
      <w:r w:rsidR="006805EF" w:rsidRPr="006E75EE">
        <w:rPr>
          <w:lang w:val="en-US"/>
        </w:rPr>
      </w:r>
      <w:r w:rsidR="006805EF" w:rsidRPr="006E75EE">
        <w:rPr>
          <w:lang w:val="en-US"/>
        </w:rPr>
        <w:fldChar w:fldCharType="separate"/>
      </w:r>
      <w:r w:rsidR="009166B4" w:rsidRPr="006E75EE">
        <w:rPr>
          <w:lang w:val="en-US"/>
        </w:rPr>
        <w:t>63</w:t>
      </w:r>
      <w:r w:rsidR="006805EF" w:rsidRPr="006E75EE">
        <w:rPr>
          <w:lang w:val="en-US"/>
        </w:rPr>
        <w:fldChar w:fldCharType="end"/>
      </w:r>
      <w:r w:rsidR="00DE4299" w:rsidRPr="006E75EE">
        <w:rPr>
          <w:lang w:val="en-US"/>
        </w:rPr>
        <w:t>:</w:t>
      </w:r>
      <w:r w:rsidR="006805EF" w:rsidRPr="006E75EE">
        <w:rPr>
          <w:lang w:val="en-US"/>
        </w:rPr>
        <w:t xml:space="preserve"> </w:t>
      </w:r>
      <w:r w:rsidR="00DE4299" w:rsidRPr="006E75EE">
        <w:rPr>
          <w:lang w:val="en-US"/>
        </w:rPr>
        <w:t>(a) </w:t>
      </w:r>
      <w:r w:rsidR="008170B1" w:rsidRPr="006E75EE">
        <w:t xml:space="preserve">take effect upon </w:t>
      </w:r>
      <w:r w:rsidR="00B73DC3" w:rsidRPr="006E75EE">
        <w:rPr>
          <w:lang w:val="en-US"/>
        </w:rPr>
        <w:t>the Effective Date</w:t>
      </w:r>
      <w:r w:rsidR="002E7031" w:rsidRPr="006E75EE">
        <w:rPr>
          <w:lang w:val="en-US"/>
        </w:rPr>
        <w:t>; (b)</w:t>
      </w:r>
      <w:r w:rsidR="00DE4299" w:rsidRPr="006E75EE">
        <w:rPr>
          <w:lang w:val="en-US"/>
        </w:rPr>
        <w:t> </w:t>
      </w:r>
      <w:r w:rsidRPr="006E75EE">
        <w:t xml:space="preserve">are conditioned </w:t>
      </w:r>
      <w:r w:rsidR="008170B1" w:rsidRPr="006E75EE">
        <w:t xml:space="preserve">on the </w:t>
      </w:r>
      <w:r w:rsidR="00BF42A0" w:rsidRPr="006E75EE">
        <w:t xml:space="preserve">complete and </w:t>
      </w:r>
      <w:r w:rsidR="008170B1" w:rsidRPr="006E75EE">
        <w:t xml:space="preserve">satisfactory performance by Respondents </w:t>
      </w:r>
      <w:r w:rsidR="00EB420A" w:rsidRPr="006E75EE">
        <w:t>[</w:t>
      </w:r>
      <w:r w:rsidR="006805EF" w:rsidRPr="006E75EE">
        <w:rPr>
          <w:lang w:val="en-US"/>
        </w:rPr>
        <w:t xml:space="preserve">and </w:t>
      </w:r>
      <w:r w:rsidR="00BA2A83" w:rsidRPr="006E75EE">
        <w:rPr>
          <w:lang w:val="en-US"/>
        </w:rPr>
        <w:t>Settling Federal Agencies</w:t>
      </w:r>
      <w:r w:rsidR="00EB420A" w:rsidRPr="006E75EE">
        <w:rPr>
          <w:lang w:val="en-US"/>
        </w:rPr>
        <w:t>]</w:t>
      </w:r>
      <w:r w:rsidR="006805EF" w:rsidRPr="006E75EE">
        <w:rPr>
          <w:lang w:val="en-US"/>
        </w:rPr>
        <w:t xml:space="preserve"> </w:t>
      </w:r>
      <w:r w:rsidR="008170B1" w:rsidRPr="006E75EE">
        <w:t xml:space="preserve">of </w:t>
      </w:r>
      <w:r w:rsidRPr="006E75EE">
        <w:rPr>
          <w:lang w:val="en-US"/>
        </w:rPr>
        <w:t xml:space="preserve">the requirements of </w:t>
      </w:r>
      <w:r w:rsidR="008170B1" w:rsidRPr="006E75EE">
        <w:t xml:space="preserve">this </w:t>
      </w:r>
      <w:r w:rsidR="00FB28BD" w:rsidRPr="006E75EE">
        <w:t>Settlement</w:t>
      </w:r>
      <w:r w:rsidR="002E7031" w:rsidRPr="006E75EE">
        <w:rPr>
          <w:lang w:val="en-US"/>
        </w:rPr>
        <w:t>; (c)</w:t>
      </w:r>
      <w:r w:rsidR="0070761F" w:rsidRPr="006E75EE">
        <w:rPr>
          <w:lang w:val="en-US"/>
        </w:rPr>
        <w:t> </w:t>
      </w:r>
      <w:r w:rsidR="002E7031" w:rsidRPr="006E75EE">
        <w:rPr>
          <w:szCs w:val="24"/>
        </w:rPr>
        <w:t xml:space="preserve">extend to the successors of each </w:t>
      </w:r>
      <w:r w:rsidR="002E7031" w:rsidRPr="006E75EE">
        <w:rPr>
          <w:szCs w:val="24"/>
          <w:lang w:val="en-US"/>
        </w:rPr>
        <w:t>Respondent</w:t>
      </w:r>
      <w:r w:rsidR="002E7031" w:rsidRPr="006E75EE">
        <w:rPr>
          <w:szCs w:val="24"/>
        </w:rPr>
        <w:t xml:space="preserve"> but only to the extent that the alleged liability of the successor of the </w:t>
      </w:r>
      <w:r w:rsidR="002E7031" w:rsidRPr="006E75EE">
        <w:rPr>
          <w:szCs w:val="24"/>
          <w:lang w:val="en-US"/>
        </w:rPr>
        <w:t>Respondent</w:t>
      </w:r>
      <w:r w:rsidR="002E7031" w:rsidRPr="006E75EE">
        <w:rPr>
          <w:szCs w:val="24"/>
        </w:rPr>
        <w:t xml:space="preserve"> is based solely on its status as a successor of the </w:t>
      </w:r>
      <w:r w:rsidR="00C561FB" w:rsidRPr="006E75EE">
        <w:rPr>
          <w:szCs w:val="24"/>
          <w:lang w:val="en-US"/>
        </w:rPr>
        <w:t>Respondent</w:t>
      </w:r>
      <w:r w:rsidR="002E7031" w:rsidRPr="006E75EE">
        <w:rPr>
          <w:szCs w:val="24"/>
        </w:rPr>
        <w:t>;</w:t>
      </w:r>
      <w:r w:rsidR="002E7031" w:rsidRPr="006E75EE">
        <w:rPr>
          <w:szCs w:val="24"/>
          <w:lang w:val="en-US"/>
        </w:rPr>
        <w:t xml:space="preserve"> and (d)</w:t>
      </w:r>
      <w:r w:rsidR="0070761F" w:rsidRPr="006E75EE">
        <w:rPr>
          <w:lang w:val="en-US"/>
        </w:rPr>
        <w:t> </w:t>
      </w:r>
      <w:r w:rsidR="008170B1" w:rsidRPr="006E75EE">
        <w:t>do not extend to any other person.</w:t>
      </w:r>
      <w:bookmarkEnd w:id="184"/>
      <w:bookmarkEnd w:id="185"/>
    </w:p>
    <w:p w14:paraId="3D8BDD0A" w14:textId="68A5C29C" w:rsidR="008170B1" w:rsidRPr="006E75EE" w:rsidRDefault="00B960FD" w:rsidP="00E4736C">
      <w:pPr>
        <w:pStyle w:val="LVL1"/>
      </w:pPr>
      <w:bookmarkStart w:id="188" w:name="_Ref76729850"/>
      <w:bookmarkStart w:id="189" w:name="_Ref92118671"/>
      <w:r w:rsidRPr="006E75EE">
        <w:rPr>
          <w:b/>
          <w:lang w:val="en-US"/>
        </w:rPr>
        <w:t>General Reservations</w:t>
      </w:r>
      <w:r w:rsidRPr="006E75EE">
        <w:rPr>
          <w:lang w:val="en-US"/>
        </w:rPr>
        <w:t xml:space="preserve">. </w:t>
      </w:r>
      <w:r w:rsidR="00D96537" w:rsidRPr="006E75EE">
        <w:rPr>
          <w:lang w:val="en-US"/>
        </w:rPr>
        <w:t xml:space="preserve">Notwithstanding any other provisions of this Settlement, </w:t>
      </w:r>
      <w:r w:rsidR="008170B1" w:rsidRPr="006E75EE">
        <w:t xml:space="preserve">EPA reserves, and this </w:t>
      </w:r>
      <w:r w:rsidR="00FB28BD" w:rsidRPr="006E75EE">
        <w:t>Settlement</w:t>
      </w:r>
      <w:r w:rsidR="008170B1" w:rsidRPr="006E75EE">
        <w:t xml:space="preserve"> is without prejudice to, all rights against Respondents </w:t>
      </w:r>
      <w:r w:rsidR="00534585" w:rsidRPr="006E75EE">
        <w:t>[</w:t>
      </w:r>
      <w:r w:rsidR="008B3A3C" w:rsidRPr="006E75EE">
        <w:rPr>
          <w:lang w:val="en-US"/>
        </w:rPr>
        <w:t>and</w:t>
      </w:r>
      <w:r w:rsidR="008B3A3C" w:rsidRPr="006E75EE">
        <w:t xml:space="preserve"> </w:t>
      </w:r>
      <w:r w:rsidR="00BA2A83" w:rsidRPr="006E75EE">
        <w:t>Settling Federal Agencies</w:t>
      </w:r>
      <w:r w:rsidR="00534585" w:rsidRPr="006E75EE">
        <w:t>]</w:t>
      </w:r>
      <w:r w:rsidR="008B3A3C" w:rsidRPr="006E75EE">
        <w:t xml:space="preserve"> </w:t>
      </w:r>
      <w:r w:rsidRPr="006E75EE">
        <w:rPr>
          <w:lang w:val="en-US"/>
        </w:rPr>
        <w:t>regarding the following</w:t>
      </w:r>
      <w:r w:rsidR="008170B1" w:rsidRPr="006E75EE">
        <w:t>:</w:t>
      </w:r>
      <w:bookmarkEnd w:id="188"/>
      <w:bookmarkEnd w:id="189"/>
    </w:p>
    <w:p w14:paraId="39AB9F67" w14:textId="2629F35E" w:rsidR="008170B1" w:rsidRPr="006E75EE" w:rsidRDefault="008170B1" w:rsidP="00326D1E">
      <w:pPr>
        <w:pStyle w:val="LVL2"/>
        <w:rPr>
          <w:color w:val="auto"/>
        </w:rPr>
      </w:pPr>
      <w:bookmarkStart w:id="190" w:name="_Ref326219296"/>
      <w:bookmarkStart w:id="191" w:name="_Ref377734500"/>
      <w:r w:rsidRPr="006E75EE">
        <w:rPr>
          <w:iCs w:val="0"/>
          <w:color w:val="auto"/>
        </w:rPr>
        <w:t xml:space="preserve">liability for failure by Respondents </w:t>
      </w:r>
      <w:r w:rsidR="00534585" w:rsidRPr="006E75EE">
        <w:rPr>
          <w:iCs w:val="0"/>
          <w:color w:val="auto"/>
        </w:rPr>
        <w:t>[</w:t>
      </w:r>
      <w:r w:rsidR="008B3A3C" w:rsidRPr="006E75EE">
        <w:rPr>
          <w:color w:val="auto"/>
        </w:rPr>
        <w:t xml:space="preserve">or </w:t>
      </w:r>
      <w:r w:rsidR="00BA2A83" w:rsidRPr="006E75EE">
        <w:rPr>
          <w:color w:val="auto"/>
        </w:rPr>
        <w:t>Settling Federal Agencies</w:t>
      </w:r>
      <w:r w:rsidR="00534585" w:rsidRPr="006E75EE">
        <w:rPr>
          <w:color w:val="auto"/>
        </w:rPr>
        <w:t>]</w:t>
      </w:r>
      <w:r w:rsidR="008B3A3C" w:rsidRPr="006E75EE">
        <w:rPr>
          <w:color w:val="auto"/>
        </w:rPr>
        <w:t xml:space="preserve"> </w:t>
      </w:r>
      <w:r w:rsidRPr="006E75EE">
        <w:rPr>
          <w:iCs w:val="0"/>
          <w:color w:val="auto"/>
        </w:rPr>
        <w:t xml:space="preserve">to meet a requirement of this </w:t>
      </w:r>
      <w:r w:rsidR="00FB28BD" w:rsidRPr="006E75EE">
        <w:rPr>
          <w:iCs w:val="0"/>
          <w:color w:val="auto"/>
        </w:rPr>
        <w:t>Settlement</w:t>
      </w:r>
      <w:r w:rsidRPr="006E75EE">
        <w:rPr>
          <w:iCs w:val="0"/>
          <w:color w:val="auto"/>
        </w:rPr>
        <w:t>;</w:t>
      </w:r>
      <w:bookmarkEnd w:id="190"/>
      <w:bookmarkEnd w:id="191"/>
    </w:p>
    <w:p w14:paraId="408A7D5C" w14:textId="77777777" w:rsidR="008170B1" w:rsidRPr="006E75EE" w:rsidRDefault="008170B1" w:rsidP="002A350E">
      <w:pPr>
        <w:pStyle w:val="LVL2"/>
        <w:rPr>
          <w:color w:val="auto"/>
        </w:rPr>
      </w:pPr>
      <w:r w:rsidRPr="006E75EE">
        <w:rPr>
          <w:color w:val="auto"/>
        </w:rPr>
        <w:t xml:space="preserve">liability for performance of response action other than the Work; </w:t>
      </w:r>
    </w:p>
    <w:p w14:paraId="60226FBA" w14:textId="30939396" w:rsidR="008170B1" w:rsidRPr="006E75EE" w:rsidRDefault="008170B1" w:rsidP="00326D1E">
      <w:pPr>
        <w:pStyle w:val="LVL2"/>
        <w:rPr>
          <w:color w:val="auto"/>
        </w:rPr>
      </w:pPr>
      <w:bookmarkStart w:id="192" w:name="_Ref92188269"/>
      <w:r w:rsidRPr="006E75EE">
        <w:rPr>
          <w:color w:val="auto"/>
        </w:rPr>
        <w:t>liability arising from the past, present, or future disposal, release or threat of release of Waste Materials outside of the Site;</w:t>
      </w:r>
      <w:bookmarkEnd w:id="192"/>
      <w:r w:rsidRPr="006E75EE">
        <w:rPr>
          <w:color w:val="auto"/>
        </w:rPr>
        <w:t xml:space="preserve"> </w:t>
      </w:r>
    </w:p>
    <w:p w14:paraId="05C82112" w14:textId="5BF6660C" w:rsidR="001C0548" w:rsidRPr="006E75EE" w:rsidRDefault="00532C0E" w:rsidP="00CC3341">
      <w:pPr>
        <w:pStyle w:val="LVL2"/>
        <w:rPr>
          <w:color w:val="auto"/>
          <w:lang w:val="en-US"/>
        </w:rPr>
      </w:pPr>
      <w:bookmarkStart w:id="193" w:name="_Ref79423034"/>
      <w:bookmarkStart w:id="194" w:name="_Ref76738610"/>
      <w:r w:rsidRPr="006E75EE">
        <w:rPr>
          <w:color w:val="auto"/>
          <w:lang w:val="en-US"/>
        </w:rPr>
        <w:t>[</w:t>
      </w:r>
      <w:r w:rsidRPr="006E75EE">
        <w:rPr>
          <w:b/>
          <w:bCs/>
          <w:color w:val="auto"/>
          <w:lang w:val="en-US"/>
        </w:rPr>
        <w:t>if needed:</w:t>
      </w:r>
      <w:r w:rsidRPr="006E75EE">
        <w:rPr>
          <w:color w:val="auto"/>
          <w:lang w:val="en-US"/>
        </w:rPr>
        <w:t xml:space="preserve"> </w:t>
      </w:r>
      <w:r w:rsidR="008170B1" w:rsidRPr="006E75EE">
        <w:rPr>
          <w:color w:val="auto"/>
        </w:rPr>
        <w:t xml:space="preserve">liability for costs incurred or to be incurred by the Agency for Toxic Substances and Disease Registry </w:t>
      </w:r>
      <w:r w:rsidR="00B478AE" w:rsidRPr="006E75EE">
        <w:rPr>
          <w:color w:val="auto"/>
          <w:lang w:val="en-US"/>
        </w:rPr>
        <w:t>regarding</w:t>
      </w:r>
      <w:r w:rsidR="008170B1" w:rsidRPr="006E75EE">
        <w:rPr>
          <w:color w:val="auto"/>
        </w:rPr>
        <w:t xml:space="preserve"> the Site</w:t>
      </w:r>
      <w:bookmarkStart w:id="195" w:name="_Ref404327109"/>
      <w:bookmarkStart w:id="196" w:name="_Ref403996886"/>
      <w:bookmarkStart w:id="197" w:name="_Ref326154334"/>
      <w:r w:rsidR="00740A4E" w:rsidRPr="006E75EE">
        <w:rPr>
          <w:color w:val="auto"/>
          <w:lang w:val="en-US"/>
        </w:rPr>
        <w:t>;</w:t>
      </w:r>
      <w:bookmarkEnd w:id="193"/>
      <w:r w:rsidR="00E44FCE" w:rsidRPr="006E75EE">
        <w:rPr>
          <w:color w:val="auto"/>
          <w:lang w:val="en-US"/>
        </w:rPr>
        <w:t>]</w:t>
      </w:r>
      <w:r w:rsidR="00740A4E" w:rsidRPr="006E75EE">
        <w:rPr>
          <w:color w:val="auto"/>
          <w:lang w:val="en-US"/>
        </w:rPr>
        <w:t xml:space="preserve"> </w:t>
      </w:r>
    </w:p>
    <w:p w14:paraId="4F3995D7" w14:textId="478A2C7E" w:rsidR="00CC3341" w:rsidRPr="006E75EE" w:rsidRDefault="001C0548" w:rsidP="001C0548">
      <w:pPr>
        <w:pStyle w:val="LVL2"/>
        <w:rPr>
          <w:color w:val="auto"/>
        </w:rPr>
      </w:pPr>
      <w:bookmarkStart w:id="198" w:name="_Ref92188718"/>
      <w:r w:rsidRPr="006E75EE">
        <w:rPr>
          <w:color w:val="auto"/>
        </w:rPr>
        <w:t xml:space="preserve">liability for damages for injury to, destruction of, or loss of natural resources, and for the costs of any natural resource damage assessments; </w:t>
      </w:r>
      <w:r w:rsidR="00740A4E" w:rsidRPr="006E75EE">
        <w:rPr>
          <w:color w:val="auto"/>
          <w:lang w:val="en-US"/>
        </w:rPr>
        <w:t>and</w:t>
      </w:r>
      <w:bookmarkEnd w:id="194"/>
      <w:bookmarkEnd w:id="198"/>
    </w:p>
    <w:p w14:paraId="044A6B15" w14:textId="5D3FC0E8" w:rsidR="00740A4E" w:rsidRPr="006E75EE" w:rsidRDefault="00740A4E" w:rsidP="00740A4E">
      <w:pPr>
        <w:pStyle w:val="LVL2"/>
        <w:rPr>
          <w:color w:val="auto"/>
        </w:rPr>
      </w:pPr>
      <w:bookmarkStart w:id="199" w:name="_Ref326219302"/>
      <w:r w:rsidRPr="006E75EE">
        <w:rPr>
          <w:color w:val="auto"/>
        </w:rPr>
        <w:t>criminal liability</w:t>
      </w:r>
      <w:bookmarkEnd w:id="199"/>
      <w:r w:rsidRPr="006E75EE">
        <w:rPr>
          <w:color w:val="auto"/>
        </w:rPr>
        <w:t>.</w:t>
      </w:r>
    </w:p>
    <w:p w14:paraId="68E629EF" w14:textId="5FBAEBD6" w:rsidR="00E16823" w:rsidRPr="006E75EE" w:rsidRDefault="00E16823" w:rsidP="006D3E81">
      <w:pPr>
        <w:pStyle w:val="LVL1"/>
      </w:pPr>
      <w:bookmarkStart w:id="200" w:name="_Ref76826245"/>
      <w:r w:rsidRPr="006E75EE">
        <w:rPr>
          <w:lang w:val="en-US"/>
        </w:rPr>
        <w:t>Subject to ¶ </w:t>
      </w:r>
      <w:r w:rsidR="006A0393" w:rsidRPr="006E75EE">
        <w:rPr>
          <w:lang w:val="en-US"/>
        </w:rPr>
        <w:fldChar w:fldCharType="begin"/>
      </w:r>
      <w:r w:rsidR="006A0393" w:rsidRPr="006E75EE">
        <w:rPr>
          <w:lang w:val="en-US"/>
        </w:rPr>
        <w:instrText xml:space="preserve"> REF _Ref76729790 \r \h </w:instrText>
      </w:r>
      <w:r w:rsidR="006E75EE">
        <w:rPr>
          <w:lang w:val="en-US"/>
        </w:rPr>
        <w:instrText xml:space="preserve"> \* MERGEFORMAT </w:instrText>
      </w:r>
      <w:r w:rsidR="006A0393" w:rsidRPr="006E75EE">
        <w:rPr>
          <w:lang w:val="en-US"/>
        </w:rPr>
      </w:r>
      <w:r w:rsidR="006A0393" w:rsidRPr="006E75EE">
        <w:rPr>
          <w:lang w:val="en-US"/>
        </w:rPr>
        <w:fldChar w:fldCharType="separate"/>
      </w:r>
      <w:r w:rsidR="009166B4" w:rsidRPr="006E75EE">
        <w:rPr>
          <w:lang w:val="en-US"/>
        </w:rPr>
        <w:t>62</w:t>
      </w:r>
      <w:r w:rsidR="006A0393" w:rsidRPr="006E75EE">
        <w:rPr>
          <w:lang w:val="en-US"/>
        </w:rPr>
        <w:fldChar w:fldCharType="end"/>
      </w:r>
      <w:r w:rsidR="006A0393" w:rsidRPr="006E75EE">
        <w:rPr>
          <w:lang w:val="en-US"/>
        </w:rPr>
        <w:t xml:space="preserve"> and ¶</w:t>
      </w:r>
      <w:r w:rsidR="00276366" w:rsidRPr="006E75EE">
        <w:rPr>
          <w:lang w:val="en-US"/>
        </w:rPr>
        <w:t> </w:t>
      </w:r>
      <w:r w:rsidR="006A0393" w:rsidRPr="006E75EE">
        <w:rPr>
          <w:lang w:val="en-US"/>
        </w:rPr>
        <w:fldChar w:fldCharType="begin"/>
      </w:r>
      <w:r w:rsidR="006A0393" w:rsidRPr="006E75EE">
        <w:rPr>
          <w:lang w:val="en-US"/>
        </w:rPr>
        <w:instrText xml:space="preserve"> REF _Ref92188142 \r \h </w:instrText>
      </w:r>
      <w:r w:rsidR="006E75EE">
        <w:rPr>
          <w:lang w:val="en-US"/>
        </w:rPr>
        <w:instrText xml:space="preserve"> \* MERGEFORMAT </w:instrText>
      </w:r>
      <w:r w:rsidR="006A0393" w:rsidRPr="006E75EE">
        <w:rPr>
          <w:lang w:val="en-US"/>
        </w:rPr>
      </w:r>
      <w:r w:rsidR="006A0393" w:rsidRPr="006E75EE">
        <w:rPr>
          <w:lang w:val="en-US"/>
        </w:rPr>
        <w:fldChar w:fldCharType="separate"/>
      </w:r>
      <w:r w:rsidR="009166B4" w:rsidRPr="006E75EE">
        <w:rPr>
          <w:lang w:val="en-US"/>
        </w:rPr>
        <w:t>63</w:t>
      </w:r>
      <w:r w:rsidR="006A0393" w:rsidRPr="006E75EE">
        <w:rPr>
          <w:lang w:val="en-US"/>
        </w:rPr>
        <w:fldChar w:fldCharType="end"/>
      </w:r>
      <w:r w:rsidRPr="006E75EE">
        <w:t xml:space="preserve">, nothing in this Settlement limits any authority of EPA to take, direct, or order all appropriate action to protect </w:t>
      </w:r>
      <w:r w:rsidR="00CC1469" w:rsidRPr="006E75EE">
        <w:rPr>
          <w:lang w:val="en-US"/>
        </w:rPr>
        <w:t xml:space="preserve">public </w:t>
      </w:r>
      <w:r w:rsidRPr="006E75EE">
        <w:t xml:space="preserve">health and </w:t>
      </w:r>
      <w:r w:rsidR="00CC1469" w:rsidRPr="006E75EE">
        <w:rPr>
          <w:lang w:val="en-US"/>
        </w:rPr>
        <w:t xml:space="preserve">welfare and </w:t>
      </w:r>
      <w:r w:rsidRPr="006E75EE">
        <w:lastRenderedPageBreak/>
        <w:t>the environment or to prevent, abate, respond to, or minimize an actual or threatened release of Waste Material on, at, or from the Site, or to request a Court to order such action.</w:t>
      </w:r>
      <w:bookmarkEnd w:id="200"/>
    </w:p>
    <w:p w14:paraId="3C48C440" w14:textId="2D73949D" w:rsidR="008170B1" w:rsidRPr="006E75EE" w:rsidRDefault="008170B1" w:rsidP="002B7658">
      <w:pPr>
        <w:pStyle w:val="Heading1"/>
      </w:pPr>
      <w:bookmarkStart w:id="201" w:name="_Ref326220423"/>
      <w:bookmarkStart w:id="202" w:name="_Ref364855096"/>
      <w:bookmarkStart w:id="203" w:name="_Toc80599619"/>
      <w:bookmarkStart w:id="204" w:name="_Toc184899548"/>
      <w:bookmarkEnd w:id="195"/>
      <w:bookmarkEnd w:id="196"/>
      <w:bookmarkEnd w:id="197"/>
      <w:r w:rsidRPr="006E75EE">
        <w:t>COVENANTS BY RESPONDENTS</w:t>
      </w:r>
      <w:bookmarkEnd w:id="201"/>
      <w:bookmarkEnd w:id="202"/>
      <w:bookmarkEnd w:id="203"/>
      <w:r w:rsidR="008B3A3C" w:rsidRPr="006E75EE">
        <w:rPr>
          <w:lang w:val="en-US"/>
        </w:rPr>
        <w:t xml:space="preserve"> </w:t>
      </w:r>
      <w:r w:rsidR="00534585" w:rsidRPr="006E75EE">
        <w:rPr>
          <w:b w:val="0"/>
          <w:bCs w:val="0"/>
          <w:lang w:val="en-US"/>
        </w:rPr>
        <w:t>[</w:t>
      </w:r>
      <w:r w:rsidR="008B3A3C" w:rsidRPr="006E75EE">
        <w:rPr>
          <w:lang w:val="en-US"/>
        </w:rPr>
        <w:t>AND SETTLING FEDERAL AGENCIES</w:t>
      </w:r>
      <w:bookmarkEnd w:id="204"/>
      <w:r w:rsidR="00534585" w:rsidRPr="006E75EE">
        <w:rPr>
          <w:b w:val="0"/>
          <w:bCs w:val="0"/>
          <w:lang w:val="en-US"/>
        </w:rPr>
        <w:t>]</w:t>
      </w:r>
    </w:p>
    <w:p w14:paraId="17943EF8" w14:textId="1B1E33D9" w:rsidR="007059C7" w:rsidRPr="006E75EE" w:rsidRDefault="007059C7" w:rsidP="007059C7">
      <w:pPr>
        <w:pStyle w:val="LVL1"/>
        <w:rPr>
          <w:b/>
        </w:rPr>
      </w:pPr>
      <w:bookmarkStart w:id="205" w:name="_Ref76735476"/>
      <w:bookmarkStart w:id="206" w:name="_Ref326218626"/>
      <w:r w:rsidRPr="006E75EE">
        <w:rPr>
          <w:b/>
          <w:lang w:val="en-US"/>
        </w:rPr>
        <w:t>Covenants by Respondents</w:t>
      </w:r>
      <w:bookmarkEnd w:id="205"/>
    </w:p>
    <w:p w14:paraId="4E9DAA42" w14:textId="66DBE84E" w:rsidR="008170B1" w:rsidRPr="006E75EE" w:rsidRDefault="007059C7" w:rsidP="007059C7">
      <w:pPr>
        <w:pStyle w:val="LVL2"/>
        <w:rPr>
          <w:color w:val="auto"/>
        </w:rPr>
      </w:pPr>
      <w:r w:rsidRPr="006E75EE">
        <w:rPr>
          <w:color w:val="auto"/>
          <w:lang w:val="en-US"/>
        </w:rPr>
        <w:t xml:space="preserve"> Subject to ¶</w:t>
      </w:r>
      <w:r w:rsidR="00276366" w:rsidRPr="006E75EE">
        <w:rPr>
          <w:color w:val="auto"/>
          <w:lang w:val="en-US"/>
        </w:rPr>
        <w:t> </w:t>
      </w:r>
      <w:r w:rsidR="00B13697" w:rsidRPr="006E75EE">
        <w:rPr>
          <w:color w:val="auto"/>
          <w:lang w:val="en-US"/>
        </w:rPr>
        <w:fldChar w:fldCharType="begin"/>
      </w:r>
      <w:r w:rsidR="00B13697" w:rsidRPr="006E75EE">
        <w:rPr>
          <w:color w:val="auto"/>
          <w:lang w:val="en-US"/>
        </w:rPr>
        <w:instrText xml:space="preserve"> REF _Ref92186419 \r \h </w:instrText>
      </w:r>
      <w:r w:rsidR="006E75EE">
        <w:rPr>
          <w:color w:val="auto"/>
          <w:lang w:val="en-US"/>
        </w:rPr>
        <w:instrText xml:space="preserve"> \* MERGEFORMAT </w:instrText>
      </w:r>
      <w:r w:rsidR="00B13697" w:rsidRPr="006E75EE">
        <w:rPr>
          <w:color w:val="auto"/>
          <w:lang w:val="en-US"/>
        </w:rPr>
      </w:r>
      <w:r w:rsidR="00B13697" w:rsidRPr="006E75EE">
        <w:rPr>
          <w:color w:val="auto"/>
          <w:lang w:val="en-US"/>
        </w:rPr>
        <w:fldChar w:fldCharType="separate"/>
      </w:r>
      <w:r w:rsidR="009166B4" w:rsidRPr="006E75EE">
        <w:rPr>
          <w:color w:val="auto"/>
          <w:lang w:val="en-US"/>
        </w:rPr>
        <w:t>68</w:t>
      </w:r>
      <w:r w:rsidR="00B13697" w:rsidRPr="006E75EE">
        <w:rPr>
          <w:color w:val="auto"/>
          <w:lang w:val="en-US"/>
        </w:rPr>
        <w:fldChar w:fldCharType="end"/>
      </w:r>
      <w:r w:rsidRPr="006E75EE">
        <w:rPr>
          <w:color w:val="auto"/>
          <w:lang w:val="en-US"/>
        </w:rPr>
        <w:t xml:space="preserve">, </w:t>
      </w:r>
      <w:r w:rsidRPr="006E75EE">
        <w:rPr>
          <w:color w:val="auto"/>
        </w:rPr>
        <w:t xml:space="preserve">Respondents </w:t>
      </w:r>
      <w:r w:rsidR="008170B1" w:rsidRPr="006E75EE">
        <w:rPr>
          <w:color w:val="auto"/>
        </w:rPr>
        <w:t xml:space="preserve">covenant not to sue and </w:t>
      </w:r>
      <w:r w:rsidR="00225994" w:rsidRPr="006E75EE">
        <w:rPr>
          <w:color w:val="auto"/>
          <w:lang w:val="en-US"/>
        </w:rPr>
        <w:t>shall</w:t>
      </w:r>
      <w:r w:rsidR="00225994" w:rsidRPr="006E75EE">
        <w:rPr>
          <w:color w:val="auto"/>
        </w:rPr>
        <w:t xml:space="preserve"> </w:t>
      </w:r>
      <w:r w:rsidR="008170B1" w:rsidRPr="006E75EE">
        <w:rPr>
          <w:color w:val="auto"/>
        </w:rPr>
        <w:t xml:space="preserve">not assert any claim </w:t>
      </w:r>
      <w:r w:rsidRPr="006E75EE">
        <w:rPr>
          <w:color w:val="auto"/>
        </w:rPr>
        <w:t>against the United States under CERCLA, RCRA</w:t>
      </w:r>
      <w:r w:rsidR="0052503D" w:rsidRPr="006E75EE">
        <w:rPr>
          <w:color w:val="auto"/>
          <w:lang w:val="en-US"/>
        </w:rPr>
        <w:t xml:space="preserve"> §</w:t>
      </w:r>
      <w:r w:rsidR="00276366" w:rsidRPr="006E75EE">
        <w:rPr>
          <w:color w:val="auto"/>
          <w:lang w:val="en-US"/>
        </w:rPr>
        <w:t> </w:t>
      </w:r>
      <w:r w:rsidR="0052503D" w:rsidRPr="006E75EE">
        <w:rPr>
          <w:color w:val="auto"/>
          <w:lang w:val="en-US"/>
        </w:rPr>
        <w:t>7002(a)</w:t>
      </w:r>
      <w:r w:rsidRPr="006E75EE">
        <w:rPr>
          <w:color w:val="auto"/>
        </w:rPr>
        <w:t xml:space="preserve">, the </w:t>
      </w:r>
      <w:r w:rsidR="0052503D" w:rsidRPr="006E75EE">
        <w:rPr>
          <w:color w:val="auto"/>
          <w:lang w:val="en-US"/>
        </w:rPr>
        <w:t xml:space="preserve">United States </w:t>
      </w:r>
      <w:r w:rsidRPr="006E75EE">
        <w:rPr>
          <w:color w:val="auto"/>
        </w:rPr>
        <w:t>Constitution, the Tucker Act, 28 U.S.C. §</w:t>
      </w:r>
      <w:r w:rsidR="00276366" w:rsidRPr="006E75EE">
        <w:rPr>
          <w:color w:val="auto"/>
          <w:lang w:val="en-US"/>
        </w:rPr>
        <w:t> </w:t>
      </w:r>
      <w:r w:rsidRPr="006E75EE">
        <w:rPr>
          <w:color w:val="auto"/>
        </w:rPr>
        <w:t>1491, the Equal Access to Justice Act, 28</w:t>
      </w:r>
      <w:r w:rsidR="0052503D" w:rsidRPr="006E75EE">
        <w:rPr>
          <w:color w:val="auto"/>
          <w:lang w:val="en-US"/>
        </w:rPr>
        <w:t> </w:t>
      </w:r>
      <w:r w:rsidRPr="006E75EE">
        <w:rPr>
          <w:color w:val="auto"/>
        </w:rPr>
        <w:t>U.S.C. § 2412, the State Constitution, State law,</w:t>
      </w:r>
      <w:r w:rsidR="006F488B">
        <w:rPr>
          <w:rStyle w:val="FootnoteReference"/>
        </w:rPr>
        <w:footnoteReference w:id="33"/>
      </w:r>
      <w:r w:rsidRPr="006E75EE">
        <w:rPr>
          <w:color w:val="auto"/>
        </w:rPr>
        <w:t xml:space="preserve"> or at common law </w:t>
      </w:r>
      <w:r w:rsidR="00225994" w:rsidRPr="006E75EE">
        <w:rPr>
          <w:color w:val="auto"/>
          <w:lang w:val="en-US"/>
        </w:rPr>
        <w:t>regarding</w:t>
      </w:r>
      <w:r w:rsidR="008170B1" w:rsidRPr="006E75EE">
        <w:rPr>
          <w:color w:val="auto"/>
        </w:rPr>
        <w:t xml:space="preserve"> the Work, [Past Respons</w:t>
      </w:r>
      <w:r w:rsidRPr="006E75EE">
        <w:rPr>
          <w:color w:val="auto"/>
        </w:rPr>
        <w:t xml:space="preserve">e Costs,] </w:t>
      </w:r>
      <w:r w:rsidR="00DF23CD" w:rsidRPr="006E75EE">
        <w:rPr>
          <w:color w:val="auto"/>
          <w:lang w:val="en-US"/>
        </w:rPr>
        <w:t xml:space="preserve">or </w:t>
      </w:r>
      <w:r w:rsidRPr="006E75EE">
        <w:rPr>
          <w:color w:val="auto"/>
        </w:rPr>
        <w:t>Future Response Costs.</w:t>
      </w:r>
      <w:bookmarkEnd w:id="206"/>
      <w:r w:rsidR="00F22B3E" w:rsidRPr="006E75EE">
        <w:rPr>
          <w:rStyle w:val="FootnoteReference"/>
          <w:color w:val="auto"/>
        </w:rPr>
        <w:footnoteReference w:id="34"/>
      </w:r>
    </w:p>
    <w:p w14:paraId="42B812CB" w14:textId="7A0727EC" w:rsidR="007059C7" w:rsidRPr="006E75EE" w:rsidRDefault="007059C7" w:rsidP="007059C7">
      <w:pPr>
        <w:pStyle w:val="LVL2"/>
        <w:rPr>
          <w:color w:val="auto"/>
        </w:rPr>
      </w:pPr>
      <w:bookmarkStart w:id="207" w:name="_Ref403762140"/>
      <w:bookmarkStart w:id="208" w:name="_Ref326218620"/>
      <w:r w:rsidRPr="006E75EE">
        <w:rPr>
          <w:color w:val="auto"/>
          <w:lang w:val="en-US"/>
        </w:rPr>
        <w:t>Subject to ¶</w:t>
      </w:r>
      <w:r w:rsidR="00276366" w:rsidRPr="006E75EE">
        <w:rPr>
          <w:color w:val="auto"/>
          <w:lang w:val="en-US"/>
        </w:rPr>
        <w:t> </w:t>
      </w:r>
      <w:r w:rsidR="00B13697" w:rsidRPr="006E75EE">
        <w:rPr>
          <w:color w:val="auto"/>
          <w:lang w:val="en-US"/>
        </w:rPr>
        <w:fldChar w:fldCharType="begin"/>
      </w:r>
      <w:r w:rsidR="00B13697" w:rsidRPr="006E75EE">
        <w:rPr>
          <w:color w:val="auto"/>
          <w:lang w:val="en-US"/>
        </w:rPr>
        <w:instrText xml:space="preserve"> REF _Ref92186419 \r \h </w:instrText>
      </w:r>
      <w:r w:rsidR="006E75EE">
        <w:rPr>
          <w:color w:val="auto"/>
          <w:lang w:val="en-US"/>
        </w:rPr>
        <w:instrText xml:space="preserve"> \* MERGEFORMAT </w:instrText>
      </w:r>
      <w:r w:rsidR="00B13697" w:rsidRPr="006E75EE">
        <w:rPr>
          <w:color w:val="auto"/>
          <w:lang w:val="en-US"/>
        </w:rPr>
      </w:r>
      <w:r w:rsidR="00B13697" w:rsidRPr="006E75EE">
        <w:rPr>
          <w:color w:val="auto"/>
          <w:lang w:val="en-US"/>
        </w:rPr>
        <w:fldChar w:fldCharType="separate"/>
      </w:r>
      <w:r w:rsidR="009166B4" w:rsidRPr="006E75EE">
        <w:rPr>
          <w:color w:val="auto"/>
          <w:lang w:val="en-US"/>
        </w:rPr>
        <w:t>68</w:t>
      </w:r>
      <w:r w:rsidR="00B13697" w:rsidRPr="006E75EE">
        <w:rPr>
          <w:color w:val="auto"/>
          <w:lang w:val="en-US"/>
        </w:rPr>
        <w:fldChar w:fldCharType="end"/>
      </w:r>
      <w:r w:rsidRPr="006E75EE">
        <w:rPr>
          <w:color w:val="auto"/>
          <w:lang w:val="en-US"/>
        </w:rPr>
        <w:t xml:space="preserve">, </w:t>
      </w:r>
      <w:r w:rsidRPr="006E75EE">
        <w:rPr>
          <w:color w:val="auto"/>
        </w:rPr>
        <w:t>Respondents</w:t>
      </w:r>
      <w:r w:rsidRPr="006E75EE">
        <w:rPr>
          <w:color w:val="auto"/>
          <w:lang w:val="en-US"/>
        </w:rPr>
        <w:t xml:space="preserve"> covenant not to seek reimbursement from the Fund through CERCLA or any other law for costs </w:t>
      </w:r>
      <w:r w:rsidR="006F488B">
        <w:rPr>
          <w:color w:val="auto"/>
          <w:lang w:val="en-US"/>
        </w:rPr>
        <w:t>regarding</w:t>
      </w:r>
      <w:r w:rsidRPr="006E75EE">
        <w:rPr>
          <w:color w:val="auto"/>
          <w:lang w:val="en-US"/>
        </w:rPr>
        <w:t xml:space="preserve"> </w:t>
      </w:r>
      <w:r w:rsidRPr="006E75EE">
        <w:rPr>
          <w:color w:val="auto"/>
        </w:rPr>
        <w:t xml:space="preserve">the Work, [Past Response Costs,] </w:t>
      </w:r>
      <w:r w:rsidR="006F488B">
        <w:rPr>
          <w:color w:val="auto"/>
        </w:rPr>
        <w:t xml:space="preserve">and </w:t>
      </w:r>
      <w:r w:rsidRPr="006E75EE">
        <w:rPr>
          <w:color w:val="auto"/>
        </w:rPr>
        <w:t>Future Response Costs</w:t>
      </w:r>
      <w:r w:rsidRPr="006E75EE">
        <w:rPr>
          <w:color w:val="auto"/>
          <w:lang w:val="en-US"/>
        </w:rPr>
        <w:t>.</w:t>
      </w:r>
      <w:r w:rsidR="00F22B3E" w:rsidRPr="006E75EE">
        <w:rPr>
          <w:rStyle w:val="FootnoteReference"/>
          <w:color w:val="auto"/>
          <w:lang w:val="en-US"/>
        </w:rPr>
        <w:footnoteReference w:id="35"/>
      </w:r>
    </w:p>
    <w:p w14:paraId="34E5A226" w14:textId="43D59879" w:rsidR="007A61F4" w:rsidRPr="006E75EE" w:rsidRDefault="007059C7" w:rsidP="00E4736C">
      <w:pPr>
        <w:pStyle w:val="LVL1"/>
      </w:pPr>
      <w:bookmarkStart w:id="209" w:name="_Ref92186419"/>
      <w:bookmarkStart w:id="210" w:name="_Ref76730517"/>
      <w:r w:rsidRPr="006E75EE">
        <w:rPr>
          <w:b/>
          <w:lang w:val="en-US"/>
        </w:rPr>
        <w:t>Respondents’ Reservation</w:t>
      </w:r>
      <w:r w:rsidRPr="006E75EE">
        <w:rPr>
          <w:lang w:val="en-US"/>
        </w:rPr>
        <w:t xml:space="preserve">. </w:t>
      </w:r>
      <w:r w:rsidR="007C6DFE" w:rsidRPr="006E75EE">
        <w:rPr>
          <w:lang w:val="en-US"/>
        </w:rPr>
        <w:t xml:space="preserve">The </w:t>
      </w:r>
      <w:r w:rsidRPr="006E75EE">
        <w:t>covenants</w:t>
      </w:r>
      <w:r w:rsidR="008170B1" w:rsidRPr="006E75EE">
        <w:t xml:space="preserve"> </w:t>
      </w:r>
      <w:r w:rsidR="00D81A62" w:rsidRPr="006E75EE">
        <w:rPr>
          <w:lang w:val="en-US"/>
        </w:rPr>
        <w:t xml:space="preserve">in </w:t>
      </w:r>
      <w:r w:rsidRPr="006E75EE">
        <w:rPr>
          <w:lang w:val="en-US"/>
        </w:rPr>
        <w:t>¶</w:t>
      </w:r>
      <w:r w:rsidR="00276366" w:rsidRPr="006E75EE">
        <w:rPr>
          <w:lang w:val="en-US"/>
        </w:rPr>
        <w:t> </w:t>
      </w:r>
      <w:r w:rsidR="00B13697" w:rsidRPr="006E75EE">
        <w:rPr>
          <w:lang w:val="en-US"/>
        </w:rPr>
        <w:fldChar w:fldCharType="begin"/>
      </w:r>
      <w:r w:rsidR="00B13697" w:rsidRPr="006E75EE">
        <w:rPr>
          <w:lang w:val="en-US"/>
        </w:rPr>
        <w:instrText xml:space="preserve"> REF _Ref76735476 \r \h </w:instrText>
      </w:r>
      <w:r w:rsidR="006E75EE">
        <w:rPr>
          <w:lang w:val="en-US"/>
        </w:rPr>
        <w:instrText xml:space="preserve"> \* MERGEFORMAT </w:instrText>
      </w:r>
      <w:r w:rsidR="00B13697" w:rsidRPr="006E75EE">
        <w:rPr>
          <w:lang w:val="en-US"/>
        </w:rPr>
      </w:r>
      <w:r w:rsidR="00B13697" w:rsidRPr="006E75EE">
        <w:rPr>
          <w:lang w:val="en-US"/>
        </w:rPr>
        <w:fldChar w:fldCharType="separate"/>
      </w:r>
      <w:r w:rsidR="009166B4" w:rsidRPr="006E75EE">
        <w:rPr>
          <w:lang w:val="en-US"/>
        </w:rPr>
        <w:t>67</w:t>
      </w:r>
      <w:r w:rsidR="00B13697" w:rsidRPr="006E75EE">
        <w:rPr>
          <w:lang w:val="en-US"/>
        </w:rPr>
        <w:fldChar w:fldCharType="end"/>
      </w:r>
      <w:r w:rsidRPr="006E75EE">
        <w:rPr>
          <w:lang w:val="en-US"/>
        </w:rPr>
        <w:t xml:space="preserve"> </w:t>
      </w:r>
      <w:r w:rsidR="00225994" w:rsidRPr="006E75EE">
        <w:rPr>
          <w:lang w:val="en-US"/>
        </w:rPr>
        <w:t>do</w:t>
      </w:r>
      <w:r w:rsidR="00225994" w:rsidRPr="006E75EE">
        <w:t xml:space="preserve"> </w:t>
      </w:r>
      <w:r w:rsidR="008170B1" w:rsidRPr="006E75EE">
        <w:t xml:space="preserve">not apply </w:t>
      </w:r>
      <w:r w:rsidR="00225994" w:rsidRPr="006E75EE">
        <w:rPr>
          <w:lang w:val="en-US"/>
        </w:rPr>
        <w:t xml:space="preserve">to any claim brought, or </w:t>
      </w:r>
      <w:r w:rsidR="008170B1" w:rsidRPr="006E75EE">
        <w:t xml:space="preserve">order </w:t>
      </w:r>
      <w:r w:rsidR="00225994" w:rsidRPr="006E75EE">
        <w:rPr>
          <w:lang w:val="en-US"/>
        </w:rPr>
        <w:t>issued</w:t>
      </w:r>
      <w:r w:rsidR="007B4A8F" w:rsidRPr="006E75EE">
        <w:rPr>
          <w:lang w:val="en-US"/>
        </w:rPr>
        <w:t>,</w:t>
      </w:r>
      <w:r w:rsidR="00225994" w:rsidRPr="006E75EE">
        <w:rPr>
          <w:lang w:val="en-US"/>
        </w:rPr>
        <w:t xml:space="preserve"> after the Effective Date by the United States </w:t>
      </w:r>
      <w:r w:rsidR="00D81A62" w:rsidRPr="006E75EE">
        <w:rPr>
          <w:rFonts w:eastAsia="Times New Roman"/>
          <w:szCs w:val="24"/>
        </w:rPr>
        <w:t>to the extent such claim</w:t>
      </w:r>
      <w:r w:rsidR="001B363C">
        <w:rPr>
          <w:rFonts w:eastAsia="Times New Roman"/>
          <w:szCs w:val="24"/>
        </w:rPr>
        <w:t xml:space="preserve"> </w:t>
      </w:r>
      <w:r w:rsidR="00D81A62" w:rsidRPr="006E75EE">
        <w:rPr>
          <w:rFonts w:eastAsia="Times New Roman"/>
          <w:szCs w:val="24"/>
        </w:rPr>
        <w:t xml:space="preserve">or order is within the scope of a reservation under </w:t>
      </w:r>
      <w:r w:rsidRPr="006E75EE">
        <w:rPr>
          <w:rFonts w:eastAsia="Times New Roman"/>
          <w:szCs w:val="24"/>
          <w:lang w:val="en-US"/>
        </w:rPr>
        <w:t>¶¶ </w:t>
      </w:r>
      <w:r w:rsidR="00740A4E" w:rsidRPr="006E75EE">
        <w:rPr>
          <w:rFonts w:eastAsia="Times New Roman"/>
          <w:szCs w:val="24"/>
          <w:lang w:val="en-US"/>
        </w:rPr>
        <w:fldChar w:fldCharType="begin"/>
      </w:r>
      <w:r w:rsidR="00740A4E" w:rsidRPr="006E75EE">
        <w:rPr>
          <w:rFonts w:eastAsia="Times New Roman"/>
          <w:szCs w:val="24"/>
          <w:lang w:val="en-US"/>
        </w:rPr>
        <w:instrText xml:space="preserve"> REF _Ref326219296 \w \h </w:instrText>
      </w:r>
      <w:r w:rsidR="006E75EE">
        <w:rPr>
          <w:rFonts w:eastAsia="Times New Roman"/>
          <w:szCs w:val="24"/>
          <w:lang w:val="en-US"/>
        </w:rPr>
        <w:instrText xml:space="preserve"> \* MERGEFORMAT </w:instrText>
      </w:r>
      <w:r w:rsidR="00740A4E" w:rsidRPr="006E75EE">
        <w:rPr>
          <w:rFonts w:eastAsia="Times New Roman"/>
          <w:szCs w:val="24"/>
          <w:lang w:val="en-US"/>
        </w:rPr>
      </w:r>
      <w:r w:rsidR="00740A4E" w:rsidRPr="006E75EE">
        <w:rPr>
          <w:rFonts w:eastAsia="Times New Roman"/>
          <w:szCs w:val="24"/>
          <w:lang w:val="en-US"/>
        </w:rPr>
        <w:fldChar w:fldCharType="separate"/>
      </w:r>
      <w:r w:rsidR="009166B4" w:rsidRPr="006E75EE">
        <w:rPr>
          <w:rFonts w:eastAsia="Times New Roman"/>
          <w:szCs w:val="24"/>
          <w:lang w:val="en-US"/>
        </w:rPr>
        <w:t>65.a</w:t>
      </w:r>
      <w:r w:rsidR="00740A4E" w:rsidRPr="006E75EE">
        <w:rPr>
          <w:rFonts w:eastAsia="Times New Roman"/>
          <w:szCs w:val="24"/>
          <w:lang w:val="en-US"/>
        </w:rPr>
        <w:fldChar w:fldCharType="end"/>
      </w:r>
      <w:r w:rsidR="00740A4E" w:rsidRPr="006E75EE">
        <w:rPr>
          <w:rFonts w:eastAsia="Times New Roman"/>
          <w:szCs w:val="24"/>
          <w:lang w:val="en-US"/>
        </w:rPr>
        <w:t xml:space="preserve"> through </w:t>
      </w:r>
      <w:r w:rsidR="009F4FA0" w:rsidRPr="006E75EE">
        <w:rPr>
          <w:rFonts w:eastAsia="Times New Roman"/>
          <w:szCs w:val="24"/>
          <w:lang w:val="en-US"/>
        </w:rPr>
        <w:fldChar w:fldCharType="begin"/>
      </w:r>
      <w:r w:rsidR="009F4FA0" w:rsidRPr="006E75EE">
        <w:rPr>
          <w:rFonts w:eastAsia="Times New Roman"/>
          <w:szCs w:val="24"/>
          <w:lang w:val="en-US"/>
        </w:rPr>
        <w:instrText xml:space="preserve"> REF _Ref92188718 \r \h </w:instrText>
      </w:r>
      <w:r w:rsidR="006E75EE">
        <w:rPr>
          <w:rFonts w:eastAsia="Times New Roman"/>
          <w:szCs w:val="24"/>
          <w:lang w:val="en-US"/>
        </w:rPr>
        <w:instrText xml:space="preserve"> \* MERGEFORMAT </w:instrText>
      </w:r>
      <w:r w:rsidR="009F4FA0" w:rsidRPr="006E75EE">
        <w:rPr>
          <w:rFonts w:eastAsia="Times New Roman"/>
          <w:szCs w:val="24"/>
          <w:lang w:val="en-US"/>
        </w:rPr>
      </w:r>
      <w:r w:rsidR="009F4FA0" w:rsidRPr="006E75EE">
        <w:rPr>
          <w:rFonts w:eastAsia="Times New Roman"/>
          <w:szCs w:val="24"/>
          <w:lang w:val="en-US"/>
        </w:rPr>
        <w:fldChar w:fldCharType="separate"/>
      </w:r>
      <w:r w:rsidR="009166B4" w:rsidRPr="006E75EE">
        <w:rPr>
          <w:rFonts w:eastAsia="Times New Roman"/>
          <w:szCs w:val="24"/>
          <w:lang w:val="en-US"/>
        </w:rPr>
        <w:t>65.e</w:t>
      </w:r>
      <w:r w:rsidR="009F4FA0" w:rsidRPr="006E75EE">
        <w:rPr>
          <w:rFonts w:eastAsia="Times New Roman"/>
          <w:szCs w:val="24"/>
          <w:lang w:val="en-US"/>
        </w:rPr>
        <w:fldChar w:fldCharType="end"/>
      </w:r>
      <w:r w:rsidRPr="006E75EE">
        <w:rPr>
          <w:rFonts w:eastAsia="Times New Roman"/>
          <w:szCs w:val="24"/>
          <w:lang w:val="en-US"/>
        </w:rPr>
        <w:t>.</w:t>
      </w:r>
      <w:bookmarkEnd w:id="209"/>
      <w:r w:rsidRPr="006E75EE">
        <w:rPr>
          <w:rFonts w:eastAsia="Times New Roman"/>
          <w:szCs w:val="24"/>
          <w:lang w:val="en-US"/>
        </w:rPr>
        <w:t xml:space="preserve"> </w:t>
      </w:r>
      <w:bookmarkEnd w:id="210"/>
    </w:p>
    <w:p w14:paraId="4AFECA20" w14:textId="49831B4B" w:rsidR="00F43775" w:rsidRPr="006E75EE" w:rsidRDefault="00F43775" w:rsidP="006D3E81">
      <w:pPr>
        <w:pStyle w:val="LVL1"/>
        <w:rPr>
          <w:lang w:val="en-US"/>
        </w:rPr>
      </w:pPr>
      <w:bookmarkStart w:id="211" w:name="_Ref326219259"/>
      <w:bookmarkStart w:id="212" w:name="_Ref402351252"/>
      <w:r w:rsidRPr="006E75EE">
        <w:rPr>
          <w:b/>
          <w:bCs/>
          <w:i/>
        </w:rPr>
        <w:t>De Minimis</w:t>
      </w:r>
      <w:r w:rsidRPr="006E75EE">
        <w:rPr>
          <w:b/>
          <w:bCs/>
        </w:rPr>
        <w:t>/Ability to Pay Waiver.</w:t>
      </w:r>
      <w:r w:rsidR="004F2F08" w:rsidRPr="006E75EE">
        <w:rPr>
          <w:rStyle w:val="FootnoteReference"/>
          <w:b/>
          <w:bCs/>
          <w:color w:val="auto"/>
        </w:rPr>
        <w:footnoteReference w:id="36"/>
      </w:r>
      <w:r w:rsidRPr="006E75EE">
        <w:t xml:space="preserve"> Respondents shall not assert any claims and waive all claims (including claims under sections</w:t>
      </w:r>
      <w:r w:rsidR="0070761F" w:rsidRPr="006E75EE">
        <w:rPr>
          <w:lang w:val="en-US"/>
        </w:rPr>
        <w:t> </w:t>
      </w:r>
      <w:r w:rsidRPr="006E75EE">
        <w:t xml:space="preserve">107(a) and 113 of CERCLA) that they may have against any third party who enters or has entered into a </w:t>
      </w:r>
      <w:r w:rsidRPr="006E75EE">
        <w:rPr>
          <w:i/>
        </w:rPr>
        <w:t>de minimis</w:t>
      </w:r>
      <w:r w:rsidRPr="006E75EE">
        <w:t xml:space="preserve"> or “ability-to-pay” settlement with </w:t>
      </w:r>
      <w:bookmarkEnd w:id="207"/>
      <w:bookmarkEnd w:id="208"/>
      <w:r w:rsidRPr="006E75EE">
        <w:t>EPA to the extent Respondents’ claims are within the scope of the matters addressed in the third party’s settlement with EPA, provided, however, that this waiver does not apply if the third party asserts a claim regarding th</w:t>
      </w:r>
      <w:r w:rsidR="001C0548" w:rsidRPr="006E75EE">
        <w:t>e Site against the Respondents.</w:t>
      </w:r>
      <w:r w:rsidR="00BF3455" w:rsidRPr="006E75EE">
        <w:rPr>
          <w:lang w:val="en-US"/>
        </w:rPr>
        <w:t xml:space="preserve"> Nothing in this Settlement limits Res</w:t>
      </w:r>
      <w:r w:rsidR="002D0063" w:rsidRPr="006E75EE">
        <w:rPr>
          <w:lang w:val="en-US"/>
        </w:rPr>
        <w:t>p</w:t>
      </w:r>
      <w:r w:rsidR="00BF3455" w:rsidRPr="006E75EE">
        <w:rPr>
          <w:lang w:val="en-US"/>
        </w:rPr>
        <w:t>ondents’ rights under section</w:t>
      </w:r>
      <w:r w:rsidR="0070761F" w:rsidRPr="006E75EE">
        <w:rPr>
          <w:lang w:val="en-US"/>
        </w:rPr>
        <w:t> </w:t>
      </w:r>
      <w:r w:rsidR="00BF3455" w:rsidRPr="006E75EE">
        <w:rPr>
          <w:lang w:val="en-US"/>
        </w:rPr>
        <w:t xml:space="preserve">122(d)(2) of CERCLA to comment on any </w:t>
      </w:r>
      <w:r w:rsidR="00BF3455" w:rsidRPr="006E75EE">
        <w:rPr>
          <w:i/>
          <w:lang w:val="en-US"/>
        </w:rPr>
        <w:t>de minimis</w:t>
      </w:r>
      <w:r w:rsidR="00BF3455" w:rsidRPr="006E75EE">
        <w:rPr>
          <w:lang w:val="en-US"/>
        </w:rPr>
        <w:t xml:space="preserve"> or ability-to-pay settlement proposed by EPA.</w:t>
      </w:r>
    </w:p>
    <w:p w14:paraId="09EFEDF4" w14:textId="5ACBEFD9" w:rsidR="00F43775" w:rsidRPr="006E75EE" w:rsidRDefault="0059651D" w:rsidP="00734176">
      <w:pPr>
        <w:pStyle w:val="LVL1"/>
      </w:pPr>
      <w:r w:rsidRPr="006E75EE">
        <w:rPr>
          <w:bCs/>
          <w:lang w:val="en-US"/>
        </w:rPr>
        <w:t>[</w:t>
      </w:r>
      <w:r w:rsidRPr="006E75EE">
        <w:rPr>
          <w:b/>
          <w:lang w:val="en-US"/>
        </w:rPr>
        <w:t xml:space="preserve">For SAA (non-NPL) </w:t>
      </w:r>
      <w:proofErr w:type="gramStart"/>
      <w:r w:rsidRPr="006E75EE">
        <w:rPr>
          <w:b/>
          <w:lang w:val="en-US"/>
        </w:rPr>
        <w:t>Sites</w:t>
      </w:r>
      <w:r w:rsidRPr="006E75EE">
        <w:rPr>
          <w:bCs/>
          <w:lang w:val="en-US"/>
        </w:rPr>
        <w:t>][</w:t>
      </w:r>
      <w:proofErr w:type="gramEnd"/>
      <w:r w:rsidR="006013C2" w:rsidRPr="006E75EE">
        <w:rPr>
          <w:b/>
          <w:lang w:val="en-US"/>
        </w:rPr>
        <w:t xml:space="preserve">De Micromis </w:t>
      </w:r>
      <w:bookmarkStart w:id="213" w:name="_Ref408843999"/>
      <w:r w:rsidR="006013C2" w:rsidRPr="006E75EE">
        <w:rPr>
          <w:b/>
          <w:lang w:val="en-US"/>
        </w:rPr>
        <w:t>Waiver</w:t>
      </w:r>
      <w:r w:rsidR="006013C2" w:rsidRPr="006E75EE">
        <w:rPr>
          <w:lang w:val="en-US"/>
        </w:rPr>
        <w:t>.</w:t>
      </w:r>
      <w:bookmarkStart w:id="214" w:name="_Ref52876963"/>
      <w:r w:rsidRPr="006E75EE">
        <w:t xml:space="preserve"> </w:t>
      </w:r>
      <w:r w:rsidR="00F43775" w:rsidRPr="006E75EE">
        <w:t>Respondents</w:t>
      </w:r>
      <w:bookmarkStart w:id="215" w:name="_Ref403661386"/>
      <w:bookmarkEnd w:id="213"/>
      <w:r w:rsidR="00F43775" w:rsidRPr="006E75EE">
        <w:t xml:space="preserve"> shall not assert any claims and waive all claims (including claims under sections</w:t>
      </w:r>
      <w:r w:rsidR="0070761F" w:rsidRPr="006E75EE">
        <w:rPr>
          <w:lang w:val="en-US"/>
        </w:rPr>
        <w:t> </w:t>
      </w:r>
      <w:r w:rsidR="00F43775" w:rsidRPr="006E75EE">
        <w:t xml:space="preserve">107(a) and 113 of </w:t>
      </w:r>
      <w:r w:rsidR="00F43775" w:rsidRPr="006E75EE">
        <w:lastRenderedPageBreak/>
        <w:t>CERCLA) that they may have</w:t>
      </w:r>
      <w:bookmarkStart w:id="216" w:name="_Ref408844256"/>
      <w:bookmarkEnd w:id="215"/>
      <w:r w:rsidR="00F43775" w:rsidRPr="006E75EE">
        <w:t xml:space="preserve"> for all matters relating to the Site against any person where the person’s liability to </w:t>
      </w:r>
      <w:r w:rsidR="002D0063" w:rsidRPr="006E75EE">
        <w:rPr>
          <w:lang w:val="en-US"/>
        </w:rPr>
        <w:t>Responde</w:t>
      </w:r>
      <w:r w:rsidR="00F43775" w:rsidRPr="006E75EE">
        <w:rPr>
          <w:lang w:val="en-US"/>
        </w:rPr>
        <w:t>nts</w:t>
      </w:r>
      <w:r w:rsidR="00F43775" w:rsidRPr="006E75EE">
        <w:t xml:space="preserve"> with respect to the Site is based solely on having arranged for disposal or treatment, or for transport for disposal or treatment, of hazardous substances at the Site, or having accepted for transport for disposal or treatment of hazardous substances at the Site, if all or part of the disposal, treatment, or transport occurred before April 1, 2001, and the total amount of material containing hazardous substances contributed by such person to the Site was less than [110]</w:t>
      </w:r>
      <w:r w:rsidR="0070761F" w:rsidRPr="006E75EE">
        <w:rPr>
          <w:lang w:val="en-US"/>
        </w:rPr>
        <w:t> </w:t>
      </w:r>
      <w:r w:rsidR="00F43775" w:rsidRPr="006E75EE">
        <w:t>gallons of liquid materials or [200]</w:t>
      </w:r>
      <w:r w:rsidR="0070761F" w:rsidRPr="006E75EE">
        <w:rPr>
          <w:lang w:val="en-US"/>
        </w:rPr>
        <w:t> </w:t>
      </w:r>
      <w:r w:rsidR="00F43775" w:rsidRPr="006E75EE">
        <w:t>pounds of solid materials</w:t>
      </w:r>
      <w:bookmarkEnd w:id="216"/>
      <w:r w:rsidR="00F43775" w:rsidRPr="006E75EE">
        <w:t>. This waiver does not apply to any claim against any person otherwise covered by such waiver if EPA determines that: (i)</w:t>
      </w:r>
      <w:r w:rsidR="0070761F" w:rsidRPr="006E75EE">
        <w:rPr>
          <w:lang w:val="en-US"/>
        </w:rPr>
        <w:t> </w:t>
      </w:r>
      <w:r w:rsidR="00F43775" w:rsidRPr="006E75EE">
        <w:t>the materials containing hazardous substances contributed to the Site by such person contributed significantly or could contribute significantly, either individually or in the aggregate, to the cost of the response action or natural resource restoration at the Site; or (ii)</w:t>
      </w:r>
      <w:r w:rsidR="0070761F" w:rsidRPr="006E75EE">
        <w:rPr>
          <w:lang w:val="en-US"/>
        </w:rPr>
        <w:t> </w:t>
      </w:r>
      <w:r w:rsidR="00F43775" w:rsidRPr="006E75EE">
        <w:t>such person has failed to comply with any information request or administrative subpoena issued under sections</w:t>
      </w:r>
      <w:r w:rsidR="0070761F" w:rsidRPr="006E75EE">
        <w:rPr>
          <w:lang w:val="en-US"/>
        </w:rPr>
        <w:t> </w:t>
      </w:r>
      <w:r w:rsidR="00F43775" w:rsidRPr="006E75EE">
        <w:t>104(e) or 122(e)(3)(B) of CERCLA or section</w:t>
      </w:r>
      <w:r w:rsidR="0070761F" w:rsidRPr="006E75EE">
        <w:rPr>
          <w:lang w:val="en-US"/>
        </w:rPr>
        <w:t> </w:t>
      </w:r>
      <w:r w:rsidR="00F43775" w:rsidRPr="006E75EE">
        <w:t xml:space="preserve">3007 of RCRA, or has impeded or is impeding, through action or inaction, the performance of a response action or natural resource restoration with respect to the Site; or if (iii) such person has been convicted of a criminal violation for the conduct to which the waiver would apply and that conviction has not been vitiated on appeal or otherwise. This waiver does not apply with respect to any defense, </w:t>
      </w:r>
      <w:r w:rsidR="001B363C">
        <w:t xml:space="preserve">or </w:t>
      </w:r>
      <w:r w:rsidR="00F43775" w:rsidRPr="006E75EE">
        <w:t>claim</w:t>
      </w:r>
      <w:r w:rsidR="001B363C">
        <w:t xml:space="preserve"> </w:t>
      </w:r>
      <w:r w:rsidR="00F43775" w:rsidRPr="006E75EE">
        <w:t xml:space="preserve">that a </w:t>
      </w:r>
      <w:r w:rsidR="00F43775" w:rsidRPr="006E75EE">
        <w:rPr>
          <w:lang w:val="en-US"/>
        </w:rPr>
        <w:t>Respondent</w:t>
      </w:r>
      <w:r w:rsidR="00F43775" w:rsidRPr="006E75EE">
        <w:t xml:space="preserve"> may have against any person otherwise covered by this waiver if such person asserts a claim relating to the Site against such </w:t>
      </w:r>
      <w:r w:rsidR="00F43775" w:rsidRPr="006E75EE">
        <w:rPr>
          <w:lang w:val="en-US"/>
        </w:rPr>
        <w:t>Respondent</w:t>
      </w:r>
      <w:r w:rsidR="00F43775" w:rsidRPr="006E75EE">
        <w:t>.</w:t>
      </w:r>
      <w:bookmarkEnd w:id="214"/>
      <w:r w:rsidRPr="006E75EE">
        <w:t>]</w:t>
      </w:r>
    </w:p>
    <w:p w14:paraId="58BBAD6C" w14:textId="032EA737" w:rsidR="000C5CFC" w:rsidRPr="006E75EE" w:rsidRDefault="0059651D" w:rsidP="000C5CFC">
      <w:pPr>
        <w:pStyle w:val="LVL1"/>
      </w:pPr>
      <w:bookmarkStart w:id="217" w:name="_Ref102746798"/>
      <w:r w:rsidRPr="006E75EE">
        <w:rPr>
          <w:bCs/>
          <w:lang w:val="en-US"/>
        </w:rPr>
        <w:t>[</w:t>
      </w:r>
      <w:r w:rsidRPr="006E75EE">
        <w:rPr>
          <w:b/>
          <w:lang w:val="en-US"/>
        </w:rPr>
        <w:t xml:space="preserve">For non-NPL MSW </w:t>
      </w:r>
      <w:proofErr w:type="gramStart"/>
      <w:r w:rsidRPr="006E75EE">
        <w:rPr>
          <w:b/>
          <w:lang w:val="en-US"/>
        </w:rPr>
        <w:t>sites</w:t>
      </w:r>
      <w:r w:rsidRPr="006E75EE">
        <w:rPr>
          <w:bCs/>
          <w:lang w:val="en-US"/>
        </w:rPr>
        <w:t>][</w:t>
      </w:r>
      <w:proofErr w:type="gramEnd"/>
      <w:r w:rsidR="00261F23" w:rsidRPr="006E75EE">
        <w:rPr>
          <w:b/>
          <w:lang w:val="en-US"/>
        </w:rPr>
        <w:t xml:space="preserve">MSW </w:t>
      </w:r>
      <w:r w:rsidR="00261F23" w:rsidRPr="006E75EE">
        <w:rPr>
          <w:b/>
        </w:rPr>
        <w:t>Waiver</w:t>
      </w:r>
      <w:bookmarkEnd w:id="217"/>
    </w:p>
    <w:p w14:paraId="2C07EB19" w14:textId="6ACD91C6" w:rsidR="000C5CFC" w:rsidRPr="006E75EE" w:rsidRDefault="00F22E67" w:rsidP="000C5CFC">
      <w:pPr>
        <w:pStyle w:val="LVL2"/>
        <w:rPr>
          <w:color w:val="auto"/>
        </w:rPr>
      </w:pPr>
      <w:r w:rsidRPr="006E75EE">
        <w:rPr>
          <w:color w:val="auto"/>
        </w:rPr>
        <w:t>“</w:t>
      </w:r>
      <w:r w:rsidR="000C5CFC" w:rsidRPr="006E75EE">
        <w:rPr>
          <w:color w:val="auto"/>
        </w:rPr>
        <w:t>Municipal Solid Waste</w:t>
      </w:r>
      <w:r w:rsidRPr="006E75EE">
        <w:rPr>
          <w:color w:val="auto"/>
          <w:lang w:val="en-US"/>
        </w:rPr>
        <w:t>”</w:t>
      </w:r>
      <w:r w:rsidR="000C5CFC" w:rsidRPr="006E75EE">
        <w:rPr>
          <w:color w:val="auto"/>
        </w:rPr>
        <w:t xml:space="preserve"> or </w:t>
      </w:r>
      <w:r w:rsidRPr="006E75EE">
        <w:rPr>
          <w:color w:val="auto"/>
          <w:lang w:val="en-US"/>
        </w:rPr>
        <w:t>“</w:t>
      </w:r>
      <w:r w:rsidR="000C5CFC" w:rsidRPr="006E75EE">
        <w:rPr>
          <w:color w:val="auto"/>
        </w:rPr>
        <w:t>MSW</w:t>
      </w:r>
      <w:r w:rsidRPr="006E75EE">
        <w:rPr>
          <w:color w:val="auto"/>
          <w:lang w:val="en-US"/>
        </w:rPr>
        <w:t>”</w:t>
      </w:r>
      <w:r w:rsidR="000C5CFC" w:rsidRPr="006E75EE">
        <w:rPr>
          <w:color w:val="auto"/>
        </w:rPr>
        <w:t xml:space="preserve"> means waste material: (1)</w:t>
      </w:r>
      <w:r w:rsidR="006D17BD" w:rsidRPr="006E75EE">
        <w:rPr>
          <w:color w:val="auto"/>
          <w:lang w:val="en-US"/>
        </w:rPr>
        <w:t> </w:t>
      </w:r>
      <w:r w:rsidR="000C5CFC" w:rsidRPr="006E75EE">
        <w:rPr>
          <w:color w:val="auto"/>
        </w:rPr>
        <w:t>generated by a household (including a single or multifamily residence); or (2)</w:t>
      </w:r>
      <w:r w:rsidR="006D17BD" w:rsidRPr="006E75EE">
        <w:rPr>
          <w:color w:val="auto"/>
          <w:lang w:val="en-US"/>
        </w:rPr>
        <w:t> </w:t>
      </w:r>
      <w:r w:rsidR="000C5CFC" w:rsidRPr="006E75EE">
        <w:rPr>
          <w:color w:val="auto"/>
        </w:rPr>
        <w:t>generated by a commercial, industrial, or institutional entity, to the extent that the waste material (i)</w:t>
      </w:r>
      <w:r w:rsidR="006D17BD" w:rsidRPr="006E75EE">
        <w:rPr>
          <w:color w:val="auto"/>
          <w:lang w:val="en-US"/>
        </w:rPr>
        <w:t> </w:t>
      </w:r>
      <w:r w:rsidR="000C5CFC" w:rsidRPr="006E75EE">
        <w:rPr>
          <w:color w:val="auto"/>
        </w:rPr>
        <w:t>is essentially the same as waste normally generated by a household; (ii)</w:t>
      </w:r>
      <w:r w:rsidR="006D17BD" w:rsidRPr="006E75EE">
        <w:rPr>
          <w:color w:val="auto"/>
          <w:lang w:val="en-US"/>
        </w:rPr>
        <w:t> </w:t>
      </w:r>
      <w:r w:rsidR="000C5CFC" w:rsidRPr="006E75EE">
        <w:rPr>
          <w:color w:val="auto"/>
        </w:rPr>
        <w:t>is collected and disposed of with other municipal solid waste as part of normal municipal solid waste collection services; and (iii)</w:t>
      </w:r>
      <w:r w:rsidR="006D17BD" w:rsidRPr="006E75EE">
        <w:rPr>
          <w:color w:val="auto"/>
          <w:lang w:val="en-US"/>
        </w:rPr>
        <w:t> </w:t>
      </w:r>
      <w:r w:rsidR="000C5CFC" w:rsidRPr="006E75EE">
        <w:rPr>
          <w:color w:val="auto"/>
        </w:rPr>
        <w:t>contains a relative quantity of hazardous substances no greater than the relative quantity of hazardous substances contained in waste material generated by a typical single-family household.</w:t>
      </w:r>
    </w:p>
    <w:p w14:paraId="5DC4A011" w14:textId="44B4CAFB" w:rsidR="000C5CFC" w:rsidRPr="006E75EE" w:rsidRDefault="000C5CFC" w:rsidP="00734176">
      <w:pPr>
        <w:pStyle w:val="LVL2"/>
        <w:rPr>
          <w:color w:val="auto"/>
        </w:rPr>
      </w:pPr>
      <w:r w:rsidRPr="006E75EE">
        <w:rPr>
          <w:color w:val="auto"/>
          <w:lang w:val="en-US"/>
        </w:rPr>
        <w:t xml:space="preserve">Respondents </w:t>
      </w:r>
      <w:r w:rsidRPr="006E75EE">
        <w:rPr>
          <w:color w:val="auto"/>
        </w:rPr>
        <w:t>shall not assert any claims and waive all claims (including claims under sections</w:t>
      </w:r>
      <w:r w:rsidR="0070761F" w:rsidRPr="006E75EE">
        <w:rPr>
          <w:color w:val="auto"/>
          <w:lang w:val="en-US"/>
        </w:rPr>
        <w:t> </w:t>
      </w:r>
      <w:r w:rsidRPr="006E75EE">
        <w:rPr>
          <w:color w:val="auto"/>
        </w:rPr>
        <w:t xml:space="preserve">107(a) and 113 of CERCLA) that they may have for all matters relating to the Site against any person where the person's liability to </w:t>
      </w:r>
      <w:r w:rsidRPr="006E75EE">
        <w:rPr>
          <w:color w:val="auto"/>
          <w:lang w:val="en-US"/>
        </w:rPr>
        <w:t xml:space="preserve">Respondents </w:t>
      </w:r>
      <w:r w:rsidRPr="006E75EE">
        <w:rPr>
          <w:color w:val="auto"/>
        </w:rPr>
        <w:t>with respect to the Site is based solely on having arranged for disposal or treatment, or for transport for disposal or treatment, of MSW at the Site, if the volume of MSW disposed, treated, or transported by such person to the Site did not exceed 0.2% of the total volume of waste at the Site. This waiver does not apply to any claim against any person otherwise covered by such waiver if EPA determines that: (i)</w:t>
      </w:r>
      <w:r w:rsidR="006D17BD" w:rsidRPr="006E75EE">
        <w:rPr>
          <w:color w:val="auto"/>
          <w:lang w:val="en-US"/>
        </w:rPr>
        <w:t> </w:t>
      </w:r>
      <w:r w:rsidRPr="006E75EE">
        <w:rPr>
          <w:color w:val="auto"/>
        </w:rPr>
        <w:t>the materials containing MSW contributed to the Site by such person contributed significantly or could contribute significantly, either individually or in the aggregate, to the cost of the response action or natural resource restoration at the Site; or (ii)</w:t>
      </w:r>
      <w:r w:rsidR="006D17BD" w:rsidRPr="006E75EE">
        <w:rPr>
          <w:color w:val="auto"/>
          <w:lang w:val="en-US"/>
        </w:rPr>
        <w:t> </w:t>
      </w:r>
      <w:r w:rsidRPr="006E75EE">
        <w:rPr>
          <w:color w:val="auto"/>
        </w:rPr>
        <w:t xml:space="preserve">such person has failed to comply with any </w:t>
      </w:r>
      <w:r w:rsidRPr="006E75EE">
        <w:rPr>
          <w:color w:val="auto"/>
        </w:rPr>
        <w:lastRenderedPageBreak/>
        <w:t>information request or administrative subpoena issued under sections</w:t>
      </w:r>
      <w:r w:rsidR="0070761F" w:rsidRPr="006E75EE">
        <w:rPr>
          <w:color w:val="auto"/>
          <w:lang w:val="en-US"/>
        </w:rPr>
        <w:t> </w:t>
      </w:r>
      <w:r w:rsidRPr="006E75EE">
        <w:rPr>
          <w:color w:val="auto"/>
        </w:rPr>
        <w:t>104(e) or 122(e)(3)(B) of CERCLA or section</w:t>
      </w:r>
      <w:r w:rsidR="0070761F" w:rsidRPr="006E75EE">
        <w:rPr>
          <w:color w:val="auto"/>
          <w:lang w:val="en-US"/>
        </w:rPr>
        <w:t> </w:t>
      </w:r>
      <w:r w:rsidRPr="006E75EE">
        <w:rPr>
          <w:color w:val="auto"/>
        </w:rPr>
        <w:t>3007 of RCRA, or has impeded or is impeding, through action or inaction, the performance of a response action or natural resource restoration with respect to the Site. This waiver does not apply with respect to any defense</w:t>
      </w:r>
      <w:r w:rsidR="001B363C">
        <w:rPr>
          <w:color w:val="auto"/>
        </w:rPr>
        <w:t xml:space="preserve"> or </w:t>
      </w:r>
      <w:r w:rsidRPr="006E75EE">
        <w:rPr>
          <w:color w:val="auto"/>
        </w:rPr>
        <w:t xml:space="preserve">claim that a </w:t>
      </w:r>
      <w:r w:rsidRPr="006E75EE">
        <w:rPr>
          <w:color w:val="auto"/>
          <w:lang w:val="en-US"/>
        </w:rPr>
        <w:t xml:space="preserve">Respondent </w:t>
      </w:r>
      <w:r w:rsidRPr="006E75EE">
        <w:rPr>
          <w:color w:val="auto"/>
        </w:rPr>
        <w:t xml:space="preserve">may have against any person otherwise covered by this waiver if such person asserts a claim relating to the Site against such </w:t>
      </w:r>
      <w:r w:rsidRPr="006E75EE">
        <w:rPr>
          <w:color w:val="auto"/>
          <w:lang w:val="en-US"/>
        </w:rPr>
        <w:t>Respondent</w:t>
      </w:r>
      <w:r w:rsidRPr="006E75EE">
        <w:rPr>
          <w:color w:val="auto"/>
        </w:rPr>
        <w:t>.</w:t>
      </w:r>
      <w:r w:rsidR="004F2F08" w:rsidRPr="006E75EE">
        <w:rPr>
          <w:rStyle w:val="FootnoteReference"/>
          <w:color w:val="auto"/>
        </w:rPr>
        <w:footnoteReference w:id="37"/>
      </w:r>
    </w:p>
    <w:p w14:paraId="12F39DFE" w14:textId="579DEF8E" w:rsidR="00350C03" w:rsidRPr="006E75EE" w:rsidRDefault="00F22E67" w:rsidP="00350C03">
      <w:pPr>
        <w:pStyle w:val="LVL1"/>
      </w:pPr>
      <w:r w:rsidRPr="006E75EE">
        <w:t>Respondent</w:t>
      </w:r>
      <w:r w:rsidR="00350C03" w:rsidRPr="006E75EE">
        <w:t>s agree not to seek judicial review of the final rule listing the Site on the NPL based on a claim that changed site conditions that resulted from the performance of the Work in any way affected the basis for listing the Site.</w:t>
      </w:r>
      <w:r w:rsidR="0059651D" w:rsidRPr="006E75EE">
        <w:t>]</w:t>
      </w:r>
    </w:p>
    <w:p w14:paraId="1EC34439" w14:textId="3F3E2FDA" w:rsidR="0004279E" w:rsidRPr="006E75EE" w:rsidRDefault="0059651D" w:rsidP="00350C03">
      <w:pPr>
        <w:pStyle w:val="LVL1"/>
      </w:pPr>
      <w:r w:rsidRPr="006E75EE">
        <w:t>[</w:t>
      </w:r>
      <w:r w:rsidR="0004279E" w:rsidRPr="006E75EE">
        <w:rPr>
          <w:b/>
          <w:bCs/>
        </w:rPr>
        <w:t>Covenant by Settling Federal Agencies.</w:t>
      </w:r>
      <w:r w:rsidR="0004279E" w:rsidRPr="006E75EE">
        <w:t xml:space="preserve"> Settling Federal Agencies shall not seek reimbursement from the Fund through CERCLA or any other law </w:t>
      </w:r>
      <w:r w:rsidR="008D19F2" w:rsidRPr="006E75EE">
        <w:rPr>
          <w:lang w:val="en-US"/>
        </w:rPr>
        <w:t>regarding</w:t>
      </w:r>
      <w:r w:rsidR="001313FB" w:rsidRPr="006E75EE">
        <w:t xml:space="preserve"> the Work, [Past Response Costs,] Future Response Costs.</w:t>
      </w:r>
      <w:r w:rsidR="004F2F08" w:rsidRPr="006E75EE">
        <w:rPr>
          <w:rStyle w:val="FootnoteReference"/>
          <w:color w:val="auto"/>
        </w:rPr>
        <w:footnoteReference w:id="38"/>
      </w:r>
      <w:r w:rsidR="001313FB" w:rsidRPr="006E75EE">
        <w:rPr>
          <w:lang w:val="en-US"/>
        </w:rPr>
        <w:t xml:space="preserve"> </w:t>
      </w:r>
      <w:r w:rsidR="0004279E" w:rsidRPr="006E75EE">
        <w:t xml:space="preserve">This covenant does not preclude demand for reimbursement from the Fund of costs incurred by a Settling Federal Agency in the performance of its duties (other than in accordance with this </w:t>
      </w:r>
      <w:r w:rsidR="001313FB" w:rsidRPr="006E75EE">
        <w:rPr>
          <w:lang w:val="en-US"/>
        </w:rPr>
        <w:t>Settlement</w:t>
      </w:r>
      <w:r w:rsidR="0004279E" w:rsidRPr="006E75EE">
        <w:t>) as lead or support agency under the NCP.</w:t>
      </w:r>
      <w:r w:rsidRPr="006E75EE">
        <w:t>]</w:t>
      </w:r>
    </w:p>
    <w:p w14:paraId="02363CCC" w14:textId="256C6CE5" w:rsidR="008170B1" w:rsidRPr="006E75EE" w:rsidRDefault="008170B1" w:rsidP="002B7658">
      <w:pPr>
        <w:pStyle w:val="Heading1"/>
      </w:pPr>
      <w:bookmarkStart w:id="218" w:name="_Toc80599620"/>
      <w:bookmarkStart w:id="219" w:name="_Toc184899549"/>
      <w:bookmarkEnd w:id="211"/>
      <w:bookmarkEnd w:id="212"/>
      <w:r w:rsidRPr="006E75EE">
        <w:t>EFFECT OF SETTLEMENT</w:t>
      </w:r>
      <w:r w:rsidR="0067660A" w:rsidRPr="006E75EE">
        <w:rPr>
          <w:lang w:val="en-US"/>
        </w:rPr>
        <w:t xml:space="preserve">; </w:t>
      </w:r>
      <w:r w:rsidRPr="006E75EE">
        <w:t>CONTRIBUTION</w:t>
      </w:r>
      <w:bookmarkEnd w:id="218"/>
      <w:bookmarkEnd w:id="219"/>
    </w:p>
    <w:p w14:paraId="73F8593C" w14:textId="2A63FCD1" w:rsidR="009A6AA3" w:rsidRPr="006E75EE" w:rsidRDefault="009A6AA3" w:rsidP="009A6AA3">
      <w:pPr>
        <w:pStyle w:val="LVL1"/>
      </w:pPr>
      <w:bookmarkStart w:id="220" w:name="_Ref326219447"/>
      <w:bookmarkStart w:id="221" w:name="_Ref76752981"/>
      <w:r w:rsidRPr="006E75EE">
        <w:t>The Parties agree that: (a)</w:t>
      </w:r>
      <w:r w:rsidR="00226D58" w:rsidRPr="006E75EE">
        <w:rPr>
          <w:lang w:val="en-US"/>
        </w:rPr>
        <w:t> </w:t>
      </w:r>
      <w:r w:rsidRPr="006E75EE">
        <w:t>this Settlement constitutes a</w:t>
      </w:r>
      <w:r w:rsidR="00FE2F66" w:rsidRPr="006E75EE">
        <w:rPr>
          <w:lang w:val="en-US"/>
        </w:rPr>
        <w:t>n administrative</w:t>
      </w:r>
      <w:r w:rsidRPr="006E75EE">
        <w:t xml:space="preserve"> settlement under which each </w:t>
      </w:r>
      <w:r w:rsidR="00F22E67" w:rsidRPr="006E75EE">
        <w:rPr>
          <w:lang w:val="en-US"/>
        </w:rPr>
        <w:t>Respondent</w:t>
      </w:r>
      <w:r w:rsidR="00272252" w:rsidRPr="006E75EE">
        <w:rPr>
          <w:lang w:val="en-US"/>
        </w:rPr>
        <w:t xml:space="preserve"> </w:t>
      </w:r>
      <w:r w:rsidR="00534585" w:rsidRPr="006E75EE">
        <w:rPr>
          <w:lang w:val="en-US"/>
        </w:rPr>
        <w:t>[</w:t>
      </w:r>
      <w:r w:rsidR="00272252" w:rsidRPr="006E75EE">
        <w:t xml:space="preserve">and each </w:t>
      </w:r>
      <w:r w:rsidR="00396A04" w:rsidRPr="006E75EE">
        <w:rPr>
          <w:lang w:val="en-US"/>
        </w:rPr>
        <w:t>Settling Federal Agency</w:t>
      </w:r>
      <w:r w:rsidR="00534585" w:rsidRPr="006E75EE">
        <w:rPr>
          <w:lang w:val="en-US"/>
        </w:rPr>
        <w:t>]</w:t>
      </w:r>
      <w:r w:rsidR="00396A04" w:rsidRPr="006E75EE">
        <w:rPr>
          <w:lang w:val="en-US"/>
        </w:rPr>
        <w:t xml:space="preserve"> </w:t>
      </w:r>
      <w:r w:rsidRPr="006E75EE">
        <w:t xml:space="preserve">has, as of the Effective Date, resolved its liability to </w:t>
      </w:r>
      <w:r w:rsidR="00FE2F66" w:rsidRPr="006E75EE">
        <w:rPr>
          <w:lang w:val="en-US"/>
        </w:rPr>
        <w:t xml:space="preserve">the United States </w:t>
      </w:r>
      <w:r w:rsidRPr="006E75EE">
        <w:t>within the meaning of sections</w:t>
      </w:r>
      <w:r w:rsidR="0070761F" w:rsidRPr="006E75EE">
        <w:rPr>
          <w:lang w:val="en-US"/>
        </w:rPr>
        <w:t> </w:t>
      </w:r>
      <w:r w:rsidRPr="006E75EE">
        <w:t>113(f)(2)</w:t>
      </w:r>
      <w:r w:rsidR="000A4518" w:rsidRPr="006E75EE">
        <w:rPr>
          <w:lang w:val="en-US"/>
        </w:rPr>
        <w:t>,</w:t>
      </w:r>
      <w:r w:rsidR="00B44784" w:rsidRPr="006E75EE">
        <w:rPr>
          <w:lang w:val="en-US"/>
        </w:rPr>
        <w:t xml:space="preserve"> </w:t>
      </w:r>
      <w:r w:rsidR="00FE2F66" w:rsidRPr="006E75EE">
        <w:t>113(f)(3)(B)</w:t>
      </w:r>
      <w:r w:rsidR="003D70EC" w:rsidRPr="006E75EE">
        <w:rPr>
          <w:lang w:val="en-US"/>
        </w:rPr>
        <w:t>, and 122(h)(4)</w:t>
      </w:r>
      <w:r w:rsidR="00FE2F66" w:rsidRPr="006E75EE">
        <w:t xml:space="preserve"> of CERCLA</w:t>
      </w:r>
      <w:r w:rsidR="003D70EC" w:rsidRPr="006E75EE">
        <w:rPr>
          <w:lang w:val="en-US"/>
        </w:rPr>
        <w:t xml:space="preserve">; </w:t>
      </w:r>
      <w:r w:rsidR="00B44784" w:rsidRPr="006E75EE">
        <w:rPr>
          <w:lang w:val="en-US"/>
        </w:rPr>
        <w:t xml:space="preserve">and </w:t>
      </w:r>
      <w:r w:rsidR="00FE2F66" w:rsidRPr="006E75EE">
        <w:t>(b</w:t>
      </w:r>
      <w:r w:rsidRPr="006E75EE">
        <w:t>)</w:t>
      </w:r>
      <w:r w:rsidR="00276366" w:rsidRPr="006E75EE">
        <w:rPr>
          <w:lang w:val="en-US"/>
        </w:rPr>
        <w:t> </w:t>
      </w:r>
      <w:r w:rsidRPr="006E75EE">
        <w:t xml:space="preserve">each </w:t>
      </w:r>
      <w:r w:rsidR="00F22E67" w:rsidRPr="006E75EE">
        <w:rPr>
          <w:lang w:val="en-US"/>
        </w:rPr>
        <w:t xml:space="preserve">Respondent </w:t>
      </w:r>
      <w:r w:rsidR="00534585" w:rsidRPr="006E75EE">
        <w:rPr>
          <w:lang w:val="en-US"/>
        </w:rPr>
        <w:t>[</w:t>
      </w:r>
      <w:r w:rsidR="00A16C79" w:rsidRPr="006E75EE">
        <w:t xml:space="preserve">and each </w:t>
      </w:r>
      <w:r w:rsidR="00396A04" w:rsidRPr="006E75EE">
        <w:rPr>
          <w:lang w:val="en-US"/>
        </w:rPr>
        <w:t>Settling Federal Agency</w:t>
      </w:r>
      <w:r w:rsidR="00534585" w:rsidRPr="006E75EE">
        <w:rPr>
          <w:lang w:val="en-US"/>
        </w:rPr>
        <w:t>]</w:t>
      </w:r>
      <w:r w:rsidR="00396A04" w:rsidRPr="006E75EE">
        <w:rPr>
          <w:lang w:val="en-US"/>
        </w:rPr>
        <w:t xml:space="preserve"> </w:t>
      </w:r>
      <w:r w:rsidRPr="006E75EE">
        <w:t xml:space="preserve">is entitled, as of the Effective Date, to protection from contribution actions or claims as provided by </w:t>
      </w:r>
      <w:r w:rsidR="0070761F" w:rsidRPr="006E75EE">
        <w:t>section</w:t>
      </w:r>
      <w:r w:rsidR="0070761F" w:rsidRPr="006E75EE">
        <w:rPr>
          <w:lang w:val="en-US"/>
        </w:rPr>
        <w:t>s </w:t>
      </w:r>
      <w:r w:rsidRPr="006E75EE">
        <w:t>113(f)(2</w:t>
      </w:r>
      <w:r w:rsidR="00BF42A0" w:rsidRPr="006E75EE">
        <w:t>) and 122(h)(4</w:t>
      </w:r>
      <w:r w:rsidRPr="006E75EE">
        <w:t xml:space="preserve">) of CERCLA, or as may be otherwise provided by law, for the </w:t>
      </w:r>
      <w:r w:rsidR="00FE2F66" w:rsidRPr="006E75EE">
        <w:rPr>
          <w:lang w:val="en-US"/>
        </w:rPr>
        <w:t>“</w:t>
      </w:r>
      <w:r w:rsidRPr="006E75EE">
        <w:t>matters addressed</w:t>
      </w:r>
      <w:r w:rsidR="00FE2F66" w:rsidRPr="006E75EE">
        <w:rPr>
          <w:lang w:val="en-US"/>
        </w:rPr>
        <w:t>”</w:t>
      </w:r>
      <w:r w:rsidR="00FE2F66" w:rsidRPr="006E75EE">
        <w:t xml:space="preserve"> in this Settlement. The “matters addressed”</w:t>
      </w:r>
      <w:r w:rsidR="001C0548" w:rsidRPr="006E75EE">
        <w:t xml:space="preserve"> in this Settlement are </w:t>
      </w:r>
      <w:r w:rsidRPr="006E75EE">
        <w:t>the Work</w:t>
      </w:r>
      <w:r w:rsidR="001C0548" w:rsidRPr="006E75EE">
        <w:rPr>
          <w:lang w:val="en-US"/>
        </w:rPr>
        <w:t xml:space="preserve"> [</w:t>
      </w:r>
      <w:r w:rsidRPr="006E75EE">
        <w:t>, Past Response Costs,</w:t>
      </w:r>
      <w:r w:rsidR="001C0548" w:rsidRPr="006E75EE">
        <w:rPr>
          <w:lang w:val="en-US"/>
        </w:rPr>
        <w:t>]</w:t>
      </w:r>
      <w:r w:rsidRPr="006E75EE">
        <w:t xml:space="preserve"> and Future Respons</w:t>
      </w:r>
      <w:r w:rsidR="00FE2F66" w:rsidRPr="006E75EE">
        <w:t>e Costs</w:t>
      </w:r>
      <w:r w:rsidRPr="006E75EE">
        <w:t>,</w:t>
      </w:r>
      <w:r w:rsidR="004F2F08" w:rsidRPr="006E75EE">
        <w:rPr>
          <w:rStyle w:val="FootnoteReference"/>
          <w:color w:val="auto"/>
        </w:rPr>
        <w:footnoteReference w:id="39"/>
      </w:r>
      <w:r w:rsidRPr="006E75EE">
        <w:t xml:space="preserve"> provided, however, that if the </w:t>
      </w:r>
      <w:r w:rsidR="00FE2F66" w:rsidRPr="006E75EE">
        <w:t xml:space="preserve">United States exercises rights </w:t>
      </w:r>
      <w:r w:rsidR="00220A97" w:rsidRPr="006E75EE">
        <w:t xml:space="preserve">against </w:t>
      </w:r>
      <w:r w:rsidR="00AB11F9" w:rsidRPr="006E75EE">
        <w:rPr>
          <w:lang w:val="en-US"/>
        </w:rPr>
        <w:t>Respondents</w:t>
      </w:r>
      <w:r w:rsidR="00220A97" w:rsidRPr="006E75EE">
        <w:t xml:space="preserve"> </w:t>
      </w:r>
      <w:r w:rsidR="0059651D" w:rsidRPr="006E75EE">
        <w:t>[</w:t>
      </w:r>
      <w:r w:rsidR="00220A97" w:rsidRPr="006E75EE">
        <w:t>(or if EPA [or the State] assert</w:t>
      </w:r>
      <w:r w:rsidR="006F488B">
        <w:t>[s]</w:t>
      </w:r>
      <w:r w:rsidR="00220A97" w:rsidRPr="006E75EE">
        <w:t xml:space="preserve"> rights against Settling Federal Agencies)</w:t>
      </w:r>
      <w:r w:rsidR="0059651D" w:rsidRPr="006E75EE">
        <w:t>]</w:t>
      </w:r>
      <w:r w:rsidR="00220A97" w:rsidRPr="006E75EE">
        <w:t xml:space="preserve"> </w:t>
      </w:r>
      <w:r w:rsidRPr="006E75EE">
        <w:t xml:space="preserve">under the reservations in </w:t>
      </w:r>
      <w:r w:rsidR="00FE2F66" w:rsidRPr="006E75EE">
        <w:rPr>
          <w:lang w:val="en-US"/>
        </w:rPr>
        <w:t>¶¶</w:t>
      </w:r>
      <w:r w:rsidR="0070761F" w:rsidRPr="006E75EE">
        <w:rPr>
          <w:lang w:val="en-US"/>
        </w:rPr>
        <w:t> </w:t>
      </w:r>
      <w:r w:rsidR="001C0548" w:rsidRPr="006E75EE">
        <w:rPr>
          <w:lang w:val="en-US"/>
        </w:rPr>
        <w:fldChar w:fldCharType="begin"/>
      </w:r>
      <w:r w:rsidR="001C0548" w:rsidRPr="006E75EE">
        <w:rPr>
          <w:lang w:val="en-US"/>
        </w:rPr>
        <w:instrText xml:space="preserve"> REF _Ref326219296 \w \h </w:instrText>
      </w:r>
      <w:r w:rsidR="00202967" w:rsidRPr="006E75EE">
        <w:rPr>
          <w:lang w:val="en-US"/>
        </w:rPr>
        <w:instrText xml:space="preserve"> \* MERGEFORMAT </w:instrText>
      </w:r>
      <w:r w:rsidR="001C0548" w:rsidRPr="006E75EE">
        <w:rPr>
          <w:lang w:val="en-US"/>
        </w:rPr>
      </w:r>
      <w:r w:rsidR="001C0548" w:rsidRPr="006E75EE">
        <w:rPr>
          <w:lang w:val="en-US"/>
        </w:rPr>
        <w:fldChar w:fldCharType="separate"/>
      </w:r>
      <w:r w:rsidR="009166B4" w:rsidRPr="006E75EE">
        <w:rPr>
          <w:lang w:val="en-US"/>
        </w:rPr>
        <w:t>65.a</w:t>
      </w:r>
      <w:r w:rsidR="001C0548" w:rsidRPr="006E75EE">
        <w:rPr>
          <w:lang w:val="en-US"/>
        </w:rPr>
        <w:fldChar w:fldCharType="end"/>
      </w:r>
      <w:r w:rsidR="001C0548" w:rsidRPr="006E75EE">
        <w:rPr>
          <w:lang w:val="en-US"/>
        </w:rPr>
        <w:t xml:space="preserve"> through </w:t>
      </w:r>
      <w:r w:rsidR="001C0548" w:rsidRPr="006E75EE">
        <w:rPr>
          <w:lang w:val="en-US"/>
        </w:rPr>
        <w:fldChar w:fldCharType="begin"/>
      </w:r>
      <w:r w:rsidR="001C0548" w:rsidRPr="006E75EE">
        <w:rPr>
          <w:lang w:val="en-US"/>
        </w:rPr>
        <w:instrText xml:space="preserve"> REF _Ref79423034 \w \h </w:instrText>
      </w:r>
      <w:r w:rsidR="00202967" w:rsidRPr="006E75EE">
        <w:rPr>
          <w:lang w:val="en-US"/>
        </w:rPr>
        <w:instrText xml:space="preserve"> \* MERGEFORMAT </w:instrText>
      </w:r>
      <w:r w:rsidR="001C0548" w:rsidRPr="006E75EE">
        <w:rPr>
          <w:lang w:val="en-US"/>
        </w:rPr>
      </w:r>
      <w:r w:rsidR="001C0548" w:rsidRPr="006E75EE">
        <w:rPr>
          <w:lang w:val="en-US"/>
        </w:rPr>
        <w:fldChar w:fldCharType="separate"/>
      </w:r>
      <w:r w:rsidR="009166B4" w:rsidRPr="006E75EE">
        <w:rPr>
          <w:lang w:val="en-US"/>
        </w:rPr>
        <w:t>65.d</w:t>
      </w:r>
      <w:r w:rsidR="001C0548" w:rsidRPr="006E75EE">
        <w:rPr>
          <w:lang w:val="en-US"/>
        </w:rPr>
        <w:fldChar w:fldCharType="end"/>
      </w:r>
      <w:r w:rsidRPr="006E75EE">
        <w:t xml:space="preserve">, the </w:t>
      </w:r>
      <w:r w:rsidR="00FE2F66" w:rsidRPr="006E75EE">
        <w:rPr>
          <w:lang w:val="en-US"/>
        </w:rPr>
        <w:t>“</w:t>
      </w:r>
      <w:r w:rsidR="00FE2F66" w:rsidRPr="006E75EE">
        <w:t>matters addressed”</w:t>
      </w:r>
      <w:r w:rsidRPr="006E75EE">
        <w:t xml:space="preserve"> in this Settlement </w:t>
      </w:r>
      <w:r w:rsidR="00D96537" w:rsidRPr="006E75EE">
        <w:rPr>
          <w:lang w:val="en-US"/>
        </w:rPr>
        <w:t>do not</w:t>
      </w:r>
      <w:r w:rsidRPr="006E75EE">
        <w:t xml:space="preserve"> include those response costs or response actions that are within the </w:t>
      </w:r>
      <w:bookmarkEnd w:id="220"/>
      <w:r w:rsidRPr="006E75EE">
        <w:t>scope of the exercised reservation.</w:t>
      </w:r>
      <w:bookmarkEnd w:id="221"/>
    </w:p>
    <w:p w14:paraId="19844391" w14:textId="4223573D" w:rsidR="009A6AA3" w:rsidRPr="006E75EE" w:rsidRDefault="009A6AA3" w:rsidP="009A6AA3">
      <w:pPr>
        <w:pStyle w:val="LVL1"/>
      </w:pPr>
      <w:r w:rsidRPr="006E75EE">
        <w:t xml:space="preserve">Each </w:t>
      </w:r>
      <w:r w:rsidR="00FE2F66" w:rsidRPr="006E75EE">
        <w:rPr>
          <w:lang w:val="en-US"/>
        </w:rPr>
        <w:t>Respondent</w:t>
      </w:r>
      <w:r w:rsidRPr="006E75EE">
        <w:t xml:space="preserve"> shall, with respect to any suit or claim brought by it for matters related to this Settlement, notify EPA no later than 60</w:t>
      </w:r>
      <w:r w:rsidR="0070761F" w:rsidRPr="006E75EE">
        <w:rPr>
          <w:lang w:val="en-US"/>
        </w:rPr>
        <w:t> </w:t>
      </w:r>
      <w:r w:rsidRPr="006E75EE">
        <w:t xml:space="preserve">days prior to the initiation of such suit or claim. Each </w:t>
      </w:r>
      <w:r w:rsidR="00FE2F66" w:rsidRPr="006E75EE">
        <w:rPr>
          <w:lang w:val="en-US"/>
        </w:rPr>
        <w:t>Respondent s</w:t>
      </w:r>
      <w:r w:rsidRPr="006E75EE">
        <w:t xml:space="preserve">hall, with respect to any suit or claim brought </w:t>
      </w:r>
      <w:r w:rsidRPr="006E75EE">
        <w:lastRenderedPageBreak/>
        <w:t>against it for matters related to this Settlement, notify EPA within 10</w:t>
      </w:r>
      <w:r w:rsidR="0070761F" w:rsidRPr="006E75EE">
        <w:rPr>
          <w:lang w:val="en-US"/>
        </w:rPr>
        <w:t> </w:t>
      </w:r>
      <w:r w:rsidRPr="006E75EE">
        <w:t xml:space="preserve">days after service of the complaint on such </w:t>
      </w:r>
      <w:r w:rsidR="00FE2F66" w:rsidRPr="006E75EE">
        <w:rPr>
          <w:lang w:val="en-US"/>
        </w:rPr>
        <w:t>Respondent</w:t>
      </w:r>
      <w:r w:rsidRPr="006E75EE">
        <w:t xml:space="preserve">. In addition, each </w:t>
      </w:r>
      <w:r w:rsidR="00FE2F66" w:rsidRPr="006E75EE">
        <w:rPr>
          <w:lang w:val="en-US"/>
        </w:rPr>
        <w:t xml:space="preserve">Respondent </w:t>
      </w:r>
      <w:r w:rsidRPr="006E75EE">
        <w:t>shall notify EPA within 10</w:t>
      </w:r>
      <w:r w:rsidR="0070761F" w:rsidRPr="006E75EE">
        <w:rPr>
          <w:lang w:val="en-US"/>
        </w:rPr>
        <w:t> </w:t>
      </w:r>
      <w:r w:rsidRPr="006E75EE">
        <w:t>days after service or receipt of any Motion for Summary Judgment and within 10</w:t>
      </w:r>
      <w:r w:rsidR="0070761F" w:rsidRPr="006E75EE">
        <w:rPr>
          <w:lang w:val="en-US"/>
        </w:rPr>
        <w:t> </w:t>
      </w:r>
      <w:r w:rsidRPr="006E75EE">
        <w:t>days after receipt of any order from a court setting a case for trial.</w:t>
      </w:r>
    </w:p>
    <w:p w14:paraId="0220D364" w14:textId="59F835E2" w:rsidR="009A6AA3" w:rsidRPr="006E75EE" w:rsidRDefault="009A6AA3" w:rsidP="009A6AA3">
      <w:pPr>
        <w:pStyle w:val="LVL1"/>
      </w:pPr>
      <w:r w:rsidRPr="006E75EE">
        <w:rPr>
          <w:b/>
        </w:rPr>
        <w:t>Res Judicata and Other Defenses</w:t>
      </w:r>
      <w:r w:rsidRPr="006E75EE">
        <w:t xml:space="preserve">. </w:t>
      </w:r>
      <w:bookmarkStart w:id="222" w:name="_Ref403974001"/>
      <w:r w:rsidRPr="006E75EE">
        <w:t xml:space="preserve">In any subsequent administrative or judicial proceeding initiated against any </w:t>
      </w:r>
      <w:r w:rsidR="00FE2F66" w:rsidRPr="006E75EE">
        <w:rPr>
          <w:lang w:val="en-US"/>
        </w:rPr>
        <w:t>Respondent</w:t>
      </w:r>
      <w:r w:rsidRPr="006E75EE">
        <w:t xml:space="preserve"> by </w:t>
      </w:r>
      <w:r w:rsidR="00FE2F66" w:rsidRPr="006E75EE">
        <w:rPr>
          <w:lang w:val="en-US"/>
        </w:rPr>
        <w:t xml:space="preserve">EPA or by the United States on behalf of EPA </w:t>
      </w:r>
      <w:r w:rsidRPr="006E75EE">
        <w:t>for injunctive relief, recovery of response costs, or other appropriate relief relating to the Site, Respondents shall not assert, and may not maintain, any defense or claim based upon the principles of waiver, claim preclusion (res judicata), issue preclusion (collateral estoppel), claim-splitting, or other defenses based upon any contention that the claims raised by the United States in the subsequent proceeding were or should have been brought in the instant case</w:t>
      </w:r>
      <w:bookmarkEnd w:id="222"/>
      <w:r w:rsidRPr="006E75EE">
        <w:t>.</w:t>
      </w:r>
    </w:p>
    <w:p w14:paraId="12DD30AE" w14:textId="50650655" w:rsidR="009A6AA3" w:rsidRPr="006E75EE" w:rsidRDefault="009A6AA3" w:rsidP="00354BA6">
      <w:pPr>
        <w:pStyle w:val="LVL1"/>
      </w:pPr>
      <w:bookmarkStart w:id="223" w:name="_Ref403974053"/>
      <w:bookmarkStart w:id="224" w:name="_Ref408843438"/>
      <w:r w:rsidRPr="006E75EE">
        <w:t>Nothing in this Settlement diminishes the right of the United States</w:t>
      </w:r>
      <w:r w:rsidR="00C20C72">
        <w:rPr>
          <w:rStyle w:val="FootnoteReference"/>
        </w:rPr>
        <w:footnoteReference w:id="40"/>
      </w:r>
      <w:r w:rsidRPr="006E75EE">
        <w:t xml:space="preserve"> under section</w:t>
      </w:r>
      <w:r w:rsidR="00354BA6" w:rsidRPr="006E75EE">
        <w:rPr>
          <w:lang w:val="en-US"/>
        </w:rPr>
        <w:t>s</w:t>
      </w:r>
      <w:r w:rsidR="0070761F" w:rsidRPr="006E75EE">
        <w:rPr>
          <w:lang w:val="en-US"/>
        </w:rPr>
        <w:t> </w:t>
      </w:r>
      <w:r w:rsidRPr="006E75EE">
        <w:t xml:space="preserve">113(f)(3) of CERCLA to pursue any person not a party to this Settlement to obtain additional response costs or response action and to enter into settlements that give rise to contribution protection </w:t>
      </w:r>
      <w:r w:rsidR="006F488B">
        <w:t>under</w:t>
      </w:r>
      <w:r w:rsidRPr="006E75EE">
        <w:t xml:space="preserve"> section</w:t>
      </w:r>
      <w:r w:rsidR="0070761F" w:rsidRPr="006E75EE">
        <w:rPr>
          <w:lang w:val="en-US"/>
        </w:rPr>
        <w:t> </w:t>
      </w:r>
      <w:r w:rsidRPr="006E75EE">
        <w:t>113(f)(2).</w:t>
      </w:r>
    </w:p>
    <w:p w14:paraId="36AAE846" w14:textId="5616B1B7" w:rsidR="00237974" w:rsidRPr="006E75EE" w:rsidRDefault="00237974" w:rsidP="00237974">
      <w:pPr>
        <w:pStyle w:val="LVL1"/>
      </w:pPr>
      <w:r w:rsidRPr="006E75EE">
        <w:t xml:space="preserve">Effective upon signature of this Settlement by a Respondent, such Respondent agrees that the time period commencing on the date of its signature and ending </w:t>
      </w:r>
      <w:r w:rsidR="00354BA6" w:rsidRPr="006E75EE">
        <w:rPr>
          <w:lang w:val="en-US"/>
        </w:rPr>
        <w:t xml:space="preserve">when </w:t>
      </w:r>
      <w:r w:rsidRPr="006E75EE">
        <w:t>EPA receives from such Respondent the p</w:t>
      </w:r>
      <w:r w:rsidR="00FE2F66" w:rsidRPr="006E75EE">
        <w:t xml:space="preserve">ayment(s) required by </w:t>
      </w:r>
      <w:r w:rsidR="00354BA6" w:rsidRPr="006E75EE">
        <w:rPr>
          <w:lang w:val="en-US"/>
        </w:rPr>
        <w:t>¶</w:t>
      </w:r>
      <w:r w:rsidR="0070761F" w:rsidRPr="006E75EE">
        <w:rPr>
          <w:lang w:val="en-US"/>
        </w:rPr>
        <w:t> </w:t>
      </w:r>
      <w:r w:rsidR="00645E41" w:rsidRPr="006E75EE">
        <w:rPr>
          <w:lang w:val="en-US"/>
        </w:rPr>
        <w:fldChar w:fldCharType="begin"/>
      </w:r>
      <w:r w:rsidR="00645E41" w:rsidRPr="006E75EE">
        <w:rPr>
          <w:lang w:val="en-US"/>
        </w:rPr>
        <w:instrText xml:space="preserve"> REF _Ref76740162 \r \h </w:instrText>
      </w:r>
      <w:r w:rsidR="006E75EE">
        <w:rPr>
          <w:lang w:val="en-US"/>
        </w:rPr>
        <w:instrText xml:space="preserve"> \* MERGEFORMAT </w:instrText>
      </w:r>
      <w:r w:rsidR="00645E41" w:rsidRPr="006E75EE">
        <w:rPr>
          <w:lang w:val="en-US"/>
        </w:rPr>
      </w:r>
      <w:r w:rsidR="00645E41" w:rsidRPr="006E75EE">
        <w:rPr>
          <w:lang w:val="en-US"/>
        </w:rPr>
        <w:fldChar w:fldCharType="separate"/>
      </w:r>
      <w:r w:rsidR="009166B4" w:rsidRPr="006E75EE">
        <w:rPr>
          <w:lang w:val="en-US"/>
        </w:rPr>
        <w:t>41</w:t>
      </w:r>
      <w:r w:rsidR="00645E41" w:rsidRPr="006E75EE">
        <w:rPr>
          <w:lang w:val="en-US"/>
        </w:rPr>
        <w:fldChar w:fldCharType="end"/>
      </w:r>
      <w:r w:rsidRPr="006E75EE">
        <w:t xml:space="preserve"> (Payment for Past Response Costs) shall not be included in computing the running of any statute of limitations potentially applicable to any action brought by the United States related to the “matters addressed” as defined in </w:t>
      </w:r>
      <w:r w:rsidR="00354BA6" w:rsidRPr="006E75EE">
        <w:rPr>
          <w:lang w:val="en-US"/>
        </w:rPr>
        <w:t>¶</w:t>
      </w:r>
      <w:r w:rsidR="0070761F" w:rsidRPr="006E75EE">
        <w:rPr>
          <w:lang w:val="en-US"/>
        </w:rPr>
        <w:t> </w:t>
      </w:r>
      <w:r w:rsidR="00645E41" w:rsidRPr="006E75EE">
        <w:rPr>
          <w:lang w:val="en-US"/>
        </w:rPr>
        <w:fldChar w:fldCharType="begin"/>
      </w:r>
      <w:r w:rsidR="00645E41" w:rsidRPr="006E75EE">
        <w:rPr>
          <w:lang w:val="en-US"/>
        </w:rPr>
        <w:instrText xml:space="preserve"> REF _Ref76752981 \r \h </w:instrText>
      </w:r>
      <w:r w:rsidR="006E75EE">
        <w:rPr>
          <w:lang w:val="en-US"/>
        </w:rPr>
        <w:instrText xml:space="preserve"> \* MERGEFORMAT </w:instrText>
      </w:r>
      <w:r w:rsidR="00645E41" w:rsidRPr="006E75EE">
        <w:rPr>
          <w:lang w:val="en-US"/>
        </w:rPr>
      </w:r>
      <w:r w:rsidR="00645E41" w:rsidRPr="006E75EE">
        <w:rPr>
          <w:lang w:val="en-US"/>
        </w:rPr>
        <w:fldChar w:fldCharType="separate"/>
      </w:r>
      <w:r w:rsidR="009166B4" w:rsidRPr="006E75EE">
        <w:rPr>
          <w:lang w:val="en-US"/>
        </w:rPr>
        <w:t>74</w:t>
      </w:r>
      <w:r w:rsidR="00645E41" w:rsidRPr="006E75EE">
        <w:rPr>
          <w:lang w:val="en-US"/>
        </w:rPr>
        <w:fldChar w:fldCharType="end"/>
      </w:r>
      <w:r w:rsidRPr="006E75EE">
        <w:t xml:space="preserve"> and that, in any action brought by the United States related to the “matters addressed,” such Respondent will not assert, and may not maintain, any defense or claim based upon principles of statute of limitations, waiver, laches, estoppel, or other defense based on the passage of time during such period. If EPA </w:t>
      </w:r>
      <w:r w:rsidR="00354BA6" w:rsidRPr="006E75EE">
        <w:t xml:space="preserve">notifies </w:t>
      </w:r>
      <w:r w:rsidRPr="006E75EE">
        <w:t>Respondents that it will not make this Settlement effective</w:t>
      </w:r>
      <w:r w:rsidR="00354BA6" w:rsidRPr="006E75EE">
        <w:rPr>
          <w:lang w:val="en-US"/>
        </w:rPr>
        <w:t>, as authorized in ¶</w:t>
      </w:r>
      <w:r w:rsidR="0070761F" w:rsidRPr="006E75EE">
        <w:rPr>
          <w:lang w:val="en-US"/>
        </w:rPr>
        <w:t> </w:t>
      </w:r>
      <w:r w:rsidR="00794915" w:rsidRPr="006E75EE">
        <w:rPr>
          <w:lang w:val="en-US"/>
        </w:rPr>
        <w:fldChar w:fldCharType="begin"/>
      </w:r>
      <w:r w:rsidR="00794915" w:rsidRPr="006E75EE">
        <w:rPr>
          <w:lang w:val="en-US"/>
        </w:rPr>
        <w:instrText xml:space="preserve"> REF _Ref162195497 \r \h </w:instrText>
      </w:r>
      <w:r w:rsidR="006E75EE">
        <w:rPr>
          <w:lang w:val="en-US"/>
        </w:rPr>
        <w:instrText xml:space="preserve"> \* MERGEFORMAT </w:instrText>
      </w:r>
      <w:r w:rsidR="00794915" w:rsidRPr="006E75EE">
        <w:rPr>
          <w:lang w:val="en-US"/>
        </w:rPr>
      </w:r>
      <w:r w:rsidR="00794915" w:rsidRPr="006E75EE">
        <w:rPr>
          <w:lang w:val="en-US"/>
        </w:rPr>
        <w:fldChar w:fldCharType="separate"/>
      </w:r>
      <w:r w:rsidR="009166B4" w:rsidRPr="006E75EE">
        <w:rPr>
          <w:lang w:val="en-US"/>
        </w:rPr>
        <w:t>93</w:t>
      </w:r>
      <w:r w:rsidR="00794915" w:rsidRPr="006E75EE">
        <w:rPr>
          <w:lang w:val="en-US"/>
        </w:rPr>
        <w:fldChar w:fldCharType="end"/>
      </w:r>
      <w:r w:rsidRPr="006E75EE">
        <w:t xml:space="preserve">, the </w:t>
      </w:r>
      <w:r w:rsidR="00354BA6" w:rsidRPr="006E75EE">
        <w:rPr>
          <w:lang w:val="en-US"/>
        </w:rPr>
        <w:t xml:space="preserve">tolling period ends </w:t>
      </w:r>
      <w:r w:rsidRPr="006E75EE">
        <w:t>90</w:t>
      </w:r>
      <w:r w:rsidR="004C7C1B" w:rsidRPr="006E75EE">
        <w:rPr>
          <w:lang w:val="en-US"/>
        </w:rPr>
        <w:t> </w:t>
      </w:r>
      <w:r w:rsidRPr="006E75EE">
        <w:t xml:space="preserve">days after the date </w:t>
      </w:r>
      <w:r w:rsidR="00354BA6" w:rsidRPr="006E75EE">
        <w:rPr>
          <w:lang w:val="en-US"/>
        </w:rPr>
        <w:t xml:space="preserve">of </w:t>
      </w:r>
      <w:r w:rsidRPr="006E75EE">
        <w:t>such notice</w:t>
      </w:r>
      <w:bookmarkEnd w:id="223"/>
      <w:bookmarkEnd w:id="224"/>
      <w:r w:rsidRPr="006E75EE">
        <w:t>.</w:t>
      </w:r>
    </w:p>
    <w:p w14:paraId="167BA634" w14:textId="45CA4FB7" w:rsidR="00F71F83" w:rsidRPr="006E75EE" w:rsidRDefault="00F71F83" w:rsidP="00F71F83">
      <w:pPr>
        <w:pStyle w:val="Heading1"/>
      </w:pPr>
      <w:bookmarkStart w:id="225" w:name="_Ref76910990"/>
      <w:bookmarkStart w:id="226" w:name="_Ref326220583"/>
      <w:bookmarkStart w:id="227" w:name="_Toc404318366"/>
      <w:bookmarkStart w:id="228" w:name="_Toc80599621"/>
      <w:bookmarkStart w:id="229" w:name="_Toc184899550"/>
      <w:bookmarkEnd w:id="56"/>
      <w:bookmarkEnd w:id="62"/>
      <w:bookmarkEnd w:id="63"/>
      <w:r w:rsidRPr="006E75EE">
        <w:t>RECORDS</w:t>
      </w:r>
      <w:bookmarkEnd w:id="225"/>
      <w:bookmarkEnd w:id="226"/>
      <w:bookmarkEnd w:id="227"/>
      <w:bookmarkEnd w:id="228"/>
      <w:bookmarkEnd w:id="229"/>
    </w:p>
    <w:p w14:paraId="07D738DC" w14:textId="17457F9E" w:rsidR="001802CA" w:rsidRPr="006E75EE" w:rsidRDefault="001802CA" w:rsidP="001802CA">
      <w:pPr>
        <w:pStyle w:val="LVL1"/>
      </w:pPr>
      <w:bookmarkStart w:id="230" w:name="_Ref355945833"/>
      <w:r w:rsidRPr="006E75EE">
        <w:rPr>
          <w:b/>
          <w:lang w:val="en-US"/>
        </w:rPr>
        <w:t xml:space="preserve">Respondents </w:t>
      </w:r>
      <w:r w:rsidRPr="006E75EE">
        <w:rPr>
          <w:b/>
        </w:rPr>
        <w:t>Certification</w:t>
      </w:r>
      <w:r w:rsidRPr="006E75EE">
        <w:t xml:space="preserve">. Each </w:t>
      </w:r>
      <w:r w:rsidRPr="006E75EE">
        <w:rPr>
          <w:lang w:val="en-US"/>
        </w:rPr>
        <w:t xml:space="preserve">Respondent </w:t>
      </w:r>
      <w:bookmarkEnd w:id="230"/>
      <w:r w:rsidRPr="006E75EE">
        <w:t>certifies individually that: (a)</w:t>
      </w:r>
      <w:r w:rsidR="0070761F" w:rsidRPr="006E75EE">
        <w:rPr>
          <w:lang w:val="en-US"/>
        </w:rPr>
        <w:t> </w:t>
      </w:r>
      <w:r w:rsidR="00594B72" w:rsidRPr="006E75EE">
        <w:rPr>
          <w:lang w:val="en-US"/>
        </w:rPr>
        <w:t>[</w:t>
      </w:r>
      <w:r w:rsidRPr="006E75EE">
        <w:t>it has implemented a litigation hold on documents and electronically stored information relating to the Site, including information relating to its potential liability under CERCLA regarding the Site, since the earlier of notification of potential liability by the United States or the State or the filing of suit against it regarding the Site;</w:t>
      </w:r>
      <w:r w:rsidR="00594B72" w:rsidRPr="006E75EE">
        <w:t>]</w:t>
      </w:r>
      <w:r w:rsidR="00594B72" w:rsidRPr="006E75EE">
        <w:rPr>
          <w:rStyle w:val="FootnoteReference"/>
          <w:color w:val="auto"/>
        </w:rPr>
        <w:t xml:space="preserve"> </w:t>
      </w:r>
      <w:r w:rsidR="00594B72" w:rsidRPr="006E75EE">
        <w:rPr>
          <w:rStyle w:val="FootnoteReference"/>
          <w:color w:val="auto"/>
        </w:rPr>
        <w:footnoteReference w:id="41"/>
      </w:r>
      <w:r w:rsidRPr="006E75EE">
        <w:t xml:space="preserve"> and (b)</w:t>
      </w:r>
      <w:r w:rsidR="0070761F" w:rsidRPr="006E75EE">
        <w:rPr>
          <w:lang w:val="en-US"/>
        </w:rPr>
        <w:t> </w:t>
      </w:r>
      <w:r w:rsidRPr="006E75EE">
        <w:t xml:space="preserve">it has fully complied with any and all EPA requests for information </w:t>
      </w:r>
      <w:r w:rsidR="00C20C72">
        <w:t xml:space="preserve">relating to the Site </w:t>
      </w:r>
      <w:r w:rsidRPr="006E75EE">
        <w:t xml:space="preserve">under </w:t>
      </w:r>
      <w:r w:rsidRPr="006E75EE">
        <w:lastRenderedPageBreak/>
        <w:t>sections</w:t>
      </w:r>
      <w:r w:rsidR="0070761F" w:rsidRPr="006E75EE">
        <w:rPr>
          <w:lang w:val="en-US"/>
        </w:rPr>
        <w:t> </w:t>
      </w:r>
      <w:r w:rsidRPr="006E75EE">
        <w:t>104(e) and 122(e) of CERCLA, and section</w:t>
      </w:r>
      <w:r w:rsidR="0070761F" w:rsidRPr="006E75EE">
        <w:rPr>
          <w:lang w:val="en-US"/>
        </w:rPr>
        <w:t> </w:t>
      </w:r>
      <w:r w:rsidRPr="006E75EE">
        <w:t>3007 of RCRA. [</w:t>
      </w:r>
      <w:r w:rsidRPr="006E75EE">
        <w:rPr>
          <w:b/>
        </w:rPr>
        <w:t>If needed, add a sentence regarding known document or data losses</w:t>
      </w:r>
      <w:r w:rsidRPr="006E75EE">
        <w:t>.]</w:t>
      </w:r>
    </w:p>
    <w:p w14:paraId="0FCEE506" w14:textId="195C89AA" w:rsidR="001316EE" w:rsidRPr="006E75EE" w:rsidRDefault="00594B72" w:rsidP="009510BF">
      <w:pPr>
        <w:pStyle w:val="LVL1"/>
      </w:pPr>
      <w:r w:rsidRPr="006E75EE">
        <w:t>[</w:t>
      </w:r>
      <w:r w:rsidR="009510BF" w:rsidRPr="006E75EE">
        <w:rPr>
          <w:b/>
          <w:bCs/>
        </w:rPr>
        <w:t>Settling Federal Agency Acknowledgment.</w:t>
      </w:r>
      <w:r w:rsidR="009510BF" w:rsidRPr="006E75EE">
        <w:t xml:space="preserve"> The United States acknowledges that each Settling Federal Agency: (a)</w:t>
      </w:r>
      <w:r w:rsidR="00E64292" w:rsidRPr="006E75EE">
        <w:rPr>
          <w:lang w:val="en-US"/>
        </w:rPr>
        <w:t> </w:t>
      </w:r>
      <w:r w:rsidR="009510BF" w:rsidRPr="006E75EE">
        <w:t>is subject to all applicable federal record retention laws, regulations, and policies; and (b)</w:t>
      </w:r>
      <w:r w:rsidR="00E64292" w:rsidRPr="006E75EE">
        <w:rPr>
          <w:lang w:val="en-US"/>
        </w:rPr>
        <w:t> </w:t>
      </w:r>
      <w:r w:rsidR="009510BF" w:rsidRPr="006E75EE">
        <w:t>has certified that it has fully complied with any and all EPA and State requests for information regarding the Site under sections</w:t>
      </w:r>
      <w:r w:rsidR="00226D58" w:rsidRPr="006E75EE">
        <w:rPr>
          <w:lang w:val="en-US"/>
        </w:rPr>
        <w:t> </w:t>
      </w:r>
      <w:r w:rsidR="009510BF" w:rsidRPr="006E75EE">
        <w:t xml:space="preserve">104(e) and 122(e)(3)(B) of CERCLA, </w:t>
      </w:r>
      <w:r w:rsidR="009510BF" w:rsidRPr="006E75EE">
        <w:rPr>
          <w:lang w:val="en-US"/>
        </w:rPr>
        <w:t xml:space="preserve">[and] </w:t>
      </w:r>
      <w:r w:rsidR="009510BF" w:rsidRPr="006E75EE">
        <w:t>section</w:t>
      </w:r>
      <w:r w:rsidR="00226D58" w:rsidRPr="006E75EE">
        <w:rPr>
          <w:lang w:val="en-US"/>
        </w:rPr>
        <w:t> </w:t>
      </w:r>
      <w:r w:rsidR="009510BF" w:rsidRPr="006E75EE">
        <w:t>3007 of RCRA</w:t>
      </w:r>
      <w:r w:rsidR="009510BF" w:rsidRPr="006E75EE">
        <w:rPr>
          <w:lang w:val="en-US"/>
        </w:rPr>
        <w:t xml:space="preserve"> [</w:t>
      </w:r>
      <w:r w:rsidR="009510BF" w:rsidRPr="006E75EE">
        <w:t xml:space="preserve">, and </w:t>
      </w:r>
      <w:r w:rsidR="00226D58" w:rsidRPr="006E75EE">
        <w:rPr>
          <w:lang w:val="en-US"/>
        </w:rPr>
        <w:t>S</w:t>
      </w:r>
      <w:proofErr w:type="spellStart"/>
      <w:r w:rsidR="009510BF" w:rsidRPr="006E75EE">
        <w:t>tate</w:t>
      </w:r>
      <w:proofErr w:type="spellEnd"/>
      <w:r w:rsidR="009510BF" w:rsidRPr="006E75EE">
        <w:t xml:space="preserve"> law</w:t>
      </w:r>
      <w:r w:rsidR="009510BF" w:rsidRPr="006E75EE">
        <w:rPr>
          <w:lang w:val="en-US"/>
        </w:rPr>
        <w:t>]</w:t>
      </w:r>
      <w:r w:rsidR="009510BF" w:rsidRPr="006E75EE">
        <w:t>.</w:t>
      </w:r>
      <w:r w:rsidRPr="006E75EE">
        <w:t>]</w:t>
      </w:r>
      <w:r w:rsidRPr="006E75EE">
        <w:rPr>
          <w:rStyle w:val="FootnoteReference"/>
          <w:b/>
          <w:bCs/>
          <w:color w:val="auto"/>
        </w:rPr>
        <w:t xml:space="preserve"> </w:t>
      </w:r>
      <w:r w:rsidRPr="006E75EE">
        <w:rPr>
          <w:rStyle w:val="FootnoteReference"/>
          <w:b/>
          <w:bCs/>
          <w:color w:val="auto"/>
        </w:rPr>
        <w:footnoteReference w:id="42"/>
      </w:r>
    </w:p>
    <w:p w14:paraId="66AD0F62" w14:textId="00ED17B1" w:rsidR="001802CA" w:rsidRPr="006E75EE" w:rsidRDefault="001802CA" w:rsidP="001802CA">
      <w:pPr>
        <w:pStyle w:val="LVL1"/>
      </w:pPr>
      <w:bookmarkStart w:id="231" w:name="_Ref76718805"/>
      <w:r w:rsidRPr="006E75EE">
        <w:rPr>
          <w:b/>
        </w:rPr>
        <w:t>Retention of Records</w:t>
      </w:r>
      <w:bookmarkEnd w:id="231"/>
    </w:p>
    <w:p w14:paraId="18341D0A" w14:textId="63FAAE6F" w:rsidR="001802CA" w:rsidRPr="006E75EE" w:rsidRDefault="001802CA" w:rsidP="001802CA">
      <w:pPr>
        <w:pStyle w:val="LVL2"/>
        <w:rPr>
          <w:color w:val="auto"/>
        </w:rPr>
      </w:pPr>
      <w:bookmarkStart w:id="232" w:name="_Ref103001741"/>
      <w:r w:rsidRPr="006E75EE">
        <w:rPr>
          <w:color w:val="auto"/>
          <w:lang w:val="en-US"/>
        </w:rPr>
        <w:t xml:space="preserve">Respondents </w:t>
      </w:r>
      <w:r w:rsidRPr="006E75EE">
        <w:rPr>
          <w:color w:val="auto"/>
        </w:rPr>
        <w:t>shall retain, and instruct their contractors and agents to retain, the following documents and electronically stored data (“Records”) until 10</w:t>
      </w:r>
      <w:r w:rsidR="00226D58" w:rsidRPr="006E75EE">
        <w:rPr>
          <w:color w:val="auto"/>
          <w:lang w:val="en-US"/>
        </w:rPr>
        <w:t> </w:t>
      </w:r>
      <w:r w:rsidRPr="006E75EE">
        <w:rPr>
          <w:color w:val="auto"/>
        </w:rPr>
        <w:t xml:space="preserve">years after the </w:t>
      </w:r>
      <w:r w:rsidRPr="006E75EE">
        <w:rPr>
          <w:color w:val="auto"/>
          <w:lang w:val="en-US"/>
        </w:rPr>
        <w:t xml:space="preserve">Notice of Completion of </w:t>
      </w:r>
      <w:r w:rsidRPr="006E75EE">
        <w:rPr>
          <w:color w:val="auto"/>
        </w:rPr>
        <w:t xml:space="preserve">the Work under </w:t>
      </w:r>
      <w:r w:rsidR="00201234" w:rsidRPr="006E75EE">
        <w:rPr>
          <w:color w:val="auto"/>
          <w:lang w:val="en-US"/>
        </w:rPr>
        <w:t>Section</w:t>
      </w:r>
      <w:r w:rsidR="00226D58" w:rsidRPr="006E75EE">
        <w:rPr>
          <w:color w:val="auto"/>
          <w:lang w:val="en-US"/>
        </w:rPr>
        <w:t> </w:t>
      </w:r>
      <w:r w:rsidR="003633B5" w:rsidRPr="006E75EE">
        <w:rPr>
          <w:color w:val="auto"/>
          <w:lang w:val="en-US"/>
        </w:rPr>
        <w:t>7</w:t>
      </w:r>
      <w:r w:rsidR="00903765" w:rsidRPr="006E75EE">
        <w:rPr>
          <w:color w:val="auto"/>
          <w:lang w:val="en-US"/>
        </w:rPr>
        <w:t xml:space="preserve">.7 </w:t>
      </w:r>
      <w:r w:rsidR="00201234" w:rsidRPr="006E75EE">
        <w:rPr>
          <w:color w:val="auto"/>
          <w:lang w:val="en-US"/>
        </w:rPr>
        <w:t xml:space="preserve">of the SOW </w:t>
      </w:r>
      <w:r w:rsidRPr="006E75EE">
        <w:rPr>
          <w:color w:val="auto"/>
        </w:rPr>
        <w:t>(</w:t>
      </w:r>
      <w:r w:rsidR="009A2608" w:rsidRPr="006E75EE">
        <w:rPr>
          <w:color w:val="auto"/>
          <w:lang w:val="en-US"/>
        </w:rPr>
        <w:t xml:space="preserve">the </w:t>
      </w:r>
      <w:r w:rsidRPr="006E75EE">
        <w:rPr>
          <w:color w:val="auto"/>
        </w:rPr>
        <w:t>“Record Retention Period</w:t>
      </w:r>
      <w:r w:rsidRPr="006E75EE">
        <w:rPr>
          <w:color w:val="auto"/>
          <w:lang w:val="en-US"/>
        </w:rPr>
        <w:t>”</w:t>
      </w:r>
      <w:r w:rsidRPr="006E75EE">
        <w:rPr>
          <w:color w:val="auto"/>
        </w:rPr>
        <w:t>):</w:t>
      </w:r>
      <w:bookmarkEnd w:id="232"/>
      <w:r w:rsidR="00C20C72">
        <w:rPr>
          <w:rStyle w:val="FootnoteReference"/>
        </w:rPr>
        <w:footnoteReference w:id="43"/>
      </w:r>
    </w:p>
    <w:p w14:paraId="224AB478" w14:textId="4EFAE7A6" w:rsidR="001802CA" w:rsidRPr="006E75EE" w:rsidRDefault="001802CA" w:rsidP="001802CA">
      <w:pPr>
        <w:pStyle w:val="LVL3"/>
        <w:rPr>
          <w:color w:val="auto"/>
        </w:rPr>
      </w:pPr>
      <w:r w:rsidRPr="006E75EE">
        <w:rPr>
          <w:color w:val="auto"/>
        </w:rPr>
        <w:t xml:space="preserve">All records regarding </w:t>
      </w:r>
      <w:r w:rsidRPr="006E75EE">
        <w:rPr>
          <w:color w:val="auto"/>
          <w:lang w:val="en-US"/>
        </w:rPr>
        <w:t xml:space="preserve">Respondents’ </w:t>
      </w:r>
      <w:r w:rsidRPr="006E75EE">
        <w:rPr>
          <w:color w:val="auto"/>
        </w:rPr>
        <w:t xml:space="preserve">liability under CERCLA regarding the Site; </w:t>
      </w:r>
    </w:p>
    <w:p w14:paraId="26FA1D09" w14:textId="168A58DA" w:rsidR="001802CA" w:rsidRPr="006E75EE" w:rsidRDefault="001802CA" w:rsidP="001802CA">
      <w:pPr>
        <w:pStyle w:val="LVL3"/>
        <w:rPr>
          <w:color w:val="auto"/>
        </w:rPr>
      </w:pPr>
      <w:r w:rsidRPr="006E75EE">
        <w:rPr>
          <w:color w:val="auto"/>
        </w:rPr>
        <w:t xml:space="preserve">All reports, plans, permits, and documents submitted to EPA in accordance with this </w:t>
      </w:r>
      <w:r w:rsidR="00645028" w:rsidRPr="006E75EE">
        <w:rPr>
          <w:color w:val="auto"/>
          <w:lang w:val="en-US"/>
        </w:rPr>
        <w:t>Settlement</w:t>
      </w:r>
      <w:r w:rsidRPr="006E75EE">
        <w:rPr>
          <w:color w:val="auto"/>
        </w:rPr>
        <w:t>, including all underlying research and data; and</w:t>
      </w:r>
    </w:p>
    <w:p w14:paraId="6438BA02" w14:textId="5949A1E0" w:rsidR="001802CA" w:rsidRPr="006E75EE" w:rsidRDefault="001802CA" w:rsidP="001802CA">
      <w:pPr>
        <w:pStyle w:val="LVL3"/>
        <w:rPr>
          <w:color w:val="auto"/>
        </w:rPr>
      </w:pPr>
      <w:r w:rsidRPr="006E75EE">
        <w:rPr>
          <w:color w:val="auto"/>
        </w:rPr>
        <w:t xml:space="preserve">All data developed by, or on behalf of, </w:t>
      </w:r>
      <w:r w:rsidR="00645028" w:rsidRPr="006E75EE">
        <w:rPr>
          <w:color w:val="auto"/>
          <w:lang w:val="en-US"/>
        </w:rPr>
        <w:t xml:space="preserve">Respondents </w:t>
      </w:r>
      <w:r w:rsidRPr="006E75EE">
        <w:rPr>
          <w:color w:val="auto"/>
        </w:rPr>
        <w:t xml:space="preserve">in the course of performing the </w:t>
      </w:r>
      <w:r w:rsidR="00645028" w:rsidRPr="006E75EE">
        <w:rPr>
          <w:color w:val="auto"/>
          <w:lang w:val="en-US"/>
        </w:rPr>
        <w:t>Work</w:t>
      </w:r>
      <w:r w:rsidRPr="006E75EE">
        <w:rPr>
          <w:color w:val="auto"/>
        </w:rPr>
        <w:t>.</w:t>
      </w:r>
    </w:p>
    <w:p w14:paraId="6F44D376" w14:textId="58872AFB" w:rsidR="001802CA" w:rsidRPr="006E75EE" w:rsidRDefault="001802CA" w:rsidP="001802CA">
      <w:pPr>
        <w:pStyle w:val="LVL2"/>
        <w:rPr>
          <w:color w:val="auto"/>
        </w:rPr>
      </w:pPr>
      <w:r w:rsidRPr="006E75EE">
        <w:rPr>
          <w:color w:val="auto"/>
        </w:rPr>
        <w:t>[</w:t>
      </w:r>
      <w:r w:rsidRPr="006E75EE">
        <w:rPr>
          <w:b/>
          <w:color w:val="auto"/>
        </w:rPr>
        <w:t>If needed</w:t>
      </w:r>
      <w:r w:rsidRPr="006E75EE">
        <w:rPr>
          <w:color w:val="auto"/>
        </w:rPr>
        <w:t>: [</w:t>
      </w:r>
      <w:r w:rsidRPr="006E75EE">
        <w:rPr>
          <w:b/>
          <w:color w:val="auto"/>
        </w:rPr>
        <w:t>name of each</w:t>
      </w:r>
      <w:r w:rsidR="00645028" w:rsidRPr="006E75EE">
        <w:rPr>
          <w:b/>
          <w:color w:val="auto"/>
          <w:lang w:val="en-US"/>
        </w:rPr>
        <w:t xml:space="preserve"> Respondent</w:t>
      </w:r>
      <w:r w:rsidRPr="006E75EE">
        <w:rPr>
          <w:b/>
          <w:color w:val="auto"/>
        </w:rPr>
        <w:t xml:space="preserve"> that is an owner or operator</w:t>
      </w:r>
      <w:r w:rsidRPr="006E75EE">
        <w:rPr>
          <w:color w:val="auto"/>
        </w:rPr>
        <w:t>] shall retain all Records regarding the liability of any person under CERCLA regarding the Site during the Record Retention Period.]</w:t>
      </w:r>
    </w:p>
    <w:p w14:paraId="7EE5FDD6" w14:textId="41B231BE" w:rsidR="002F1BAA" w:rsidRPr="006E75EE" w:rsidRDefault="002F1BAA" w:rsidP="002F1BAA">
      <w:pPr>
        <w:pStyle w:val="LVL2"/>
      </w:pPr>
      <w:r w:rsidRPr="006E75EE">
        <w:t>Any Record originally created in paper format may be discarded if Settling Defendants create an electronic copy of the Record following the standards applicable for digitizing permanent federal records under 36 C.F.R. § 1236.40 through § 1236.56. The digitized copy of such Record must be retained in accordance with this Section and is admissible to the same extent as the original paper Record.</w:t>
      </w:r>
    </w:p>
    <w:p w14:paraId="3E7155EC" w14:textId="64F04D15" w:rsidR="001802CA" w:rsidRPr="006E75EE" w:rsidRDefault="001802CA" w:rsidP="001802CA">
      <w:pPr>
        <w:pStyle w:val="LVL2"/>
        <w:rPr>
          <w:color w:val="auto"/>
        </w:rPr>
      </w:pPr>
      <w:r w:rsidRPr="006E75EE">
        <w:rPr>
          <w:color w:val="auto"/>
        </w:rPr>
        <w:t xml:space="preserve">At the end of the Record Retention Period, </w:t>
      </w:r>
      <w:r w:rsidR="00645028" w:rsidRPr="006E75EE">
        <w:rPr>
          <w:color w:val="auto"/>
          <w:lang w:val="en-US"/>
        </w:rPr>
        <w:t xml:space="preserve">Respondents </w:t>
      </w:r>
      <w:r w:rsidRPr="006E75EE">
        <w:rPr>
          <w:color w:val="auto"/>
        </w:rPr>
        <w:t>shall notify EPA that it has 90</w:t>
      </w:r>
      <w:r w:rsidR="00226D58" w:rsidRPr="006E75EE">
        <w:rPr>
          <w:color w:val="auto"/>
          <w:lang w:val="en-US"/>
        </w:rPr>
        <w:t> </w:t>
      </w:r>
      <w:r w:rsidRPr="006E75EE">
        <w:rPr>
          <w:color w:val="auto"/>
        </w:rPr>
        <w:t xml:space="preserve">days to request the </w:t>
      </w:r>
      <w:r w:rsidR="00645028" w:rsidRPr="006E75EE">
        <w:rPr>
          <w:color w:val="auto"/>
          <w:lang w:val="en-US"/>
        </w:rPr>
        <w:t xml:space="preserve">Respondents’ </w:t>
      </w:r>
      <w:r w:rsidRPr="006E75EE">
        <w:rPr>
          <w:color w:val="auto"/>
        </w:rPr>
        <w:t xml:space="preserve">Records subject to this Section. </w:t>
      </w:r>
      <w:r w:rsidR="00645028" w:rsidRPr="006E75EE">
        <w:rPr>
          <w:color w:val="auto"/>
          <w:lang w:val="en-US"/>
        </w:rPr>
        <w:t xml:space="preserve">Respondents </w:t>
      </w:r>
      <w:r w:rsidRPr="006E75EE">
        <w:rPr>
          <w:color w:val="auto"/>
        </w:rPr>
        <w:t xml:space="preserve">shall retain and preserve their Records subject to this </w:t>
      </w:r>
      <w:r w:rsidR="00645028" w:rsidRPr="006E75EE">
        <w:rPr>
          <w:color w:val="auto"/>
        </w:rPr>
        <w:t>Section until 90</w:t>
      </w:r>
      <w:r w:rsidR="00226D58" w:rsidRPr="006E75EE">
        <w:rPr>
          <w:color w:val="auto"/>
          <w:lang w:val="en-US"/>
        </w:rPr>
        <w:t> </w:t>
      </w:r>
      <w:r w:rsidR="00645028" w:rsidRPr="006E75EE">
        <w:rPr>
          <w:color w:val="auto"/>
        </w:rPr>
        <w:t xml:space="preserve">days </w:t>
      </w:r>
      <w:r w:rsidR="00645028" w:rsidRPr="006E75EE">
        <w:rPr>
          <w:color w:val="auto"/>
        </w:rPr>
        <w:lastRenderedPageBreak/>
        <w:t>after EPA’</w:t>
      </w:r>
      <w:r w:rsidRPr="006E75EE">
        <w:rPr>
          <w:color w:val="auto"/>
        </w:rPr>
        <w:t>s receipt of the notice. These record retention requirements apply regardless of any cor</w:t>
      </w:r>
      <w:r w:rsidR="00645028" w:rsidRPr="006E75EE">
        <w:rPr>
          <w:color w:val="auto"/>
        </w:rPr>
        <w:t>porate record retention policy.</w:t>
      </w:r>
    </w:p>
    <w:p w14:paraId="1CFA028C" w14:textId="6FBBA2A6" w:rsidR="001802CA" w:rsidRPr="006E75EE" w:rsidRDefault="00645028" w:rsidP="001802CA">
      <w:pPr>
        <w:pStyle w:val="LVL1"/>
      </w:pPr>
      <w:r w:rsidRPr="006E75EE">
        <w:rPr>
          <w:lang w:val="en-US"/>
        </w:rPr>
        <w:t xml:space="preserve">Respondents </w:t>
      </w:r>
      <w:r w:rsidR="001802CA" w:rsidRPr="006E75EE">
        <w:t xml:space="preserve">shall </w:t>
      </w:r>
      <w:proofErr w:type="gramStart"/>
      <w:r w:rsidR="001802CA" w:rsidRPr="006E75EE">
        <w:t>provide to</w:t>
      </w:r>
      <w:proofErr w:type="gramEnd"/>
      <w:r w:rsidR="001802CA" w:rsidRPr="006E75EE">
        <w:t xml:space="preserve"> EPA, upon request, copies of all Records required to be retained under this Section. </w:t>
      </w:r>
      <w:r w:rsidRPr="006E75EE">
        <w:rPr>
          <w:lang w:val="en-US"/>
        </w:rPr>
        <w:t xml:space="preserve">Respondents </w:t>
      </w:r>
      <w:r w:rsidR="001802CA" w:rsidRPr="006E75EE">
        <w:t>shall also make available to EPA, for purposes of investigation, information gathering, or testimony, their employees, agents, or representatives with knowledge of relevant facts concerning the performance of the Work.</w:t>
      </w:r>
    </w:p>
    <w:p w14:paraId="3E407719" w14:textId="01D34FD2" w:rsidR="001802CA" w:rsidRPr="006E75EE" w:rsidRDefault="001802CA" w:rsidP="001802CA">
      <w:pPr>
        <w:pStyle w:val="LVL1"/>
      </w:pPr>
      <w:bookmarkStart w:id="233" w:name="_Ref358291431"/>
      <w:bookmarkStart w:id="234" w:name="_Ref376249949"/>
      <w:r w:rsidRPr="006E75EE">
        <w:rPr>
          <w:b/>
        </w:rPr>
        <w:t>Privileged and Protected Cla</w:t>
      </w:r>
      <w:r w:rsidR="00354BA6" w:rsidRPr="006E75EE">
        <w:rPr>
          <w:b/>
          <w:lang w:val="en-US"/>
        </w:rPr>
        <w:t>ims</w:t>
      </w:r>
      <w:bookmarkEnd w:id="233"/>
      <w:bookmarkEnd w:id="234"/>
    </w:p>
    <w:p w14:paraId="4A25C370" w14:textId="3AFFA7E0" w:rsidR="001802CA" w:rsidRPr="006E75EE" w:rsidRDefault="00645028" w:rsidP="001802CA">
      <w:pPr>
        <w:pStyle w:val="LVL2"/>
        <w:rPr>
          <w:color w:val="auto"/>
        </w:rPr>
      </w:pPr>
      <w:r w:rsidRPr="006E75EE">
        <w:rPr>
          <w:color w:val="auto"/>
          <w:lang w:val="en-US"/>
        </w:rPr>
        <w:t xml:space="preserve">Respondents </w:t>
      </w:r>
      <w:r w:rsidR="001802CA" w:rsidRPr="006E75EE">
        <w:rPr>
          <w:color w:val="auto"/>
        </w:rPr>
        <w:t>may asser</w:t>
      </w:r>
      <w:r w:rsidRPr="006E75EE">
        <w:rPr>
          <w:color w:val="auto"/>
        </w:rPr>
        <w:t xml:space="preserve">t that all or part of a </w:t>
      </w:r>
      <w:r w:rsidR="00C9030E">
        <w:rPr>
          <w:color w:val="auto"/>
        </w:rPr>
        <w:t>R</w:t>
      </w:r>
      <w:r w:rsidRPr="006E75EE">
        <w:rPr>
          <w:color w:val="auto"/>
        </w:rPr>
        <w:t xml:space="preserve">ecord </w:t>
      </w:r>
      <w:r w:rsidR="001802CA" w:rsidRPr="006E75EE">
        <w:rPr>
          <w:color w:val="auto"/>
        </w:rPr>
        <w:t xml:space="preserve">requested by </w:t>
      </w:r>
      <w:r w:rsidRPr="006E75EE">
        <w:rPr>
          <w:color w:val="auto"/>
          <w:lang w:val="en-US"/>
        </w:rPr>
        <w:t xml:space="preserve">EPA </w:t>
      </w:r>
      <w:r w:rsidR="00C20C72">
        <w:rPr>
          <w:color w:val="auto"/>
          <w:lang w:val="en-US"/>
        </w:rPr>
        <w:t xml:space="preserve">under this Section </w:t>
      </w:r>
      <w:r w:rsidR="001802CA" w:rsidRPr="006E75EE">
        <w:rPr>
          <w:color w:val="auto"/>
        </w:rPr>
        <w:t xml:space="preserve">is privileged or protected as provided under federal law, in lieu of providing the </w:t>
      </w:r>
      <w:r w:rsidR="00C9030E">
        <w:rPr>
          <w:color w:val="auto"/>
        </w:rPr>
        <w:t>R</w:t>
      </w:r>
      <w:r w:rsidR="001802CA" w:rsidRPr="006E75EE">
        <w:rPr>
          <w:color w:val="auto"/>
        </w:rPr>
        <w:t xml:space="preserve">ecord, provided that </w:t>
      </w:r>
      <w:r w:rsidRPr="006E75EE">
        <w:rPr>
          <w:color w:val="auto"/>
          <w:lang w:val="en-US"/>
        </w:rPr>
        <w:t xml:space="preserve">Respondents </w:t>
      </w:r>
      <w:r w:rsidRPr="006E75EE">
        <w:rPr>
          <w:color w:val="auto"/>
        </w:rPr>
        <w:t>comply with ¶</w:t>
      </w:r>
      <w:r w:rsidR="00276366" w:rsidRPr="006E75EE">
        <w:rPr>
          <w:color w:val="auto"/>
          <w:lang w:val="en-US"/>
        </w:rPr>
        <w:t> </w:t>
      </w:r>
      <w:r w:rsidRPr="006E75EE">
        <w:rPr>
          <w:color w:val="auto"/>
        </w:rPr>
        <w:fldChar w:fldCharType="begin"/>
      </w:r>
      <w:r w:rsidRPr="006E75EE">
        <w:rPr>
          <w:color w:val="auto"/>
        </w:rPr>
        <w:instrText xml:space="preserve"> REF _Ref76718548 \w \h </w:instrText>
      </w:r>
      <w:r w:rsidR="009F4C0E" w:rsidRPr="006E75EE">
        <w:rPr>
          <w:color w:val="auto"/>
        </w:rPr>
        <w:instrText xml:space="preserve"> \* MERGEFORMAT </w:instrText>
      </w:r>
      <w:r w:rsidRPr="006E75EE">
        <w:rPr>
          <w:color w:val="auto"/>
        </w:rPr>
      </w:r>
      <w:r w:rsidRPr="006E75EE">
        <w:rPr>
          <w:color w:val="auto"/>
        </w:rPr>
        <w:fldChar w:fldCharType="separate"/>
      </w:r>
      <w:r w:rsidR="009166B4" w:rsidRPr="006E75EE">
        <w:rPr>
          <w:color w:val="auto"/>
          <w:lang w:val="en-US"/>
        </w:rPr>
        <w:t>83.b</w:t>
      </w:r>
      <w:r w:rsidRPr="006E75EE">
        <w:rPr>
          <w:color w:val="auto"/>
        </w:rPr>
        <w:fldChar w:fldCharType="end"/>
      </w:r>
      <w:r w:rsidR="001802CA" w:rsidRPr="006E75EE">
        <w:rPr>
          <w:color w:val="auto"/>
        </w:rPr>
        <w:t xml:space="preserve">, and except as provided in </w:t>
      </w:r>
      <w:r w:rsidRPr="006E75EE">
        <w:rPr>
          <w:color w:val="auto"/>
          <w:lang w:val="en-US"/>
        </w:rPr>
        <w:t>¶</w:t>
      </w:r>
      <w:r w:rsidR="00276366" w:rsidRPr="006E75EE">
        <w:rPr>
          <w:color w:val="auto"/>
          <w:lang w:val="en-US"/>
        </w:rPr>
        <w:t> </w:t>
      </w:r>
      <w:r w:rsidRPr="006E75EE">
        <w:rPr>
          <w:color w:val="auto"/>
        </w:rPr>
        <w:fldChar w:fldCharType="begin"/>
      </w:r>
      <w:r w:rsidRPr="006E75EE">
        <w:rPr>
          <w:color w:val="auto"/>
        </w:rPr>
        <w:instrText xml:space="preserve"> REF _Ref76718550 \w \h </w:instrText>
      </w:r>
      <w:r w:rsidR="009F4C0E" w:rsidRPr="006E75EE">
        <w:rPr>
          <w:color w:val="auto"/>
        </w:rPr>
        <w:instrText xml:space="preserve"> \* MERGEFORMAT </w:instrText>
      </w:r>
      <w:r w:rsidRPr="006E75EE">
        <w:rPr>
          <w:color w:val="auto"/>
        </w:rPr>
      </w:r>
      <w:r w:rsidRPr="006E75EE">
        <w:rPr>
          <w:color w:val="auto"/>
        </w:rPr>
        <w:fldChar w:fldCharType="separate"/>
      </w:r>
      <w:r w:rsidR="009166B4" w:rsidRPr="006E75EE">
        <w:rPr>
          <w:color w:val="auto"/>
        </w:rPr>
        <w:t>83.c</w:t>
      </w:r>
      <w:r w:rsidRPr="006E75EE">
        <w:rPr>
          <w:color w:val="auto"/>
        </w:rPr>
        <w:fldChar w:fldCharType="end"/>
      </w:r>
      <w:r w:rsidR="001802CA" w:rsidRPr="006E75EE">
        <w:rPr>
          <w:color w:val="auto"/>
        </w:rPr>
        <w:t>.</w:t>
      </w:r>
    </w:p>
    <w:p w14:paraId="25C772DC" w14:textId="07A937D7" w:rsidR="001802CA" w:rsidRPr="006E75EE" w:rsidRDefault="001802CA" w:rsidP="001802CA">
      <w:pPr>
        <w:pStyle w:val="LVL2"/>
        <w:rPr>
          <w:color w:val="auto"/>
        </w:rPr>
      </w:pPr>
      <w:bookmarkStart w:id="235" w:name="_Ref76718548"/>
      <w:bookmarkStart w:id="236" w:name="_Ref358288570"/>
      <w:r w:rsidRPr="006E75EE">
        <w:rPr>
          <w:color w:val="auto"/>
        </w:rPr>
        <w:t xml:space="preserve">If </w:t>
      </w:r>
      <w:r w:rsidR="00645028" w:rsidRPr="006E75EE">
        <w:rPr>
          <w:color w:val="auto"/>
          <w:lang w:val="en-US"/>
        </w:rPr>
        <w:t xml:space="preserve">Respondents </w:t>
      </w:r>
      <w:r w:rsidRPr="006E75EE">
        <w:rPr>
          <w:color w:val="auto"/>
        </w:rPr>
        <w:t xml:space="preserve">assert a claim of privilege or protection, they shall provide </w:t>
      </w:r>
      <w:r w:rsidR="00645028" w:rsidRPr="006E75EE">
        <w:rPr>
          <w:color w:val="auto"/>
          <w:lang w:val="en-US"/>
        </w:rPr>
        <w:t xml:space="preserve">EPA </w:t>
      </w:r>
      <w:r w:rsidRPr="006E75EE">
        <w:rPr>
          <w:color w:val="auto"/>
        </w:rPr>
        <w:t xml:space="preserve">with the following information regarding such </w:t>
      </w:r>
      <w:r w:rsidR="00C9030E">
        <w:rPr>
          <w:color w:val="auto"/>
        </w:rPr>
        <w:t>R</w:t>
      </w:r>
      <w:r w:rsidRPr="006E75EE">
        <w:rPr>
          <w:color w:val="auto"/>
        </w:rPr>
        <w:t xml:space="preserve">ecord: its title; its date; the name, title, affiliation (e.g., company or firm), and address of the author, of each addressee, and of each recipient; a description of the </w:t>
      </w:r>
      <w:r w:rsidR="008C38C2">
        <w:rPr>
          <w:color w:val="auto"/>
        </w:rPr>
        <w:t>R</w:t>
      </w:r>
      <w:r w:rsidRPr="006E75EE">
        <w:rPr>
          <w:color w:val="auto"/>
        </w:rPr>
        <w:t xml:space="preserve">ecord's contents; and the privilege or protection asserted. If a claim of privilege or protection applies only to a portion of a </w:t>
      </w:r>
      <w:r w:rsidR="00C9030E">
        <w:rPr>
          <w:color w:val="auto"/>
        </w:rPr>
        <w:t>R</w:t>
      </w:r>
      <w:r w:rsidRPr="006E75EE">
        <w:rPr>
          <w:color w:val="auto"/>
        </w:rPr>
        <w:t xml:space="preserve">ecord, </w:t>
      </w:r>
      <w:r w:rsidR="00645028" w:rsidRPr="006E75EE">
        <w:rPr>
          <w:color w:val="auto"/>
          <w:lang w:val="en-US"/>
        </w:rPr>
        <w:t xml:space="preserve">Respondents </w:t>
      </w:r>
      <w:r w:rsidRPr="006E75EE">
        <w:rPr>
          <w:color w:val="auto"/>
        </w:rPr>
        <w:t xml:space="preserve">shall provide the record to </w:t>
      </w:r>
      <w:r w:rsidR="008C38C2">
        <w:rPr>
          <w:color w:val="auto"/>
        </w:rPr>
        <w:t>EPA</w:t>
      </w:r>
      <w:r w:rsidR="008C38C2" w:rsidRPr="006E75EE">
        <w:rPr>
          <w:color w:val="auto"/>
        </w:rPr>
        <w:t xml:space="preserve"> </w:t>
      </w:r>
      <w:r w:rsidRPr="006E75EE">
        <w:rPr>
          <w:color w:val="auto"/>
        </w:rPr>
        <w:t xml:space="preserve">in redacted form to mask the privileged or protected portion only. </w:t>
      </w:r>
      <w:r w:rsidR="00645028" w:rsidRPr="006E75EE">
        <w:rPr>
          <w:color w:val="auto"/>
          <w:lang w:val="en-US"/>
        </w:rPr>
        <w:t xml:space="preserve">Respondents </w:t>
      </w:r>
      <w:r w:rsidRPr="006E75EE">
        <w:rPr>
          <w:color w:val="auto"/>
        </w:rPr>
        <w:t xml:space="preserve">shall retain all </w:t>
      </w:r>
      <w:r w:rsidR="00C9030E">
        <w:rPr>
          <w:color w:val="auto"/>
        </w:rPr>
        <w:t>R</w:t>
      </w:r>
      <w:r w:rsidRPr="006E75EE">
        <w:rPr>
          <w:color w:val="auto"/>
        </w:rPr>
        <w:t xml:space="preserve">ecords that they claim to be privileged or protected until </w:t>
      </w:r>
      <w:r w:rsidR="00645028" w:rsidRPr="006E75EE">
        <w:rPr>
          <w:color w:val="auto"/>
          <w:lang w:val="en-US"/>
        </w:rPr>
        <w:t xml:space="preserve">EPA </w:t>
      </w:r>
      <w:r w:rsidRPr="006E75EE">
        <w:rPr>
          <w:color w:val="auto"/>
        </w:rPr>
        <w:t xml:space="preserve">has had a reasonable opportunity to dispute the privilege or protection claim and any such dispute has been resolved in </w:t>
      </w:r>
      <w:r w:rsidR="00645028" w:rsidRPr="006E75EE">
        <w:rPr>
          <w:color w:val="auto"/>
          <w:lang w:val="en-US"/>
        </w:rPr>
        <w:t xml:space="preserve">Respondents’ </w:t>
      </w:r>
      <w:r w:rsidRPr="006E75EE">
        <w:rPr>
          <w:color w:val="auto"/>
        </w:rPr>
        <w:t>favor.</w:t>
      </w:r>
      <w:bookmarkStart w:id="237" w:name="_Ref358288685"/>
      <w:bookmarkEnd w:id="235"/>
      <w:bookmarkEnd w:id="236"/>
    </w:p>
    <w:p w14:paraId="6F8E2D39" w14:textId="7CFF3579" w:rsidR="001802CA" w:rsidRPr="006E75EE" w:rsidRDefault="00645028" w:rsidP="001802CA">
      <w:pPr>
        <w:pStyle w:val="LVL2"/>
        <w:rPr>
          <w:color w:val="auto"/>
        </w:rPr>
      </w:pPr>
      <w:bookmarkStart w:id="238" w:name="_Ref358883545"/>
      <w:bookmarkStart w:id="239" w:name="_Ref358288690"/>
      <w:bookmarkStart w:id="240" w:name="_Ref76718550"/>
      <w:bookmarkStart w:id="241" w:name="_Ref383005108"/>
      <w:bookmarkEnd w:id="237"/>
      <w:r w:rsidRPr="006E75EE">
        <w:rPr>
          <w:color w:val="auto"/>
          <w:lang w:val="en-US"/>
        </w:rPr>
        <w:t xml:space="preserve">Respondents </w:t>
      </w:r>
      <w:r w:rsidR="001802CA" w:rsidRPr="006E75EE">
        <w:rPr>
          <w:color w:val="auto"/>
        </w:rPr>
        <w:t>shall not make any claim of privilege or protection regarding:</w:t>
      </w:r>
      <w:bookmarkEnd w:id="238"/>
      <w:r w:rsidR="001802CA" w:rsidRPr="006E75EE">
        <w:rPr>
          <w:color w:val="auto"/>
        </w:rPr>
        <w:t xml:space="preserve"> (1)</w:t>
      </w:r>
      <w:r w:rsidR="006D17BD" w:rsidRPr="006E75EE">
        <w:rPr>
          <w:color w:val="auto"/>
          <w:lang w:val="en-US"/>
        </w:rPr>
        <w:t> </w:t>
      </w:r>
      <w:r w:rsidR="001802CA" w:rsidRPr="006E75EE">
        <w:rPr>
          <w:color w:val="auto"/>
        </w:rPr>
        <w:t>any data regarding the Site, including all sampling, analytical, monitoring, hydrogeologic, scientific, chemical, radiological or engineering data, or the portion of any other record that evidences conditions at or around the Site; or</w:t>
      </w:r>
      <w:bookmarkEnd w:id="239"/>
      <w:r w:rsidR="001802CA" w:rsidRPr="006E75EE">
        <w:rPr>
          <w:color w:val="auto"/>
        </w:rPr>
        <w:t xml:space="preserve"> (2)</w:t>
      </w:r>
      <w:r w:rsidR="006D17BD" w:rsidRPr="006E75EE">
        <w:rPr>
          <w:color w:val="auto"/>
          <w:lang w:val="en-US"/>
        </w:rPr>
        <w:t> </w:t>
      </w:r>
      <w:r w:rsidR="001802CA" w:rsidRPr="006E75EE">
        <w:rPr>
          <w:color w:val="auto"/>
        </w:rPr>
        <w:t xml:space="preserve">the portion of any record that </w:t>
      </w:r>
      <w:r w:rsidRPr="006E75EE">
        <w:rPr>
          <w:color w:val="auto"/>
          <w:lang w:val="en-US"/>
        </w:rPr>
        <w:t xml:space="preserve">Respondents </w:t>
      </w:r>
      <w:r w:rsidR="001802CA" w:rsidRPr="006E75EE">
        <w:rPr>
          <w:color w:val="auto"/>
        </w:rPr>
        <w:t xml:space="preserve">are required to create or generate in accordance with this </w:t>
      </w:r>
      <w:r w:rsidRPr="006E75EE">
        <w:rPr>
          <w:color w:val="auto"/>
          <w:lang w:val="en-US"/>
        </w:rPr>
        <w:t>Settlement</w:t>
      </w:r>
      <w:r w:rsidR="001802CA" w:rsidRPr="006E75EE">
        <w:rPr>
          <w:color w:val="auto"/>
        </w:rPr>
        <w:t>.</w:t>
      </w:r>
      <w:bookmarkEnd w:id="240"/>
      <w:bookmarkEnd w:id="241"/>
    </w:p>
    <w:p w14:paraId="42C13131" w14:textId="51F9D444" w:rsidR="001802CA" w:rsidRPr="006E75EE" w:rsidRDefault="001802CA" w:rsidP="00A2318E">
      <w:pPr>
        <w:pStyle w:val="LVL1"/>
        <w:rPr>
          <w:lang w:val="en-US"/>
        </w:rPr>
      </w:pPr>
      <w:r w:rsidRPr="006E75EE">
        <w:rPr>
          <w:b/>
        </w:rPr>
        <w:t>Confidential Business Information Claims</w:t>
      </w:r>
      <w:r w:rsidRPr="006E75EE">
        <w:t xml:space="preserve">. </w:t>
      </w:r>
      <w:r w:rsidR="003B3D6C" w:rsidRPr="006E75EE">
        <w:t>Each</w:t>
      </w:r>
      <w:r w:rsidR="00A163C9" w:rsidRPr="006E75EE">
        <w:rPr>
          <w:lang w:val="en-US"/>
        </w:rPr>
        <w:t xml:space="preserve"> </w:t>
      </w:r>
      <w:r w:rsidR="003B3D6C" w:rsidRPr="006E75EE">
        <w:t xml:space="preserve">Respondent is entitled to claim that all or part of a </w:t>
      </w:r>
      <w:r w:rsidR="002F1BAA" w:rsidRPr="006E75EE">
        <w:t>R</w:t>
      </w:r>
      <w:r w:rsidR="003B3D6C" w:rsidRPr="006E75EE">
        <w:t xml:space="preserve">ecord submitted to EPA under this </w:t>
      </w:r>
      <w:r w:rsidR="00C20C72">
        <w:t>Settlement</w:t>
      </w:r>
      <w:r w:rsidR="003B3D6C" w:rsidRPr="006E75EE">
        <w:t xml:space="preserve"> is Confidential Business Information (</w:t>
      </w:r>
      <w:r w:rsidR="00E64292" w:rsidRPr="006E75EE">
        <w:rPr>
          <w:lang w:val="en-US"/>
        </w:rPr>
        <w:t>“</w:t>
      </w:r>
      <w:r w:rsidR="003B3D6C" w:rsidRPr="006E75EE">
        <w:t>CBI</w:t>
      </w:r>
      <w:r w:rsidR="00E64292" w:rsidRPr="006E75EE">
        <w:rPr>
          <w:lang w:val="en-US"/>
        </w:rPr>
        <w:t>”</w:t>
      </w:r>
      <w:r w:rsidR="003B3D6C" w:rsidRPr="006E75EE">
        <w:t>) that is covered by section</w:t>
      </w:r>
      <w:r w:rsidR="00226D58" w:rsidRPr="006E75EE">
        <w:rPr>
          <w:lang w:val="en-US"/>
        </w:rPr>
        <w:t> </w:t>
      </w:r>
      <w:r w:rsidR="003B3D6C" w:rsidRPr="006E75EE">
        <w:t>104(e)(7) of CERCLA and 40</w:t>
      </w:r>
      <w:r w:rsidR="00226D58" w:rsidRPr="006E75EE">
        <w:rPr>
          <w:lang w:val="en-US"/>
        </w:rPr>
        <w:t> </w:t>
      </w:r>
      <w:r w:rsidR="003B3D6C" w:rsidRPr="006E75EE">
        <w:t xml:space="preserve">C.F.R. § 2.203(b). Respondent shall segregate all </w:t>
      </w:r>
      <w:r w:rsidR="002F1BAA" w:rsidRPr="006E75EE">
        <w:t>R</w:t>
      </w:r>
      <w:r w:rsidR="003B3D6C" w:rsidRPr="006E75EE">
        <w:t xml:space="preserve">ecords or parts thereof submitted under this Settlement which </w:t>
      </w:r>
      <w:r w:rsidR="00A163C9" w:rsidRPr="006E75EE">
        <w:rPr>
          <w:lang w:val="en-US"/>
        </w:rPr>
        <w:t>it claims are</w:t>
      </w:r>
      <w:r w:rsidR="003B3D6C" w:rsidRPr="006E75EE">
        <w:t xml:space="preserve"> CBI and label them as “claimed as confidential business information” or “claimed as CBI.” Records that a submitter properly labels in accordance with the preceding sentence will be afforded the protections specified in 40</w:t>
      </w:r>
      <w:r w:rsidR="00226D58" w:rsidRPr="006E75EE">
        <w:rPr>
          <w:lang w:val="en-US"/>
        </w:rPr>
        <w:t> </w:t>
      </w:r>
      <w:r w:rsidR="003B3D6C" w:rsidRPr="006E75EE">
        <w:t>C.F.R. part</w:t>
      </w:r>
      <w:r w:rsidR="00A163C9" w:rsidRPr="006E75EE">
        <w:rPr>
          <w:lang w:val="en-US"/>
        </w:rPr>
        <w:t> </w:t>
      </w:r>
      <w:r w:rsidR="003B3D6C" w:rsidRPr="006E75EE">
        <w:t>2, subpart</w:t>
      </w:r>
      <w:r w:rsidR="00A163C9" w:rsidRPr="006E75EE">
        <w:rPr>
          <w:lang w:val="en-US"/>
        </w:rPr>
        <w:t> </w:t>
      </w:r>
      <w:r w:rsidR="003B3D6C" w:rsidRPr="006E75EE">
        <w:t xml:space="preserve">B. If the </w:t>
      </w:r>
      <w:r w:rsidR="002F1BAA" w:rsidRPr="006E75EE">
        <w:t>R</w:t>
      </w:r>
      <w:r w:rsidR="003B3D6C" w:rsidRPr="006E75EE">
        <w:t xml:space="preserve">ecords are not properly labeled when they are submitted to EPA, or if EPA notifies the submitter that the </w:t>
      </w:r>
      <w:r w:rsidR="002F1BAA" w:rsidRPr="006E75EE">
        <w:t>R</w:t>
      </w:r>
      <w:r w:rsidR="003B3D6C" w:rsidRPr="006E75EE">
        <w:t>ecords are not entitled to confidential treatment under the standards of section 104(e)(7) of CERCLA or 40</w:t>
      </w:r>
      <w:r w:rsidR="00226D58" w:rsidRPr="006E75EE">
        <w:rPr>
          <w:lang w:val="en-US"/>
        </w:rPr>
        <w:t> </w:t>
      </w:r>
      <w:r w:rsidR="003B3D6C" w:rsidRPr="006E75EE">
        <w:t>C.F.R. part</w:t>
      </w:r>
      <w:r w:rsidR="00226D58" w:rsidRPr="006E75EE">
        <w:rPr>
          <w:lang w:val="en-US"/>
        </w:rPr>
        <w:t> </w:t>
      </w:r>
      <w:r w:rsidR="003B3D6C" w:rsidRPr="006E75EE">
        <w:t>2, subpart</w:t>
      </w:r>
      <w:r w:rsidR="00226D58" w:rsidRPr="006E75EE">
        <w:rPr>
          <w:lang w:val="en-US"/>
        </w:rPr>
        <w:t> </w:t>
      </w:r>
      <w:r w:rsidR="003B3D6C" w:rsidRPr="006E75EE">
        <w:t xml:space="preserve">B, the public may be given access to such </w:t>
      </w:r>
      <w:r w:rsidR="00D740A0" w:rsidRPr="006E75EE">
        <w:t>R</w:t>
      </w:r>
      <w:r w:rsidR="003B3D6C" w:rsidRPr="006E75EE">
        <w:t>ecords without further notice to the submitter.</w:t>
      </w:r>
    </w:p>
    <w:p w14:paraId="3C8BCCBA" w14:textId="27357C2D" w:rsidR="00F71F83" w:rsidRPr="006E75EE" w:rsidRDefault="001802CA" w:rsidP="00645028">
      <w:pPr>
        <w:pStyle w:val="LVL1"/>
      </w:pPr>
      <w:r w:rsidRPr="006E75EE">
        <w:lastRenderedPageBreak/>
        <w:t xml:space="preserve">Notwithstanding any provision of this </w:t>
      </w:r>
      <w:r w:rsidR="001C3D1D" w:rsidRPr="006E75EE">
        <w:rPr>
          <w:lang w:val="en-US"/>
        </w:rPr>
        <w:t>Settlement</w:t>
      </w:r>
      <w:r w:rsidRPr="006E75EE">
        <w:t xml:space="preserve">, </w:t>
      </w:r>
      <w:r w:rsidR="001C3D1D" w:rsidRPr="006E75EE">
        <w:rPr>
          <w:lang w:val="en-US"/>
        </w:rPr>
        <w:t xml:space="preserve">EPA </w:t>
      </w:r>
      <w:r w:rsidRPr="006E75EE">
        <w:t>retains all of its information gathering and inspection authorities and rights, including enforcement actions related thereto, under CERCLA, RCRA, and any other applicable statutes or regulations.</w:t>
      </w:r>
    </w:p>
    <w:p w14:paraId="6C277B99" w14:textId="5706E1E3" w:rsidR="00FE4545" w:rsidRPr="006E75EE" w:rsidRDefault="00FE4545" w:rsidP="00FE4545">
      <w:pPr>
        <w:pStyle w:val="Heading1"/>
      </w:pPr>
      <w:bookmarkStart w:id="242" w:name="_Toc80599622"/>
      <w:bookmarkStart w:id="243" w:name="_Toc184899551"/>
      <w:r w:rsidRPr="006E75EE">
        <w:rPr>
          <w:lang w:val="en-US"/>
        </w:rPr>
        <w:t>NOTICES</w:t>
      </w:r>
      <w:bookmarkEnd w:id="242"/>
      <w:r w:rsidR="004A1100" w:rsidRPr="006E75EE">
        <w:rPr>
          <w:lang w:val="en-US"/>
        </w:rPr>
        <w:t xml:space="preserve"> AND SUBMISSIONS</w:t>
      </w:r>
      <w:bookmarkEnd w:id="243"/>
    </w:p>
    <w:p w14:paraId="080C806C" w14:textId="7514327A" w:rsidR="00FE4545" w:rsidRPr="006E75EE" w:rsidRDefault="00AB418D" w:rsidP="00AD70A1">
      <w:pPr>
        <w:pStyle w:val="LVL1"/>
      </w:pPr>
      <w:bookmarkStart w:id="244" w:name="_Ref76833864"/>
      <w:r w:rsidRPr="006E75EE">
        <w:t>All agreements, approvals, consents, deliverables, modifications, notices, notifications, objections, proposals, reports, waivers, and requests specified in this Settlement must be in writing unless otherwise specified. Whenever a notice is required to be given or a report or other document is required to be sent by one Party to another under this Settlement, it must be sent as specified below. All notices under this Section are effective upon receipt, unless otherwise specified. In the case of emailed notices, there is a rebuttable presumption that such notices are received on the same day that they are sent. Any Party may change the method, person, or address applicable to it by providing notice of such change to all Parties.</w:t>
      </w:r>
      <w:bookmarkEnd w:id="244"/>
      <w:r w:rsidR="00AD70A1" w:rsidRPr="006E75EE">
        <w:rPr>
          <w:lang w:val="en-US"/>
        </w:rPr>
        <w:t xml:space="preserve"> </w:t>
      </w:r>
    </w:p>
    <w:p w14:paraId="7FD9D2B7" w14:textId="77777777" w:rsidR="00AB418D" w:rsidRPr="006E75EE" w:rsidRDefault="00AB418D" w:rsidP="00AB418D">
      <w:pPr>
        <w:pStyle w:val="NoSpacing"/>
      </w:pPr>
    </w:p>
    <w:tbl>
      <w:tblPr>
        <w:tblW w:w="8100" w:type="dxa"/>
        <w:jc w:val="center"/>
        <w:tblLayout w:type="fixed"/>
        <w:tblCellMar>
          <w:top w:w="72" w:type="dxa"/>
          <w:left w:w="120" w:type="dxa"/>
          <w:bottom w:w="72" w:type="dxa"/>
          <w:right w:w="120" w:type="dxa"/>
        </w:tblCellMar>
        <w:tblLook w:val="0000" w:firstRow="0" w:lastRow="0" w:firstColumn="0" w:lastColumn="0" w:noHBand="0" w:noVBand="0"/>
      </w:tblPr>
      <w:tblGrid>
        <w:gridCol w:w="2610"/>
        <w:gridCol w:w="5490"/>
      </w:tblGrid>
      <w:tr w:rsidR="001B3C38" w:rsidRPr="006E75EE" w14:paraId="41D6019B" w14:textId="77777777" w:rsidTr="00FF5B16">
        <w:trPr>
          <w:cantSplit/>
          <w:jc w:val="center"/>
        </w:trPr>
        <w:tc>
          <w:tcPr>
            <w:tcW w:w="2610" w:type="dxa"/>
          </w:tcPr>
          <w:p w14:paraId="26719827" w14:textId="77777777" w:rsidR="00AB418D" w:rsidRPr="006E75EE" w:rsidRDefault="00AB418D" w:rsidP="00FF5B16">
            <w:pPr>
              <w:pStyle w:val="NoSpacing"/>
              <w:jc w:val="right"/>
            </w:pPr>
            <w:r w:rsidRPr="006E75EE">
              <w:t>As to EPA:</w:t>
            </w:r>
          </w:p>
          <w:p w14:paraId="6EE6D2ED" w14:textId="77777777" w:rsidR="00AB418D" w:rsidRPr="006E75EE" w:rsidRDefault="00AB418D" w:rsidP="00FF5B16">
            <w:pPr>
              <w:pStyle w:val="NoSpacing"/>
              <w:ind w:left="765"/>
              <w:jc w:val="right"/>
            </w:pPr>
          </w:p>
        </w:tc>
        <w:tc>
          <w:tcPr>
            <w:tcW w:w="5490" w:type="dxa"/>
          </w:tcPr>
          <w:p w14:paraId="2836C83C" w14:textId="77777777" w:rsidR="00AB418D" w:rsidRPr="006E75EE" w:rsidRDefault="00AB418D" w:rsidP="00FF5B16">
            <w:pPr>
              <w:pStyle w:val="NoSpacing"/>
            </w:pPr>
            <w:r w:rsidRPr="006E75EE">
              <w:rPr>
                <w:i/>
                <w:iCs/>
              </w:rPr>
              <w:t>via email to</w:t>
            </w:r>
            <w:r w:rsidRPr="006E75EE">
              <w:t>:</w:t>
            </w:r>
          </w:p>
          <w:p w14:paraId="58AC5C45" w14:textId="77777777" w:rsidR="00AB418D" w:rsidRPr="006E75EE" w:rsidRDefault="00AB418D" w:rsidP="00FF5B16">
            <w:pPr>
              <w:pStyle w:val="NoSpacing"/>
            </w:pPr>
            <w:r w:rsidRPr="006E75EE">
              <w:t>[</w:t>
            </w:r>
            <w:r w:rsidRPr="006E75EE">
              <w:rPr>
                <w:b/>
              </w:rPr>
              <w:t xml:space="preserve">Superfund &amp; Emergency </w:t>
            </w:r>
            <w:r w:rsidRPr="006E75EE">
              <w:rPr>
                <w:b/>
                <w:bCs/>
              </w:rPr>
              <w:t>Mgmt. Div. Director’s email address</w:t>
            </w:r>
            <w:r w:rsidRPr="006E75EE">
              <w:t>]</w:t>
            </w:r>
          </w:p>
          <w:p w14:paraId="675C9EED" w14:textId="77777777" w:rsidR="00AB418D" w:rsidRPr="006E75EE" w:rsidRDefault="00AB418D" w:rsidP="00FF5B16">
            <w:pPr>
              <w:pStyle w:val="NoSpacing"/>
            </w:pPr>
            <w:r w:rsidRPr="006E75EE">
              <w:t xml:space="preserve">   and</w:t>
            </w:r>
          </w:p>
          <w:p w14:paraId="6749DE76" w14:textId="77777777" w:rsidR="00AB418D" w:rsidRPr="006E75EE" w:rsidRDefault="00AB418D" w:rsidP="00FF5B16">
            <w:pPr>
              <w:pStyle w:val="NoSpacing"/>
            </w:pPr>
            <w:r w:rsidRPr="006E75EE">
              <w:t>[</w:t>
            </w:r>
            <w:r w:rsidRPr="006E75EE">
              <w:rPr>
                <w:b/>
                <w:bCs/>
              </w:rPr>
              <w:t>EPA Project Coordinator’s email address</w:t>
            </w:r>
            <w:r w:rsidRPr="006E75EE">
              <w:t>]</w:t>
            </w:r>
          </w:p>
          <w:p w14:paraId="17E83215" w14:textId="1D743502" w:rsidR="00AB418D" w:rsidRPr="006E75EE" w:rsidRDefault="00AB418D" w:rsidP="00FF5B16">
            <w:pPr>
              <w:pStyle w:val="NoSpacing"/>
            </w:pPr>
            <w:r w:rsidRPr="006E75EE">
              <w:t>Re: Site/Spill ID # ________</w:t>
            </w:r>
            <w:r w:rsidR="003D40CE" w:rsidRPr="006E75EE">
              <w:rPr>
                <w:rStyle w:val="FootnoteReference"/>
                <w:color w:val="auto"/>
              </w:rPr>
              <w:footnoteReference w:id="44"/>
            </w:r>
            <w:r w:rsidR="003D40CE" w:rsidRPr="006E75EE">
              <w:t xml:space="preserve"> </w:t>
            </w:r>
            <w:r w:rsidR="003D40CE" w:rsidRPr="006E75EE">
              <w:rPr>
                <w:rStyle w:val="FootnoteReference"/>
                <w:color w:val="auto"/>
              </w:rPr>
              <w:footnoteReference w:id="45"/>
            </w:r>
          </w:p>
        </w:tc>
      </w:tr>
      <w:tr w:rsidR="001B3C38" w:rsidRPr="006E75EE" w14:paraId="4A216EDF" w14:textId="77777777" w:rsidTr="00FF5B16">
        <w:trPr>
          <w:cantSplit/>
          <w:jc w:val="center"/>
        </w:trPr>
        <w:tc>
          <w:tcPr>
            <w:tcW w:w="2610" w:type="dxa"/>
          </w:tcPr>
          <w:p w14:paraId="4A087711" w14:textId="77777777" w:rsidR="00AB418D" w:rsidRPr="006E75EE" w:rsidRDefault="00AB418D" w:rsidP="00FF5B16">
            <w:pPr>
              <w:pStyle w:val="NoSpacing"/>
              <w:jc w:val="right"/>
            </w:pPr>
            <w:r w:rsidRPr="006E75EE">
              <w:t xml:space="preserve">As to the Regional Financial Management Officer: </w:t>
            </w:r>
          </w:p>
        </w:tc>
        <w:tc>
          <w:tcPr>
            <w:tcW w:w="5490" w:type="dxa"/>
          </w:tcPr>
          <w:p w14:paraId="41CCA643" w14:textId="77777777" w:rsidR="00AB418D" w:rsidRPr="006E75EE" w:rsidRDefault="00AB418D" w:rsidP="00FF5B16">
            <w:pPr>
              <w:pStyle w:val="NoSpacing"/>
            </w:pPr>
            <w:r w:rsidRPr="006E75EE">
              <w:rPr>
                <w:i/>
                <w:iCs/>
              </w:rPr>
              <w:t>via email to</w:t>
            </w:r>
            <w:r w:rsidRPr="006E75EE">
              <w:t>:</w:t>
            </w:r>
          </w:p>
          <w:p w14:paraId="63131F12" w14:textId="77777777" w:rsidR="00AB418D" w:rsidRPr="006E75EE" w:rsidRDefault="00AB418D" w:rsidP="00FF5B16">
            <w:pPr>
              <w:pStyle w:val="NoSpacing"/>
            </w:pPr>
            <w:r w:rsidRPr="006E75EE">
              <w:t>____________@epa.gov</w:t>
            </w:r>
          </w:p>
          <w:p w14:paraId="6F9BE15C" w14:textId="77777777" w:rsidR="00AB418D" w:rsidRPr="006E75EE" w:rsidRDefault="00AB418D" w:rsidP="00FF5B16">
            <w:pPr>
              <w:pStyle w:val="NoSpacing"/>
            </w:pPr>
            <w:r w:rsidRPr="006E75EE">
              <w:t>Re: Site/Spill ID # ________</w:t>
            </w:r>
          </w:p>
        </w:tc>
      </w:tr>
      <w:tr w:rsidR="001B3C38" w:rsidRPr="006E75EE" w14:paraId="36EF6061" w14:textId="77777777" w:rsidTr="00FF5B16">
        <w:trPr>
          <w:cantSplit/>
          <w:jc w:val="center"/>
        </w:trPr>
        <w:tc>
          <w:tcPr>
            <w:tcW w:w="2610" w:type="dxa"/>
          </w:tcPr>
          <w:p w14:paraId="7FA742F0" w14:textId="77777777" w:rsidR="00AB418D" w:rsidRPr="006E75EE" w:rsidRDefault="00AB418D" w:rsidP="00FF5B16">
            <w:pPr>
              <w:pStyle w:val="NoSpacing"/>
              <w:ind w:left="765"/>
              <w:jc w:val="right"/>
            </w:pPr>
          </w:p>
        </w:tc>
        <w:tc>
          <w:tcPr>
            <w:tcW w:w="5490" w:type="dxa"/>
          </w:tcPr>
          <w:p w14:paraId="4EC000E6" w14:textId="77777777" w:rsidR="00AB418D" w:rsidRPr="006E75EE" w:rsidRDefault="00AB418D" w:rsidP="00FF5B16">
            <w:pPr>
              <w:pStyle w:val="NoSpacing"/>
              <w:ind w:left="46"/>
            </w:pPr>
          </w:p>
        </w:tc>
      </w:tr>
      <w:tr w:rsidR="001B3C38" w:rsidRPr="006E75EE" w14:paraId="003ACC44" w14:textId="77777777" w:rsidTr="00FF5B16">
        <w:trPr>
          <w:cantSplit/>
          <w:jc w:val="center"/>
        </w:trPr>
        <w:tc>
          <w:tcPr>
            <w:tcW w:w="2610" w:type="dxa"/>
          </w:tcPr>
          <w:p w14:paraId="18514780" w14:textId="77777777" w:rsidR="00AB418D" w:rsidRPr="006E75EE" w:rsidRDefault="00AB418D" w:rsidP="00FF5B16">
            <w:pPr>
              <w:pStyle w:val="NoSpacing"/>
              <w:ind w:left="765"/>
              <w:jc w:val="right"/>
            </w:pPr>
            <w:r w:rsidRPr="006E75EE">
              <w:t>As to Respondents:</w:t>
            </w:r>
          </w:p>
        </w:tc>
        <w:tc>
          <w:tcPr>
            <w:tcW w:w="5490" w:type="dxa"/>
          </w:tcPr>
          <w:p w14:paraId="0130C050" w14:textId="77777777" w:rsidR="00AB418D" w:rsidRPr="006E75EE" w:rsidRDefault="00AB418D" w:rsidP="00FF5B16">
            <w:pPr>
              <w:pStyle w:val="NoSpacing"/>
            </w:pPr>
            <w:r w:rsidRPr="006E75EE">
              <w:rPr>
                <w:i/>
                <w:iCs/>
              </w:rPr>
              <w:t>via email to</w:t>
            </w:r>
            <w:r w:rsidRPr="006E75EE">
              <w:t>:</w:t>
            </w:r>
          </w:p>
          <w:p w14:paraId="5AE22A40" w14:textId="77777777" w:rsidR="00AB418D" w:rsidRDefault="00AB418D" w:rsidP="00FF5B16">
            <w:pPr>
              <w:pStyle w:val="NoSpacing"/>
            </w:pPr>
            <w:r w:rsidRPr="006E75EE">
              <w:t>[</w:t>
            </w:r>
            <w:r w:rsidRPr="006E75EE">
              <w:rPr>
                <w:b/>
                <w:bCs/>
              </w:rPr>
              <w:t>SD Project Coordinator’s email address</w:t>
            </w:r>
            <w:r w:rsidRPr="006E75EE">
              <w:t>]</w:t>
            </w:r>
          </w:p>
          <w:p w14:paraId="483DA6F4" w14:textId="610CEF62" w:rsidR="00274820" w:rsidRPr="006E75EE" w:rsidRDefault="00274820" w:rsidP="00FF5B16">
            <w:pPr>
              <w:pStyle w:val="NoSpacing"/>
            </w:pPr>
            <w:r>
              <w:rPr>
                <w:color w:val="000000" w:themeColor="text1"/>
              </w:rPr>
              <w:t>[name and email address of person responsible for ensuring past cost payment is made]</w:t>
            </w:r>
          </w:p>
        </w:tc>
      </w:tr>
    </w:tbl>
    <w:p w14:paraId="112E157B" w14:textId="1CF56C99" w:rsidR="004A1100" w:rsidRPr="006E75EE" w:rsidRDefault="004A1100" w:rsidP="002B7658">
      <w:pPr>
        <w:pStyle w:val="Heading1"/>
        <w:rPr>
          <w:lang w:val="en-US"/>
        </w:rPr>
      </w:pPr>
      <w:bookmarkStart w:id="245" w:name="_Ref76975389"/>
      <w:bookmarkStart w:id="246" w:name="_Toc80599623"/>
      <w:bookmarkStart w:id="247" w:name="_Toc184899552"/>
      <w:bookmarkStart w:id="248" w:name="_Ref377725317"/>
      <w:bookmarkStart w:id="249" w:name="_Ref377725332"/>
      <w:bookmarkStart w:id="250" w:name="_Ref378062804"/>
      <w:bookmarkStart w:id="251" w:name="_Ref378062900"/>
      <w:bookmarkStart w:id="252" w:name="_Ref326225793"/>
      <w:r w:rsidRPr="006E75EE">
        <w:rPr>
          <w:lang w:val="en-US"/>
        </w:rPr>
        <w:t>APPENDIXES</w:t>
      </w:r>
      <w:bookmarkEnd w:id="245"/>
      <w:bookmarkEnd w:id="246"/>
      <w:bookmarkEnd w:id="247"/>
    </w:p>
    <w:p w14:paraId="0507ED0F" w14:textId="0E5D1943" w:rsidR="004A1100" w:rsidRPr="006E75EE" w:rsidRDefault="00CD76A1" w:rsidP="004A1100">
      <w:pPr>
        <w:pStyle w:val="LVL1"/>
      </w:pPr>
      <w:r w:rsidRPr="006E75EE">
        <w:t>The following appendix</w:t>
      </w:r>
      <w:r w:rsidR="004A1100" w:rsidRPr="006E75EE">
        <w:t>es are attached to and incorporated into this Settlement:</w:t>
      </w:r>
    </w:p>
    <w:p w14:paraId="1C1E1212" w14:textId="2443D5E7" w:rsidR="004A1100" w:rsidRPr="006E75EE" w:rsidRDefault="004A1100" w:rsidP="004A1100">
      <w:pPr>
        <w:pStyle w:val="NoSpacing"/>
      </w:pPr>
    </w:p>
    <w:p w14:paraId="48A80A2A" w14:textId="49BA0692" w:rsidR="004A1100" w:rsidRPr="006E75EE" w:rsidRDefault="00306628" w:rsidP="008415B2">
      <w:pPr>
        <w:pStyle w:val="DEFN"/>
        <w:rPr>
          <w:color w:val="auto"/>
        </w:rPr>
      </w:pPr>
      <w:r w:rsidRPr="006E75EE">
        <w:rPr>
          <w:color w:val="auto"/>
        </w:rPr>
        <w:lastRenderedPageBreak/>
        <w:t>“</w:t>
      </w:r>
      <w:r w:rsidR="002D70BD" w:rsidRPr="006E75EE">
        <w:rPr>
          <w:color w:val="auto"/>
        </w:rPr>
        <w:t>Appendix A</w:t>
      </w:r>
      <w:r w:rsidRPr="006E75EE">
        <w:rPr>
          <w:color w:val="auto"/>
        </w:rPr>
        <w:t>”</w:t>
      </w:r>
      <w:r w:rsidR="002D70BD" w:rsidRPr="006E75EE">
        <w:rPr>
          <w:color w:val="auto"/>
        </w:rPr>
        <w:t xml:space="preserve"> is the list of Respondents</w:t>
      </w:r>
      <w:r w:rsidR="004A1100" w:rsidRPr="006E75EE">
        <w:rPr>
          <w:color w:val="auto"/>
        </w:rPr>
        <w:t>.</w:t>
      </w:r>
    </w:p>
    <w:p w14:paraId="719ACDFD" w14:textId="64392FE8" w:rsidR="004A1100" w:rsidRPr="006E75EE" w:rsidRDefault="00306628" w:rsidP="008415B2">
      <w:pPr>
        <w:pStyle w:val="DEFN"/>
        <w:rPr>
          <w:color w:val="auto"/>
        </w:rPr>
      </w:pPr>
      <w:r w:rsidRPr="006E75EE">
        <w:rPr>
          <w:color w:val="auto"/>
        </w:rPr>
        <w:t>“</w:t>
      </w:r>
      <w:r w:rsidR="002D70BD" w:rsidRPr="006E75EE">
        <w:rPr>
          <w:color w:val="auto"/>
        </w:rPr>
        <w:t>Appendix B</w:t>
      </w:r>
      <w:r w:rsidRPr="006E75EE">
        <w:rPr>
          <w:color w:val="auto"/>
        </w:rPr>
        <w:t>”</w:t>
      </w:r>
      <w:r w:rsidR="004A1100" w:rsidRPr="006E75EE">
        <w:rPr>
          <w:color w:val="auto"/>
        </w:rPr>
        <w:t xml:space="preserve"> is the </w:t>
      </w:r>
      <w:r w:rsidR="002D70BD" w:rsidRPr="006E75EE">
        <w:rPr>
          <w:color w:val="auto"/>
        </w:rPr>
        <w:t>map [description] of the Site.</w:t>
      </w:r>
    </w:p>
    <w:p w14:paraId="1BAC245C" w14:textId="0ED9ADC6" w:rsidR="004A1100" w:rsidRPr="006E75EE" w:rsidRDefault="00306628" w:rsidP="008415B2">
      <w:pPr>
        <w:pStyle w:val="DEFN"/>
        <w:rPr>
          <w:color w:val="auto"/>
        </w:rPr>
      </w:pPr>
      <w:r w:rsidRPr="006E75EE">
        <w:rPr>
          <w:color w:val="auto"/>
        </w:rPr>
        <w:t>“</w:t>
      </w:r>
      <w:r w:rsidR="004A1100" w:rsidRPr="006E75EE">
        <w:rPr>
          <w:color w:val="auto"/>
        </w:rPr>
        <w:t>Appendix C</w:t>
      </w:r>
      <w:r w:rsidRPr="006E75EE">
        <w:rPr>
          <w:color w:val="auto"/>
        </w:rPr>
        <w:t>”</w:t>
      </w:r>
      <w:r w:rsidR="004A1100" w:rsidRPr="006E75EE">
        <w:rPr>
          <w:color w:val="auto"/>
        </w:rPr>
        <w:t xml:space="preserve"> is the</w:t>
      </w:r>
      <w:r w:rsidR="002D70BD" w:rsidRPr="006E75EE">
        <w:rPr>
          <w:color w:val="auto"/>
        </w:rPr>
        <w:t xml:space="preserve"> Statement of Work</w:t>
      </w:r>
      <w:r w:rsidR="00C20C72">
        <w:rPr>
          <w:color w:val="auto"/>
        </w:rPr>
        <w:t xml:space="preserve"> (“SOW”).</w:t>
      </w:r>
    </w:p>
    <w:p w14:paraId="02EC6A22" w14:textId="079C8B1E" w:rsidR="008170B1" w:rsidRPr="006E75EE" w:rsidRDefault="008170B1" w:rsidP="002B7658">
      <w:pPr>
        <w:pStyle w:val="Heading1"/>
      </w:pPr>
      <w:bookmarkStart w:id="253" w:name="_Ref76973920"/>
      <w:bookmarkStart w:id="254" w:name="_Toc184899553"/>
      <w:bookmarkStart w:id="255" w:name="_Toc408308275"/>
      <w:bookmarkStart w:id="256" w:name="_Toc80599625"/>
      <w:bookmarkStart w:id="257" w:name="_Ref364855211"/>
      <w:bookmarkEnd w:id="248"/>
      <w:bookmarkEnd w:id="249"/>
      <w:bookmarkEnd w:id="250"/>
      <w:bookmarkEnd w:id="251"/>
      <w:r w:rsidRPr="006E75EE">
        <w:t>MODIFICATION</w:t>
      </w:r>
      <w:bookmarkEnd w:id="252"/>
      <w:r w:rsidR="004A1100" w:rsidRPr="006E75EE">
        <w:rPr>
          <w:lang w:val="en-US"/>
        </w:rPr>
        <w:t>S TO SETTLEMENT</w:t>
      </w:r>
      <w:bookmarkEnd w:id="253"/>
      <w:bookmarkEnd w:id="254"/>
    </w:p>
    <w:p w14:paraId="1E7CA616" w14:textId="3FAC915F" w:rsidR="009867BA" w:rsidRPr="006E75EE" w:rsidRDefault="009867BA" w:rsidP="009867BA">
      <w:pPr>
        <w:pStyle w:val="LVL1"/>
      </w:pPr>
      <w:bookmarkStart w:id="258" w:name="_Ref92190957"/>
      <w:bookmarkStart w:id="259" w:name="_Ref76973930"/>
      <w:bookmarkStart w:id="260" w:name="_Ref326219627"/>
      <w:r w:rsidRPr="006E75EE">
        <w:t>Except as provided in ¶</w:t>
      </w:r>
      <w:r w:rsidR="006D17BD" w:rsidRPr="006E75EE">
        <w:rPr>
          <w:lang w:val="en-US"/>
        </w:rPr>
        <w:t> </w:t>
      </w:r>
      <w:r w:rsidR="00645E41" w:rsidRPr="006E75EE">
        <w:fldChar w:fldCharType="begin"/>
      </w:r>
      <w:r w:rsidR="00645E41" w:rsidRPr="006E75EE">
        <w:instrText xml:space="preserve"> REF _Ref76896599 \r \h </w:instrText>
      </w:r>
      <w:r w:rsidR="006E75EE">
        <w:instrText xml:space="preserve"> \* MERGEFORMAT </w:instrText>
      </w:r>
      <w:r w:rsidR="00645E41" w:rsidRPr="006E75EE">
        <w:fldChar w:fldCharType="separate"/>
      </w:r>
      <w:r w:rsidR="009166B4" w:rsidRPr="006E75EE">
        <w:t>23</w:t>
      </w:r>
      <w:r w:rsidR="00645E41" w:rsidRPr="006E75EE">
        <w:fldChar w:fldCharType="end"/>
      </w:r>
      <w:r w:rsidR="00306628" w:rsidRPr="006E75EE">
        <w:rPr>
          <w:lang w:val="en-US"/>
        </w:rPr>
        <w:t xml:space="preserve"> (</w:t>
      </w:r>
      <w:r w:rsidR="00306628" w:rsidRPr="006E75EE">
        <w:rPr>
          <w:bCs/>
          <w:lang w:val="en-US"/>
        </w:rPr>
        <w:t>Modifications to the Work</w:t>
      </w:r>
      <w:r w:rsidR="00306628" w:rsidRPr="006E75EE">
        <w:rPr>
          <w:lang w:val="en-US"/>
        </w:rPr>
        <w:t>)</w:t>
      </w:r>
      <w:r w:rsidRPr="006E75EE">
        <w:t xml:space="preserve">, </w:t>
      </w:r>
      <w:r w:rsidR="00BE00FF" w:rsidRPr="006E75EE">
        <w:rPr>
          <w:lang w:val="en-US"/>
        </w:rPr>
        <w:t xml:space="preserve">both nonmaterial and material </w:t>
      </w:r>
      <w:r w:rsidRPr="006E75EE">
        <w:t>modifications to the Settlement</w:t>
      </w:r>
      <w:r w:rsidR="00BE00FF" w:rsidRPr="006E75EE">
        <w:rPr>
          <w:lang w:val="en-US"/>
        </w:rPr>
        <w:t xml:space="preserve"> and </w:t>
      </w:r>
      <w:r w:rsidR="00167F7F" w:rsidRPr="006E75EE">
        <w:t>¶</w:t>
      </w:r>
      <w:r w:rsidR="006D17BD" w:rsidRPr="006E75EE">
        <w:rPr>
          <w:lang w:val="en-US"/>
        </w:rPr>
        <w:t> </w:t>
      </w:r>
      <w:r w:rsidR="003633B5" w:rsidRPr="006E75EE">
        <w:rPr>
          <w:lang w:val="en-US"/>
        </w:rPr>
        <w:t>7</w:t>
      </w:r>
      <w:r w:rsidR="00BE00FF" w:rsidRPr="006E75EE">
        <w:rPr>
          <w:lang w:val="en-US"/>
        </w:rPr>
        <w:t>.5 of the SOW</w:t>
      </w:r>
      <w:r w:rsidR="00167F7F" w:rsidRPr="006E75EE">
        <w:rPr>
          <w:lang w:val="en-US"/>
        </w:rPr>
        <w:t xml:space="preserve"> (Approval of Deliverables)</w:t>
      </w:r>
      <w:r w:rsidRPr="006E75EE">
        <w:t xml:space="preserve"> must be in writing and are effective when signed (including electronically signed) by the Parties.</w:t>
      </w:r>
      <w:bookmarkEnd w:id="258"/>
      <w:r w:rsidRPr="006E75EE">
        <w:t xml:space="preserve"> </w:t>
      </w:r>
      <w:bookmarkEnd w:id="259"/>
    </w:p>
    <w:p w14:paraId="4C824245" w14:textId="5A9FAF50" w:rsidR="008170B1" w:rsidRPr="006E75EE" w:rsidRDefault="008170B1" w:rsidP="002B7658">
      <w:pPr>
        <w:pStyle w:val="Heading1"/>
      </w:pPr>
      <w:bookmarkStart w:id="261" w:name="_Toc184899554"/>
      <w:bookmarkEnd w:id="260"/>
      <w:r w:rsidRPr="006E75EE">
        <w:t>ATTORNEY GENERAL APPROVAL</w:t>
      </w:r>
      <w:bookmarkEnd w:id="255"/>
      <w:bookmarkEnd w:id="256"/>
      <w:r w:rsidR="003D40CE" w:rsidRPr="006E75EE">
        <w:rPr>
          <w:rStyle w:val="FootnoteReference"/>
          <w:color w:val="auto"/>
        </w:rPr>
        <w:footnoteReference w:id="46"/>
      </w:r>
      <w:bookmarkEnd w:id="261"/>
    </w:p>
    <w:p w14:paraId="386E9377" w14:textId="2C5224DD" w:rsidR="00A83ECE" w:rsidRPr="006E75EE" w:rsidRDefault="008170B1" w:rsidP="00A83ECE">
      <w:pPr>
        <w:pStyle w:val="LVL1"/>
      </w:pPr>
      <w:bookmarkStart w:id="262" w:name="_Ref215738681"/>
      <w:r w:rsidRPr="006E75EE">
        <w:t xml:space="preserve">The Attorney General or [his/her] designee has approved the response cost settlement embodied in this </w:t>
      </w:r>
      <w:r w:rsidR="00FB28BD" w:rsidRPr="006E75EE">
        <w:t>Settlement</w:t>
      </w:r>
      <w:r w:rsidRPr="006E75EE">
        <w:t xml:space="preserve"> in accordance with </w:t>
      </w:r>
      <w:r w:rsidR="00C02A1F" w:rsidRPr="006E75EE">
        <w:rPr>
          <w:lang w:val="en-US"/>
        </w:rPr>
        <w:t>section</w:t>
      </w:r>
      <w:r w:rsidR="00226D58" w:rsidRPr="006E75EE">
        <w:rPr>
          <w:lang w:val="en-US"/>
        </w:rPr>
        <w:t> </w:t>
      </w:r>
      <w:r w:rsidR="00A83ECE" w:rsidRPr="006E75EE">
        <w:t>122(h)(1) of CERCLA.</w:t>
      </w:r>
      <w:bookmarkEnd w:id="262"/>
    </w:p>
    <w:p w14:paraId="05014573" w14:textId="438E8E42" w:rsidR="00A83ECE" w:rsidRPr="006E75EE" w:rsidRDefault="00A83ECE" w:rsidP="00A83ECE">
      <w:pPr>
        <w:pStyle w:val="Heading1"/>
      </w:pPr>
      <w:bookmarkStart w:id="263" w:name="_Toc80599626"/>
      <w:bookmarkStart w:id="264" w:name="_Toc184899555"/>
      <w:r w:rsidRPr="006E75EE">
        <w:rPr>
          <w:lang w:val="en-US"/>
        </w:rPr>
        <w:t>SIGNATORIES</w:t>
      </w:r>
      <w:bookmarkEnd w:id="263"/>
      <w:bookmarkEnd w:id="264"/>
    </w:p>
    <w:p w14:paraId="0181603B" w14:textId="15C808D7" w:rsidR="00A83ECE" w:rsidRPr="006E75EE" w:rsidRDefault="001A06FE" w:rsidP="00A83ECE">
      <w:pPr>
        <w:pStyle w:val="LVL1"/>
      </w:pPr>
      <w:r w:rsidRPr="006E75EE">
        <w:t xml:space="preserve">The undersigned </w:t>
      </w:r>
      <w:r w:rsidRPr="006E75EE">
        <w:rPr>
          <w:lang w:val="en-US"/>
        </w:rPr>
        <w:t xml:space="preserve">representative </w:t>
      </w:r>
      <w:r w:rsidRPr="006E75EE">
        <w:t>of EPA and e</w:t>
      </w:r>
      <w:r w:rsidR="00A83ECE" w:rsidRPr="006E75EE">
        <w:t xml:space="preserve">ach undersigned representative of a Respondent certifies that he or she is authorized to enter into the terms and conditions of this Settlement and to execute and legally bind such </w:t>
      </w:r>
      <w:r w:rsidRPr="006E75EE">
        <w:rPr>
          <w:lang w:val="en-US"/>
        </w:rPr>
        <w:t xml:space="preserve">party </w:t>
      </w:r>
      <w:r w:rsidR="00A83ECE" w:rsidRPr="006E75EE">
        <w:t>to this Settlement.</w:t>
      </w:r>
    </w:p>
    <w:p w14:paraId="45099ADE" w14:textId="081CC0EA" w:rsidR="00FE4545" w:rsidRPr="006E75EE" w:rsidRDefault="00FE4545" w:rsidP="00FE4545">
      <w:pPr>
        <w:pStyle w:val="Heading1"/>
      </w:pPr>
      <w:bookmarkStart w:id="265" w:name="_Ref351019729"/>
      <w:bookmarkStart w:id="266" w:name="_Toc408308276"/>
      <w:bookmarkStart w:id="267" w:name="_Ref408929826"/>
      <w:bookmarkStart w:id="268" w:name="_Toc80599627"/>
      <w:bookmarkStart w:id="269" w:name="_Toc184899556"/>
      <w:r w:rsidRPr="006E75EE">
        <w:t>INTEGRATION</w:t>
      </w:r>
      <w:bookmarkEnd w:id="265"/>
      <w:bookmarkEnd w:id="266"/>
      <w:bookmarkEnd w:id="267"/>
      <w:bookmarkEnd w:id="268"/>
      <w:bookmarkEnd w:id="269"/>
    </w:p>
    <w:p w14:paraId="58929681" w14:textId="4E381341" w:rsidR="00FE4545" w:rsidRPr="006E75EE" w:rsidRDefault="00FE4545" w:rsidP="00A83ECE">
      <w:pPr>
        <w:pStyle w:val="LVL1"/>
      </w:pPr>
      <w:r w:rsidRPr="006E75EE">
        <w:t xml:space="preserve">This Settlement constitutes the </w:t>
      </w:r>
      <w:r w:rsidRPr="006E75EE">
        <w:rPr>
          <w:lang w:val="en-US"/>
        </w:rPr>
        <w:t xml:space="preserve">entire </w:t>
      </w:r>
      <w:r w:rsidRPr="006E75EE">
        <w:t xml:space="preserve">agreement among the Parties </w:t>
      </w:r>
      <w:r w:rsidRPr="006E75EE">
        <w:rPr>
          <w:lang w:val="en-US"/>
        </w:rPr>
        <w:t>regarding the subject matter of the</w:t>
      </w:r>
      <w:r w:rsidRPr="006E75EE">
        <w:t xml:space="preserve"> Settlement</w:t>
      </w:r>
      <w:r w:rsidRPr="006E75EE">
        <w:rPr>
          <w:lang w:val="en-US"/>
        </w:rPr>
        <w:t xml:space="preserve"> and supersedes all prior </w:t>
      </w:r>
      <w:r w:rsidRPr="006E75EE">
        <w:rPr>
          <w:szCs w:val="24"/>
        </w:rPr>
        <w:t>representations, agreements</w:t>
      </w:r>
      <w:r w:rsidR="00DE13E4" w:rsidRPr="006E75EE">
        <w:rPr>
          <w:szCs w:val="24"/>
          <w:lang w:val="en-US"/>
        </w:rPr>
        <w:t>,</w:t>
      </w:r>
      <w:r w:rsidRPr="006E75EE">
        <w:rPr>
          <w:szCs w:val="24"/>
        </w:rPr>
        <w:t xml:space="preserve"> and understandings, whether oral or written, regarding the subject matter of the Settlement embodied herein</w:t>
      </w:r>
      <w:r w:rsidRPr="006E75EE">
        <w:t>.</w:t>
      </w:r>
    </w:p>
    <w:p w14:paraId="10C211DA" w14:textId="669B307E" w:rsidR="009F30E2" w:rsidRPr="006E75EE" w:rsidRDefault="009F30E2" w:rsidP="009F30E2">
      <w:pPr>
        <w:pStyle w:val="Heading1"/>
      </w:pPr>
      <w:bookmarkStart w:id="270" w:name="_Toc408308274"/>
      <w:bookmarkStart w:id="271" w:name="_Toc80599628"/>
      <w:bookmarkStart w:id="272" w:name="_Toc184899557"/>
      <w:r w:rsidRPr="006E75EE">
        <w:t>PUBLIC COMMENT</w:t>
      </w:r>
      <w:bookmarkEnd w:id="270"/>
      <w:bookmarkEnd w:id="271"/>
      <w:r w:rsidR="00FE103F" w:rsidRPr="006E75EE">
        <w:rPr>
          <w:rStyle w:val="FootnoteReference"/>
          <w:color w:val="auto"/>
        </w:rPr>
        <w:footnoteReference w:id="47"/>
      </w:r>
      <w:bookmarkEnd w:id="272"/>
    </w:p>
    <w:p w14:paraId="6420806C" w14:textId="5A51C5D2" w:rsidR="009F30E2" w:rsidRPr="006E75EE" w:rsidRDefault="009F30E2" w:rsidP="009F30E2">
      <w:pPr>
        <w:pStyle w:val="LVL1"/>
      </w:pPr>
      <w:bookmarkStart w:id="273" w:name="_Ref76753127"/>
      <w:r w:rsidRPr="006E75EE">
        <w:t xml:space="preserve">Final </w:t>
      </w:r>
      <w:r w:rsidR="006902EA" w:rsidRPr="006E75EE">
        <w:rPr>
          <w:lang w:val="en-US"/>
        </w:rPr>
        <w:t>consent</w:t>
      </w:r>
      <w:r w:rsidRPr="006E75EE">
        <w:t xml:space="preserve"> by EPA of </w:t>
      </w:r>
      <w:r w:rsidR="0004747D" w:rsidRPr="006E75EE">
        <w:rPr>
          <w:lang w:val="en-US"/>
        </w:rPr>
        <w:t xml:space="preserve">its covenant regarding </w:t>
      </w:r>
      <w:r w:rsidRPr="006E75EE">
        <w:rPr>
          <w:lang w:val="en-US"/>
        </w:rPr>
        <w:t>[Past Response Costs / Future Response Costs / Past and Future Response Costs] is subject to a 30 day public comment period under</w:t>
      </w:r>
      <w:r w:rsidRPr="006E75EE">
        <w:t xml:space="preserve"> </w:t>
      </w:r>
      <w:r w:rsidR="00C86598" w:rsidRPr="006E75EE">
        <w:rPr>
          <w:lang w:val="en-US"/>
        </w:rPr>
        <w:t>section</w:t>
      </w:r>
      <w:r w:rsidR="00226D58" w:rsidRPr="006E75EE">
        <w:rPr>
          <w:lang w:val="en-US"/>
        </w:rPr>
        <w:t> </w:t>
      </w:r>
      <w:r w:rsidRPr="006E75EE">
        <w:t xml:space="preserve">122(i) of CERCLA. EPA may withhold consent </w:t>
      </w:r>
      <w:r w:rsidR="006902EA" w:rsidRPr="006E75EE">
        <w:rPr>
          <w:lang w:val="en-US"/>
        </w:rPr>
        <w:t xml:space="preserve">regarding, </w:t>
      </w:r>
      <w:r w:rsidRPr="006E75EE">
        <w:t>or seek to modify, all or part of Section</w:t>
      </w:r>
      <w:r w:rsidRPr="006E75EE">
        <w:rPr>
          <w:lang w:val="en-US"/>
        </w:rPr>
        <w:t> </w:t>
      </w:r>
      <w:r w:rsidRPr="006E75EE">
        <w:fldChar w:fldCharType="begin"/>
      </w:r>
      <w:r w:rsidRPr="006E75EE">
        <w:instrText xml:space="preserve"> REF _Ref326224281 \r \h </w:instrText>
      </w:r>
      <w:r w:rsidR="006E75EE">
        <w:instrText xml:space="preserve"> \* MERGEFORMAT </w:instrText>
      </w:r>
      <w:r w:rsidRPr="006E75EE">
        <w:fldChar w:fldCharType="separate"/>
      </w:r>
      <w:r w:rsidR="009166B4" w:rsidRPr="006E75EE">
        <w:t>XI</w:t>
      </w:r>
      <w:r w:rsidRPr="006E75EE">
        <w:fldChar w:fldCharType="end"/>
      </w:r>
      <w:r w:rsidRPr="006E75EE">
        <w:rPr>
          <w:lang w:val="en-US"/>
        </w:rPr>
        <w:t xml:space="preserve"> (Payments for Response Costs)</w:t>
      </w:r>
      <w:r w:rsidRPr="006E75EE">
        <w:t xml:space="preserve"> </w:t>
      </w:r>
      <w:r w:rsidR="006902EA" w:rsidRPr="006E75EE">
        <w:rPr>
          <w:lang w:val="en-US"/>
        </w:rPr>
        <w:t xml:space="preserve">and the covenant regarding [Past Response Costs / Future Response Costs / Past and Future Response Costs] </w:t>
      </w:r>
      <w:r w:rsidRPr="006E75EE">
        <w:t xml:space="preserve">if comments received disclose facts or considerations that indicate that </w:t>
      </w:r>
      <w:r w:rsidR="006902EA" w:rsidRPr="006E75EE">
        <w:rPr>
          <w:lang w:val="en-US"/>
        </w:rPr>
        <w:t xml:space="preserve">the covenant </w:t>
      </w:r>
      <w:r w:rsidRPr="006E75EE">
        <w:t>is inappropriate, improper, or inadequate.</w:t>
      </w:r>
      <w:bookmarkEnd w:id="273"/>
      <w:r w:rsidRPr="006E75EE">
        <w:t xml:space="preserve"> </w:t>
      </w:r>
    </w:p>
    <w:p w14:paraId="4D862716" w14:textId="62B74C96" w:rsidR="008170B1" w:rsidRPr="006E75EE" w:rsidRDefault="008170B1" w:rsidP="002147E1">
      <w:pPr>
        <w:pStyle w:val="Heading1"/>
      </w:pPr>
      <w:bookmarkStart w:id="274" w:name="_Ref326220092"/>
      <w:bookmarkStart w:id="275" w:name="_Toc408308277"/>
      <w:bookmarkStart w:id="276" w:name="_Toc80599629"/>
      <w:bookmarkStart w:id="277" w:name="_Toc184899558"/>
      <w:bookmarkStart w:id="278" w:name="_Hlk102736945"/>
      <w:r w:rsidRPr="006E75EE">
        <w:lastRenderedPageBreak/>
        <w:t>EFFECTIVE DATE</w:t>
      </w:r>
      <w:bookmarkEnd w:id="274"/>
      <w:bookmarkEnd w:id="275"/>
      <w:bookmarkEnd w:id="276"/>
      <w:bookmarkEnd w:id="277"/>
    </w:p>
    <w:bookmarkEnd w:id="257"/>
    <w:p w14:paraId="2E9652B5" w14:textId="60F209F3" w:rsidR="008170B1" w:rsidRPr="006E75EE" w:rsidRDefault="00850185" w:rsidP="00850185">
      <w:pPr>
        <w:pStyle w:val="LVL1"/>
        <w:rPr>
          <w:lang w:val="en-US"/>
        </w:rPr>
      </w:pPr>
      <w:r w:rsidRPr="006E75EE">
        <w:t xml:space="preserve"> </w:t>
      </w:r>
      <w:bookmarkStart w:id="279" w:name="_Ref162195497"/>
      <w:r w:rsidRPr="006E75EE">
        <w:rPr>
          <w:lang w:val="en-US"/>
        </w:rPr>
        <w:t>[Subject to the next sentence</w:t>
      </w:r>
      <w:proofErr w:type="gramStart"/>
      <w:r w:rsidRPr="006E75EE">
        <w:rPr>
          <w:lang w:val="en-US"/>
        </w:rPr>
        <w:t>, ]This</w:t>
      </w:r>
      <w:proofErr w:type="gramEnd"/>
      <w:r w:rsidRPr="006E75EE">
        <w:rPr>
          <w:lang w:val="en-US"/>
        </w:rPr>
        <w:t xml:space="preserve"> Settlement is effective when EPA issues notice to Respondents that the Regional Administrator or </w:t>
      </w:r>
      <w:r w:rsidR="00226D58" w:rsidRPr="006E75EE">
        <w:rPr>
          <w:lang w:val="en-US"/>
        </w:rPr>
        <w:t>their</w:t>
      </w:r>
      <w:r w:rsidRPr="006E75EE">
        <w:rPr>
          <w:lang w:val="en-US"/>
        </w:rPr>
        <w:t xml:space="preserve"> </w:t>
      </w:r>
      <w:proofErr w:type="spellStart"/>
      <w:r w:rsidRPr="006E75EE">
        <w:rPr>
          <w:lang w:val="en-US"/>
        </w:rPr>
        <w:t>delegatee</w:t>
      </w:r>
      <w:proofErr w:type="spellEnd"/>
      <w:r w:rsidRPr="006E75EE">
        <w:rPr>
          <w:lang w:val="en-US"/>
        </w:rPr>
        <w:t xml:space="preserve"> has signed the Settlement. [EPA’s covenant as to [Past Response Costs / Future Response Costs / Past and Future Response Costs] is effective when EPA issues notice to Respondents that public comments received, if any, do not require EPA to modify or withdraw from such covenant].</w:t>
      </w:r>
      <w:bookmarkEnd w:id="279"/>
      <w:r w:rsidR="004F5A97" w:rsidRPr="006E75EE">
        <w:rPr>
          <w:rStyle w:val="FootnoteReference"/>
          <w:color w:val="auto"/>
          <w:lang w:val="en-US"/>
        </w:rPr>
        <w:footnoteReference w:id="48"/>
      </w:r>
    </w:p>
    <w:p w14:paraId="5C46A08E" w14:textId="4804EFE2" w:rsidR="000B4C07" w:rsidRPr="006E75EE" w:rsidRDefault="000B4C07">
      <w:pPr>
        <w:spacing w:before="0" w:after="0"/>
        <w:rPr>
          <w:lang w:eastAsia="x-none"/>
        </w:rPr>
      </w:pPr>
      <w:r w:rsidRPr="006E75EE">
        <w:br w:type="page"/>
      </w:r>
    </w:p>
    <w:p w14:paraId="6B023898" w14:textId="7ABBE55B" w:rsidR="000B4C07" w:rsidRPr="006E75EE" w:rsidRDefault="000B4C07" w:rsidP="008415B2">
      <w:pPr>
        <w:numPr>
          <w:ilvl w:val="12"/>
          <w:numId w:val="0"/>
        </w:numPr>
        <w:tabs>
          <w:tab w:val="left" w:pos="7380"/>
        </w:tabs>
        <w:autoSpaceDE w:val="0"/>
        <w:autoSpaceDN w:val="0"/>
        <w:adjustRightInd w:val="0"/>
        <w:spacing w:before="0" w:after="0"/>
        <w:rPr>
          <w:rFonts w:eastAsia="Times New Roman"/>
          <w:szCs w:val="24"/>
        </w:rPr>
      </w:pPr>
      <w:r w:rsidRPr="006E75EE">
        <w:lastRenderedPageBreak/>
        <w:t>Signature Page for [Administrative Settlement Agreement] regarding [</w:t>
      </w:r>
      <w:r w:rsidRPr="006E75EE">
        <w:rPr>
          <w:b/>
          <w:bCs/>
        </w:rPr>
        <w:t>site name</w:t>
      </w:r>
      <w:r w:rsidRPr="006E75EE">
        <w:t>] Superfund Site</w:t>
      </w:r>
    </w:p>
    <w:bookmarkEnd w:id="278"/>
    <w:p w14:paraId="7208A8EB" w14:textId="77777777" w:rsidR="004A6862" w:rsidRPr="006E75EE" w:rsidRDefault="004A6862" w:rsidP="004A6862">
      <w:pPr>
        <w:pStyle w:val="NoSpacing"/>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1B3C38" w:rsidRPr="006E75EE" w14:paraId="05E11409" w14:textId="77777777" w:rsidTr="006902EA">
        <w:tc>
          <w:tcPr>
            <w:tcW w:w="4320" w:type="dxa"/>
          </w:tcPr>
          <w:p w14:paraId="603E7AC7" w14:textId="1661B8E5" w:rsidR="004A6862" w:rsidRPr="006E75EE" w:rsidRDefault="004A6862" w:rsidP="006902EA">
            <w:pPr>
              <w:pStyle w:val="NoSpacing"/>
            </w:pPr>
            <w:r w:rsidRPr="006E75EE">
              <w:rPr>
                <w:b/>
              </w:rPr>
              <w:t>IT IS SO AGREED AND ORDERED</w:t>
            </w:r>
            <w:r w:rsidR="006902EA" w:rsidRPr="006E75EE">
              <w:t>:</w:t>
            </w:r>
          </w:p>
        </w:tc>
        <w:tc>
          <w:tcPr>
            <w:tcW w:w="5030" w:type="dxa"/>
          </w:tcPr>
          <w:p w14:paraId="57F8FBCF" w14:textId="77777777" w:rsidR="004A6862" w:rsidRPr="006E75EE" w:rsidRDefault="004A6862" w:rsidP="00271503">
            <w:pPr>
              <w:numPr>
                <w:ilvl w:val="12"/>
                <w:numId w:val="0"/>
              </w:numPr>
              <w:autoSpaceDE w:val="0"/>
              <w:autoSpaceDN w:val="0"/>
              <w:adjustRightInd w:val="0"/>
              <w:spacing w:before="0" w:after="0" w:line="276" w:lineRule="auto"/>
              <w:contextualSpacing/>
              <w:rPr>
                <w:szCs w:val="24"/>
              </w:rPr>
            </w:pPr>
          </w:p>
        </w:tc>
      </w:tr>
      <w:tr w:rsidR="001B3C38" w:rsidRPr="006E75EE" w14:paraId="58A16204" w14:textId="77777777" w:rsidTr="006902EA">
        <w:tc>
          <w:tcPr>
            <w:tcW w:w="4320" w:type="dxa"/>
          </w:tcPr>
          <w:p w14:paraId="26CA5CF6" w14:textId="77777777" w:rsidR="004A6862" w:rsidRPr="006E75EE" w:rsidRDefault="004A6862" w:rsidP="00271503">
            <w:pPr>
              <w:numPr>
                <w:ilvl w:val="12"/>
                <w:numId w:val="0"/>
              </w:numPr>
              <w:autoSpaceDE w:val="0"/>
              <w:autoSpaceDN w:val="0"/>
              <w:adjustRightInd w:val="0"/>
              <w:spacing w:before="0" w:after="0" w:line="276" w:lineRule="auto"/>
              <w:contextualSpacing/>
              <w:rPr>
                <w:szCs w:val="24"/>
              </w:rPr>
            </w:pPr>
          </w:p>
        </w:tc>
        <w:tc>
          <w:tcPr>
            <w:tcW w:w="5030" w:type="dxa"/>
          </w:tcPr>
          <w:p w14:paraId="3C5D0BFB" w14:textId="0F59DC90" w:rsidR="004A6862" w:rsidRPr="006E75EE" w:rsidRDefault="0004747D" w:rsidP="00271503">
            <w:pPr>
              <w:numPr>
                <w:ilvl w:val="12"/>
                <w:numId w:val="0"/>
              </w:numPr>
              <w:autoSpaceDE w:val="0"/>
              <w:autoSpaceDN w:val="0"/>
              <w:adjustRightInd w:val="0"/>
              <w:spacing w:before="0" w:after="0" w:line="276" w:lineRule="auto"/>
              <w:contextualSpacing/>
              <w:rPr>
                <w:szCs w:val="24"/>
              </w:rPr>
            </w:pPr>
            <w:r w:rsidRPr="006E75EE">
              <w:rPr>
                <w:b/>
              </w:rPr>
              <w:t xml:space="preserve">BY THE </w:t>
            </w:r>
            <w:r w:rsidR="004A6862" w:rsidRPr="006E75EE">
              <w:rPr>
                <w:b/>
              </w:rPr>
              <w:t>U.S. ENVIRONMENTAL PROTECTION AGENCY</w:t>
            </w:r>
            <w:r w:rsidR="004A6862" w:rsidRPr="006E75EE">
              <w:t>:</w:t>
            </w:r>
          </w:p>
        </w:tc>
      </w:tr>
      <w:tr w:rsidR="004A6862" w:rsidRPr="006E75EE" w14:paraId="17915D30" w14:textId="77777777" w:rsidTr="006902EA">
        <w:trPr>
          <w:cantSplit/>
        </w:trPr>
        <w:tc>
          <w:tcPr>
            <w:tcW w:w="4320" w:type="dxa"/>
          </w:tcPr>
          <w:p w14:paraId="09375E3E" w14:textId="77777777" w:rsidR="004A6862" w:rsidRPr="006E75EE" w:rsidRDefault="004A6862" w:rsidP="00271503">
            <w:pPr>
              <w:numPr>
                <w:ilvl w:val="12"/>
                <w:numId w:val="0"/>
              </w:numPr>
              <w:autoSpaceDE w:val="0"/>
              <w:autoSpaceDN w:val="0"/>
              <w:adjustRightInd w:val="0"/>
              <w:spacing w:before="0" w:after="0" w:line="276" w:lineRule="auto"/>
              <w:contextualSpacing/>
              <w:rPr>
                <w:szCs w:val="24"/>
              </w:rPr>
            </w:pPr>
          </w:p>
          <w:p w14:paraId="28D1729F" w14:textId="77777777" w:rsidR="004A6862" w:rsidRPr="006E75EE" w:rsidRDefault="004A6862" w:rsidP="00271503">
            <w:pPr>
              <w:numPr>
                <w:ilvl w:val="12"/>
                <w:numId w:val="0"/>
              </w:numPr>
              <w:autoSpaceDE w:val="0"/>
              <w:autoSpaceDN w:val="0"/>
              <w:adjustRightInd w:val="0"/>
              <w:spacing w:before="0" w:after="0" w:line="276" w:lineRule="auto"/>
              <w:contextualSpacing/>
              <w:rPr>
                <w:szCs w:val="24"/>
              </w:rPr>
            </w:pPr>
          </w:p>
          <w:p w14:paraId="3F2A6B7D" w14:textId="39335EB1" w:rsidR="004A6862" w:rsidRPr="006E75EE" w:rsidRDefault="004A6862" w:rsidP="00271503">
            <w:pPr>
              <w:numPr>
                <w:ilvl w:val="12"/>
                <w:numId w:val="0"/>
              </w:numPr>
              <w:autoSpaceDE w:val="0"/>
              <w:autoSpaceDN w:val="0"/>
              <w:adjustRightInd w:val="0"/>
              <w:spacing w:before="0" w:after="0" w:line="276" w:lineRule="auto"/>
              <w:contextualSpacing/>
              <w:rPr>
                <w:szCs w:val="24"/>
              </w:rPr>
            </w:pPr>
            <w:r w:rsidRPr="006E75EE">
              <w:rPr>
                <w:szCs w:val="24"/>
              </w:rPr>
              <w:t>_____________</w:t>
            </w:r>
          </w:p>
          <w:p w14:paraId="529418FC" w14:textId="0BC0D2A5" w:rsidR="004A6862" w:rsidRPr="006E75EE" w:rsidRDefault="004A6862" w:rsidP="00271503">
            <w:pPr>
              <w:numPr>
                <w:ilvl w:val="12"/>
                <w:numId w:val="0"/>
              </w:numPr>
              <w:autoSpaceDE w:val="0"/>
              <w:autoSpaceDN w:val="0"/>
              <w:adjustRightInd w:val="0"/>
              <w:spacing w:before="0" w:after="0" w:line="276" w:lineRule="auto"/>
              <w:contextualSpacing/>
              <w:rPr>
                <w:szCs w:val="24"/>
              </w:rPr>
            </w:pPr>
            <w:r w:rsidRPr="006E75EE">
              <w:rPr>
                <w:szCs w:val="24"/>
              </w:rPr>
              <w:t>Dated</w:t>
            </w:r>
          </w:p>
        </w:tc>
        <w:tc>
          <w:tcPr>
            <w:tcW w:w="5030" w:type="dxa"/>
          </w:tcPr>
          <w:p w14:paraId="578E215A" w14:textId="77777777" w:rsidR="004A6862" w:rsidRPr="006E75EE" w:rsidRDefault="004A6862" w:rsidP="00271503">
            <w:pPr>
              <w:numPr>
                <w:ilvl w:val="12"/>
                <w:numId w:val="0"/>
              </w:numPr>
              <w:autoSpaceDE w:val="0"/>
              <w:autoSpaceDN w:val="0"/>
              <w:adjustRightInd w:val="0"/>
              <w:spacing w:before="0" w:after="0" w:line="276" w:lineRule="auto"/>
              <w:contextualSpacing/>
            </w:pPr>
          </w:p>
          <w:p w14:paraId="4F4C8502" w14:textId="77777777" w:rsidR="004A6862" w:rsidRPr="006E75EE" w:rsidRDefault="004A6862" w:rsidP="00271503">
            <w:pPr>
              <w:numPr>
                <w:ilvl w:val="12"/>
                <w:numId w:val="0"/>
              </w:numPr>
              <w:autoSpaceDE w:val="0"/>
              <w:autoSpaceDN w:val="0"/>
              <w:adjustRightInd w:val="0"/>
              <w:spacing w:before="0" w:after="0" w:line="276" w:lineRule="auto"/>
              <w:contextualSpacing/>
            </w:pPr>
          </w:p>
          <w:p w14:paraId="12CFB00E" w14:textId="6044ED32" w:rsidR="004A6862" w:rsidRPr="006E75EE" w:rsidRDefault="004A6862" w:rsidP="00271503">
            <w:pPr>
              <w:numPr>
                <w:ilvl w:val="12"/>
                <w:numId w:val="0"/>
              </w:numPr>
              <w:autoSpaceDE w:val="0"/>
              <w:autoSpaceDN w:val="0"/>
              <w:adjustRightInd w:val="0"/>
              <w:spacing w:before="0" w:after="0" w:line="276" w:lineRule="auto"/>
              <w:contextualSpacing/>
            </w:pPr>
            <w:r w:rsidRPr="006E75EE">
              <w:t>________________________________</w:t>
            </w:r>
          </w:p>
          <w:p w14:paraId="11336753" w14:textId="77777777" w:rsidR="004A6862" w:rsidRPr="006E75EE" w:rsidRDefault="004A6862" w:rsidP="00271503">
            <w:pPr>
              <w:numPr>
                <w:ilvl w:val="12"/>
                <w:numId w:val="0"/>
              </w:numPr>
              <w:autoSpaceDE w:val="0"/>
              <w:autoSpaceDN w:val="0"/>
              <w:adjustRightInd w:val="0"/>
              <w:spacing w:before="0" w:after="0" w:line="276" w:lineRule="auto"/>
              <w:contextualSpacing/>
            </w:pPr>
            <w:r w:rsidRPr="006E75EE">
              <w:t>[</w:t>
            </w:r>
            <w:r w:rsidRPr="006E75EE">
              <w:rPr>
                <w:b/>
                <w:bCs/>
              </w:rPr>
              <w:t>Name</w:t>
            </w:r>
            <w:r w:rsidRPr="006E75EE">
              <w:t>]</w:t>
            </w:r>
          </w:p>
          <w:p w14:paraId="168F6E91" w14:textId="28EE9F23" w:rsidR="004A6862" w:rsidRPr="006E75EE" w:rsidRDefault="004A6862" w:rsidP="00271503">
            <w:pPr>
              <w:numPr>
                <w:ilvl w:val="12"/>
                <w:numId w:val="0"/>
              </w:numPr>
              <w:autoSpaceDE w:val="0"/>
              <w:autoSpaceDN w:val="0"/>
              <w:adjustRightInd w:val="0"/>
              <w:spacing w:before="0" w:after="0" w:line="276" w:lineRule="auto"/>
              <w:contextualSpacing/>
            </w:pPr>
            <w:r w:rsidRPr="006E75EE">
              <w:t>Regional Administrator [or designee], Region __</w:t>
            </w:r>
          </w:p>
        </w:tc>
      </w:tr>
    </w:tbl>
    <w:p w14:paraId="4904C286" w14:textId="77777777" w:rsidR="006902EA" w:rsidRPr="006E75EE" w:rsidRDefault="006902EA" w:rsidP="004A6862">
      <w:pPr>
        <w:numPr>
          <w:ilvl w:val="12"/>
          <w:numId w:val="0"/>
        </w:numPr>
        <w:tabs>
          <w:tab w:val="left" w:pos="7380"/>
        </w:tabs>
        <w:autoSpaceDE w:val="0"/>
        <w:autoSpaceDN w:val="0"/>
        <w:adjustRightInd w:val="0"/>
        <w:spacing w:before="0" w:after="0"/>
        <w:jc w:val="center"/>
        <w:rPr>
          <w:szCs w:val="24"/>
        </w:rPr>
      </w:pPr>
    </w:p>
    <w:p w14:paraId="61C6C165" w14:textId="615E7052" w:rsidR="00271503" w:rsidRPr="006E75EE" w:rsidRDefault="00271503" w:rsidP="008415B2">
      <w:pPr>
        <w:numPr>
          <w:ilvl w:val="12"/>
          <w:numId w:val="0"/>
        </w:numPr>
        <w:tabs>
          <w:tab w:val="left" w:pos="7380"/>
        </w:tabs>
        <w:autoSpaceDE w:val="0"/>
        <w:autoSpaceDN w:val="0"/>
        <w:adjustRightInd w:val="0"/>
        <w:spacing w:before="0" w:after="0"/>
        <w:rPr>
          <w:rFonts w:eastAsia="Times New Roman"/>
          <w:szCs w:val="24"/>
        </w:rPr>
      </w:pPr>
      <w:r w:rsidRPr="006E75EE">
        <w:rPr>
          <w:szCs w:val="24"/>
        </w:rPr>
        <w:br w:type="page"/>
      </w:r>
      <w:r w:rsidRPr="006E75EE">
        <w:lastRenderedPageBreak/>
        <w:t xml:space="preserve">Signature Page for </w:t>
      </w:r>
      <w:r w:rsidR="000B4C07" w:rsidRPr="006E75EE">
        <w:t xml:space="preserve">[Administrative </w:t>
      </w:r>
      <w:r w:rsidRPr="006E75EE">
        <w:t xml:space="preserve">Settlement </w:t>
      </w:r>
      <w:r w:rsidR="000B4C07" w:rsidRPr="006E75EE">
        <w:t>Agreement] r</w:t>
      </w:r>
      <w:r w:rsidRPr="006E75EE">
        <w:t>egarding</w:t>
      </w:r>
      <w:r w:rsidR="00376FD5" w:rsidRPr="006E75EE">
        <w:t xml:space="preserve"> </w:t>
      </w:r>
      <w:r w:rsidR="000B4C07" w:rsidRPr="006E75EE">
        <w:t>[</w:t>
      </w:r>
      <w:r w:rsidR="000B4C07" w:rsidRPr="006E75EE">
        <w:rPr>
          <w:b/>
          <w:bCs/>
        </w:rPr>
        <w:t>site name</w:t>
      </w:r>
      <w:r w:rsidR="000B4C07" w:rsidRPr="006E75EE">
        <w:t xml:space="preserve">] </w:t>
      </w:r>
      <w:r w:rsidRPr="006E75EE">
        <w:t>Superfund Site</w:t>
      </w:r>
    </w:p>
    <w:p w14:paraId="10E2B4D1" w14:textId="77777777" w:rsidR="005F2A17" w:rsidRPr="006E75EE" w:rsidRDefault="005F2A17" w:rsidP="008415B2">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475"/>
      </w:tblGrid>
      <w:tr w:rsidR="001B3C38" w:rsidRPr="006E75EE" w14:paraId="2B81B80A" w14:textId="77777777" w:rsidTr="005F2A17">
        <w:tc>
          <w:tcPr>
            <w:tcW w:w="2875" w:type="dxa"/>
          </w:tcPr>
          <w:p w14:paraId="0AA1AF03" w14:textId="77777777" w:rsidR="005F2A17" w:rsidRPr="006E75EE" w:rsidRDefault="005F2A17" w:rsidP="00141BAE">
            <w:pPr>
              <w:pStyle w:val="NoSpacing"/>
            </w:pPr>
          </w:p>
        </w:tc>
        <w:tc>
          <w:tcPr>
            <w:tcW w:w="6475" w:type="dxa"/>
          </w:tcPr>
          <w:p w14:paraId="77C3BEF5" w14:textId="4FEA0BCF" w:rsidR="005F2A17" w:rsidRPr="006E75EE" w:rsidRDefault="005F2A17" w:rsidP="00141BAE">
            <w:pPr>
              <w:pStyle w:val="NoSpacing"/>
            </w:pPr>
            <w:r w:rsidRPr="006E75EE">
              <w:rPr>
                <w:b/>
                <w:bCs/>
              </w:rPr>
              <w:t>FOR</w:t>
            </w:r>
          </w:p>
        </w:tc>
      </w:tr>
      <w:tr w:rsidR="005F2A17" w:rsidRPr="006E75EE" w14:paraId="0C753A01" w14:textId="77777777" w:rsidTr="005F2A17">
        <w:tc>
          <w:tcPr>
            <w:tcW w:w="2875" w:type="dxa"/>
          </w:tcPr>
          <w:p w14:paraId="783B2889" w14:textId="77777777" w:rsidR="005F2A17" w:rsidRPr="006E75EE" w:rsidRDefault="005F2A17" w:rsidP="00141BAE">
            <w:pPr>
              <w:pStyle w:val="NoSpacing"/>
            </w:pPr>
          </w:p>
          <w:p w14:paraId="5C5BCA15" w14:textId="77777777" w:rsidR="005F2A17" w:rsidRPr="006E75EE" w:rsidRDefault="005F2A17" w:rsidP="00141BAE">
            <w:pPr>
              <w:pStyle w:val="NoSpacing"/>
            </w:pPr>
          </w:p>
          <w:p w14:paraId="7014F61B" w14:textId="77777777" w:rsidR="005F2A17" w:rsidRPr="006E75EE" w:rsidRDefault="005F2A17" w:rsidP="00141BAE">
            <w:pPr>
              <w:pStyle w:val="NoSpacing"/>
            </w:pPr>
            <w:r w:rsidRPr="006E75EE">
              <w:t>__________</w:t>
            </w:r>
          </w:p>
          <w:p w14:paraId="07BC2EC4" w14:textId="0E1FB9A6" w:rsidR="005F2A17" w:rsidRPr="006E75EE" w:rsidRDefault="005F2A17" w:rsidP="00141BAE">
            <w:pPr>
              <w:pStyle w:val="NoSpacing"/>
            </w:pPr>
            <w:r w:rsidRPr="006E75EE">
              <w:t>Dated</w:t>
            </w:r>
          </w:p>
        </w:tc>
        <w:tc>
          <w:tcPr>
            <w:tcW w:w="6475" w:type="dxa"/>
          </w:tcPr>
          <w:p w14:paraId="18A149FB" w14:textId="77777777" w:rsidR="005F2A17" w:rsidRPr="006E75EE" w:rsidRDefault="005F2A17" w:rsidP="00141BAE">
            <w:pPr>
              <w:pStyle w:val="NoSpacing"/>
            </w:pPr>
          </w:p>
          <w:p w14:paraId="5791E682" w14:textId="77777777" w:rsidR="005F2A17" w:rsidRPr="006E75EE" w:rsidRDefault="005F2A17" w:rsidP="00141BAE">
            <w:pPr>
              <w:pStyle w:val="NoSpacing"/>
            </w:pPr>
          </w:p>
          <w:p w14:paraId="1777952E" w14:textId="77777777" w:rsidR="005F2A17" w:rsidRPr="006E75EE" w:rsidRDefault="005F2A17" w:rsidP="00141BAE">
            <w:pPr>
              <w:pStyle w:val="NoSpacing"/>
              <w:rPr>
                <w:b/>
                <w:bCs/>
              </w:rPr>
            </w:pPr>
            <w:r w:rsidRPr="006E75EE">
              <w:rPr>
                <w:b/>
                <w:bCs/>
              </w:rPr>
              <w:t>_____________________________________</w:t>
            </w:r>
          </w:p>
          <w:p w14:paraId="2F4E515E" w14:textId="77777777" w:rsidR="005F2A17" w:rsidRPr="006E75EE" w:rsidRDefault="005F2A17" w:rsidP="00141BAE">
            <w:pPr>
              <w:pStyle w:val="NoSpacing"/>
            </w:pPr>
            <w:r w:rsidRPr="006E75EE">
              <w:t>[</w:t>
            </w:r>
            <w:r w:rsidRPr="006E75EE">
              <w:rPr>
                <w:b/>
                <w:bCs/>
              </w:rPr>
              <w:t>Name</w:t>
            </w:r>
            <w:r w:rsidRPr="006E75EE">
              <w:t>]</w:t>
            </w:r>
          </w:p>
          <w:p w14:paraId="105267E5" w14:textId="085E9057" w:rsidR="005F2A17" w:rsidRPr="006E75EE" w:rsidRDefault="005F2A17" w:rsidP="00141BAE">
            <w:pPr>
              <w:pStyle w:val="NoSpacing"/>
            </w:pPr>
            <w:r w:rsidRPr="006E75EE">
              <w:t>[</w:t>
            </w:r>
            <w:r w:rsidRPr="006E75EE">
              <w:rPr>
                <w:b/>
                <w:bCs/>
              </w:rPr>
              <w:t>Title</w:t>
            </w:r>
            <w:r w:rsidRPr="006E75EE">
              <w:t>]</w:t>
            </w:r>
          </w:p>
          <w:p w14:paraId="62055D4E" w14:textId="77777777" w:rsidR="005F2A17" w:rsidRPr="006E75EE" w:rsidRDefault="005F2A17" w:rsidP="00141BAE">
            <w:pPr>
              <w:pStyle w:val="NoSpacing"/>
            </w:pPr>
            <w:r w:rsidRPr="006E75EE">
              <w:t>[</w:t>
            </w:r>
            <w:r w:rsidRPr="006E75EE">
              <w:rPr>
                <w:b/>
                <w:bCs/>
              </w:rPr>
              <w:t>Address</w:t>
            </w:r>
            <w:r w:rsidRPr="006E75EE">
              <w:t>]</w:t>
            </w:r>
          </w:p>
          <w:p w14:paraId="67304D51" w14:textId="77777777" w:rsidR="005F2A17" w:rsidRPr="006E75EE" w:rsidRDefault="005F2A17" w:rsidP="00141BAE">
            <w:pPr>
              <w:pStyle w:val="NoSpacing"/>
            </w:pPr>
          </w:p>
          <w:p w14:paraId="4ED999B0" w14:textId="77777777" w:rsidR="005F2A17" w:rsidRPr="006E75EE" w:rsidRDefault="005F2A17" w:rsidP="00141BAE">
            <w:pPr>
              <w:pStyle w:val="NoSpacing"/>
            </w:pPr>
          </w:p>
          <w:p w14:paraId="595AD39E" w14:textId="43131A02" w:rsidR="005F2A17" w:rsidRPr="006E75EE" w:rsidRDefault="005F2A17" w:rsidP="00141BAE">
            <w:pPr>
              <w:pStyle w:val="NoSpacing"/>
            </w:pPr>
          </w:p>
        </w:tc>
      </w:tr>
    </w:tbl>
    <w:p w14:paraId="73CA3E4C" w14:textId="12822D31" w:rsidR="004A6862" w:rsidRPr="006E75EE" w:rsidRDefault="004A6862" w:rsidP="005F2A17">
      <w:pPr>
        <w:pStyle w:val="NoSpacing"/>
      </w:pPr>
    </w:p>
    <w:p w14:paraId="270C63AE" w14:textId="77777777" w:rsidR="005F2A17" w:rsidRPr="006E75EE" w:rsidRDefault="005F2A17" w:rsidP="005F2A17">
      <w:pPr>
        <w:pStyle w:val="NoSpacing"/>
      </w:pPr>
    </w:p>
    <w:p w14:paraId="242A1513" w14:textId="3A00E8A6" w:rsidR="004F5A97" w:rsidRPr="006E75EE" w:rsidRDefault="009A2F3A">
      <w:pPr>
        <w:spacing w:before="0" w:after="0"/>
        <w:rPr>
          <w:b/>
        </w:rPr>
      </w:pPr>
      <w:r w:rsidRPr="006E75EE">
        <w:rPr>
          <w:bCs/>
        </w:rPr>
        <w:t>[</w:t>
      </w:r>
      <w:r w:rsidRPr="006E75EE">
        <w:rPr>
          <w:b/>
        </w:rPr>
        <w:t>Note</w:t>
      </w:r>
      <w:r w:rsidRPr="006E75EE">
        <w:rPr>
          <w:bCs/>
        </w:rPr>
        <w:t>: A separate signature page is required for each settler.]</w:t>
      </w:r>
      <w:r w:rsidR="004F5A97" w:rsidRPr="006E75EE">
        <w:rPr>
          <w:b/>
        </w:rPr>
        <w:br w:type="page"/>
      </w:r>
    </w:p>
    <w:p w14:paraId="6E66454E" w14:textId="7F07DD4A" w:rsidR="00E22E70" w:rsidRPr="006E75EE" w:rsidRDefault="00E22E70" w:rsidP="005F2A17">
      <w:pPr>
        <w:pStyle w:val="NoSpacing"/>
        <w:rPr>
          <w:bCs/>
        </w:rPr>
      </w:pPr>
      <w:r w:rsidRPr="006E75EE">
        <w:rPr>
          <w:bCs/>
        </w:rPr>
        <w:lastRenderedPageBreak/>
        <w:t xml:space="preserve">Signature Page for </w:t>
      </w:r>
      <w:r w:rsidR="005F2A17" w:rsidRPr="006E75EE">
        <w:rPr>
          <w:bCs/>
        </w:rPr>
        <w:t xml:space="preserve">[Administrative </w:t>
      </w:r>
      <w:r w:rsidRPr="006E75EE">
        <w:rPr>
          <w:bCs/>
        </w:rPr>
        <w:t xml:space="preserve">Settlement </w:t>
      </w:r>
      <w:r w:rsidR="005F2A17" w:rsidRPr="006E75EE">
        <w:rPr>
          <w:bCs/>
        </w:rPr>
        <w:t>Agreement] r</w:t>
      </w:r>
      <w:r w:rsidRPr="006E75EE">
        <w:rPr>
          <w:bCs/>
        </w:rPr>
        <w:t>egarding</w:t>
      </w:r>
      <w:r w:rsidR="005F2A17" w:rsidRPr="006E75EE">
        <w:rPr>
          <w:bCs/>
        </w:rPr>
        <w:t xml:space="preserve"> [</w:t>
      </w:r>
      <w:r w:rsidR="005F2A17" w:rsidRPr="006E75EE">
        <w:rPr>
          <w:b/>
        </w:rPr>
        <w:t>site name</w:t>
      </w:r>
      <w:r w:rsidR="005F2A17" w:rsidRPr="006E75EE">
        <w:rPr>
          <w:bCs/>
        </w:rPr>
        <w:t>]</w:t>
      </w:r>
      <w:r w:rsidR="008415B2" w:rsidRPr="006E75EE">
        <w:rPr>
          <w:bCs/>
        </w:rPr>
        <w:t xml:space="preserve"> </w:t>
      </w:r>
      <w:r w:rsidRPr="006E75EE">
        <w:rPr>
          <w:bCs/>
        </w:rPr>
        <w:t>Superfund Site</w:t>
      </w:r>
    </w:p>
    <w:p w14:paraId="647DACC8" w14:textId="36B615B7" w:rsidR="00E22E70" w:rsidRPr="006E75EE" w:rsidRDefault="00E22E70" w:rsidP="00E22E70">
      <w:pPr>
        <w:pStyle w:val="NoSpacing"/>
        <w:rPr>
          <w:bCs/>
        </w:rPr>
      </w:pPr>
    </w:p>
    <w:p w14:paraId="445A60C7" w14:textId="06B00438" w:rsidR="00E22E70" w:rsidRPr="006E75EE" w:rsidRDefault="00E22E70" w:rsidP="00E22E70">
      <w:pPr>
        <w:pStyle w:val="NoSpacing"/>
        <w:rPr>
          <w:bCs/>
        </w:rPr>
      </w:pPr>
    </w:p>
    <w:p w14:paraId="3C3BE8D2" w14:textId="6944267F" w:rsidR="009A2F3A" w:rsidRPr="006E75EE" w:rsidRDefault="00D740A0" w:rsidP="00E22E70">
      <w:pPr>
        <w:pStyle w:val="NoSpacing"/>
        <w:rPr>
          <w:bCs/>
        </w:rPr>
      </w:pPr>
      <w:r w:rsidRPr="006E75EE">
        <w:rPr>
          <w:bCs/>
        </w:rPr>
        <w:t>[</w:t>
      </w:r>
      <w:proofErr w:type="gramStart"/>
      <w:r w:rsidR="00E22E70" w:rsidRPr="006E75EE">
        <w:rPr>
          <w:b/>
        </w:rPr>
        <w:t>FOR</w:t>
      </w:r>
      <w:r w:rsidR="00E22E70" w:rsidRPr="006E75EE">
        <w:rPr>
          <w:bCs/>
        </w:rPr>
        <w:t xml:space="preserve"> __</w:t>
      </w:r>
      <w:proofErr w:type="gramEnd"/>
      <w:r w:rsidR="00E22E70" w:rsidRPr="006E75EE">
        <w:rPr>
          <w:bCs/>
        </w:rPr>
        <w:t>__________________________________:</w:t>
      </w:r>
      <w:r w:rsidRPr="006E75EE">
        <w:rPr>
          <w:bCs/>
        </w:rPr>
        <w:t>]</w:t>
      </w:r>
    </w:p>
    <w:p w14:paraId="04AD6D8F" w14:textId="702D95BC" w:rsidR="00E22E70" w:rsidRPr="006E75EE" w:rsidRDefault="00E22E70" w:rsidP="008415B2">
      <w:pPr>
        <w:pStyle w:val="NoSpacing"/>
        <w:ind w:firstLine="720"/>
        <w:rPr>
          <w:bCs/>
        </w:rPr>
      </w:pPr>
      <w:r w:rsidRPr="006E75EE">
        <w:rPr>
          <w:bCs/>
        </w:rPr>
        <w:t>[Print name of SFA]</w:t>
      </w:r>
    </w:p>
    <w:p w14:paraId="0840D431" w14:textId="77777777" w:rsidR="009A2F3A" w:rsidRPr="006E75EE" w:rsidRDefault="009A2F3A" w:rsidP="008415B2">
      <w:pPr>
        <w:pStyle w:val="NoSpacing"/>
        <w:ind w:firstLine="720"/>
        <w:rPr>
          <w:bCs/>
        </w:rPr>
      </w:pPr>
    </w:p>
    <w:p w14:paraId="7131E885" w14:textId="77777777" w:rsidR="009A2F3A" w:rsidRPr="006E75EE" w:rsidRDefault="009A2F3A" w:rsidP="008415B2">
      <w:pPr>
        <w:pStyle w:val="NoSpacing"/>
        <w:ind w:firstLine="720"/>
        <w:rPr>
          <w:bCs/>
        </w:rPr>
      </w:pPr>
    </w:p>
    <w:p w14:paraId="0C50C36B" w14:textId="2EFADEDA" w:rsidR="00E22E70" w:rsidRPr="006E75EE" w:rsidRDefault="009A2F3A" w:rsidP="00E22E70">
      <w:pPr>
        <w:pStyle w:val="NoSpacing"/>
        <w:rPr>
          <w:bCs/>
        </w:rPr>
      </w:pPr>
      <w:r w:rsidRPr="006E75EE">
        <w:rPr>
          <w:bCs/>
        </w:rPr>
        <w:t>[</w:t>
      </w:r>
      <w:r w:rsidRPr="006E75EE">
        <w:rPr>
          <w:b/>
        </w:rPr>
        <w:t>Note</w:t>
      </w:r>
      <w:r w:rsidRPr="006E75EE">
        <w:rPr>
          <w:bCs/>
        </w:rPr>
        <w:t>: A separate signature block is required for each SFA.]</w:t>
      </w:r>
    </w:p>
    <w:p w14:paraId="656E4FC5" w14:textId="77777777" w:rsidR="00141BAE" w:rsidRPr="006E75EE" w:rsidRDefault="00141BAE" w:rsidP="004F5A97">
      <w:pPr>
        <w:spacing w:before="0" w:after="0"/>
      </w:pPr>
    </w:p>
    <w:sectPr w:rsidR="00141BAE" w:rsidRPr="006E75EE" w:rsidSect="00845F80">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1CC8" w14:textId="77777777" w:rsidR="00E3130E" w:rsidRDefault="00E3130E" w:rsidP="00872359">
      <w:pPr>
        <w:spacing w:before="0" w:after="0"/>
      </w:pPr>
      <w:r>
        <w:separator/>
      </w:r>
    </w:p>
  </w:endnote>
  <w:endnote w:type="continuationSeparator" w:id="0">
    <w:p w14:paraId="6BD5472E" w14:textId="77777777" w:rsidR="00E3130E" w:rsidRDefault="00E3130E" w:rsidP="00872359">
      <w:pPr>
        <w:spacing w:before="0" w:after="0"/>
      </w:pPr>
      <w:r>
        <w:continuationSeparator/>
      </w:r>
    </w:p>
  </w:endnote>
  <w:endnote w:type="continuationNotice" w:id="1">
    <w:p w14:paraId="79087077" w14:textId="77777777" w:rsidR="00E3130E" w:rsidRDefault="00E313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41715953"/>
      <w:docPartObj>
        <w:docPartGallery w:val="Page Numbers (Bottom of Page)"/>
        <w:docPartUnique/>
      </w:docPartObj>
    </w:sdtPr>
    <w:sdtEndPr>
      <w:rPr>
        <w:noProof/>
      </w:rPr>
    </w:sdtEndPr>
    <w:sdtContent>
      <w:p w14:paraId="3C2BE420" w14:textId="094A108A" w:rsidR="00807D2F" w:rsidRPr="001C5434" w:rsidRDefault="00807D2F" w:rsidP="00723F51">
        <w:pPr>
          <w:pStyle w:val="Footer"/>
          <w:jc w:val="center"/>
          <w:rPr>
            <w:rFonts w:ascii="Times New Roman" w:hAnsi="Times New Roman"/>
          </w:rPr>
        </w:pPr>
        <w:r w:rsidRPr="001C5434">
          <w:rPr>
            <w:rFonts w:ascii="Times New Roman" w:hAnsi="Times New Roman"/>
          </w:rPr>
          <w:fldChar w:fldCharType="begin"/>
        </w:r>
        <w:r w:rsidRPr="0098473B">
          <w:rPr>
            <w:rFonts w:ascii="Times New Roman" w:hAnsi="Times New Roman"/>
          </w:rPr>
          <w:instrText xml:space="preserve"> PAGE   \* MERGEFORMAT </w:instrText>
        </w:r>
        <w:r w:rsidRPr="001C5434">
          <w:rPr>
            <w:rFonts w:ascii="Times New Roman" w:hAnsi="Times New Roman"/>
          </w:rPr>
          <w:fldChar w:fldCharType="separate"/>
        </w:r>
        <w:r w:rsidRPr="0098473B">
          <w:rPr>
            <w:rFonts w:ascii="Times New Roman" w:hAnsi="Times New Roman"/>
            <w:noProof/>
          </w:rPr>
          <w:t>1</w:t>
        </w:r>
        <w:r w:rsidRPr="0098473B">
          <w:rPr>
            <w:rFonts w:ascii="Times New Roman" w:hAnsi="Times New Roman"/>
            <w:noProof/>
          </w:rPr>
          <w:t>1</w:t>
        </w:r>
        <w:r w:rsidRPr="001C5434">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09EF" w14:textId="778DC56A" w:rsidR="00807D2F" w:rsidRPr="00A538D6" w:rsidRDefault="00807D2F" w:rsidP="00A538D6">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F5C6" w14:textId="77777777" w:rsidR="00E3130E" w:rsidRDefault="00E3130E" w:rsidP="00872359">
      <w:pPr>
        <w:spacing w:before="0" w:after="0"/>
      </w:pPr>
      <w:r>
        <w:separator/>
      </w:r>
    </w:p>
  </w:footnote>
  <w:footnote w:type="continuationSeparator" w:id="0">
    <w:p w14:paraId="38FBEB51" w14:textId="77777777" w:rsidR="00E3130E" w:rsidRDefault="00E3130E" w:rsidP="00872359">
      <w:pPr>
        <w:spacing w:before="0" w:after="0"/>
      </w:pPr>
      <w:r>
        <w:continuationSeparator/>
      </w:r>
    </w:p>
  </w:footnote>
  <w:footnote w:type="continuationNotice" w:id="1">
    <w:p w14:paraId="383A0BEB" w14:textId="77777777" w:rsidR="00E3130E" w:rsidRDefault="00E3130E">
      <w:pPr>
        <w:spacing w:before="0" w:after="0"/>
      </w:pPr>
    </w:p>
  </w:footnote>
  <w:footnote w:id="2">
    <w:p w14:paraId="77C85981" w14:textId="44A0A1A8"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there are many Respondents, attach an appendix and refer to it instead.</w:t>
      </w:r>
    </w:p>
  </w:footnote>
  <w:footnote w:id="3">
    <w:p w14:paraId="6E6CAB78" w14:textId="4AA460DF"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This caption is a table. To make it easier to navigate within it, turn on gridlines as follows: Click anywhere in the table. Under the “Table Tools” menu that appears in the upper ribbon, click the “Layout” button. In the layout ribbon that appears, on the far left, click the “View Gridlines” button.</w:t>
      </w:r>
    </w:p>
    <w:p w14:paraId="1B0E333D" w14:textId="77777777" w:rsidR="005440A5" w:rsidRPr="00C762F3" w:rsidRDefault="005440A5">
      <w:pPr>
        <w:pStyle w:val="FootnoteText"/>
        <w:rPr>
          <w:sz w:val="18"/>
          <w:szCs w:val="18"/>
          <w:lang w:val="en-US"/>
        </w:rPr>
      </w:pPr>
    </w:p>
  </w:footnote>
  <w:footnote w:id="4">
    <w:p w14:paraId="57C9C160" w14:textId="35F387FA"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Include “heirs” if any Settling Respondent is both an individual and an owner of the Site.</w:t>
      </w:r>
    </w:p>
  </w:footnote>
  <w:footnote w:id="5">
    <w:p w14:paraId="617588A3" w14:textId="41B87D86"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These definitions may be augmented or omitted as appropriate.</w:t>
      </w:r>
    </w:p>
  </w:footnote>
  <w:footnote w:id="6">
    <w:p w14:paraId="287E7657" w14:textId="6ECFBD7C"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Note that CERCLA § 104(a)(1) requires that potentially responsible parties must agree to pay oversight costs.</w:t>
      </w:r>
    </w:p>
  </w:footnote>
  <w:footnote w:id="7">
    <w:p w14:paraId="0608D8DB" w14:textId="1C20BD2B" w:rsidR="00D602DB" w:rsidRPr="00C762F3" w:rsidRDefault="00D602DB">
      <w:pPr>
        <w:pStyle w:val="FootnoteText"/>
        <w:rPr>
          <w:sz w:val="18"/>
          <w:szCs w:val="18"/>
          <w:lang w:val="en-US"/>
        </w:rPr>
      </w:pPr>
      <w:r w:rsidRPr="00C762F3">
        <w:rPr>
          <w:rStyle w:val="FootnoteReference"/>
          <w:sz w:val="18"/>
          <w:szCs w:val="18"/>
        </w:rPr>
        <w:footnoteRef/>
      </w:r>
      <w:r w:rsidRPr="00C762F3">
        <w:rPr>
          <w:sz w:val="18"/>
          <w:szCs w:val="18"/>
        </w:rPr>
        <w:t xml:space="preserve"> </w:t>
      </w:r>
      <w:r w:rsidRPr="00C762F3">
        <w:rPr>
          <w:sz w:val="18"/>
          <w:szCs w:val="18"/>
        </w:rPr>
        <w:t>If EPA is incurring costs that are not within this definition, then supplement the definition to reference such costs.</w:t>
      </w:r>
    </w:p>
  </w:footnote>
  <w:footnote w:id="8">
    <w:p w14:paraId="2E228CEA" w14:textId="178AA412"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If including ¶ </w:t>
      </w:r>
      <w:r w:rsidRPr="00C762F3">
        <w:rPr>
          <w:sz w:val="18"/>
          <w:szCs w:val="18"/>
          <w:lang w:val="en-US"/>
        </w:rPr>
        <w:fldChar w:fldCharType="begin"/>
      </w:r>
      <w:r w:rsidRPr="00C762F3">
        <w:rPr>
          <w:sz w:val="18"/>
          <w:szCs w:val="18"/>
          <w:lang w:val="en-US"/>
        </w:rPr>
        <w:instrText xml:space="preserve"> REF _Ref102746798 \w \h </w:instrText>
      </w:r>
      <w:r w:rsidR="00C762F3" w:rsidRPr="00C762F3">
        <w:rPr>
          <w:sz w:val="18"/>
          <w:szCs w:val="18"/>
          <w:lang w:val="en-US"/>
        </w:rPr>
        <w:instrText xml:space="preserve"> \* MERGEFORMAT </w:instrText>
      </w:r>
      <w:r w:rsidRPr="00C762F3">
        <w:rPr>
          <w:sz w:val="18"/>
          <w:szCs w:val="18"/>
          <w:lang w:val="en-US"/>
        </w:rPr>
      </w:r>
      <w:r w:rsidRPr="00C762F3">
        <w:rPr>
          <w:sz w:val="18"/>
          <w:szCs w:val="18"/>
          <w:lang w:val="en-US"/>
        </w:rPr>
        <w:fldChar w:fldCharType="separate"/>
      </w:r>
      <w:r w:rsidRPr="00C762F3">
        <w:rPr>
          <w:sz w:val="18"/>
          <w:szCs w:val="18"/>
          <w:lang w:val="en-US"/>
        </w:rPr>
        <w:t>71</w:t>
      </w:r>
      <w:r w:rsidRPr="00C762F3">
        <w:rPr>
          <w:sz w:val="18"/>
          <w:szCs w:val="18"/>
          <w:lang w:val="en-US"/>
        </w:rPr>
        <w:fldChar w:fldCharType="end"/>
      </w:r>
      <w:r w:rsidRPr="00C762F3">
        <w:rPr>
          <w:sz w:val="18"/>
          <w:szCs w:val="18"/>
          <w:lang w:val="en-US"/>
        </w:rPr>
        <w:t xml:space="preserve"> (MSW Waiver), insert the following definition.] [“Municipal solid waste” or “MSW” means waste material: (a) generated by a household (including a single or multifamily residence); or (b) generated by a commercial, industrial, or institutional entity, to the extent that the waste material (1) is essentially the same as waste normally generated by a household; (2) is collected and disposed of with other municipal solid waste as part of normal municipal solid waste collection services; and (3) contains a relative quantity of hazardous substances no greater than the relative quantity of hazardous substances contained in waste material generated by a typical single-family household.]</w:t>
      </w:r>
    </w:p>
  </w:footnote>
  <w:footnote w:id="9">
    <w:p w14:paraId="6E0C2759" w14:textId="3A73E015"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If the settlement will resolve natural resource damages, add a definition for that here. </w:t>
      </w:r>
      <w:proofErr w:type="gramStart"/>
      <w:r w:rsidRPr="00C762F3">
        <w:rPr>
          <w:sz w:val="18"/>
          <w:szCs w:val="18"/>
          <w:lang w:val="en-US"/>
        </w:rPr>
        <w:t>A number of</w:t>
      </w:r>
      <w:proofErr w:type="gramEnd"/>
      <w:r w:rsidRPr="00C762F3">
        <w:rPr>
          <w:sz w:val="18"/>
          <w:szCs w:val="18"/>
          <w:lang w:val="en-US"/>
        </w:rPr>
        <w:t xml:space="preserve"> additional provisions addressing NRD also will be needed throughout the Settlement.</w:t>
      </w:r>
    </w:p>
  </w:footnote>
  <w:footnote w:id="10">
    <w:p w14:paraId="7FC71785" w14:textId="423821B2" w:rsidR="00962DE6" w:rsidRPr="00962DE6" w:rsidRDefault="00962DE6">
      <w:pPr>
        <w:pStyle w:val="FootnoteText"/>
        <w:rPr>
          <w:sz w:val="18"/>
          <w:szCs w:val="18"/>
          <w:lang w:val="en-US"/>
        </w:rPr>
      </w:pPr>
      <w:r w:rsidRPr="00962DE6">
        <w:rPr>
          <w:rStyle w:val="FootnoteReference"/>
          <w:sz w:val="18"/>
          <w:szCs w:val="18"/>
        </w:rPr>
        <w:footnoteRef/>
      </w:r>
      <w:r w:rsidRPr="00962DE6">
        <w:rPr>
          <w:sz w:val="18"/>
          <w:szCs w:val="18"/>
        </w:rPr>
        <w:t xml:space="preserve"> </w:t>
      </w:r>
      <w:r w:rsidRPr="00962DE6">
        <w:rPr>
          <w:rFonts w:eastAsia="Times New Roman"/>
          <w:sz w:val="18"/>
          <w:szCs w:val="18"/>
        </w:rPr>
        <w:t>If EPA is incurring costs that are not within this definition, then supplement the definition to reference such costs.</w:t>
      </w:r>
    </w:p>
  </w:footnote>
  <w:footnote w:id="11">
    <w:p w14:paraId="1BAE3BF2" w14:textId="0A04C50D" w:rsidR="005440A5" w:rsidRPr="00C762F3" w:rsidRDefault="005440A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SFAs are making payments toward past and/or future response costs incurred by Respondents, add definitions for “Respondents’ Past Response Costs” and “Respondents’ Future Response Costs.” DOJ’s Environmental Defense Section will generally take the lead in negotiating these definitions</w:t>
      </w:r>
      <w:r w:rsidR="00AE40D5" w:rsidRPr="00C762F3">
        <w:rPr>
          <w:sz w:val="18"/>
          <w:szCs w:val="18"/>
          <w:lang w:val="en-US"/>
        </w:rPr>
        <w:t>.</w:t>
      </w:r>
    </w:p>
  </w:footnote>
  <w:footnote w:id="12">
    <w:p w14:paraId="0C6EFC93" w14:textId="65E5EB2B" w:rsidR="00AE40D5" w:rsidRPr="00C762F3" w:rsidRDefault="00AE40D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there are many Respondents, list them in an appendix and insert this definition: “Respondents” means those Parties identified in Appendix __.”</w:t>
      </w:r>
    </w:p>
  </w:footnote>
  <w:footnote w:id="13">
    <w:p w14:paraId="66FE16FB" w14:textId="102F9BA5" w:rsidR="00730973" w:rsidRPr="00C762F3" w:rsidRDefault="00AE40D5" w:rsidP="00AE40D5">
      <w:pPr>
        <w:pStyle w:val="FootnoteText"/>
        <w:rPr>
          <w:sz w:val="18"/>
          <w:szCs w:val="18"/>
        </w:rPr>
      </w:pPr>
      <w:r w:rsidRPr="00C762F3">
        <w:rPr>
          <w:rStyle w:val="FootnoteReference"/>
          <w:color w:val="auto"/>
          <w:sz w:val="18"/>
          <w:szCs w:val="18"/>
        </w:rPr>
        <w:footnoteRef/>
      </w:r>
      <w:r w:rsidRPr="00C762F3">
        <w:rPr>
          <w:sz w:val="18"/>
          <w:szCs w:val="18"/>
        </w:rPr>
        <w:t xml:space="preserve"> </w:t>
      </w:r>
      <w:r w:rsidR="00730973" w:rsidRPr="00C762F3">
        <w:rPr>
          <w:sz w:val="18"/>
          <w:szCs w:val="18"/>
          <w:lang w:val="en-US"/>
        </w:rPr>
        <w:t xml:space="preserve">If the Region has any information suggesting federal agency liability, such information should be provided to DOJ as soon as possible. For information regarding CERCLA § 104(e) information requests to federal agencies, review the “Guidance on Issuing CERCLA § 104(e)(2) Information Requests to Federal Agencies at Privately-owned Superfund Sites” (June 14, 2004), available at </w:t>
      </w:r>
      <w:r w:rsidR="00730973" w:rsidRPr="00C762F3">
        <w:rPr>
          <w:sz w:val="18"/>
          <w:szCs w:val="18"/>
          <w:u w:val="single"/>
          <w:lang w:val="en-US"/>
        </w:rPr>
        <w:t>https://www.epa.gov/enforcement/guidance-issuing-superfund-104e2-information-requests-federal-agencies-privately-owned</w:t>
      </w:r>
      <w:r w:rsidR="00730973" w:rsidRPr="00C762F3">
        <w:rPr>
          <w:sz w:val="18"/>
          <w:szCs w:val="18"/>
          <w:lang w:val="en-US"/>
        </w:rPr>
        <w:t>.</w:t>
      </w:r>
    </w:p>
    <w:p w14:paraId="781B29A4" w14:textId="1FC97F91" w:rsidR="00D124CA" w:rsidRPr="00C762F3" w:rsidRDefault="00730973" w:rsidP="00AE40D5">
      <w:pPr>
        <w:pStyle w:val="FootnoteText"/>
        <w:rPr>
          <w:sz w:val="18"/>
          <w:szCs w:val="18"/>
        </w:rPr>
      </w:pPr>
      <w:r w:rsidRPr="00C762F3">
        <w:rPr>
          <w:sz w:val="18"/>
          <w:szCs w:val="18"/>
        </w:rPr>
        <w:t xml:space="preserve">     </w:t>
      </w:r>
      <w:r w:rsidR="00D124CA" w:rsidRPr="00C762F3">
        <w:rPr>
          <w:sz w:val="18"/>
          <w:szCs w:val="18"/>
        </w:rPr>
        <w:t>If SFAs are participating insert one of these three definitions:</w:t>
      </w:r>
    </w:p>
    <w:p w14:paraId="3B094AEB" w14:textId="6AA55064" w:rsidR="00D124CA" w:rsidRPr="00C762F3" w:rsidRDefault="00D124CA" w:rsidP="00730973">
      <w:pPr>
        <w:pStyle w:val="FootnoteText"/>
        <w:ind w:left="720" w:hanging="360"/>
        <w:rPr>
          <w:sz w:val="18"/>
          <w:szCs w:val="18"/>
        </w:rPr>
      </w:pPr>
      <w:r w:rsidRPr="00C762F3">
        <w:rPr>
          <w:sz w:val="18"/>
          <w:szCs w:val="18"/>
        </w:rPr>
        <w:t>•</w:t>
      </w:r>
      <w:r w:rsidR="00730973" w:rsidRPr="00C762F3">
        <w:rPr>
          <w:sz w:val="18"/>
          <w:szCs w:val="18"/>
        </w:rPr>
        <w:t xml:space="preserve">   </w:t>
      </w:r>
      <w:r w:rsidRPr="00C762F3">
        <w:rPr>
          <w:sz w:val="18"/>
          <w:szCs w:val="18"/>
        </w:rPr>
        <w:t>“Settling Federal Agency” means DoD including its past and present components. DoD means the Department of Defense as described in 10 U.S.C. § 111.</w:t>
      </w:r>
    </w:p>
    <w:p w14:paraId="3201CF9B" w14:textId="1581B7EB" w:rsidR="00D124CA" w:rsidRPr="00C762F3" w:rsidRDefault="00730973" w:rsidP="00730973">
      <w:pPr>
        <w:pStyle w:val="FootnoteText"/>
        <w:ind w:left="720" w:hanging="360"/>
        <w:rPr>
          <w:sz w:val="18"/>
          <w:szCs w:val="18"/>
        </w:rPr>
      </w:pPr>
      <w:r w:rsidRPr="00C762F3">
        <w:rPr>
          <w:sz w:val="18"/>
          <w:szCs w:val="18"/>
        </w:rPr>
        <w:t xml:space="preserve">•   </w:t>
      </w:r>
      <w:r w:rsidR="00D124CA" w:rsidRPr="00C762F3">
        <w:rPr>
          <w:sz w:val="18"/>
          <w:szCs w:val="18"/>
        </w:rPr>
        <w:t>“Settling Federal Agency” means DoD acting by and through the [insert names of DoD service branches (and DLA) addressed in DoD’s investigation, e.g. Air Force, Army, Marine Corps, Navy, as applicable]. DoD means the Department of Defense as described in 10 U.S.C. § 111.</w:t>
      </w:r>
    </w:p>
    <w:p w14:paraId="062799F6" w14:textId="2C796865" w:rsidR="00D124CA" w:rsidRPr="00C762F3" w:rsidRDefault="00730973" w:rsidP="00730973">
      <w:pPr>
        <w:pStyle w:val="FootnoteText"/>
        <w:ind w:left="720" w:hanging="360"/>
        <w:rPr>
          <w:sz w:val="18"/>
          <w:szCs w:val="18"/>
        </w:rPr>
      </w:pPr>
      <w:r w:rsidRPr="00C762F3">
        <w:rPr>
          <w:sz w:val="18"/>
          <w:szCs w:val="18"/>
        </w:rPr>
        <w:t xml:space="preserve">•   </w:t>
      </w:r>
      <w:r w:rsidR="00D124CA" w:rsidRPr="00C762F3">
        <w:rPr>
          <w:sz w:val="18"/>
          <w:szCs w:val="18"/>
        </w:rPr>
        <w:t>“Settling Federal Agency” means ____.</w:t>
      </w:r>
    </w:p>
    <w:p w14:paraId="50E8ABFD" w14:textId="6F6C9102" w:rsidR="00730973" w:rsidRPr="00C762F3" w:rsidRDefault="00730973" w:rsidP="00AE40D5">
      <w:pPr>
        <w:pStyle w:val="FootnoteText"/>
        <w:rPr>
          <w:sz w:val="18"/>
          <w:szCs w:val="18"/>
          <w:lang w:val="en-US"/>
        </w:rPr>
      </w:pPr>
      <w:r w:rsidRPr="00C762F3">
        <w:rPr>
          <w:sz w:val="18"/>
          <w:szCs w:val="18"/>
          <w:lang w:val="en-US"/>
        </w:rPr>
        <w:t xml:space="preserve">    </w:t>
      </w:r>
      <w:r w:rsidR="00AE40D5" w:rsidRPr="00C762F3">
        <w:rPr>
          <w:sz w:val="18"/>
          <w:szCs w:val="18"/>
          <w:lang w:val="en-US"/>
        </w:rPr>
        <w:t>Use the first definition above if the potential liability of DoD or one of its service branches is being resolved and DOD has duly responded to any outstanding section 104(e) information requests, and otherwise represented that it investigated the potential responsibility at the Site of all of its service branches (e.g., Air Force, Army, Marine Corps, Navy) and the Defense Logistics Agency (DLA). Use the second definition if the potential liability of DoD or one of its service branches is being resolved and DoD has represented that only certain service branches were investigated for their potential liability at the Site. Use the third definition for non-</w:t>
      </w:r>
      <w:proofErr w:type="gramStart"/>
      <w:r w:rsidR="00AE40D5" w:rsidRPr="00C762F3">
        <w:rPr>
          <w:sz w:val="18"/>
          <w:szCs w:val="18"/>
          <w:lang w:val="en-US"/>
        </w:rPr>
        <w:t>DoD SFAs, and</w:t>
      </w:r>
      <w:proofErr w:type="gramEnd"/>
      <w:r w:rsidR="00AE40D5" w:rsidRPr="00C762F3">
        <w:rPr>
          <w:sz w:val="18"/>
          <w:szCs w:val="18"/>
          <w:lang w:val="en-US"/>
        </w:rPr>
        <w:t xml:space="preserve"> generally use the name of the responsible agency component rather than the name of the agency (e.g., U.S. Forest Service rather than U.S. Department of Agriculture). If both DoD SFAs and non-DoD SFAs are involved at the Site, combine the DoD and non-DoD SFA definitions.</w:t>
      </w:r>
    </w:p>
    <w:p w14:paraId="4DEF23A9" w14:textId="75876380" w:rsidR="00AE40D5" w:rsidRPr="00C762F3" w:rsidRDefault="00730973">
      <w:pPr>
        <w:pStyle w:val="FootnoteText"/>
        <w:rPr>
          <w:sz w:val="18"/>
          <w:szCs w:val="18"/>
          <w:lang w:val="en-US"/>
        </w:rPr>
      </w:pPr>
      <w:r w:rsidRPr="00C762F3">
        <w:rPr>
          <w:sz w:val="18"/>
          <w:szCs w:val="18"/>
          <w:lang w:val="en-US"/>
        </w:rPr>
        <w:t xml:space="preserve">    </w:t>
      </w:r>
      <w:r w:rsidR="00AE40D5" w:rsidRPr="00C762F3">
        <w:rPr>
          <w:sz w:val="18"/>
          <w:szCs w:val="18"/>
          <w:lang w:val="en-US"/>
        </w:rPr>
        <w:t>If the SFAs are making payments to the Settling Respondents to reimburse past and/or future response costs paid by Settling Respondents, add definitions for “Settling Respondents’ Past Response Costs” and “Settling Respondents’ Future Response Costs.” DOJ’s Environmental Defense Section will generally take the lead in negotiating these definitions.</w:t>
      </w:r>
    </w:p>
  </w:footnote>
  <w:footnote w:id="14">
    <w:p w14:paraId="7390E150" w14:textId="18B36CDC" w:rsidR="00AE40D5" w:rsidRPr="00C762F3" w:rsidRDefault="00AE40D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Keep this definition if ¶ 44 (Deposit of Payments) provides that payments for past or future costs may be deposited into the Site’s Special Account. Modify as appropriate if EPA has established more than one special account.</w:t>
      </w:r>
    </w:p>
  </w:footnote>
  <w:footnote w:id="15">
    <w:p w14:paraId="792C2833" w14:textId="18497F76" w:rsidR="00D602DB" w:rsidRPr="00C762F3" w:rsidRDefault="00D602DB">
      <w:pPr>
        <w:pStyle w:val="FootnoteText"/>
        <w:rPr>
          <w:sz w:val="18"/>
          <w:szCs w:val="18"/>
          <w:lang w:val="en-US"/>
        </w:rPr>
      </w:pPr>
      <w:r w:rsidRPr="00C762F3">
        <w:rPr>
          <w:rStyle w:val="FootnoteReference"/>
          <w:sz w:val="18"/>
          <w:szCs w:val="18"/>
        </w:rPr>
        <w:footnoteRef/>
      </w:r>
      <w:r w:rsidRPr="00C762F3">
        <w:rPr>
          <w:sz w:val="18"/>
          <w:szCs w:val="18"/>
        </w:rPr>
        <w:t xml:space="preserve"> </w:t>
      </w:r>
      <w:r w:rsidR="00B12D26" w:rsidRPr="00C762F3">
        <w:rPr>
          <w:sz w:val="18"/>
          <w:szCs w:val="18"/>
        </w:rPr>
        <w:t>Add a definition for the State pollution control agency if needed. If the State is a party and the State’s costs are being paid, add definitions for “State Past Response Costs” and “State Future Response Costs.”</w:t>
      </w:r>
    </w:p>
  </w:footnote>
  <w:footnote w:id="16">
    <w:p w14:paraId="5C952CE4" w14:textId="77777777" w:rsidR="00D602DB" w:rsidRPr="00C762F3" w:rsidRDefault="00D602DB" w:rsidP="00D602DB">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rPr>
        <w:t>If there is a tribe that has a role or interest at the Site, consult with the OSRE tribal contact listed in the OSRE Roles Chart. If appropriate and authorized, add a definition for “Tribe” and replace “State” with “Tribe” or “State and the Tribe.”</w:t>
      </w:r>
    </w:p>
  </w:footnote>
  <w:footnote w:id="17">
    <w:p w14:paraId="4F4A5D37" w14:textId="0D479381" w:rsidR="00AE40D5" w:rsidRPr="00C762F3" w:rsidRDefault="00AE40D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The FOFs are site-specific. The case team should prepare FOFs consistent with the language here. The FOFs should support each conclusion of law.</w:t>
      </w:r>
    </w:p>
  </w:footnote>
  <w:footnote w:id="18">
    <w:p w14:paraId="5ADD2EC9" w14:textId="3CC500E9" w:rsidR="00AE40D5" w:rsidRPr="00C762F3" w:rsidRDefault="00AE40D5">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Settlement</w:t>
      </w:r>
      <w:r w:rsidR="00026D3D" w:rsidRPr="00C762F3">
        <w:rPr>
          <w:sz w:val="18"/>
          <w:szCs w:val="18"/>
          <w:lang w:val="en-US"/>
        </w:rPr>
        <w:t>s that</w:t>
      </w:r>
      <w:r w:rsidRPr="00C762F3">
        <w:rPr>
          <w:sz w:val="18"/>
          <w:szCs w:val="18"/>
          <w:lang w:val="en-US"/>
        </w:rPr>
        <w:t xml:space="preserve"> include a </w:t>
      </w:r>
      <w:r w:rsidRPr="00C762F3">
        <w:rPr>
          <w:i/>
          <w:iCs/>
          <w:sz w:val="18"/>
          <w:szCs w:val="18"/>
          <w:lang w:val="en-US"/>
        </w:rPr>
        <w:t xml:space="preserve">compromise </w:t>
      </w:r>
      <w:r w:rsidRPr="00C762F3">
        <w:rPr>
          <w:sz w:val="18"/>
          <w:szCs w:val="18"/>
          <w:lang w:val="en-US"/>
        </w:rPr>
        <w:t xml:space="preserve">of response costs </w:t>
      </w:r>
      <w:r w:rsidR="00026D3D" w:rsidRPr="00C762F3">
        <w:rPr>
          <w:sz w:val="18"/>
          <w:szCs w:val="18"/>
          <w:lang w:val="en-US"/>
        </w:rPr>
        <w:t xml:space="preserve">where </w:t>
      </w:r>
      <w:r w:rsidR="00B211BA" w:rsidRPr="00C762F3">
        <w:rPr>
          <w:sz w:val="18"/>
          <w:szCs w:val="18"/>
          <w:lang w:val="en-US"/>
        </w:rPr>
        <w:t>s</w:t>
      </w:r>
      <w:r w:rsidRPr="00C762F3">
        <w:rPr>
          <w:sz w:val="18"/>
          <w:szCs w:val="18"/>
          <w:lang w:val="en-US"/>
        </w:rPr>
        <w:t xml:space="preserve">ite costs </w:t>
      </w:r>
      <w:r w:rsidR="00B211BA" w:rsidRPr="00C762F3">
        <w:rPr>
          <w:sz w:val="18"/>
          <w:szCs w:val="18"/>
          <w:lang w:val="en-US"/>
        </w:rPr>
        <w:t xml:space="preserve">are expected to be </w:t>
      </w:r>
      <w:r w:rsidRPr="00C762F3">
        <w:rPr>
          <w:sz w:val="18"/>
          <w:szCs w:val="18"/>
          <w:lang w:val="en-US"/>
        </w:rPr>
        <w:t>less than $500,000</w:t>
      </w:r>
      <w:r w:rsidR="00026D3D" w:rsidRPr="00C762F3">
        <w:rPr>
          <w:sz w:val="18"/>
          <w:szCs w:val="18"/>
          <w:lang w:val="en-US"/>
        </w:rPr>
        <w:t xml:space="preserve"> do not require </w:t>
      </w:r>
      <w:r w:rsidR="00B211BA" w:rsidRPr="00C762F3">
        <w:rPr>
          <w:sz w:val="18"/>
          <w:szCs w:val="18"/>
          <w:lang w:val="en-US"/>
        </w:rPr>
        <w:t>DOJ</w:t>
      </w:r>
      <w:r w:rsidRPr="00C762F3">
        <w:rPr>
          <w:sz w:val="18"/>
          <w:szCs w:val="18"/>
          <w:lang w:val="en-US"/>
        </w:rPr>
        <w:t xml:space="preserve"> </w:t>
      </w:r>
      <w:r w:rsidR="00B211BA" w:rsidRPr="00C762F3">
        <w:rPr>
          <w:sz w:val="18"/>
          <w:szCs w:val="18"/>
          <w:lang w:val="en-US"/>
        </w:rPr>
        <w:t>concurrence</w:t>
      </w:r>
      <w:r w:rsidR="00026D3D" w:rsidRPr="00C762F3">
        <w:rPr>
          <w:sz w:val="18"/>
          <w:szCs w:val="18"/>
          <w:lang w:val="en-US"/>
        </w:rPr>
        <w:t xml:space="preserve">. Insert this FOF to document </w:t>
      </w:r>
      <w:r w:rsidR="00E1550C" w:rsidRPr="00C762F3">
        <w:rPr>
          <w:sz w:val="18"/>
          <w:szCs w:val="18"/>
          <w:lang w:val="en-US"/>
        </w:rPr>
        <w:t xml:space="preserve">that the $500,000 limit is not exceeded </w:t>
      </w:r>
      <w:r w:rsidR="00026D3D" w:rsidRPr="00C762F3">
        <w:rPr>
          <w:sz w:val="18"/>
          <w:szCs w:val="18"/>
          <w:lang w:val="en-US"/>
        </w:rPr>
        <w:t xml:space="preserve">so that </w:t>
      </w:r>
      <w:r w:rsidR="00E1550C" w:rsidRPr="00C762F3">
        <w:rPr>
          <w:sz w:val="18"/>
          <w:szCs w:val="18"/>
          <w:lang w:val="en-US"/>
        </w:rPr>
        <w:t xml:space="preserve">the </w:t>
      </w:r>
      <w:r w:rsidR="00026D3D" w:rsidRPr="00C762F3">
        <w:rPr>
          <w:sz w:val="18"/>
          <w:szCs w:val="18"/>
          <w:lang w:val="en-US"/>
        </w:rPr>
        <w:t xml:space="preserve">DOJ concurrence provision </w:t>
      </w:r>
      <w:r w:rsidR="00E1550C" w:rsidRPr="00C762F3">
        <w:rPr>
          <w:sz w:val="18"/>
          <w:szCs w:val="18"/>
          <w:lang w:val="en-US"/>
        </w:rPr>
        <w:t xml:space="preserve">(¶ </w:t>
      </w:r>
      <w:r w:rsidR="00350954" w:rsidRPr="00C762F3">
        <w:rPr>
          <w:sz w:val="18"/>
          <w:szCs w:val="18"/>
          <w:lang w:val="en-US"/>
        </w:rPr>
        <w:fldChar w:fldCharType="begin"/>
      </w:r>
      <w:r w:rsidR="00350954" w:rsidRPr="00C762F3">
        <w:rPr>
          <w:sz w:val="18"/>
          <w:szCs w:val="18"/>
          <w:lang w:val="en-US"/>
        </w:rPr>
        <w:instrText xml:space="preserve"> REF _Ref215738681 \r \h </w:instrText>
      </w:r>
      <w:r w:rsidR="00C762F3" w:rsidRPr="00C762F3">
        <w:rPr>
          <w:sz w:val="18"/>
          <w:szCs w:val="18"/>
          <w:lang w:val="en-US"/>
        </w:rPr>
        <w:instrText xml:space="preserve"> \* MERGEFORMAT </w:instrText>
      </w:r>
      <w:r w:rsidR="00350954" w:rsidRPr="00C762F3">
        <w:rPr>
          <w:sz w:val="18"/>
          <w:szCs w:val="18"/>
          <w:lang w:val="en-US"/>
        </w:rPr>
      </w:r>
      <w:r w:rsidR="00350954" w:rsidRPr="00C762F3">
        <w:rPr>
          <w:sz w:val="18"/>
          <w:szCs w:val="18"/>
          <w:lang w:val="en-US"/>
        </w:rPr>
        <w:fldChar w:fldCharType="separate"/>
      </w:r>
      <w:r w:rsidR="00350954" w:rsidRPr="00C762F3">
        <w:rPr>
          <w:sz w:val="18"/>
          <w:szCs w:val="18"/>
          <w:lang w:val="en-US"/>
        </w:rPr>
        <w:t>89</w:t>
      </w:r>
      <w:r w:rsidR="00350954" w:rsidRPr="00C762F3">
        <w:rPr>
          <w:sz w:val="18"/>
          <w:szCs w:val="18"/>
          <w:lang w:val="en-US"/>
        </w:rPr>
        <w:fldChar w:fldCharType="end"/>
      </w:r>
      <w:r w:rsidR="00E1550C" w:rsidRPr="00C762F3">
        <w:rPr>
          <w:sz w:val="18"/>
          <w:szCs w:val="18"/>
          <w:lang w:val="en-US"/>
        </w:rPr>
        <w:t xml:space="preserve">) </w:t>
      </w:r>
      <w:r w:rsidR="00026D3D" w:rsidRPr="00C762F3">
        <w:rPr>
          <w:sz w:val="18"/>
          <w:szCs w:val="18"/>
          <w:lang w:val="en-US"/>
        </w:rPr>
        <w:t>can be omitted.</w:t>
      </w:r>
    </w:p>
  </w:footnote>
  <w:footnote w:id="19">
    <w:p w14:paraId="4E5EBD31" w14:textId="6CC0B139" w:rsidR="009E3740" w:rsidRPr="00C762F3" w:rsidRDefault="009E3740">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00350954" w:rsidRPr="00C762F3">
        <w:rPr>
          <w:sz w:val="18"/>
          <w:szCs w:val="18"/>
          <w:lang w:val="en-US"/>
        </w:rPr>
        <w:t>The case team</w:t>
      </w:r>
      <w:r w:rsidRPr="00C762F3">
        <w:rPr>
          <w:sz w:val="18"/>
          <w:szCs w:val="18"/>
          <w:lang w:val="en-US"/>
        </w:rPr>
        <w:t xml:space="preserve"> may add ¶ </w:t>
      </w:r>
      <w:r w:rsidRPr="00C762F3">
        <w:rPr>
          <w:sz w:val="18"/>
          <w:szCs w:val="18"/>
          <w:lang w:val="en-US"/>
        </w:rPr>
        <w:fldChar w:fldCharType="begin"/>
      </w:r>
      <w:r w:rsidRPr="00C762F3">
        <w:rPr>
          <w:sz w:val="18"/>
          <w:szCs w:val="18"/>
          <w:lang w:val="en-US"/>
        </w:rPr>
        <w:instrText xml:space="preserve"> REF _Ref184646996 \w \h </w:instrText>
      </w:r>
      <w:r w:rsidR="00C762F3" w:rsidRPr="00C762F3">
        <w:rPr>
          <w:sz w:val="18"/>
          <w:szCs w:val="18"/>
          <w:lang w:val="en-US"/>
        </w:rPr>
        <w:instrText xml:space="preserve"> \* MERGEFORMAT </w:instrText>
      </w:r>
      <w:r w:rsidRPr="00C762F3">
        <w:rPr>
          <w:sz w:val="18"/>
          <w:szCs w:val="18"/>
          <w:lang w:val="en-US"/>
        </w:rPr>
      </w:r>
      <w:r w:rsidRPr="00C762F3">
        <w:rPr>
          <w:sz w:val="18"/>
          <w:szCs w:val="18"/>
          <w:lang w:val="en-US"/>
        </w:rPr>
        <w:fldChar w:fldCharType="separate"/>
      </w:r>
      <w:r w:rsidRPr="00C762F3">
        <w:rPr>
          <w:sz w:val="18"/>
          <w:szCs w:val="18"/>
          <w:lang w:val="en-US"/>
        </w:rPr>
        <w:t>19</w:t>
      </w:r>
      <w:r w:rsidRPr="00C762F3">
        <w:rPr>
          <w:sz w:val="18"/>
          <w:szCs w:val="18"/>
          <w:lang w:val="en-US"/>
        </w:rPr>
        <w:fldChar w:fldCharType="end"/>
      </w:r>
      <w:r w:rsidRPr="00C762F3">
        <w:rPr>
          <w:sz w:val="18"/>
          <w:szCs w:val="18"/>
          <w:lang w:val="en-US"/>
        </w:rPr>
        <w:t>.e describing an Imminent and Substantial Endangerment if there is one present at the site.</w:t>
      </w:r>
    </w:p>
  </w:footnote>
  <w:footnote w:id="20">
    <w:p w14:paraId="3611841A" w14:textId="285330A8" w:rsidR="009E3740" w:rsidRPr="00C762F3" w:rsidRDefault="009E3740">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The case team should specify each category of liability under section 107, using these sub-paragraphs. </w:t>
      </w:r>
    </w:p>
  </w:footnote>
  <w:footnote w:id="21">
    <w:p w14:paraId="76F4BE3B" w14:textId="3A2B130F" w:rsidR="00987163" w:rsidRPr="00C762F3" w:rsidRDefault="00987163">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Here and in other places in this Section, optional text to be used if there is an Owner Respondent is set off in brackets.</w:t>
      </w:r>
    </w:p>
  </w:footnote>
  <w:footnote w:id="22">
    <w:p w14:paraId="17764E20" w14:textId="64C194A7" w:rsidR="00987163" w:rsidRPr="00C762F3" w:rsidRDefault="00987163" w:rsidP="00792CA9">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As appropriate, the case team can specifically identify the purposes for which access is anticipated, using the following optional language to </w:t>
      </w:r>
      <w:r w:rsidR="00350954" w:rsidRPr="00C762F3">
        <w:rPr>
          <w:sz w:val="18"/>
          <w:szCs w:val="18"/>
          <w:lang w:val="en-US"/>
        </w:rPr>
        <w:t>¶ </w:t>
      </w:r>
      <w:r w:rsidRPr="00C762F3">
        <w:rPr>
          <w:sz w:val="18"/>
          <w:szCs w:val="18"/>
          <w:lang w:val="en-US"/>
        </w:rPr>
        <w:t>26:</w:t>
      </w:r>
    </w:p>
    <w:p w14:paraId="309FE0B7" w14:textId="02912800" w:rsidR="00987163" w:rsidRPr="00C762F3" w:rsidRDefault="00350954" w:rsidP="00350954">
      <w:pPr>
        <w:pStyle w:val="FootnoteText"/>
        <w:rPr>
          <w:sz w:val="18"/>
          <w:szCs w:val="18"/>
          <w:lang w:val="en-US"/>
        </w:rPr>
      </w:pPr>
      <w:r w:rsidRPr="00C762F3">
        <w:rPr>
          <w:sz w:val="18"/>
          <w:szCs w:val="18"/>
          <w:lang w:val="en-US"/>
        </w:rPr>
        <w:t xml:space="preserve">   a. </w:t>
      </w:r>
      <w:r w:rsidR="00987163" w:rsidRPr="00C762F3">
        <w:rPr>
          <w:sz w:val="18"/>
          <w:szCs w:val="18"/>
          <w:lang w:val="en-US"/>
        </w:rPr>
        <w:t>As used in this Section, “Affected Property” means any real property, including the Site, where EPA determines, at any time, that access; land, water, or other resource use restrictions; Institutional Controls; or any combination thereof, are needed to implement the RI.</w:t>
      </w:r>
    </w:p>
    <w:p w14:paraId="007CA413" w14:textId="3491AE01" w:rsidR="00987163" w:rsidRPr="00C762F3" w:rsidRDefault="00350954" w:rsidP="00792CA9">
      <w:pPr>
        <w:pStyle w:val="FootnoteText"/>
        <w:rPr>
          <w:sz w:val="18"/>
          <w:szCs w:val="18"/>
          <w:lang w:val="en-US"/>
        </w:rPr>
      </w:pPr>
      <w:r w:rsidRPr="00C762F3">
        <w:rPr>
          <w:sz w:val="18"/>
          <w:szCs w:val="18"/>
          <w:lang w:val="en-US"/>
        </w:rPr>
        <w:t xml:space="preserve">   b. </w:t>
      </w:r>
      <w:r w:rsidR="00987163" w:rsidRPr="00C762F3">
        <w:rPr>
          <w:sz w:val="18"/>
          <w:szCs w:val="18"/>
          <w:lang w:val="en-US"/>
        </w:rPr>
        <w:t>The following is a non-exclusive list of activities for which access is required:</w:t>
      </w:r>
    </w:p>
    <w:p w14:paraId="036B448B" w14:textId="77777777" w:rsidR="00987163" w:rsidRPr="00C762F3" w:rsidRDefault="00987163" w:rsidP="00792CA9">
      <w:pPr>
        <w:pStyle w:val="FootnoteText"/>
        <w:numPr>
          <w:ilvl w:val="0"/>
          <w:numId w:val="23"/>
        </w:numPr>
        <w:rPr>
          <w:sz w:val="18"/>
          <w:szCs w:val="18"/>
          <w:lang w:val="en-US"/>
        </w:rPr>
      </w:pPr>
      <w:r w:rsidRPr="00C762F3">
        <w:rPr>
          <w:sz w:val="18"/>
          <w:szCs w:val="18"/>
          <w:lang w:val="en-US"/>
        </w:rPr>
        <w:t xml:space="preserve">Implementing the Work and overseeing compliance with the </w:t>
      </w:r>
      <w:proofErr w:type="gramStart"/>
      <w:r w:rsidRPr="00C762F3">
        <w:rPr>
          <w:sz w:val="18"/>
          <w:szCs w:val="18"/>
          <w:lang w:val="en-US"/>
        </w:rPr>
        <w:t>Settlement;</w:t>
      </w:r>
      <w:proofErr w:type="gramEnd"/>
    </w:p>
    <w:p w14:paraId="45313095" w14:textId="77777777" w:rsidR="00987163" w:rsidRPr="00C762F3" w:rsidRDefault="00987163" w:rsidP="00792CA9">
      <w:pPr>
        <w:pStyle w:val="FootnoteText"/>
        <w:numPr>
          <w:ilvl w:val="0"/>
          <w:numId w:val="23"/>
        </w:numPr>
        <w:rPr>
          <w:sz w:val="18"/>
          <w:szCs w:val="18"/>
          <w:lang w:val="en-US"/>
        </w:rPr>
      </w:pPr>
      <w:r w:rsidRPr="00C762F3">
        <w:rPr>
          <w:sz w:val="18"/>
          <w:szCs w:val="18"/>
          <w:lang w:val="en-US"/>
        </w:rPr>
        <w:t xml:space="preserve">Conducting investigations regarding contamination at or near the </w:t>
      </w:r>
      <w:proofErr w:type="gramStart"/>
      <w:r w:rsidRPr="00C762F3">
        <w:rPr>
          <w:sz w:val="18"/>
          <w:szCs w:val="18"/>
          <w:lang w:val="en-US"/>
        </w:rPr>
        <w:t>Site;</w:t>
      </w:r>
      <w:proofErr w:type="gramEnd"/>
    </w:p>
    <w:p w14:paraId="0B21A4CA" w14:textId="77777777" w:rsidR="00987163" w:rsidRPr="00C762F3" w:rsidRDefault="00987163" w:rsidP="00792CA9">
      <w:pPr>
        <w:pStyle w:val="FootnoteText"/>
        <w:numPr>
          <w:ilvl w:val="0"/>
          <w:numId w:val="23"/>
        </w:numPr>
        <w:rPr>
          <w:sz w:val="18"/>
          <w:szCs w:val="18"/>
          <w:lang w:val="en-US"/>
        </w:rPr>
      </w:pPr>
      <w:r w:rsidRPr="00C762F3">
        <w:rPr>
          <w:sz w:val="18"/>
          <w:szCs w:val="18"/>
          <w:lang w:val="en-US"/>
        </w:rPr>
        <w:t xml:space="preserve">Assessing the need for and planning response actions at or near the </w:t>
      </w:r>
      <w:proofErr w:type="gramStart"/>
      <w:r w:rsidRPr="00C762F3">
        <w:rPr>
          <w:sz w:val="18"/>
          <w:szCs w:val="18"/>
          <w:lang w:val="en-US"/>
        </w:rPr>
        <w:t>Site;</w:t>
      </w:r>
      <w:proofErr w:type="gramEnd"/>
    </w:p>
    <w:p w14:paraId="24BB9900" w14:textId="77777777" w:rsidR="00987163" w:rsidRPr="00C762F3" w:rsidRDefault="00987163" w:rsidP="00792CA9">
      <w:pPr>
        <w:pStyle w:val="FootnoteText"/>
        <w:numPr>
          <w:ilvl w:val="0"/>
          <w:numId w:val="23"/>
        </w:numPr>
        <w:rPr>
          <w:sz w:val="18"/>
          <w:szCs w:val="18"/>
          <w:lang w:val="en-US"/>
        </w:rPr>
      </w:pPr>
      <w:r w:rsidRPr="00C762F3">
        <w:rPr>
          <w:sz w:val="18"/>
          <w:szCs w:val="18"/>
          <w:lang w:val="en-US"/>
        </w:rPr>
        <w:t>Determining whether the Affected Property is being used in a manner that is prohibited or restricted, or that may need to be prohibited or restricted under the Settlement; and</w:t>
      </w:r>
    </w:p>
    <w:p w14:paraId="41E6E7DD" w14:textId="2B764124" w:rsidR="00987163" w:rsidRPr="00C762F3" w:rsidRDefault="00987163" w:rsidP="00792CA9">
      <w:pPr>
        <w:pStyle w:val="FootnoteText"/>
        <w:numPr>
          <w:ilvl w:val="0"/>
          <w:numId w:val="23"/>
        </w:numPr>
        <w:rPr>
          <w:sz w:val="18"/>
          <w:szCs w:val="18"/>
          <w:lang w:val="en-US"/>
        </w:rPr>
      </w:pPr>
      <w:r w:rsidRPr="00C762F3">
        <w:rPr>
          <w:sz w:val="18"/>
          <w:szCs w:val="18"/>
          <w:lang w:val="en-US"/>
        </w:rPr>
        <w:t>Implementing, monitoring, maintaining, reporting on, and enforcing any land, water, or other resource use restrictions regarding the Affected Property.</w:t>
      </w:r>
    </w:p>
    <w:p w14:paraId="01354B1F" w14:textId="7C156D3F" w:rsidR="00350954" w:rsidRPr="00C762F3" w:rsidRDefault="00350954" w:rsidP="00350954">
      <w:pPr>
        <w:pStyle w:val="FootnoteText"/>
        <w:ind w:left="360"/>
        <w:rPr>
          <w:sz w:val="18"/>
          <w:szCs w:val="18"/>
          <w:lang w:val="en-US"/>
        </w:rPr>
      </w:pPr>
      <w:r w:rsidRPr="00C762F3">
        <w:rPr>
          <w:sz w:val="18"/>
          <w:szCs w:val="18"/>
          <w:lang w:val="en-US"/>
        </w:rPr>
        <w:t>Augment this list as appropriate.</w:t>
      </w:r>
    </w:p>
  </w:footnote>
  <w:footnote w:id="23">
    <w:p w14:paraId="5637938E" w14:textId="5C9DDC35" w:rsidR="00987163" w:rsidRPr="00C762F3" w:rsidRDefault="00987163" w:rsidP="00792CA9">
      <w:pPr>
        <w:spacing w:before="0" w:after="0"/>
        <w:rPr>
          <w:sz w:val="18"/>
          <w:szCs w:val="18"/>
        </w:rPr>
      </w:pPr>
      <w:r w:rsidRPr="00C762F3">
        <w:rPr>
          <w:rStyle w:val="FootnoteReference"/>
          <w:color w:val="auto"/>
          <w:sz w:val="18"/>
          <w:szCs w:val="18"/>
        </w:rPr>
        <w:footnoteRef/>
      </w:r>
      <w:r w:rsidRPr="00C762F3">
        <w:rPr>
          <w:sz w:val="18"/>
          <w:szCs w:val="18"/>
        </w:rPr>
        <w:t xml:space="preserve"> Include the </w:t>
      </w:r>
      <w:r w:rsidR="00350954" w:rsidRPr="00C762F3">
        <w:rPr>
          <w:sz w:val="18"/>
          <w:szCs w:val="18"/>
        </w:rPr>
        <w:t xml:space="preserve">provision </w:t>
      </w:r>
      <w:r w:rsidRPr="00C762F3">
        <w:rPr>
          <w:sz w:val="18"/>
          <w:szCs w:val="18"/>
        </w:rPr>
        <w:t xml:space="preserve">below if land, water, or other resource use restrictions are needed. Customize the list as appropriate. </w:t>
      </w:r>
    </w:p>
    <w:p w14:paraId="2D2493D1" w14:textId="6A177B7D" w:rsidR="00987163" w:rsidRPr="00C762F3" w:rsidRDefault="00350954" w:rsidP="00350954">
      <w:pPr>
        <w:spacing w:before="0" w:after="0"/>
        <w:rPr>
          <w:sz w:val="18"/>
          <w:szCs w:val="18"/>
        </w:rPr>
      </w:pPr>
      <w:r w:rsidRPr="00C762F3">
        <w:rPr>
          <w:sz w:val="18"/>
          <w:szCs w:val="18"/>
        </w:rPr>
        <w:t xml:space="preserve">  a. </w:t>
      </w:r>
      <w:r w:rsidR="00987163" w:rsidRPr="00C762F3">
        <w:rPr>
          <w:sz w:val="18"/>
          <w:szCs w:val="18"/>
        </w:rPr>
        <w:t>Land, Water, or Other Resource Use Restrictions. The following is a list of land, water, or other resource use restrictions applicable:</w:t>
      </w:r>
    </w:p>
    <w:p w14:paraId="6F477B9C" w14:textId="0FDF119D" w:rsidR="00987163" w:rsidRPr="00C762F3" w:rsidRDefault="00350954" w:rsidP="00350954">
      <w:pPr>
        <w:spacing w:before="0" w:after="0"/>
        <w:rPr>
          <w:sz w:val="18"/>
          <w:szCs w:val="18"/>
        </w:rPr>
      </w:pPr>
      <w:r w:rsidRPr="00C762F3">
        <w:rPr>
          <w:sz w:val="18"/>
          <w:szCs w:val="18"/>
        </w:rPr>
        <w:t xml:space="preserve">      1. </w:t>
      </w:r>
      <w:r w:rsidR="00987163" w:rsidRPr="00C762F3">
        <w:rPr>
          <w:sz w:val="18"/>
          <w:szCs w:val="18"/>
        </w:rPr>
        <w:t>Prohibiting the following activities which could interfere with the RI/FS: ______; and</w:t>
      </w:r>
    </w:p>
    <w:p w14:paraId="17DFCC29" w14:textId="4A0059E9" w:rsidR="00987163" w:rsidRPr="00C762F3" w:rsidRDefault="00350954" w:rsidP="00350954">
      <w:pPr>
        <w:spacing w:before="0" w:after="0"/>
        <w:rPr>
          <w:rFonts w:cs="Arial"/>
          <w:sz w:val="18"/>
          <w:szCs w:val="18"/>
        </w:rPr>
      </w:pPr>
      <w:r w:rsidRPr="00C762F3">
        <w:rPr>
          <w:sz w:val="18"/>
          <w:szCs w:val="18"/>
        </w:rPr>
        <w:t xml:space="preserve">      2. </w:t>
      </w:r>
      <w:r w:rsidR="00987163" w:rsidRPr="00C762F3">
        <w:rPr>
          <w:sz w:val="18"/>
          <w:szCs w:val="18"/>
        </w:rPr>
        <w:t>Ensuring that any new structures on the Affected Property will not be constructed in the following manner which could interfere with the RI/FS: _____</w:t>
      </w:r>
    </w:p>
  </w:footnote>
  <w:footnote w:id="24">
    <w:p w14:paraId="45B285C3" w14:textId="54E0C829" w:rsidR="00792CA9" w:rsidRPr="00C762F3" w:rsidRDefault="00792CA9">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Case teams may expand this language to include new leases, licenses, or easements as appropriate given site-specific circumstances.</w:t>
      </w:r>
    </w:p>
  </w:footnote>
  <w:footnote w:id="25">
    <w:p w14:paraId="2DC2B553" w14:textId="2478C0F5" w:rsidR="00792CA9" w:rsidRPr="00C762F3" w:rsidRDefault="00792CA9">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Case teams should try to negotiate and finalize the form, substance, and value of Respondents’ financial assurance well before finalizing the Settlement so that the final financial assurance mechanism can take effect within 30 days after the Effective Date. Such review should ensure, among other things, that an instrument or account is established (or can be established) to receive financial assurance resources when needed. Case teams can find the most current sample financial assurance documents in the “Financial Assurance - Settlements” category on the Cleanup Enforcement Model Language and Sample Documents Database at </w:t>
      </w:r>
      <w:r w:rsidRPr="00C762F3">
        <w:rPr>
          <w:sz w:val="18"/>
          <w:szCs w:val="18"/>
          <w:u w:val="single"/>
          <w:lang w:val="en-US"/>
        </w:rPr>
        <w:t>https://cfpub.epa.gov/compliance/models/</w:t>
      </w:r>
      <w:r w:rsidRPr="00C762F3">
        <w:rPr>
          <w:sz w:val="18"/>
          <w:szCs w:val="18"/>
          <w:lang w:val="en-US"/>
        </w:rPr>
        <w:t>. Case teams should examine the form and substance of all financial assurance mechanisms submitted by Respondents, both initially and over time, to ensure consistency and compliance with this Section (e.g., case teams should ensure that entities providing a demonstration or guarantee pursuant to ¶ 29.e or 29.f have: (a) submitted all required documentation so that EPA can determine whether such financial assurance is adequate; and (b) fully and accurately reflected in their submission all of their financial assurance obligations (under CERCLA, RCRA, and any other federal, state, or tribal environmental obligation) to the United States or other governmental entities so all such obligations have been properly accounted for in determining whether such entity meets the financial test criteria). If a Respondent is a municipality or an individual, or if case teams have financial assurance questions, contact financial assurance team members within the Office of Site Remediation Enforcement. For more specific inform</w:t>
      </w:r>
      <w:r w:rsidRPr="00C762F3">
        <w:rPr>
          <w:sz w:val="18"/>
          <w:szCs w:val="18"/>
          <w:u w:val="single"/>
          <w:lang w:val="en-US"/>
        </w:rPr>
        <w:t>https://www.epa.gov/enforcement/guidance-financial-assurance-superfund-settlements-and-orders</w:t>
      </w:r>
      <w:r w:rsidRPr="00C762F3">
        <w:rPr>
          <w:sz w:val="18"/>
          <w:szCs w:val="18"/>
          <w:lang w:val="en-US"/>
        </w:rPr>
        <w:t>.]</w:t>
      </w:r>
    </w:p>
  </w:footnote>
  <w:footnote w:id="26">
    <w:p w14:paraId="4A48B842" w14:textId="375BDBF5" w:rsidR="00792CA9" w:rsidRPr="00C762F3" w:rsidRDefault="00792CA9">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A sample of a standby funding commitment is available via the link in ¶ </w:t>
      </w:r>
      <w:r w:rsidRPr="00C762F3">
        <w:rPr>
          <w:sz w:val="18"/>
          <w:szCs w:val="18"/>
          <w:lang w:val="en-US"/>
        </w:rPr>
        <w:fldChar w:fldCharType="begin"/>
      </w:r>
      <w:r w:rsidRPr="00C762F3">
        <w:rPr>
          <w:sz w:val="18"/>
          <w:szCs w:val="18"/>
          <w:lang w:val="en-US"/>
        </w:rPr>
        <w:instrText xml:space="preserve"> REF _Ref453847742 \w \h </w:instrText>
      </w:r>
      <w:r w:rsidR="00C762F3" w:rsidRPr="00C762F3">
        <w:rPr>
          <w:sz w:val="18"/>
          <w:szCs w:val="18"/>
          <w:lang w:val="en-US"/>
        </w:rPr>
        <w:instrText xml:space="preserve"> \* MERGEFORMAT </w:instrText>
      </w:r>
      <w:r w:rsidRPr="00C762F3">
        <w:rPr>
          <w:sz w:val="18"/>
          <w:szCs w:val="18"/>
          <w:lang w:val="en-US"/>
        </w:rPr>
      </w:r>
      <w:r w:rsidRPr="00C762F3">
        <w:rPr>
          <w:sz w:val="18"/>
          <w:szCs w:val="18"/>
          <w:lang w:val="en-US"/>
        </w:rPr>
        <w:fldChar w:fldCharType="separate"/>
      </w:r>
      <w:r w:rsidRPr="00C762F3">
        <w:rPr>
          <w:sz w:val="18"/>
          <w:szCs w:val="18"/>
          <w:lang w:val="en-US"/>
        </w:rPr>
        <w:t>31.b</w:t>
      </w:r>
      <w:r w:rsidRPr="00C762F3">
        <w:rPr>
          <w:sz w:val="18"/>
          <w:szCs w:val="18"/>
          <w:lang w:val="en-US"/>
        </w:rPr>
        <w:fldChar w:fldCharType="end"/>
      </w:r>
      <w:r w:rsidRPr="00C762F3">
        <w:rPr>
          <w:sz w:val="18"/>
          <w:szCs w:val="18"/>
          <w:lang w:val="en-US"/>
        </w:rPr>
        <w:t>.</w:t>
      </w:r>
    </w:p>
  </w:footnote>
  <w:footnote w:id="27">
    <w:p w14:paraId="0086107A" w14:textId="790901E9" w:rsidR="009A2E32" w:rsidRPr="00C762F3" w:rsidRDefault="009A2E32">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00B915E7" w:rsidRPr="00C762F3">
        <w:rPr>
          <w:sz w:val="18"/>
          <w:szCs w:val="18"/>
        </w:rPr>
        <w:t>Use first bracketed sentence i</w:t>
      </w:r>
      <w:r w:rsidRPr="00C762F3">
        <w:rPr>
          <w:sz w:val="18"/>
          <w:szCs w:val="18"/>
          <w:lang w:val="en-US"/>
        </w:rPr>
        <w:t xml:space="preserve">f the case team and Respondents have pre-negotiated the form of the financial assurance, </w:t>
      </w:r>
      <w:r w:rsidR="00B915E7" w:rsidRPr="00C762F3">
        <w:rPr>
          <w:sz w:val="18"/>
          <w:szCs w:val="18"/>
          <w:lang w:val="en-US"/>
        </w:rPr>
        <w:t xml:space="preserve">and if not, use the next sentence. </w:t>
      </w:r>
    </w:p>
  </w:footnote>
  <w:footnote w:id="28">
    <w:p w14:paraId="1F5E1496" w14:textId="28382F97" w:rsidR="009A2E32" w:rsidRPr="00C762F3" w:rsidRDefault="009A2E32">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Case teams should make sure that the “trigger” for obtaining funds and/or work under the financial assurance mechanism is consistent with the trigger in the Settlement, e.g., if the Settlement allows EPA to access the funds in the event of a Work Takeover or a Respondent’s failure to provide alternative financial assurance 30 days prior to an impending mechanism cancellation, the mechanism should contain equivalent language.</w:t>
      </w:r>
    </w:p>
  </w:footnote>
  <w:footnote w:id="29">
    <w:p w14:paraId="39969A45" w14:textId="3EFB4C68" w:rsidR="00EC3F6F" w:rsidRPr="00C762F3" w:rsidRDefault="00EC3F6F">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The pay.gov system includes alternatives for making payment by credit card, debit card, automatic clearinghouse (ACH), and electronic fund transfer (EFT). If a Settling Party cannot make payment using the pay.gov system, the EPA attorney should contact their finance office about alternative methods of payment.</w:t>
      </w:r>
    </w:p>
  </w:footnote>
  <w:footnote w:id="30">
    <w:p w14:paraId="69654908" w14:textId="020C4DC9" w:rsidR="00EC3F6F" w:rsidRPr="00C762F3" w:rsidRDefault="00EC3F6F" w:rsidP="00EC3F6F">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Keep ¶¶ </w:t>
      </w:r>
      <w:r w:rsidR="00F22B3E" w:rsidRPr="00C762F3">
        <w:rPr>
          <w:sz w:val="18"/>
          <w:szCs w:val="18"/>
          <w:lang w:val="en-US"/>
        </w:rPr>
        <w:fldChar w:fldCharType="begin"/>
      </w:r>
      <w:r w:rsidR="00F22B3E" w:rsidRPr="00C762F3">
        <w:rPr>
          <w:sz w:val="18"/>
          <w:szCs w:val="18"/>
          <w:lang w:val="en-US"/>
        </w:rPr>
        <w:instrText xml:space="preserve"> REF _Ref92193233 \w \h </w:instrText>
      </w:r>
      <w:r w:rsidR="00C762F3" w:rsidRPr="00C762F3">
        <w:rPr>
          <w:sz w:val="18"/>
          <w:szCs w:val="18"/>
          <w:lang w:val="en-US"/>
        </w:rPr>
        <w:instrText xml:space="preserve"> \* MERGEFORMAT </w:instrText>
      </w:r>
      <w:r w:rsidR="00F22B3E" w:rsidRPr="00C762F3">
        <w:rPr>
          <w:sz w:val="18"/>
          <w:szCs w:val="18"/>
          <w:lang w:val="en-US"/>
        </w:rPr>
      </w:r>
      <w:r w:rsidR="00F22B3E" w:rsidRPr="00C762F3">
        <w:rPr>
          <w:sz w:val="18"/>
          <w:szCs w:val="18"/>
          <w:lang w:val="en-US"/>
        </w:rPr>
        <w:fldChar w:fldCharType="separate"/>
      </w:r>
      <w:r w:rsidR="00F22B3E" w:rsidRPr="00C762F3">
        <w:rPr>
          <w:sz w:val="18"/>
          <w:szCs w:val="18"/>
          <w:lang w:val="en-US"/>
        </w:rPr>
        <w:t>42.a</w:t>
      </w:r>
      <w:r w:rsidR="00F22B3E" w:rsidRPr="00C762F3">
        <w:rPr>
          <w:sz w:val="18"/>
          <w:szCs w:val="18"/>
          <w:lang w:val="en-US"/>
        </w:rPr>
        <w:fldChar w:fldCharType="end"/>
      </w:r>
      <w:r w:rsidRPr="00C762F3">
        <w:rPr>
          <w:sz w:val="18"/>
          <w:szCs w:val="18"/>
          <w:lang w:val="en-US"/>
        </w:rPr>
        <w:t xml:space="preserve"> (Periodic Bills) and 43 </w:t>
      </w:r>
      <w:r w:rsidRPr="00C762F3">
        <w:rPr>
          <w:b/>
          <w:bCs/>
          <w:sz w:val="18"/>
          <w:szCs w:val="18"/>
          <w:lang w:val="en-US"/>
        </w:rPr>
        <w:t>(</w:t>
      </w:r>
      <w:r w:rsidRPr="00C762F3">
        <w:rPr>
          <w:sz w:val="18"/>
          <w:szCs w:val="18"/>
          <w:lang w:val="en-US"/>
        </w:rPr>
        <w:t xml:space="preserve">Deposit Payments) in all Settlements. If Respondents will be prepaying any part of EPA’s Future Response Costs, add </w:t>
      </w:r>
      <w:r w:rsidR="00E114EA" w:rsidRPr="00C762F3">
        <w:rPr>
          <w:sz w:val="18"/>
          <w:szCs w:val="18"/>
          <w:lang w:val="en-US"/>
        </w:rPr>
        <w:t>the</w:t>
      </w:r>
      <w:r w:rsidRPr="00C762F3">
        <w:rPr>
          <w:sz w:val="18"/>
          <w:szCs w:val="18"/>
          <w:lang w:val="en-US"/>
        </w:rPr>
        <w:t xml:space="preserve"> </w:t>
      </w:r>
      <w:r w:rsidR="00E114EA" w:rsidRPr="00C762F3">
        <w:rPr>
          <w:sz w:val="18"/>
          <w:szCs w:val="18"/>
          <w:lang w:val="en-US"/>
        </w:rPr>
        <w:t xml:space="preserve">provisions below </w:t>
      </w:r>
      <w:r w:rsidRPr="00C762F3">
        <w:rPr>
          <w:sz w:val="18"/>
          <w:szCs w:val="18"/>
          <w:lang w:val="en-US"/>
        </w:rPr>
        <w:t>to ¶</w:t>
      </w:r>
      <w:r w:rsidR="00F22B3E" w:rsidRPr="00C762F3">
        <w:rPr>
          <w:sz w:val="18"/>
          <w:szCs w:val="18"/>
          <w:lang w:val="en-US"/>
        </w:rPr>
        <w:t> </w:t>
      </w:r>
      <w:r w:rsidR="00B915E7" w:rsidRPr="00C762F3">
        <w:rPr>
          <w:sz w:val="18"/>
          <w:szCs w:val="18"/>
          <w:lang w:val="en-US"/>
        </w:rPr>
        <w:fldChar w:fldCharType="begin"/>
      </w:r>
      <w:r w:rsidR="00B915E7" w:rsidRPr="00C762F3">
        <w:rPr>
          <w:sz w:val="18"/>
          <w:szCs w:val="18"/>
          <w:lang w:val="en-US"/>
        </w:rPr>
        <w:instrText xml:space="preserve"> REF _Ref215739262 \r \h </w:instrText>
      </w:r>
      <w:r w:rsidR="00C762F3" w:rsidRPr="00C762F3">
        <w:rPr>
          <w:sz w:val="18"/>
          <w:szCs w:val="18"/>
          <w:lang w:val="en-US"/>
        </w:rPr>
        <w:instrText xml:space="preserve"> \* MERGEFORMAT </w:instrText>
      </w:r>
      <w:r w:rsidR="00B915E7" w:rsidRPr="00C762F3">
        <w:rPr>
          <w:sz w:val="18"/>
          <w:szCs w:val="18"/>
          <w:lang w:val="en-US"/>
        </w:rPr>
      </w:r>
      <w:r w:rsidR="00B915E7" w:rsidRPr="00C762F3">
        <w:rPr>
          <w:sz w:val="18"/>
          <w:szCs w:val="18"/>
          <w:lang w:val="en-US"/>
        </w:rPr>
        <w:fldChar w:fldCharType="separate"/>
      </w:r>
      <w:r w:rsidR="00B915E7" w:rsidRPr="00C762F3">
        <w:rPr>
          <w:sz w:val="18"/>
          <w:szCs w:val="18"/>
          <w:lang w:val="en-US"/>
        </w:rPr>
        <w:t>42</w:t>
      </w:r>
      <w:r w:rsidR="00B915E7" w:rsidRPr="00C762F3">
        <w:rPr>
          <w:sz w:val="18"/>
          <w:szCs w:val="18"/>
          <w:lang w:val="en-US"/>
        </w:rPr>
        <w:fldChar w:fldCharType="end"/>
      </w:r>
      <w:r w:rsidRPr="00C762F3">
        <w:rPr>
          <w:sz w:val="18"/>
          <w:szCs w:val="18"/>
          <w:lang w:val="en-US"/>
        </w:rPr>
        <w:t xml:space="preserve">. For an explanation of prepaid accounts, including when prepayment is appropriate, see “Additional Guidance on Prepayment of Oversight Costs and Special Accounts” (Dec. 22, 2006), available at </w:t>
      </w:r>
      <w:hyperlink r:id="rId1" w:history="1">
        <w:r w:rsidRPr="00C762F3">
          <w:rPr>
            <w:rStyle w:val="Hyperlink"/>
            <w:color w:val="auto"/>
            <w:sz w:val="18"/>
            <w:szCs w:val="18"/>
            <w:lang w:val="en-US"/>
          </w:rPr>
          <w:t>https://www.epa.gov/enforcement/guidance-prepayment-oversight-costs-and-special-accounts</w:t>
        </w:r>
      </w:hyperlink>
      <w:r w:rsidRPr="00C762F3">
        <w:rPr>
          <w:sz w:val="18"/>
          <w:szCs w:val="18"/>
          <w:lang w:val="en-US"/>
        </w:rPr>
        <w:t>.]</w:t>
      </w:r>
    </w:p>
    <w:p w14:paraId="21271EED" w14:textId="7E24F194" w:rsidR="00EC3F6F" w:rsidRPr="00C762F3" w:rsidRDefault="00B915E7" w:rsidP="00EC3F6F">
      <w:pPr>
        <w:pStyle w:val="FootnoteText"/>
        <w:rPr>
          <w:sz w:val="18"/>
          <w:szCs w:val="18"/>
        </w:rPr>
      </w:pPr>
      <w:r w:rsidRPr="00C762F3">
        <w:rPr>
          <w:sz w:val="18"/>
          <w:szCs w:val="18"/>
        </w:rPr>
        <w:t xml:space="preserve">   </w:t>
      </w:r>
      <w:r w:rsidR="00EC3F6F" w:rsidRPr="00C762F3">
        <w:rPr>
          <w:sz w:val="18"/>
          <w:szCs w:val="18"/>
        </w:rPr>
        <w:t xml:space="preserve">c. </w:t>
      </w:r>
      <w:r w:rsidR="00EC3F6F" w:rsidRPr="00C762F3">
        <w:rPr>
          <w:b/>
          <w:bCs/>
          <w:sz w:val="18"/>
          <w:szCs w:val="18"/>
        </w:rPr>
        <w:t>Prepayment of Future Response Costs</w:t>
      </w:r>
      <w:r w:rsidR="00EC3F6F" w:rsidRPr="00C762F3">
        <w:rPr>
          <w:sz w:val="18"/>
          <w:szCs w:val="18"/>
        </w:rPr>
        <w:t>. Within 30 days after the Effective Date, Respondents shall pay to EPA $ _____ as a prepayment of [</w:t>
      </w:r>
      <w:r w:rsidR="00EC3F6F" w:rsidRPr="00C762F3">
        <w:rPr>
          <w:b/>
          <w:bCs/>
          <w:sz w:val="18"/>
          <w:szCs w:val="18"/>
        </w:rPr>
        <w:t>if the ¶ 42.d (Shortfall Payments) optional provision for replenishment is used substitute</w:t>
      </w:r>
      <w:r w:rsidR="00EC3F6F" w:rsidRPr="00C762F3">
        <w:rPr>
          <w:sz w:val="18"/>
          <w:szCs w:val="18"/>
        </w:rPr>
        <w:t>: as an initial payment toward] Future Response Costs. Payment must be made in accordance with ¶ 43.a. The total amount paid will be deposited by EPA in the [</w:t>
      </w:r>
      <w:r w:rsidR="00EC3F6F" w:rsidRPr="00C762F3">
        <w:rPr>
          <w:b/>
          <w:bCs/>
          <w:sz w:val="18"/>
          <w:szCs w:val="18"/>
        </w:rPr>
        <w:t>Site name</w:t>
      </w:r>
      <w:r w:rsidR="00EC3F6F" w:rsidRPr="00C762F3">
        <w:rPr>
          <w:sz w:val="18"/>
          <w:szCs w:val="18"/>
        </w:rPr>
        <w:t xml:space="preserve">] Future Response Costs Special Account . These funds will be retained and used by EPA to conduct or finance future response actions at or in connection with the Site. </w:t>
      </w:r>
    </w:p>
    <w:p w14:paraId="74DA26C9" w14:textId="7658DE22" w:rsidR="00EC3F6F" w:rsidRPr="00C762F3" w:rsidRDefault="00E114EA" w:rsidP="00EC3F6F">
      <w:pPr>
        <w:pStyle w:val="FootnoteText"/>
        <w:rPr>
          <w:sz w:val="18"/>
          <w:szCs w:val="18"/>
        </w:rPr>
      </w:pPr>
      <w:r w:rsidRPr="00C762F3">
        <w:rPr>
          <w:sz w:val="18"/>
          <w:szCs w:val="18"/>
        </w:rPr>
        <w:t>[</w:t>
      </w:r>
      <w:r w:rsidR="00383EF9" w:rsidRPr="00C762F3">
        <w:rPr>
          <w:b/>
          <w:bCs/>
          <w:sz w:val="18"/>
          <w:szCs w:val="18"/>
        </w:rPr>
        <w:t xml:space="preserve">The </w:t>
      </w:r>
      <w:r w:rsidRPr="00C762F3">
        <w:rPr>
          <w:b/>
          <w:bCs/>
          <w:sz w:val="18"/>
          <w:szCs w:val="18"/>
        </w:rPr>
        <w:t xml:space="preserve">optional </w:t>
      </w:r>
      <w:r w:rsidR="00EC3F6F" w:rsidRPr="00C762F3">
        <w:rPr>
          <w:b/>
          <w:bCs/>
          <w:sz w:val="18"/>
          <w:szCs w:val="18"/>
        </w:rPr>
        <w:t>Shortfall Payments</w:t>
      </w:r>
      <w:r w:rsidRPr="00C762F3">
        <w:rPr>
          <w:b/>
          <w:bCs/>
          <w:sz w:val="18"/>
          <w:szCs w:val="18"/>
        </w:rPr>
        <w:t xml:space="preserve"> provision below provides </w:t>
      </w:r>
      <w:r w:rsidR="00EC3F6F" w:rsidRPr="00C762F3">
        <w:rPr>
          <w:b/>
          <w:bCs/>
          <w:sz w:val="18"/>
          <w:szCs w:val="18"/>
        </w:rPr>
        <w:t>for replenishment of the Future Response Costs Special Account in the event of a shortfall in the prepayment.]</w:t>
      </w:r>
    </w:p>
    <w:p w14:paraId="700EF22A" w14:textId="0992D640" w:rsidR="00EC3F6F" w:rsidRPr="00C762F3" w:rsidRDefault="00B915E7" w:rsidP="00EC3F6F">
      <w:pPr>
        <w:pStyle w:val="FootnoteText"/>
        <w:rPr>
          <w:sz w:val="18"/>
          <w:szCs w:val="18"/>
        </w:rPr>
      </w:pPr>
      <w:r w:rsidRPr="00C762F3">
        <w:rPr>
          <w:sz w:val="18"/>
          <w:szCs w:val="18"/>
        </w:rPr>
        <w:t xml:space="preserve">    </w:t>
      </w:r>
      <w:r w:rsidR="00EC3F6F" w:rsidRPr="00C762F3">
        <w:rPr>
          <w:sz w:val="18"/>
          <w:szCs w:val="18"/>
        </w:rPr>
        <w:t xml:space="preserve">d. </w:t>
      </w:r>
      <w:r w:rsidR="00EC3F6F" w:rsidRPr="00C762F3">
        <w:rPr>
          <w:b/>
          <w:bCs/>
          <w:sz w:val="18"/>
          <w:szCs w:val="18"/>
        </w:rPr>
        <w:t>Shortfall Payments.</w:t>
      </w:r>
      <w:r w:rsidR="00EC3F6F" w:rsidRPr="00C762F3">
        <w:rPr>
          <w:sz w:val="18"/>
          <w:szCs w:val="18"/>
        </w:rPr>
        <w:t xml:space="preserve"> If at any time prior to the date EPA sends Respondents the first bill under ¶ </w:t>
      </w:r>
      <w:r w:rsidR="00383EF9" w:rsidRPr="00C762F3">
        <w:rPr>
          <w:sz w:val="18"/>
          <w:szCs w:val="18"/>
        </w:rPr>
        <w:t>[</w:t>
      </w:r>
      <w:r w:rsidR="00EC3F6F" w:rsidRPr="00C762F3">
        <w:rPr>
          <w:sz w:val="18"/>
          <w:szCs w:val="18"/>
        </w:rPr>
        <w:t>41.a</w:t>
      </w:r>
      <w:r w:rsidR="00383EF9" w:rsidRPr="00C762F3">
        <w:rPr>
          <w:sz w:val="18"/>
          <w:szCs w:val="18"/>
        </w:rPr>
        <w:t>]</w:t>
      </w:r>
      <w:r w:rsidR="00EC3F6F" w:rsidRPr="00C762F3">
        <w:rPr>
          <w:sz w:val="18"/>
          <w:szCs w:val="18"/>
        </w:rPr>
        <w:t xml:space="preserve"> (Periodic Bills), or one year after the Effective Date, whichever is earlier, the balance in the Future Response Costs Special Account falls below $ _____, EPA will so notify Respondents. Respondents shall, within 30 days after receipt of such notice, pay $ _____ to EPA. Payment shall be made in accordance with ¶ </w:t>
      </w:r>
      <w:r w:rsidR="00383EF9" w:rsidRPr="00C762F3">
        <w:rPr>
          <w:sz w:val="18"/>
          <w:szCs w:val="18"/>
        </w:rPr>
        <w:t>[</w:t>
      </w:r>
      <w:r w:rsidR="00EC3F6F" w:rsidRPr="00C762F3">
        <w:rPr>
          <w:sz w:val="18"/>
          <w:szCs w:val="18"/>
        </w:rPr>
        <w:t>41.a</w:t>
      </w:r>
      <w:r w:rsidR="00383EF9" w:rsidRPr="00C762F3">
        <w:rPr>
          <w:sz w:val="18"/>
          <w:szCs w:val="18"/>
        </w:rPr>
        <w:t>]</w:t>
      </w:r>
      <w:r w:rsidR="00EC3F6F" w:rsidRPr="00C762F3">
        <w:rPr>
          <w:sz w:val="18"/>
          <w:szCs w:val="18"/>
        </w:rPr>
        <w:t>. The amounts paid shall be deposited by EPA in the Future Response Costs Special Account. These funds will be retained and used by EPA to conduct or finance future response actions at or in connection with the Site.</w:t>
      </w:r>
    </w:p>
    <w:p w14:paraId="4B7CE508" w14:textId="1353F667" w:rsidR="00EC3F6F" w:rsidRPr="00C762F3" w:rsidRDefault="00B915E7" w:rsidP="00EC3F6F">
      <w:pPr>
        <w:pStyle w:val="FootnoteText"/>
        <w:rPr>
          <w:sz w:val="18"/>
          <w:szCs w:val="18"/>
          <w:lang w:val="en-US"/>
        </w:rPr>
      </w:pPr>
      <w:r w:rsidRPr="00C762F3">
        <w:rPr>
          <w:sz w:val="18"/>
          <w:szCs w:val="18"/>
          <w:lang w:val="en-US"/>
        </w:rPr>
        <w:t xml:space="preserve">    </w:t>
      </w:r>
      <w:r w:rsidR="00EC3F6F" w:rsidRPr="00C762F3">
        <w:rPr>
          <w:sz w:val="18"/>
          <w:szCs w:val="18"/>
          <w:lang w:val="en-US"/>
        </w:rPr>
        <w:t xml:space="preserve">e. </w:t>
      </w:r>
      <w:r w:rsidR="00EC3F6F" w:rsidRPr="00C762F3">
        <w:rPr>
          <w:b/>
          <w:bCs/>
          <w:sz w:val="18"/>
          <w:szCs w:val="18"/>
          <w:lang w:val="en-US"/>
        </w:rPr>
        <w:t>Unused Amount</w:t>
      </w:r>
      <w:r w:rsidR="00EC3F6F" w:rsidRPr="00C762F3">
        <w:rPr>
          <w:sz w:val="18"/>
          <w:szCs w:val="18"/>
          <w:lang w:val="en-US"/>
        </w:rPr>
        <w:t xml:space="preserve">. After EPA issues the Notice of Completion of Work pursuant to Section </w:t>
      </w:r>
      <w:r w:rsidR="00243D3A" w:rsidRPr="00C762F3">
        <w:rPr>
          <w:sz w:val="18"/>
          <w:szCs w:val="18"/>
          <w:lang w:val="en-US"/>
        </w:rPr>
        <w:t>[</w:t>
      </w:r>
      <w:r w:rsidR="00EC3F6F" w:rsidRPr="00C762F3">
        <w:rPr>
          <w:sz w:val="18"/>
          <w:szCs w:val="18"/>
          <w:lang w:val="en-US"/>
        </w:rPr>
        <w:t>7.7</w:t>
      </w:r>
      <w:r w:rsidR="00243D3A" w:rsidRPr="00C762F3">
        <w:rPr>
          <w:sz w:val="18"/>
          <w:szCs w:val="18"/>
          <w:lang w:val="en-US"/>
        </w:rPr>
        <w:t>]</w:t>
      </w:r>
      <w:r w:rsidR="00EC3F6F" w:rsidRPr="00C762F3">
        <w:rPr>
          <w:sz w:val="18"/>
          <w:szCs w:val="18"/>
          <w:lang w:val="en-US"/>
        </w:rPr>
        <w:t xml:space="preserve"> of the SOW and a final accounting of the Future Response Costs Special Account (including crediting Respondents for any amounts received under ¶¶ </w:t>
      </w:r>
      <w:r w:rsidR="00243D3A" w:rsidRPr="00C762F3">
        <w:rPr>
          <w:sz w:val="18"/>
          <w:szCs w:val="18"/>
          <w:lang w:val="en-US"/>
        </w:rPr>
        <w:t>[</w:t>
      </w:r>
      <w:r w:rsidR="00EC3F6F" w:rsidRPr="00C762F3">
        <w:rPr>
          <w:sz w:val="18"/>
          <w:szCs w:val="18"/>
          <w:lang w:val="en-US"/>
        </w:rPr>
        <w:t>42.c</w:t>
      </w:r>
      <w:r w:rsidR="00243D3A" w:rsidRPr="00C762F3">
        <w:rPr>
          <w:sz w:val="18"/>
          <w:szCs w:val="18"/>
          <w:lang w:val="en-US"/>
        </w:rPr>
        <w:t>]</w:t>
      </w:r>
      <w:r w:rsidR="00EC3F6F" w:rsidRPr="00C762F3">
        <w:rPr>
          <w:sz w:val="18"/>
          <w:szCs w:val="18"/>
          <w:lang w:val="en-US"/>
        </w:rPr>
        <w:t xml:space="preserve"> (Prepayment of Future Response Costs) [, </w:t>
      </w:r>
      <w:r w:rsidR="00243D3A" w:rsidRPr="00C762F3">
        <w:rPr>
          <w:sz w:val="18"/>
          <w:szCs w:val="18"/>
          <w:lang w:val="en-US"/>
        </w:rPr>
        <w:t>[</w:t>
      </w:r>
      <w:r w:rsidR="00EC3F6F" w:rsidRPr="00C762F3">
        <w:rPr>
          <w:sz w:val="18"/>
          <w:szCs w:val="18"/>
          <w:lang w:val="en-US"/>
        </w:rPr>
        <w:t>42.d</w:t>
      </w:r>
      <w:r w:rsidR="00243D3A" w:rsidRPr="00C762F3">
        <w:rPr>
          <w:sz w:val="18"/>
          <w:szCs w:val="18"/>
          <w:lang w:val="en-US"/>
        </w:rPr>
        <w:t>]</w:t>
      </w:r>
      <w:r w:rsidR="00EC3F6F" w:rsidRPr="00C762F3">
        <w:rPr>
          <w:sz w:val="18"/>
          <w:szCs w:val="18"/>
          <w:lang w:val="en-US"/>
        </w:rPr>
        <w:t xml:space="preserve"> (Shortfall Payments),] or 41.a (Periodic Bills), EPA will, in its sole discretion, [</w:t>
      </w:r>
      <w:r w:rsidR="00EC3F6F" w:rsidRPr="00C762F3">
        <w:rPr>
          <w:b/>
          <w:bCs/>
          <w:sz w:val="18"/>
          <w:szCs w:val="18"/>
          <w:lang w:val="en-US"/>
        </w:rPr>
        <w:t>choose one or more of the following three clauses</w:t>
      </w:r>
      <w:r w:rsidR="00EC3F6F" w:rsidRPr="00C762F3">
        <w:rPr>
          <w:sz w:val="18"/>
          <w:szCs w:val="18"/>
          <w:lang w:val="en-US"/>
        </w:rPr>
        <w:t>: “offset the next Future Response Costs bill by the unused amount paid by Respondents pursuant to ¶ </w:t>
      </w:r>
      <w:r w:rsidR="00243D3A" w:rsidRPr="00C762F3">
        <w:rPr>
          <w:sz w:val="18"/>
          <w:szCs w:val="18"/>
          <w:lang w:val="en-US"/>
        </w:rPr>
        <w:t>[</w:t>
      </w:r>
      <w:r w:rsidR="00EC3F6F" w:rsidRPr="00C762F3">
        <w:rPr>
          <w:sz w:val="18"/>
          <w:szCs w:val="18"/>
          <w:lang w:val="en-US"/>
        </w:rPr>
        <w:t>42.c</w:t>
      </w:r>
      <w:r w:rsidR="00243D3A" w:rsidRPr="00C762F3">
        <w:rPr>
          <w:sz w:val="18"/>
          <w:szCs w:val="18"/>
          <w:lang w:val="en-US"/>
        </w:rPr>
        <w:t>]</w:t>
      </w:r>
      <w:r w:rsidR="00EC3F6F" w:rsidRPr="00C762F3">
        <w:rPr>
          <w:sz w:val="18"/>
          <w:szCs w:val="18"/>
          <w:lang w:val="en-US"/>
        </w:rPr>
        <w:t xml:space="preserve"> (Prepayment of Future Response Costs) [or </w:t>
      </w:r>
      <w:r w:rsidR="00243D3A" w:rsidRPr="00C762F3">
        <w:rPr>
          <w:sz w:val="18"/>
          <w:szCs w:val="18"/>
          <w:lang w:val="en-US"/>
        </w:rPr>
        <w:t>[</w:t>
      </w:r>
      <w:r w:rsidR="00EC3F6F" w:rsidRPr="00C762F3">
        <w:rPr>
          <w:sz w:val="18"/>
          <w:szCs w:val="18"/>
          <w:lang w:val="en-US"/>
        </w:rPr>
        <w:t>42.d</w:t>
      </w:r>
      <w:r w:rsidR="00243D3A" w:rsidRPr="00C762F3">
        <w:rPr>
          <w:sz w:val="18"/>
          <w:szCs w:val="18"/>
          <w:lang w:val="en-US"/>
        </w:rPr>
        <w:t>]</w:t>
      </w:r>
      <w:r w:rsidR="00EC3F6F" w:rsidRPr="00C762F3">
        <w:rPr>
          <w:sz w:val="18"/>
          <w:szCs w:val="18"/>
          <w:lang w:val="en-US"/>
        </w:rPr>
        <w:t xml:space="preserve"> (Shortfall Payments)];” “apply any unused amount paid by Respondents pursuant to ¶ </w:t>
      </w:r>
      <w:r w:rsidR="00243D3A" w:rsidRPr="00C762F3">
        <w:rPr>
          <w:sz w:val="18"/>
          <w:szCs w:val="18"/>
          <w:lang w:val="en-US"/>
        </w:rPr>
        <w:t>[</w:t>
      </w:r>
      <w:r w:rsidR="00EC3F6F" w:rsidRPr="00C762F3">
        <w:rPr>
          <w:sz w:val="18"/>
          <w:szCs w:val="18"/>
          <w:lang w:val="en-US"/>
        </w:rPr>
        <w:t>42.c</w:t>
      </w:r>
      <w:r w:rsidR="00243D3A" w:rsidRPr="00C762F3">
        <w:rPr>
          <w:sz w:val="18"/>
          <w:szCs w:val="18"/>
          <w:lang w:val="en-US"/>
        </w:rPr>
        <w:t>]</w:t>
      </w:r>
      <w:r w:rsidR="00EC3F6F" w:rsidRPr="00C762F3">
        <w:rPr>
          <w:sz w:val="18"/>
          <w:szCs w:val="18"/>
          <w:lang w:val="en-US"/>
        </w:rPr>
        <w:t xml:space="preserve"> (Prepayment of Future Response Costs) [or 42.d (Shortfall Payments)] to any other unreimbursed response costs or response actions remaining at the Site;” or “remit and return to Respondents any unused amount of the funds paid by Respondents pursuant to ¶ </w:t>
      </w:r>
      <w:r w:rsidR="00243D3A" w:rsidRPr="00C762F3">
        <w:rPr>
          <w:sz w:val="18"/>
          <w:szCs w:val="18"/>
          <w:lang w:val="en-US"/>
        </w:rPr>
        <w:t>[</w:t>
      </w:r>
      <w:r w:rsidR="00EC3F6F" w:rsidRPr="00C762F3">
        <w:rPr>
          <w:sz w:val="18"/>
          <w:szCs w:val="18"/>
          <w:lang w:val="en-US"/>
        </w:rPr>
        <w:t>42.c</w:t>
      </w:r>
      <w:r w:rsidR="00243D3A" w:rsidRPr="00C762F3">
        <w:rPr>
          <w:sz w:val="18"/>
          <w:szCs w:val="18"/>
          <w:lang w:val="en-US"/>
        </w:rPr>
        <w:t>]</w:t>
      </w:r>
      <w:r w:rsidR="00EC3F6F" w:rsidRPr="00C762F3">
        <w:rPr>
          <w:sz w:val="18"/>
          <w:szCs w:val="18"/>
          <w:lang w:val="en-US"/>
        </w:rPr>
        <w:t xml:space="preserve"> (Prepayment of Future Response Costs) [or 42.d (Shortfall Payments)].”] [</w:t>
      </w:r>
      <w:r w:rsidR="00EC3F6F" w:rsidRPr="00C762F3">
        <w:rPr>
          <w:b/>
          <w:bCs/>
          <w:sz w:val="18"/>
          <w:szCs w:val="18"/>
          <w:lang w:val="en-US"/>
        </w:rPr>
        <w:t>If the second clause is chosen, insert</w:t>
      </w:r>
      <w:r w:rsidR="00EC3F6F" w:rsidRPr="00C762F3">
        <w:rPr>
          <w:sz w:val="18"/>
          <w:szCs w:val="18"/>
          <w:lang w:val="en-US"/>
        </w:rPr>
        <w:t>: Any decision by EPA to apply unused amounts to unreimbursed response costs or response actions remaining at the Site shall not be subject to challenge by Respondents pursuant to the dispute resolution provisions of this Settlement or in any other forum.]</w:t>
      </w:r>
    </w:p>
    <w:p w14:paraId="62AB4950" w14:textId="77777777" w:rsidR="00EC3F6F" w:rsidRPr="00C762F3" w:rsidRDefault="00EC3F6F" w:rsidP="00EC3F6F">
      <w:pPr>
        <w:pStyle w:val="FootnoteText"/>
        <w:rPr>
          <w:sz w:val="18"/>
          <w:szCs w:val="18"/>
          <w:lang w:val="en-US"/>
        </w:rPr>
      </w:pPr>
    </w:p>
    <w:p w14:paraId="03E96742" w14:textId="6DAFB09D" w:rsidR="00EC3F6F" w:rsidRPr="00C762F3" w:rsidRDefault="00EC3F6F">
      <w:pPr>
        <w:pStyle w:val="FootnoteText"/>
        <w:rPr>
          <w:sz w:val="18"/>
          <w:szCs w:val="18"/>
          <w:lang w:val="en-US"/>
        </w:rPr>
      </w:pPr>
    </w:p>
  </w:footnote>
  <w:footnote w:id="31">
    <w:p w14:paraId="750EBF82" w14:textId="26731EB6" w:rsidR="003303C3" w:rsidRPr="00C762F3" w:rsidRDefault="003303C3">
      <w:pPr>
        <w:pStyle w:val="FootnoteText"/>
        <w:rPr>
          <w:sz w:val="18"/>
          <w:szCs w:val="18"/>
          <w:lang w:val="en-US"/>
        </w:rPr>
      </w:pPr>
      <w:r w:rsidRPr="00C762F3">
        <w:rPr>
          <w:rStyle w:val="FootnoteReference"/>
          <w:sz w:val="18"/>
          <w:szCs w:val="18"/>
        </w:rPr>
        <w:footnoteRef/>
      </w:r>
      <w:r w:rsidRPr="00C762F3">
        <w:rPr>
          <w:sz w:val="18"/>
          <w:szCs w:val="18"/>
        </w:rPr>
        <w:t xml:space="preserve"> </w:t>
      </w:r>
      <w:r w:rsidRPr="00C762F3">
        <w:rPr>
          <w:sz w:val="18"/>
          <w:szCs w:val="18"/>
          <w:lang w:val="en-US"/>
        </w:rPr>
        <w:t xml:space="preserve"> The pay.gov system includes alternatives for making payment by credit card, debit card, and automatic clearinghouse (ACH). If the SDs cannot make payment using the pay.gov system, the EPA attorney should contact the Cincinnati Finance Center about alternative methods of payment.</w:t>
      </w:r>
    </w:p>
  </w:footnote>
  <w:footnote w:id="32">
    <w:p w14:paraId="258CD4C5" w14:textId="3B23BE60" w:rsidR="00F22B3E" w:rsidRPr="00C762F3" w:rsidRDefault="00F22B3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EPA’s covenant may also be extended to a federal PRP contractor where the federal PRP settlement includes the contractor. This generally occurs where the contractor is indemnified by the United States under the contract.</w:t>
      </w:r>
    </w:p>
  </w:footnote>
  <w:footnote w:id="33">
    <w:p w14:paraId="494CEB46" w14:textId="342E55ED" w:rsidR="006F488B" w:rsidRPr="00C762F3" w:rsidRDefault="006F488B">
      <w:pPr>
        <w:pStyle w:val="FootnoteText"/>
        <w:rPr>
          <w:sz w:val="18"/>
          <w:szCs w:val="18"/>
          <w:lang w:val="en-US"/>
        </w:rPr>
      </w:pPr>
      <w:r w:rsidRPr="00C762F3">
        <w:rPr>
          <w:rStyle w:val="FootnoteReference"/>
          <w:sz w:val="18"/>
          <w:szCs w:val="18"/>
        </w:rPr>
        <w:footnoteRef/>
      </w:r>
      <w:r w:rsidRPr="00C762F3">
        <w:rPr>
          <w:sz w:val="18"/>
          <w:szCs w:val="18"/>
        </w:rPr>
        <w:t xml:space="preserve"> </w:t>
      </w:r>
      <w:r w:rsidRPr="00C762F3">
        <w:rPr>
          <w:sz w:val="18"/>
          <w:szCs w:val="18"/>
        </w:rPr>
        <w:t>If the State is participating: (i) substitute references to applicable provisions of State CERCLA and RCRA laws for the term “State law;” and (ii) add to this covenant, if applicable: “State Past Response Costs and State Future Response Costs.”</w:t>
      </w:r>
    </w:p>
  </w:footnote>
  <w:footnote w:id="34">
    <w:p w14:paraId="37788D8B" w14:textId="5522A284" w:rsidR="00F22B3E" w:rsidRPr="00C762F3" w:rsidRDefault="00F22B3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SFAs are participating and are paying Respondents’ past and future response costs, add to this covenant: “Respondents’ Past Response Costs and Settling Respondents Future Response Costs.”</w:t>
      </w:r>
    </w:p>
  </w:footnote>
  <w:footnote w:id="35">
    <w:p w14:paraId="61711244" w14:textId="77777777" w:rsidR="00F22B3E" w:rsidRPr="00C762F3" w:rsidRDefault="00F22B3E" w:rsidP="00F22B3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the Settlement contains a Future Response Cost prepayment provision under which Respondents may receive a return of unused amounts under option 3 of ¶ 42.e (Unused Amount), include ¶ 66.c.</w:t>
      </w:r>
    </w:p>
    <w:p w14:paraId="2234F3E6" w14:textId="6EFA53FD" w:rsidR="00F22B3E" w:rsidRPr="00C762F3" w:rsidRDefault="0059651D">
      <w:pPr>
        <w:pStyle w:val="FootnoteText"/>
        <w:rPr>
          <w:sz w:val="18"/>
          <w:szCs w:val="18"/>
          <w:lang w:val="en-US"/>
        </w:rPr>
      </w:pPr>
      <w:r w:rsidRPr="00C762F3">
        <w:rPr>
          <w:sz w:val="18"/>
          <w:szCs w:val="18"/>
          <w:lang w:val="en-US"/>
        </w:rPr>
        <w:t xml:space="preserve">    </w:t>
      </w:r>
      <w:r w:rsidR="00F22B3E" w:rsidRPr="00C762F3">
        <w:rPr>
          <w:sz w:val="18"/>
          <w:szCs w:val="18"/>
          <w:lang w:val="en-US"/>
        </w:rPr>
        <w:t>c. [any direct or indirect claim for return of unused amounts from the [</w:t>
      </w:r>
      <w:r w:rsidR="00F22B3E" w:rsidRPr="00C762F3">
        <w:rPr>
          <w:b/>
          <w:bCs/>
          <w:sz w:val="18"/>
          <w:szCs w:val="18"/>
          <w:lang w:val="en-US"/>
        </w:rPr>
        <w:t>Site name</w:t>
      </w:r>
      <w:r w:rsidR="00F22B3E" w:rsidRPr="00C762F3">
        <w:rPr>
          <w:sz w:val="18"/>
          <w:szCs w:val="18"/>
          <w:lang w:val="en-US"/>
        </w:rPr>
        <w:t>] Future Response Costs Special Account, except for unused amounts that EPA determines shall be returned to Respondents in accordance with ¶ 42.e (Unused Amount).]</w:t>
      </w:r>
    </w:p>
  </w:footnote>
  <w:footnote w:id="36">
    <w:p w14:paraId="05EC155D" w14:textId="50EA984F" w:rsidR="004F2F08" w:rsidRPr="00C762F3" w:rsidRDefault="004F2F08">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Keep this </w:t>
      </w:r>
      <w:r w:rsidR="0059651D" w:rsidRPr="00C762F3">
        <w:rPr>
          <w:sz w:val="18"/>
          <w:szCs w:val="18"/>
          <w:lang w:val="en-US"/>
        </w:rPr>
        <w:t xml:space="preserve">provision </w:t>
      </w:r>
      <w:r w:rsidRPr="00C762F3">
        <w:rPr>
          <w:sz w:val="18"/>
          <w:szCs w:val="18"/>
          <w:lang w:val="en-US"/>
        </w:rPr>
        <w:t xml:space="preserve">if there are known or potential </w:t>
      </w:r>
      <w:r w:rsidRPr="00C762F3">
        <w:rPr>
          <w:i/>
          <w:iCs/>
          <w:sz w:val="18"/>
          <w:szCs w:val="18"/>
          <w:lang w:val="en-US"/>
        </w:rPr>
        <w:t>de minimis</w:t>
      </w:r>
      <w:r w:rsidRPr="00C762F3">
        <w:rPr>
          <w:sz w:val="18"/>
          <w:szCs w:val="18"/>
          <w:lang w:val="en-US"/>
        </w:rPr>
        <w:t xml:space="preserve"> and/or ability to pay (“ATP”) PRPs at the Site. Do not change the scope of the waiver to something less than “the matters addressed in the third party’s settlement with EPA.” Note that this waiver will not affect Respondents’ right to oppose entry of any such future </w:t>
      </w:r>
      <w:r w:rsidRPr="00C762F3">
        <w:rPr>
          <w:i/>
          <w:iCs/>
          <w:sz w:val="18"/>
          <w:szCs w:val="18"/>
          <w:lang w:val="en-US"/>
        </w:rPr>
        <w:t>de minimis</w:t>
      </w:r>
      <w:r w:rsidRPr="00C762F3">
        <w:rPr>
          <w:sz w:val="18"/>
          <w:szCs w:val="18"/>
          <w:lang w:val="en-US"/>
        </w:rPr>
        <w:t xml:space="preserve"> or ATP settlement through the public comment process.</w:t>
      </w:r>
    </w:p>
  </w:footnote>
  <w:footnote w:id="37">
    <w:p w14:paraId="0DA480F9" w14:textId="77777777" w:rsidR="004F2F08" w:rsidRPr="00C762F3" w:rsidRDefault="004F2F08" w:rsidP="004F2F08">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If a Respondent asserts that it has a claim against a PRP within the scope of the waiver[s] that is unrelated to the PRP’s CERCLA liability at the Site, e.g., a claim for contractual indemnification, add an exception for such claim, such as the following: </w:t>
      </w:r>
    </w:p>
    <w:p w14:paraId="379F9856" w14:textId="4813B87C" w:rsidR="004F2F08" w:rsidRPr="00C762F3" w:rsidRDefault="004F2F08" w:rsidP="004F2F08">
      <w:pPr>
        <w:pStyle w:val="FootnoteText"/>
        <w:rPr>
          <w:sz w:val="18"/>
          <w:szCs w:val="18"/>
          <w:lang w:val="en-US"/>
        </w:rPr>
      </w:pPr>
      <w:r w:rsidRPr="00C762F3">
        <w:rPr>
          <w:sz w:val="18"/>
          <w:szCs w:val="18"/>
          <w:lang w:val="en-US"/>
        </w:rPr>
        <w:t xml:space="preserve">c. The waiver[s] under this ¶ 70 do not apply to Respondent [insert name]’s contractual indemnification </w:t>
      </w:r>
      <w:proofErr w:type="gramStart"/>
      <w:r w:rsidRPr="00C762F3">
        <w:rPr>
          <w:sz w:val="18"/>
          <w:szCs w:val="18"/>
          <w:lang w:val="en-US"/>
        </w:rPr>
        <w:t>claim</w:t>
      </w:r>
      <w:proofErr w:type="gramEnd"/>
      <w:r w:rsidRPr="00C762F3">
        <w:rPr>
          <w:sz w:val="18"/>
          <w:szCs w:val="18"/>
          <w:lang w:val="en-US"/>
        </w:rPr>
        <w:t xml:space="preserve"> against [insert name].</w:t>
      </w:r>
    </w:p>
  </w:footnote>
  <w:footnote w:id="38">
    <w:p w14:paraId="7372E3FC" w14:textId="1367F060" w:rsidR="004F2F08" w:rsidRPr="00C762F3" w:rsidRDefault="004F2F08">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SFAs are participating and are paying Respondents’ past and future response costs, add to this covenant: “Respondents’ Past Response Costs and Respondents Future Response Costs.”</w:t>
      </w:r>
    </w:p>
  </w:footnote>
  <w:footnote w:id="39">
    <w:p w14:paraId="1AC75152" w14:textId="1B6969CB" w:rsidR="004F2F08" w:rsidRPr="00C762F3" w:rsidRDefault="004F2F08">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SFAs are participating and paying</w:t>
      </w:r>
      <w:r w:rsidRPr="00C762F3">
        <w:rPr>
          <w:b/>
          <w:bCs/>
          <w:sz w:val="18"/>
          <w:szCs w:val="18"/>
          <w:lang w:val="en-US"/>
        </w:rPr>
        <w:t xml:space="preserve"> </w:t>
      </w:r>
      <w:r w:rsidRPr="00C762F3">
        <w:rPr>
          <w:sz w:val="18"/>
          <w:szCs w:val="18"/>
          <w:lang w:val="en-US"/>
        </w:rPr>
        <w:t>Respondents’ past and future response costs, insert: “, Respondents’ Past Response Costs and Respondents’ Future Response Costs]</w:t>
      </w:r>
    </w:p>
  </w:footnote>
  <w:footnote w:id="40">
    <w:p w14:paraId="4EB0D859" w14:textId="44662FBF" w:rsidR="00C20C72" w:rsidRPr="00C762F3" w:rsidRDefault="00C20C72">
      <w:pPr>
        <w:pStyle w:val="FootnoteText"/>
        <w:rPr>
          <w:sz w:val="18"/>
          <w:szCs w:val="18"/>
          <w:lang w:val="en-US"/>
        </w:rPr>
      </w:pPr>
      <w:r w:rsidRPr="00C762F3">
        <w:rPr>
          <w:rStyle w:val="FootnoteReference"/>
          <w:sz w:val="18"/>
          <w:szCs w:val="18"/>
        </w:rPr>
        <w:footnoteRef/>
      </w:r>
      <w:r w:rsidRPr="00C762F3">
        <w:rPr>
          <w:sz w:val="18"/>
          <w:szCs w:val="18"/>
        </w:rPr>
        <w:t xml:space="preserve"> </w:t>
      </w:r>
      <w:r w:rsidRPr="00C762F3">
        <w:rPr>
          <w:sz w:val="18"/>
          <w:szCs w:val="18"/>
        </w:rPr>
        <w:t>“Tribe” should not be included here as tribes are not included in section 113(f)(3).</w:t>
      </w:r>
    </w:p>
  </w:footnote>
  <w:footnote w:id="41">
    <w:p w14:paraId="1FDB2E41" w14:textId="77777777" w:rsidR="00594B72" w:rsidRPr="00C762F3" w:rsidRDefault="00594B72" w:rsidP="00594B72">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rPr>
        <w:t xml:space="preserve">The case team can replace the bracketed text with the following: </w:t>
      </w:r>
      <w:r w:rsidRPr="00C762F3">
        <w:rPr>
          <w:sz w:val="18"/>
          <w:szCs w:val="18"/>
          <w:lang w:val="en-US"/>
        </w:rPr>
        <w:t xml:space="preserve">“to the best of its knowledge and belief, after thorough inquiry it has not altered, mutilated, discarded, destroyed, or otherwise disposed of any Records (other than identical copies) relating to its potential liability regarding the Site since notification of potential liability by EPA or the State,”. </w:t>
      </w:r>
    </w:p>
  </w:footnote>
  <w:footnote w:id="42">
    <w:p w14:paraId="64D34DCC" w14:textId="77777777" w:rsidR="00594B72" w:rsidRPr="00C762F3" w:rsidRDefault="00594B72" w:rsidP="00594B72">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 xml:space="preserve">EPA attorneys should make sure that EPA has received a written response to any information requests that it has sent to SFAs containing a certification substantially </w:t>
      </w:r>
      <w:proofErr w:type="gramStart"/>
      <w:r w:rsidRPr="00C762F3">
        <w:rPr>
          <w:sz w:val="18"/>
          <w:szCs w:val="18"/>
          <w:lang w:val="en-US"/>
        </w:rPr>
        <w:t>similar to</w:t>
      </w:r>
      <w:proofErr w:type="gramEnd"/>
      <w:r w:rsidRPr="00C762F3">
        <w:rPr>
          <w:sz w:val="18"/>
          <w:szCs w:val="18"/>
          <w:lang w:val="en-US"/>
        </w:rPr>
        <w:t xml:space="preserve"> that required from private PRPs.</w:t>
      </w:r>
    </w:p>
  </w:footnote>
  <w:footnote w:id="43">
    <w:p w14:paraId="2302B995" w14:textId="28F2B989" w:rsidR="00C20C72" w:rsidRPr="00C762F3" w:rsidRDefault="00C20C72">
      <w:pPr>
        <w:pStyle w:val="FootnoteText"/>
        <w:rPr>
          <w:sz w:val="18"/>
          <w:szCs w:val="18"/>
          <w:lang w:val="en-US"/>
        </w:rPr>
      </w:pPr>
      <w:r w:rsidRPr="00C762F3">
        <w:rPr>
          <w:rStyle w:val="FootnoteReference"/>
          <w:sz w:val="18"/>
          <w:szCs w:val="18"/>
        </w:rPr>
        <w:footnoteRef/>
      </w:r>
      <w:r w:rsidRPr="00C762F3">
        <w:rPr>
          <w:sz w:val="18"/>
          <w:szCs w:val="18"/>
        </w:rPr>
        <w:t xml:space="preserve"> </w:t>
      </w:r>
      <w:r w:rsidRPr="00C762F3">
        <w:rPr>
          <w:sz w:val="18"/>
          <w:szCs w:val="18"/>
          <w:lang w:val="en-US"/>
        </w:rPr>
        <w:t xml:space="preserve">The case team has flexibility to add to this paragraph other categories of information that EPA wants the Respondent to retain during the Record Retention Period. Be specific about what the agency </w:t>
      </w:r>
      <w:proofErr w:type="gramStart"/>
      <w:r w:rsidRPr="00C762F3">
        <w:rPr>
          <w:sz w:val="18"/>
          <w:szCs w:val="18"/>
          <w:lang w:val="en-US"/>
        </w:rPr>
        <w:t>wants, and</w:t>
      </w:r>
      <w:proofErr w:type="gramEnd"/>
      <w:r w:rsidRPr="00C762F3">
        <w:rPr>
          <w:sz w:val="18"/>
          <w:szCs w:val="18"/>
          <w:lang w:val="en-US"/>
        </w:rPr>
        <w:t xml:space="preserve"> consider proposals to exclude categories of ESI that may be inaccessible. Consult your e-discovery office coordinator for advice regarding inaccessible ESI.</w:t>
      </w:r>
    </w:p>
  </w:footnote>
  <w:footnote w:id="44">
    <w:p w14:paraId="161595EA" w14:textId="43D94F57" w:rsidR="003D40CE" w:rsidRPr="00C762F3" w:rsidRDefault="003D40C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This block of addresses is a table. To make it easier to navigate within it, turn on gridlines as follows: Click anywhere in the table. Under the “Table Tools” menu that appears in the upper ribbon, click the “Layout” button. In the layout ribbon that appears, on the far left, click the “View Gridlines” button.</w:t>
      </w:r>
    </w:p>
  </w:footnote>
  <w:footnote w:id="45">
    <w:p w14:paraId="0E224853" w14:textId="0AA16236" w:rsidR="003D40CE" w:rsidRPr="00C762F3" w:rsidRDefault="003D40C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If needed add mailing addresses for Director, Superfund &amp; Emergency Management Division, EPA Project Coordinator, and Regional Financial Management Officer. Include Site/Spill ID. If needed add SDs’ Project Coordinator’s mailing address.</w:t>
      </w:r>
    </w:p>
  </w:footnote>
  <w:footnote w:id="46">
    <w:p w14:paraId="3B156F39" w14:textId="42BF5A2B" w:rsidR="003D40CE" w:rsidRPr="00C762F3" w:rsidRDefault="003D40CE">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00D740A0" w:rsidRPr="00C762F3">
        <w:rPr>
          <w:sz w:val="18"/>
          <w:szCs w:val="18"/>
          <w:lang w:val="en-US"/>
        </w:rPr>
        <w:t xml:space="preserve">DOJ </w:t>
      </w:r>
      <w:r w:rsidRPr="00C762F3">
        <w:rPr>
          <w:sz w:val="18"/>
          <w:szCs w:val="18"/>
          <w:lang w:val="en-US"/>
        </w:rPr>
        <w:t xml:space="preserve">approval is required if the Settlement includes a compromise of response costs </w:t>
      </w:r>
      <w:r w:rsidRPr="00C762F3">
        <w:rPr>
          <w:i/>
          <w:iCs/>
          <w:sz w:val="18"/>
          <w:szCs w:val="18"/>
          <w:lang w:val="en-US"/>
        </w:rPr>
        <w:t>and</w:t>
      </w:r>
      <w:r w:rsidRPr="00C762F3">
        <w:rPr>
          <w:sz w:val="18"/>
          <w:szCs w:val="18"/>
          <w:lang w:val="en-US"/>
        </w:rPr>
        <w:t xml:space="preserve"> </w:t>
      </w:r>
      <w:r w:rsidR="00D740A0" w:rsidRPr="00C762F3">
        <w:rPr>
          <w:sz w:val="18"/>
          <w:szCs w:val="18"/>
          <w:lang w:val="en-US"/>
        </w:rPr>
        <w:t xml:space="preserve">total Site costs are expected to be more </w:t>
      </w:r>
      <w:r w:rsidRPr="00C762F3">
        <w:rPr>
          <w:sz w:val="18"/>
          <w:szCs w:val="18"/>
          <w:lang w:val="en-US"/>
        </w:rPr>
        <w:t xml:space="preserve">$500,000 (excluding interest). If </w:t>
      </w:r>
      <w:r w:rsidR="00D740A0" w:rsidRPr="00C762F3">
        <w:rPr>
          <w:sz w:val="18"/>
          <w:szCs w:val="18"/>
          <w:lang w:val="en-US"/>
        </w:rPr>
        <w:t>DOJ</w:t>
      </w:r>
      <w:r w:rsidRPr="00C762F3">
        <w:rPr>
          <w:sz w:val="18"/>
          <w:szCs w:val="18"/>
          <w:lang w:val="en-US"/>
        </w:rPr>
        <w:t xml:space="preserve"> approval is required, the case team should consult with DOJ during negotiations and obtain DOJ </w:t>
      </w:r>
      <w:r w:rsidR="00D740A0" w:rsidRPr="00C762F3">
        <w:rPr>
          <w:sz w:val="18"/>
          <w:szCs w:val="18"/>
          <w:lang w:val="en-US"/>
        </w:rPr>
        <w:t>concurrence</w:t>
      </w:r>
      <w:r w:rsidRPr="00C762F3">
        <w:rPr>
          <w:sz w:val="18"/>
          <w:szCs w:val="18"/>
          <w:lang w:val="en-US"/>
        </w:rPr>
        <w:t xml:space="preserve"> before publishing notice of the proposed </w:t>
      </w:r>
      <w:r w:rsidR="00D740A0" w:rsidRPr="00C762F3">
        <w:rPr>
          <w:sz w:val="18"/>
          <w:szCs w:val="18"/>
          <w:lang w:val="en-US"/>
        </w:rPr>
        <w:t xml:space="preserve">settlement </w:t>
      </w:r>
      <w:r w:rsidRPr="00C762F3">
        <w:rPr>
          <w:sz w:val="18"/>
          <w:szCs w:val="18"/>
          <w:lang w:val="en-US"/>
        </w:rPr>
        <w:t>in the Federal Register.</w:t>
      </w:r>
    </w:p>
  </w:footnote>
  <w:footnote w:id="47">
    <w:p w14:paraId="6AA02EC2" w14:textId="6593F6B1" w:rsidR="00FE103F" w:rsidRPr="00C762F3" w:rsidRDefault="00FE103F">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lang w:val="en-US"/>
        </w:rPr>
        <w:t>Optional. Include this Section if the Settlement includes a compromise of any response costs.</w:t>
      </w:r>
    </w:p>
  </w:footnote>
  <w:footnote w:id="48">
    <w:p w14:paraId="4074A4B1" w14:textId="647A5849" w:rsidR="004F5A97" w:rsidRPr="00C762F3" w:rsidRDefault="004F5A97">
      <w:pPr>
        <w:pStyle w:val="FootnoteText"/>
        <w:rPr>
          <w:sz w:val="18"/>
          <w:szCs w:val="18"/>
          <w:lang w:val="en-US"/>
        </w:rPr>
      </w:pPr>
      <w:r w:rsidRPr="00C762F3">
        <w:rPr>
          <w:rStyle w:val="FootnoteReference"/>
          <w:color w:val="auto"/>
          <w:sz w:val="18"/>
          <w:szCs w:val="18"/>
        </w:rPr>
        <w:footnoteRef/>
      </w:r>
      <w:r w:rsidRPr="00C762F3">
        <w:rPr>
          <w:sz w:val="18"/>
          <w:szCs w:val="18"/>
        </w:rPr>
        <w:t xml:space="preserve"> </w:t>
      </w:r>
      <w:r w:rsidRPr="00C762F3">
        <w:rPr>
          <w:sz w:val="18"/>
          <w:szCs w:val="18"/>
        </w:rPr>
        <w:t>I</w:t>
      </w:r>
      <w:r w:rsidRPr="00C762F3">
        <w:rPr>
          <w:sz w:val="18"/>
          <w:szCs w:val="18"/>
          <w:lang w:val="en-US"/>
        </w:rPr>
        <w:t>nclude this sentence if the Settlement includes a cost compromise.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23404"/>
    <w:multiLevelType w:val="multilevel"/>
    <w:tmpl w:val="540A7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E4925"/>
    <w:multiLevelType w:val="multilevel"/>
    <w:tmpl w:val="77E884C6"/>
    <w:styleLink w:val="ENRDLegal"/>
    <w:lvl w:ilvl="0">
      <w:start w:val="1"/>
      <w:numFmt w:val="decimal"/>
      <w:lvlText w:val="%1.0"/>
      <w:lvlJc w:val="left"/>
      <w:pPr>
        <w:ind w:left="720" w:hanging="720"/>
      </w:pPr>
      <w:rPr>
        <w:rFonts w:ascii="Times New Roman" w:hAnsi="Times New Roman"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4B95881"/>
    <w:multiLevelType w:val="hybridMultilevel"/>
    <w:tmpl w:val="F41A2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5E6B9E"/>
    <w:multiLevelType w:val="multilevel"/>
    <w:tmpl w:val="DF0A18E2"/>
    <w:lvl w:ilvl="0">
      <w:start w:val="1"/>
      <w:numFmt w:val="upperRoman"/>
      <w:pStyle w:val="Heading1"/>
      <w:lvlText w:val="%1."/>
      <w:lvlJc w:val="left"/>
      <w:pPr>
        <w:ind w:left="3240" w:firstLine="0"/>
      </w:pPr>
      <w:rPr>
        <w:rFonts w:hint="default"/>
      </w:rPr>
    </w:lvl>
    <w:lvl w:ilvl="1">
      <w:start w:val="1"/>
      <w:numFmt w:val="none"/>
      <w:lvlText w:val=""/>
      <w:lvlJc w:val="left"/>
      <w:pPr>
        <w:ind w:left="720" w:firstLine="0"/>
      </w:pPr>
      <w:rPr>
        <w:rFonts w:hint="default"/>
      </w:rPr>
    </w:lvl>
    <w:lvl w:ilvl="2">
      <w:start w:val="1"/>
      <w:numFmt w:val="none"/>
      <w:lvlText w:val=""/>
      <w:lvlJc w:val="left"/>
      <w:pPr>
        <w:ind w:left="1440" w:firstLine="0"/>
      </w:pPr>
      <w:rPr>
        <w:rFonts w:hint="default"/>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4" w15:restartNumberingAfterBreak="0">
    <w:nsid w:val="418F4BB4"/>
    <w:multiLevelType w:val="hybridMultilevel"/>
    <w:tmpl w:val="12AC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A4C3E"/>
    <w:multiLevelType w:val="multilevel"/>
    <w:tmpl w:val="87566738"/>
    <w:lvl w:ilvl="0">
      <w:start w:val="1"/>
      <w:numFmt w:val="decimal"/>
      <w:pStyle w:val="LVL1"/>
      <w:lvlText w:val="%1."/>
      <w:lvlJc w:val="left"/>
      <w:pPr>
        <w:tabs>
          <w:tab w:val="num" w:pos="1440"/>
        </w:tabs>
        <w:ind w:left="0" w:firstLine="720"/>
      </w:pPr>
      <w:rPr>
        <w:rFonts w:ascii="Aptos" w:hAnsi="Aptos" w:hint="default"/>
        <w:sz w:val="24"/>
      </w:rPr>
    </w:lvl>
    <w:lvl w:ilvl="1">
      <w:start w:val="1"/>
      <w:numFmt w:val="lowerLetter"/>
      <w:pStyle w:val="LVL2"/>
      <w:lvlText w:val="%2."/>
      <w:lvlJc w:val="left"/>
      <w:pPr>
        <w:tabs>
          <w:tab w:val="num" w:pos="2160"/>
        </w:tabs>
        <w:ind w:left="0" w:firstLine="1440"/>
      </w:pPr>
      <w:rPr>
        <w:rFonts w:hint="default"/>
        <w:b w:val="0"/>
      </w:rPr>
    </w:lvl>
    <w:lvl w:ilvl="2">
      <w:start w:val="1"/>
      <w:numFmt w:val="decimal"/>
      <w:pStyle w:val="LVL3"/>
      <w:lvlText w:val="(%3)"/>
      <w:lvlJc w:val="left"/>
      <w:pPr>
        <w:tabs>
          <w:tab w:val="num" w:pos="2880"/>
        </w:tabs>
        <w:ind w:left="2160" w:hanging="720"/>
      </w:pPr>
      <w:rPr>
        <w:rFonts w:hint="default"/>
      </w:rPr>
    </w:lvl>
    <w:lvl w:ilvl="3">
      <w:start w:val="1"/>
      <w:numFmt w:val="lowerRoman"/>
      <w:pStyle w:val="LVL4"/>
      <w:lvlText w:val="%4."/>
      <w:lvlJc w:val="left"/>
      <w:pPr>
        <w:tabs>
          <w:tab w:val="num" w:pos="3600"/>
        </w:tabs>
        <w:ind w:left="2880" w:hanging="720"/>
      </w:pPr>
      <w:rPr>
        <w:rFonts w:hint="default"/>
      </w:rPr>
    </w:lvl>
    <w:lvl w:ilvl="4">
      <w:start w:val="1"/>
      <w:numFmt w:val="none"/>
      <w:lvlText w:val=""/>
      <w:lvlJc w:val="left"/>
      <w:pPr>
        <w:ind w:left="4320" w:hanging="720"/>
      </w:pPr>
      <w:rPr>
        <w:rFonts w:hint="default"/>
      </w:rPr>
    </w:lvl>
    <w:lvl w:ilvl="5">
      <w:start w:val="1"/>
      <w:numFmt w:val="none"/>
      <w:lvlText w:val=""/>
      <w:lvlJc w:val="right"/>
      <w:pPr>
        <w:ind w:left="5040" w:hanging="720"/>
      </w:pPr>
      <w:rPr>
        <w:rFonts w:hint="default"/>
      </w:rPr>
    </w:lvl>
    <w:lvl w:ilvl="6">
      <w:start w:val="1"/>
      <w:numFmt w:val="none"/>
      <w:lvlText w:val=""/>
      <w:lvlJc w:val="left"/>
      <w:pPr>
        <w:ind w:left="5760" w:hanging="720"/>
      </w:pPr>
      <w:rPr>
        <w:rFonts w:hint="default"/>
      </w:rPr>
    </w:lvl>
    <w:lvl w:ilvl="7">
      <w:start w:val="1"/>
      <w:numFmt w:val="none"/>
      <w:lvlText w:val=""/>
      <w:lvlJc w:val="left"/>
      <w:pPr>
        <w:ind w:left="6480" w:hanging="720"/>
      </w:pPr>
      <w:rPr>
        <w:rFonts w:hint="default"/>
      </w:rPr>
    </w:lvl>
    <w:lvl w:ilvl="8">
      <w:start w:val="1"/>
      <w:numFmt w:val="none"/>
      <w:lvlText w:val=""/>
      <w:lvlJc w:val="right"/>
      <w:pPr>
        <w:ind w:left="7200" w:hanging="720"/>
      </w:pPr>
      <w:rPr>
        <w:rFonts w:hint="default"/>
      </w:rPr>
    </w:lvl>
  </w:abstractNum>
  <w:abstractNum w:abstractNumId="6" w15:restartNumberingAfterBreak="0">
    <w:nsid w:val="52AB42A8"/>
    <w:multiLevelType w:val="multilevel"/>
    <w:tmpl w:val="AA5E74DE"/>
    <w:lvl w:ilvl="0">
      <w:start w:val="1"/>
      <w:numFmt w:val="decimal"/>
      <w:lvlText w:val="%1."/>
      <w:lvlJc w:val="left"/>
      <w:pPr>
        <w:tabs>
          <w:tab w:val="num" w:pos="1440"/>
        </w:tabs>
        <w:ind w:left="0" w:firstLine="720"/>
      </w:pPr>
      <w:rPr>
        <w:rFonts w:hint="default"/>
        <w:b w:val="0"/>
      </w:rPr>
    </w:lvl>
    <w:lvl w:ilvl="1">
      <w:start w:val="1"/>
      <w:numFmt w:val="lowerLetter"/>
      <w:lvlText w:val="%2."/>
      <w:lvlJc w:val="left"/>
      <w:pPr>
        <w:tabs>
          <w:tab w:val="num" w:pos="2160"/>
        </w:tabs>
        <w:ind w:left="0" w:firstLine="1440"/>
      </w:pPr>
      <w:rPr>
        <w:rFonts w:hint="default"/>
        <w:b w:val="0"/>
      </w:rPr>
    </w:lvl>
    <w:lvl w:ilvl="2">
      <w:start w:val="1"/>
      <w:numFmt w:val="decimal"/>
      <w:lvlText w:val="(%3)"/>
      <w:lvlJc w:val="left"/>
      <w:pPr>
        <w:tabs>
          <w:tab w:val="num" w:pos="2790"/>
        </w:tabs>
        <w:ind w:left="1350" w:firstLine="720"/>
      </w:pPr>
      <w:rPr>
        <w:rFonts w:hint="default"/>
        <w:b w:val="0"/>
      </w:rPr>
    </w:lvl>
    <w:lvl w:ilvl="3">
      <w:start w:val="1"/>
      <w:numFmt w:val="lowerRoman"/>
      <w:lvlText w:val="%4."/>
      <w:lvlJc w:val="left"/>
      <w:pPr>
        <w:tabs>
          <w:tab w:val="num" w:pos="3600"/>
        </w:tabs>
        <w:ind w:left="3600" w:hanging="72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7" w15:restartNumberingAfterBreak="0">
    <w:nsid w:val="55376686"/>
    <w:multiLevelType w:val="multilevel"/>
    <w:tmpl w:val="241CCF06"/>
    <w:lvl w:ilvl="0">
      <w:start w:val="1"/>
      <w:numFmt w:val="lowerRoman"/>
      <w:pStyle w:val="List3"/>
      <w:lvlText w:val="%1."/>
      <w:lvlJc w:val="left"/>
      <w:pPr>
        <w:tabs>
          <w:tab w:val="num" w:pos="1080"/>
        </w:tabs>
        <w:ind w:left="1080" w:firstLine="720"/>
      </w:pPr>
      <w:rPr>
        <w:rFonts w:hint="default"/>
      </w:rPr>
    </w:lvl>
    <w:lvl w:ilvl="1">
      <w:start w:val="1"/>
      <w:numFmt w:val="lowerLetter"/>
      <w:lvlText w:val="%2."/>
      <w:lvlJc w:val="left"/>
      <w:pPr>
        <w:tabs>
          <w:tab w:val="num" w:pos="2520"/>
        </w:tabs>
        <w:ind w:left="720" w:firstLine="1440"/>
      </w:pPr>
      <w:rPr>
        <w:rFonts w:hint="default"/>
      </w:rPr>
    </w:lvl>
    <w:lvl w:ilvl="2">
      <w:start w:val="1"/>
      <w:numFmt w:val="lowerLetter"/>
      <w:lvlText w:val="%3."/>
      <w:lvlJc w:val="left"/>
      <w:pPr>
        <w:tabs>
          <w:tab w:val="num" w:pos="1080"/>
        </w:tabs>
        <w:ind w:left="1080" w:firstLine="144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040"/>
        </w:tabs>
        <w:ind w:left="5040" w:hanging="360"/>
      </w:pPr>
      <w:rPr>
        <w:rFonts w:hint="default"/>
      </w:rPr>
    </w:lvl>
  </w:abstractNum>
  <w:abstractNum w:abstractNumId="8" w15:restartNumberingAfterBreak="0">
    <w:nsid w:val="58CE14CB"/>
    <w:multiLevelType w:val="multilevel"/>
    <w:tmpl w:val="26225ECC"/>
    <w:styleLink w:val="ENRDCD3"/>
    <w:lvl w:ilvl="0">
      <w:start w:val="1"/>
      <w:numFmt w:val="decimal"/>
      <w:lvlText w:val="%1."/>
      <w:lvlJc w:val="left"/>
      <w:pPr>
        <w:ind w:left="1440" w:hanging="720"/>
      </w:pPr>
      <w:rPr>
        <w:rFonts w:ascii="Times New Roman" w:hAnsi="Times New Roman" w:hint="default"/>
        <w:sz w:val="24"/>
      </w:rPr>
    </w:lvl>
    <w:lvl w:ilvl="1">
      <w:start w:val="1"/>
      <w:numFmt w:val="lowerLetter"/>
      <w:lvlText w:val="%2."/>
      <w:lvlJc w:val="left"/>
      <w:pPr>
        <w:ind w:left="2160" w:hanging="720"/>
      </w:pPr>
      <w:rPr>
        <w:rFonts w:hint="default"/>
      </w:rPr>
    </w:lvl>
    <w:lvl w:ilvl="2">
      <w:start w:val="1"/>
      <w:numFmt w:val="decimal"/>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Letter"/>
      <w:lvlText w:val="%6)"/>
      <w:lvlJc w:val="right"/>
      <w:pPr>
        <w:ind w:left="5040" w:hanging="720"/>
      </w:pPr>
      <w:rPr>
        <w:rFonts w:hint="default"/>
      </w:rPr>
    </w:lvl>
    <w:lvl w:ilvl="6">
      <w:start w:val="1"/>
      <w:numFmt w:val="lowerRoman"/>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Letter"/>
      <w:lvlText w:val="%9"/>
      <w:lvlJc w:val="right"/>
      <w:pPr>
        <w:ind w:left="7200" w:hanging="720"/>
      </w:pPr>
      <w:rPr>
        <w:rFonts w:hint="default"/>
      </w:rPr>
    </w:lvl>
  </w:abstractNum>
  <w:abstractNum w:abstractNumId="9" w15:restartNumberingAfterBreak="0">
    <w:nsid w:val="5C294902"/>
    <w:multiLevelType w:val="multilevel"/>
    <w:tmpl w:val="6C5C6232"/>
    <w:lvl w:ilvl="0">
      <w:start w:val="1"/>
      <w:numFmt w:val="decimal"/>
      <w:lvlText w:val="%1."/>
      <w:lvlJc w:val="left"/>
      <w:pPr>
        <w:ind w:left="0" w:firstLine="720"/>
      </w:pPr>
      <w:rPr>
        <w:rFonts w:ascii="Times New Roman" w:hAnsi="Times New Roman" w:hint="default"/>
        <w:b w:val="0"/>
        <w:sz w:val="24"/>
      </w:rPr>
    </w:lvl>
    <w:lvl w:ilvl="1">
      <w:start w:val="1"/>
      <w:numFmt w:val="lowerLetter"/>
      <w:lvlText w:val="%2."/>
      <w:lvlJc w:val="left"/>
      <w:pPr>
        <w:ind w:left="0" w:firstLine="1440"/>
      </w:pPr>
      <w:rPr>
        <w:rFonts w:hint="default"/>
      </w:rPr>
    </w:lvl>
    <w:lvl w:ilvl="2">
      <w:start w:val="1"/>
      <w:numFmt w:val="decimal"/>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none"/>
      <w:lvlText w:val=""/>
      <w:lvlJc w:val="left"/>
      <w:pPr>
        <w:tabs>
          <w:tab w:val="num" w:pos="3672"/>
        </w:tabs>
        <w:ind w:left="4320" w:hanging="720"/>
      </w:pPr>
      <w:rPr>
        <w:rFonts w:hint="default"/>
      </w:rPr>
    </w:lvl>
    <w:lvl w:ilvl="5">
      <w:start w:val="1"/>
      <w:numFmt w:val="none"/>
      <w:lvlText w:val=""/>
      <w:lvlJc w:val="right"/>
      <w:pPr>
        <w:ind w:left="3600" w:hanging="720"/>
      </w:pPr>
      <w:rPr>
        <w:rFonts w:hint="default"/>
      </w:rPr>
    </w:lvl>
    <w:lvl w:ilvl="6">
      <w:start w:val="1"/>
      <w:numFmt w:val="none"/>
      <w:lvlText w:val=""/>
      <w:lvlJc w:val="left"/>
      <w:pPr>
        <w:ind w:left="4320" w:hanging="720"/>
      </w:pPr>
      <w:rPr>
        <w:rFonts w:hint="default"/>
      </w:rPr>
    </w:lvl>
    <w:lvl w:ilvl="7">
      <w:start w:val="1"/>
      <w:numFmt w:val="none"/>
      <w:lvlText w:val=""/>
      <w:lvlJc w:val="left"/>
      <w:pPr>
        <w:ind w:left="5040" w:hanging="720"/>
      </w:pPr>
      <w:rPr>
        <w:rFonts w:hint="default"/>
      </w:rPr>
    </w:lvl>
    <w:lvl w:ilvl="8">
      <w:start w:val="1"/>
      <w:numFmt w:val="none"/>
      <w:lvlText w:val=""/>
      <w:lvlJc w:val="right"/>
      <w:pPr>
        <w:ind w:left="5760" w:hanging="720"/>
      </w:pPr>
      <w:rPr>
        <w:rFonts w:hint="default"/>
      </w:rPr>
    </w:lvl>
  </w:abstractNum>
  <w:abstractNum w:abstractNumId="10" w15:restartNumberingAfterBreak="0">
    <w:nsid w:val="5C503FDF"/>
    <w:multiLevelType w:val="multilevel"/>
    <w:tmpl w:val="6D525264"/>
    <w:lvl w:ilvl="0">
      <w:start w:val="1"/>
      <w:numFmt w:val="upperRoman"/>
      <w:pStyle w:val="aList3"/>
      <w:lvlText w:val="%1."/>
      <w:lvlJc w:val="left"/>
      <w:pPr>
        <w:tabs>
          <w:tab w:val="num" w:pos="1440"/>
        </w:tabs>
        <w:ind w:left="1080" w:firstLine="0"/>
      </w:pPr>
      <w:rPr>
        <w:rFonts w:hint="default"/>
      </w:rPr>
    </w:lvl>
    <w:lvl w:ilvl="1">
      <w:start w:val="1"/>
      <w:numFmt w:val="upperLetter"/>
      <w:lvlText w:val="%2."/>
      <w:lvlJc w:val="left"/>
      <w:pPr>
        <w:tabs>
          <w:tab w:val="num" w:pos="2160"/>
        </w:tabs>
        <w:ind w:left="1800" w:firstLine="0"/>
      </w:pPr>
      <w:rPr>
        <w:rFonts w:hint="default"/>
      </w:rPr>
    </w:lvl>
    <w:lvl w:ilvl="2">
      <w:start w:val="1"/>
      <w:numFmt w:val="decimal"/>
      <w:pStyle w:val="aList3"/>
      <w:lvlText w:val="(%3)"/>
      <w:lvlJc w:val="left"/>
      <w:pPr>
        <w:tabs>
          <w:tab w:val="num" w:pos="2880"/>
        </w:tabs>
        <w:ind w:left="2520" w:firstLine="0"/>
      </w:pPr>
      <w:rPr>
        <w:rFonts w:hint="default"/>
      </w:rPr>
    </w:lvl>
    <w:lvl w:ilvl="3">
      <w:start w:val="1"/>
      <w:numFmt w:val="lowerLetter"/>
      <w:lvlText w:val="%4)"/>
      <w:lvlJc w:val="left"/>
      <w:pPr>
        <w:tabs>
          <w:tab w:val="num" w:pos="3600"/>
        </w:tabs>
        <w:ind w:left="3240" w:firstLine="0"/>
      </w:pPr>
      <w:rPr>
        <w:rFonts w:hint="default"/>
      </w:rPr>
    </w:lvl>
    <w:lvl w:ilvl="4">
      <w:start w:val="1"/>
      <w:numFmt w:val="decimal"/>
      <w:lvlText w:val="(%5)"/>
      <w:lvlJc w:val="left"/>
      <w:pPr>
        <w:tabs>
          <w:tab w:val="num" w:pos="432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1" w15:restartNumberingAfterBreak="0">
    <w:nsid w:val="69617F72"/>
    <w:multiLevelType w:val="multilevel"/>
    <w:tmpl w:val="20F8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06289D"/>
    <w:multiLevelType w:val="multilevel"/>
    <w:tmpl w:val="6E24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5671A6"/>
    <w:multiLevelType w:val="multilevel"/>
    <w:tmpl w:val="6ACC8F9A"/>
    <w:styleLink w:val="ENRDRoman"/>
    <w:lvl w:ilvl="0">
      <w:start w:val="1"/>
      <w:numFmt w:val="upperRoman"/>
      <w:lvlText w:val="%1."/>
      <w:lvlJc w:val="right"/>
      <w:pPr>
        <w:ind w:left="720" w:hanging="720"/>
      </w:pPr>
      <w:rPr>
        <w:rFonts w:ascii="Times New Roman" w:hAnsi="Times New Roman" w:hint="default"/>
      </w:rPr>
    </w:lvl>
    <w:lvl w:ilvl="1">
      <w:start w:val="1"/>
      <w:numFmt w:val="upperLetter"/>
      <w:lvlText w:val="%2."/>
      <w:lvlJc w:val="left"/>
      <w:pPr>
        <w:ind w:left="1440" w:hanging="720"/>
      </w:pPr>
      <w:rPr>
        <w:rFonts w:hint="default"/>
      </w:rPr>
    </w:lvl>
    <w:lvl w:ilvl="2">
      <w:start w:val="1"/>
      <w:numFmt w:val="decimal"/>
      <w:lvlText w:val="%3."/>
      <w:lvlJc w:val="righ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right"/>
      <w:pPr>
        <w:ind w:left="6480" w:hanging="720"/>
      </w:pPr>
      <w:rPr>
        <w:rFonts w:hint="default"/>
      </w:rPr>
    </w:lvl>
  </w:abstractNum>
  <w:num w:numId="1" w16cid:durableId="863715766">
    <w:abstractNumId w:val="8"/>
  </w:num>
  <w:num w:numId="2" w16cid:durableId="223687824">
    <w:abstractNumId w:val="13"/>
  </w:num>
  <w:num w:numId="3" w16cid:durableId="622422669">
    <w:abstractNumId w:val="1"/>
  </w:num>
  <w:num w:numId="4" w16cid:durableId="1849826996">
    <w:abstractNumId w:val="3"/>
  </w:num>
  <w:num w:numId="5" w16cid:durableId="1055591">
    <w:abstractNumId w:val="10"/>
  </w:num>
  <w:num w:numId="6" w16cid:durableId="1579363851">
    <w:abstractNumId w:val="5"/>
  </w:num>
  <w:num w:numId="7" w16cid:durableId="1863739342">
    <w:abstractNumId w:val="6"/>
  </w:num>
  <w:num w:numId="8" w16cid:durableId="162257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74957">
    <w:abstractNumId w:val="5"/>
  </w:num>
  <w:num w:numId="10" w16cid:durableId="1401438099">
    <w:abstractNumId w:val="5"/>
  </w:num>
  <w:num w:numId="11" w16cid:durableId="1727794659">
    <w:abstractNumId w:val="5"/>
  </w:num>
  <w:num w:numId="12" w16cid:durableId="1429425913">
    <w:abstractNumId w:val="5"/>
  </w:num>
  <w:num w:numId="13" w16cid:durableId="791051167">
    <w:abstractNumId w:val="7"/>
  </w:num>
  <w:num w:numId="14" w16cid:durableId="652022784">
    <w:abstractNumId w:val="9"/>
  </w:num>
  <w:num w:numId="15" w16cid:durableId="487402071">
    <w:abstractNumId w:val="2"/>
  </w:num>
  <w:num w:numId="16" w16cid:durableId="1131631845">
    <w:abstractNumId w:val="4"/>
  </w:num>
  <w:num w:numId="17" w16cid:durableId="712198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462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4787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668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3846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208489">
    <w:abstractNumId w:val="11"/>
    <w:lvlOverride w:ilvl="0">
      <w:lvl w:ilvl="0">
        <w:numFmt w:val="lowerLetter"/>
        <w:lvlText w:val="%1."/>
        <w:lvlJc w:val="left"/>
      </w:lvl>
    </w:lvlOverride>
  </w:num>
  <w:num w:numId="23" w16cid:durableId="747191030">
    <w:abstractNumId w:val="12"/>
  </w:num>
  <w:num w:numId="24" w16cid:durableId="1135215694">
    <w:abstractNumId w:val="0"/>
    <w:lvlOverride w:ilvl="0">
      <w:lvl w:ilvl="0">
        <w:numFmt w:val="lowerLetter"/>
        <w:lvlText w:val="%1."/>
        <w:lvlJc w:val="left"/>
      </w:lvl>
    </w:lvlOverride>
  </w:num>
  <w:num w:numId="25" w16cid:durableId="94011436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BC"/>
    <w:rsid w:val="0000023C"/>
    <w:rsid w:val="000003B3"/>
    <w:rsid w:val="00000E7A"/>
    <w:rsid w:val="00001133"/>
    <w:rsid w:val="00003184"/>
    <w:rsid w:val="00003199"/>
    <w:rsid w:val="00003CDB"/>
    <w:rsid w:val="00004BF0"/>
    <w:rsid w:val="00004CA8"/>
    <w:rsid w:val="000054E5"/>
    <w:rsid w:val="00005638"/>
    <w:rsid w:val="000056E3"/>
    <w:rsid w:val="0000579B"/>
    <w:rsid w:val="00005DF6"/>
    <w:rsid w:val="00006BAC"/>
    <w:rsid w:val="000105B3"/>
    <w:rsid w:val="000110E1"/>
    <w:rsid w:val="000119C2"/>
    <w:rsid w:val="00011A86"/>
    <w:rsid w:val="00011EC2"/>
    <w:rsid w:val="00012776"/>
    <w:rsid w:val="00012794"/>
    <w:rsid w:val="00012833"/>
    <w:rsid w:val="00012D3D"/>
    <w:rsid w:val="00013520"/>
    <w:rsid w:val="00013812"/>
    <w:rsid w:val="00013CDF"/>
    <w:rsid w:val="0001429A"/>
    <w:rsid w:val="000148F5"/>
    <w:rsid w:val="00014AEE"/>
    <w:rsid w:val="00015B66"/>
    <w:rsid w:val="00015E1F"/>
    <w:rsid w:val="00016349"/>
    <w:rsid w:val="00016968"/>
    <w:rsid w:val="00016A0D"/>
    <w:rsid w:val="00017601"/>
    <w:rsid w:val="00017A53"/>
    <w:rsid w:val="0002003C"/>
    <w:rsid w:val="0002104E"/>
    <w:rsid w:val="00021ED4"/>
    <w:rsid w:val="00022A09"/>
    <w:rsid w:val="00023196"/>
    <w:rsid w:val="00023BEC"/>
    <w:rsid w:val="000250FB"/>
    <w:rsid w:val="0002552D"/>
    <w:rsid w:val="00026638"/>
    <w:rsid w:val="00026D3D"/>
    <w:rsid w:val="00026D66"/>
    <w:rsid w:val="0002702F"/>
    <w:rsid w:val="0002723B"/>
    <w:rsid w:val="000274D2"/>
    <w:rsid w:val="000275DB"/>
    <w:rsid w:val="00027E56"/>
    <w:rsid w:val="00027F8E"/>
    <w:rsid w:val="00030365"/>
    <w:rsid w:val="000308E1"/>
    <w:rsid w:val="00031291"/>
    <w:rsid w:val="000317DC"/>
    <w:rsid w:val="00031A9D"/>
    <w:rsid w:val="00031E57"/>
    <w:rsid w:val="000320F6"/>
    <w:rsid w:val="000321E4"/>
    <w:rsid w:val="0003252F"/>
    <w:rsid w:val="00032FE4"/>
    <w:rsid w:val="0003398F"/>
    <w:rsid w:val="00033D55"/>
    <w:rsid w:val="0003440B"/>
    <w:rsid w:val="000346F6"/>
    <w:rsid w:val="00034A12"/>
    <w:rsid w:val="00035B6C"/>
    <w:rsid w:val="000360AE"/>
    <w:rsid w:val="000360DC"/>
    <w:rsid w:val="0003636D"/>
    <w:rsid w:val="000379DF"/>
    <w:rsid w:val="000405E1"/>
    <w:rsid w:val="00040BB0"/>
    <w:rsid w:val="00041048"/>
    <w:rsid w:val="0004189F"/>
    <w:rsid w:val="00041BDF"/>
    <w:rsid w:val="0004279E"/>
    <w:rsid w:val="00042CDD"/>
    <w:rsid w:val="00043519"/>
    <w:rsid w:val="00043977"/>
    <w:rsid w:val="00043CC4"/>
    <w:rsid w:val="00044BA1"/>
    <w:rsid w:val="0004506F"/>
    <w:rsid w:val="0004570F"/>
    <w:rsid w:val="00045AD0"/>
    <w:rsid w:val="000464A5"/>
    <w:rsid w:val="00046C8E"/>
    <w:rsid w:val="000472D9"/>
    <w:rsid w:val="0004747D"/>
    <w:rsid w:val="00047C7E"/>
    <w:rsid w:val="000507EF"/>
    <w:rsid w:val="000516CB"/>
    <w:rsid w:val="00051FEE"/>
    <w:rsid w:val="00052A75"/>
    <w:rsid w:val="000536AD"/>
    <w:rsid w:val="00053764"/>
    <w:rsid w:val="00054085"/>
    <w:rsid w:val="0005424A"/>
    <w:rsid w:val="0005470E"/>
    <w:rsid w:val="00055296"/>
    <w:rsid w:val="00056DB0"/>
    <w:rsid w:val="0005755D"/>
    <w:rsid w:val="00057D04"/>
    <w:rsid w:val="00057EF8"/>
    <w:rsid w:val="00060216"/>
    <w:rsid w:val="00060A62"/>
    <w:rsid w:val="0006138D"/>
    <w:rsid w:val="00061A75"/>
    <w:rsid w:val="00061F41"/>
    <w:rsid w:val="000623D3"/>
    <w:rsid w:val="00062595"/>
    <w:rsid w:val="0006269B"/>
    <w:rsid w:val="000648D9"/>
    <w:rsid w:val="00064951"/>
    <w:rsid w:val="000650FC"/>
    <w:rsid w:val="00065CB6"/>
    <w:rsid w:val="0006650B"/>
    <w:rsid w:val="000669E0"/>
    <w:rsid w:val="00066E7F"/>
    <w:rsid w:val="000700A5"/>
    <w:rsid w:val="0007120E"/>
    <w:rsid w:val="00071398"/>
    <w:rsid w:val="000715CC"/>
    <w:rsid w:val="00071E46"/>
    <w:rsid w:val="0007246F"/>
    <w:rsid w:val="0007288D"/>
    <w:rsid w:val="00073B0D"/>
    <w:rsid w:val="00073C84"/>
    <w:rsid w:val="00074768"/>
    <w:rsid w:val="0007618F"/>
    <w:rsid w:val="00080759"/>
    <w:rsid w:val="000808D6"/>
    <w:rsid w:val="000808F1"/>
    <w:rsid w:val="00080F42"/>
    <w:rsid w:val="000811EB"/>
    <w:rsid w:val="00081B95"/>
    <w:rsid w:val="00081CD5"/>
    <w:rsid w:val="000820D8"/>
    <w:rsid w:val="00082F2B"/>
    <w:rsid w:val="00083D7E"/>
    <w:rsid w:val="00084BF7"/>
    <w:rsid w:val="00084FEC"/>
    <w:rsid w:val="00085300"/>
    <w:rsid w:val="00086142"/>
    <w:rsid w:val="000865F2"/>
    <w:rsid w:val="00086C00"/>
    <w:rsid w:val="000870E9"/>
    <w:rsid w:val="000870FE"/>
    <w:rsid w:val="000874B7"/>
    <w:rsid w:val="000875FB"/>
    <w:rsid w:val="000912C0"/>
    <w:rsid w:val="000912C4"/>
    <w:rsid w:val="00091DDE"/>
    <w:rsid w:val="00091F07"/>
    <w:rsid w:val="00093413"/>
    <w:rsid w:val="00093E2F"/>
    <w:rsid w:val="00094056"/>
    <w:rsid w:val="000941CA"/>
    <w:rsid w:val="000945CC"/>
    <w:rsid w:val="00094648"/>
    <w:rsid w:val="000949CE"/>
    <w:rsid w:val="000954EE"/>
    <w:rsid w:val="00095710"/>
    <w:rsid w:val="000957FC"/>
    <w:rsid w:val="00095BB2"/>
    <w:rsid w:val="00095BBC"/>
    <w:rsid w:val="00095EB2"/>
    <w:rsid w:val="00096BB7"/>
    <w:rsid w:val="00097190"/>
    <w:rsid w:val="000A0532"/>
    <w:rsid w:val="000A0E92"/>
    <w:rsid w:val="000A207F"/>
    <w:rsid w:val="000A3AA5"/>
    <w:rsid w:val="000A4518"/>
    <w:rsid w:val="000A4B80"/>
    <w:rsid w:val="000A5BA1"/>
    <w:rsid w:val="000A6065"/>
    <w:rsid w:val="000A6824"/>
    <w:rsid w:val="000A7C7D"/>
    <w:rsid w:val="000A7CA5"/>
    <w:rsid w:val="000B0165"/>
    <w:rsid w:val="000B05A8"/>
    <w:rsid w:val="000B09BC"/>
    <w:rsid w:val="000B185C"/>
    <w:rsid w:val="000B2C28"/>
    <w:rsid w:val="000B42FB"/>
    <w:rsid w:val="000B4BBD"/>
    <w:rsid w:val="000B4C07"/>
    <w:rsid w:val="000B584F"/>
    <w:rsid w:val="000B5D7A"/>
    <w:rsid w:val="000B5DE4"/>
    <w:rsid w:val="000B5F5A"/>
    <w:rsid w:val="000B61CA"/>
    <w:rsid w:val="000B62EE"/>
    <w:rsid w:val="000B6FD4"/>
    <w:rsid w:val="000B7241"/>
    <w:rsid w:val="000B74F0"/>
    <w:rsid w:val="000B7CEF"/>
    <w:rsid w:val="000B7F44"/>
    <w:rsid w:val="000B7F51"/>
    <w:rsid w:val="000C0190"/>
    <w:rsid w:val="000C0381"/>
    <w:rsid w:val="000C05FA"/>
    <w:rsid w:val="000C0B4C"/>
    <w:rsid w:val="000C1B32"/>
    <w:rsid w:val="000C320F"/>
    <w:rsid w:val="000C37CB"/>
    <w:rsid w:val="000C3C6A"/>
    <w:rsid w:val="000C4541"/>
    <w:rsid w:val="000C5A27"/>
    <w:rsid w:val="000C5A3E"/>
    <w:rsid w:val="000C5CFC"/>
    <w:rsid w:val="000C7553"/>
    <w:rsid w:val="000C79F0"/>
    <w:rsid w:val="000C7ADE"/>
    <w:rsid w:val="000D0551"/>
    <w:rsid w:val="000D0578"/>
    <w:rsid w:val="000D0EA7"/>
    <w:rsid w:val="000D19C3"/>
    <w:rsid w:val="000D2365"/>
    <w:rsid w:val="000D25F2"/>
    <w:rsid w:val="000D2654"/>
    <w:rsid w:val="000D2F62"/>
    <w:rsid w:val="000D30E7"/>
    <w:rsid w:val="000D34A1"/>
    <w:rsid w:val="000D381D"/>
    <w:rsid w:val="000D3AFF"/>
    <w:rsid w:val="000D4752"/>
    <w:rsid w:val="000D4EAF"/>
    <w:rsid w:val="000D564E"/>
    <w:rsid w:val="000D66A4"/>
    <w:rsid w:val="000D6C1A"/>
    <w:rsid w:val="000D6E37"/>
    <w:rsid w:val="000D72BA"/>
    <w:rsid w:val="000D7ADE"/>
    <w:rsid w:val="000D7D40"/>
    <w:rsid w:val="000E02C1"/>
    <w:rsid w:val="000E04BD"/>
    <w:rsid w:val="000E09AA"/>
    <w:rsid w:val="000E117D"/>
    <w:rsid w:val="000E1BAE"/>
    <w:rsid w:val="000E1CAA"/>
    <w:rsid w:val="000E24F0"/>
    <w:rsid w:val="000E2950"/>
    <w:rsid w:val="000E2BB1"/>
    <w:rsid w:val="000E2F19"/>
    <w:rsid w:val="000E2FDB"/>
    <w:rsid w:val="000E33BA"/>
    <w:rsid w:val="000E3421"/>
    <w:rsid w:val="000E34CE"/>
    <w:rsid w:val="000E398D"/>
    <w:rsid w:val="000E39DF"/>
    <w:rsid w:val="000E434C"/>
    <w:rsid w:val="000E53AD"/>
    <w:rsid w:val="000E57AC"/>
    <w:rsid w:val="000E5AFA"/>
    <w:rsid w:val="000E5DD8"/>
    <w:rsid w:val="000E615C"/>
    <w:rsid w:val="000E6665"/>
    <w:rsid w:val="000E6AB9"/>
    <w:rsid w:val="000E6C7D"/>
    <w:rsid w:val="000E6CD3"/>
    <w:rsid w:val="000E7459"/>
    <w:rsid w:val="000E77B9"/>
    <w:rsid w:val="000E7EA2"/>
    <w:rsid w:val="000F0383"/>
    <w:rsid w:val="000F0EC9"/>
    <w:rsid w:val="000F19AA"/>
    <w:rsid w:val="000F1AB1"/>
    <w:rsid w:val="000F1B09"/>
    <w:rsid w:val="000F2BAA"/>
    <w:rsid w:val="000F30A9"/>
    <w:rsid w:val="000F3F15"/>
    <w:rsid w:val="000F4B8E"/>
    <w:rsid w:val="000F4C05"/>
    <w:rsid w:val="000F5ADB"/>
    <w:rsid w:val="000F64A1"/>
    <w:rsid w:val="000F6590"/>
    <w:rsid w:val="000F77C2"/>
    <w:rsid w:val="00100126"/>
    <w:rsid w:val="00100327"/>
    <w:rsid w:val="00100C4B"/>
    <w:rsid w:val="0010111C"/>
    <w:rsid w:val="001011A9"/>
    <w:rsid w:val="0010123C"/>
    <w:rsid w:val="0010171B"/>
    <w:rsid w:val="00101FA9"/>
    <w:rsid w:val="00102157"/>
    <w:rsid w:val="001033B3"/>
    <w:rsid w:val="0010393A"/>
    <w:rsid w:val="001048F0"/>
    <w:rsid w:val="00104B97"/>
    <w:rsid w:val="00104EF0"/>
    <w:rsid w:val="00105988"/>
    <w:rsid w:val="00105D42"/>
    <w:rsid w:val="00106041"/>
    <w:rsid w:val="001062A5"/>
    <w:rsid w:val="0010645A"/>
    <w:rsid w:val="00106EAF"/>
    <w:rsid w:val="001075A7"/>
    <w:rsid w:val="00107AC9"/>
    <w:rsid w:val="00110079"/>
    <w:rsid w:val="00110B57"/>
    <w:rsid w:val="001112C4"/>
    <w:rsid w:val="0011167D"/>
    <w:rsid w:val="0011193E"/>
    <w:rsid w:val="0011214F"/>
    <w:rsid w:val="001126A0"/>
    <w:rsid w:val="00113FD1"/>
    <w:rsid w:val="00114737"/>
    <w:rsid w:val="001151C7"/>
    <w:rsid w:val="00115402"/>
    <w:rsid w:val="001154BB"/>
    <w:rsid w:val="00116448"/>
    <w:rsid w:val="001164A6"/>
    <w:rsid w:val="0011676B"/>
    <w:rsid w:val="00116D92"/>
    <w:rsid w:val="00117100"/>
    <w:rsid w:val="00117BCD"/>
    <w:rsid w:val="00117CB6"/>
    <w:rsid w:val="00120495"/>
    <w:rsid w:val="00120620"/>
    <w:rsid w:val="0012067E"/>
    <w:rsid w:val="00120A97"/>
    <w:rsid w:val="001217D4"/>
    <w:rsid w:val="00121BD4"/>
    <w:rsid w:val="00121F1C"/>
    <w:rsid w:val="001220F5"/>
    <w:rsid w:val="00122415"/>
    <w:rsid w:val="00122680"/>
    <w:rsid w:val="0012297B"/>
    <w:rsid w:val="00122F93"/>
    <w:rsid w:val="0012461D"/>
    <w:rsid w:val="001246AC"/>
    <w:rsid w:val="00124C34"/>
    <w:rsid w:val="00124FEF"/>
    <w:rsid w:val="001252F7"/>
    <w:rsid w:val="00126462"/>
    <w:rsid w:val="00126D89"/>
    <w:rsid w:val="001273FF"/>
    <w:rsid w:val="00127945"/>
    <w:rsid w:val="00127AF7"/>
    <w:rsid w:val="00127B48"/>
    <w:rsid w:val="001300D8"/>
    <w:rsid w:val="0013012C"/>
    <w:rsid w:val="001301BC"/>
    <w:rsid w:val="001309D1"/>
    <w:rsid w:val="001313F5"/>
    <w:rsid w:val="001313FB"/>
    <w:rsid w:val="001316EE"/>
    <w:rsid w:val="00131D95"/>
    <w:rsid w:val="00132033"/>
    <w:rsid w:val="00132623"/>
    <w:rsid w:val="00132798"/>
    <w:rsid w:val="001328C8"/>
    <w:rsid w:val="00132C13"/>
    <w:rsid w:val="001336D3"/>
    <w:rsid w:val="00133B33"/>
    <w:rsid w:val="00134528"/>
    <w:rsid w:val="00134FCA"/>
    <w:rsid w:val="0013532A"/>
    <w:rsid w:val="0013569E"/>
    <w:rsid w:val="00135760"/>
    <w:rsid w:val="00135AF7"/>
    <w:rsid w:val="00135CAE"/>
    <w:rsid w:val="001365DB"/>
    <w:rsid w:val="001368AF"/>
    <w:rsid w:val="001369E8"/>
    <w:rsid w:val="00136E1D"/>
    <w:rsid w:val="00136F2E"/>
    <w:rsid w:val="0013715D"/>
    <w:rsid w:val="00137187"/>
    <w:rsid w:val="00137550"/>
    <w:rsid w:val="00137A44"/>
    <w:rsid w:val="00137DB3"/>
    <w:rsid w:val="00140B7D"/>
    <w:rsid w:val="00140E01"/>
    <w:rsid w:val="001415F5"/>
    <w:rsid w:val="00141BAE"/>
    <w:rsid w:val="00141FA2"/>
    <w:rsid w:val="00142131"/>
    <w:rsid w:val="00143123"/>
    <w:rsid w:val="00143BB5"/>
    <w:rsid w:val="0014406A"/>
    <w:rsid w:val="001440DF"/>
    <w:rsid w:val="00144437"/>
    <w:rsid w:val="00144A75"/>
    <w:rsid w:val="00145103"/>
    <w:rsid w:val="00145752"/>
    <w:rsid w:val="00145818"/>
    <w:rsid w:val="00146193"/>
    <w:rsid w:val="001464DB"/>
    <w:rsid w:val="00146598"/>
    <w:rsid w:val="001466DF"/>
    <w:rsid w:val="001468CD"/>
    <w:rsid w:val="00146A93"/>
    <w:rsid w:val="00146AA0"/>
    <w:rsid w:val="00146D26"/>
    <w:rsid w:val="00147EC0"/>
    <w:rsid w:val="00147F27"/>
    <w:rsid w:val="001503FB"/>
    <w:rsid w:val="00150997"/>
    <w:rsid w:val="001509D7"/>
    <w:rsid w:val="00150B8F"/>
    <w:rsid w:val="001510E0"/>
    <w:rsid w:val="00151431"/>
    <w:rsid w:val="00151720"/>
    <w:rsid w:val="00151832"/>
    <w:rsid w:val="00151CBD"/>
    <w:rsid w:val="00151CCE"/>
    <w:rsid w:val="001529A1"/>
    <w:rsid w:val="00153230"/>
    <w:rsid w:val="00153854"/>
    <w:rsid w:val="00153C7D"/>
    <w:rsid w:val="00153FEF"/>
    <w:rsid w:val="001540CE"/>
    <w:rsid w:val="0015531D"/>
    <w:rsid w:val="001553E6"/>
    <w:rsid w:val="00155865"/>
    <w:rsid w:val="00155ADC"/>
    <w:rsid w:val="00155F1B"/>
    <w:rsid w:val="00155FEE"/>
    <w:rsid w:val="00156302"/>
    <w:rsid w:val="00156CFF"/>
    <w:rsid w:val="00157A61"/>
    <w:rsid w:val="00160321"/>
    <w:rsid w:val="00160931"/>
    <w:rsid w:val="00161B7D"/>
    <w:rsid w:val="00161CF3"/>
    <w:rsid w:val="00162AE3"/>
    <w:rsid w:val="00162FC3"/>
    <w:rsid w:val="001632F2"/>
    <w:rsid w:val="001635BB"/>
    <w:rsid w:val="0016455A"/>
    <w:rsid w:val="00165CAC"/>
    <w:rsid w:val="001666B3"/>
    <w:rsid w:val="0016687C"/>
    <w:rsid w:val="00167B9B"/>
    <w:rsid w:val="00167F7F"/>
    <w:rsid w:val="00170F94"/>
    <w:rsid w:val="00172A00"/>
    <w:rsid w:val="00172A08"/>
    <w:rsid w:val="00172B6B"/>
    <w:rsid w:val="0017317B"/>
    <w:rsid w:val="0017444E"/>
    <w:rsid w:val="00174D79"/>
    <w:rsid w:val="00175121"/>
    <w:rsid w:val="00175371"/>
    <w:rsid w:val="0017538B"/>
    <w:rsid w:val="0017553C"/>
    <w:rsid w:val="00176851"/>
    <w:rsid w:val="00176A84"/>
    <w:rsid w:val="0017700C"/>
    <w:rsid w:val="001775F1"/>
    <w:rsid w:val="00177856"/>
    <w:rsid w:val="00177F79"/>
    <w:rsid w:val="001802CA"/>
    <w:rsid w:val="00180312"/>
    <w:rsid w:val="001806F8"/>
    <w:rsid w:val="00180D88"/>
    <w:rsid w:val="00181D29"/>
    <w:rsid w:val="0018296F"/>
    <w:rsid w:val="00182A28"/>
    <w:rsid w:val="00182B3B"/>
    <w:rsid w:val="001831ED"/>
    <w:rsid w:val="00183DBF"/>
    <w:rsid w:val="00183DCF"/>
    <w:rsid w:val="00184BF7"/>
    <w:rsid w:val="00184C8A"/>
    <w:rsid w:val="00184D8A"/>
    <w:rsid w:val="00184F0F"/>
    <w:rsid w:val="001851E0"/>
    <w:rsid w:val="0018629F"/>
    <w:rsid w:val="0018690D"/>
    <w:rsid w:val="00186AC7"/>
    <w:rsid w:val="001877D5"/>
    <w:rsid w:val="00187D5A"/>
    <w:rsid w:val="00190595"/>
    <w:rsid w:val="00190C5D"/>
    <w:rsid w:val="00190F15"/>
    <w:rsid w:val="00191125"/>
    <w:rsid w:val="00191519"/>
    <w:rsid w:val="0019253D"/>
    <w:rsid w:val="001926AD"/>
    <w:rsid w:val="00192776"/>
    <w:rsid w:val="00192B33"/>
    <w:rsid w:val="00192E94"/>
    <w:rsid w:val="0019352C"/>
    <w:rsid w:val="00193990"/>
    <w:rsid w:val="00193C88"/>
    <w:rsid w:val="001941F8"/>
    <w:rsid w:val="00194EB9"/>
    <w:rsid w:val="0019505D"/>
    <w:rsid w:val="0019669B"/>
    <w:rsid w:val="001969E1"/>
    <w:rsid w:val="001972AF"/>
    <w:rsid w:val="0019757D"/>
    <w:rsid w:val="00197EC6"/>
    <w:rsid w:val="001A0200"/>
    <w:rsid w:val="001A06FE"/>
    <w:rsid w:val="001A071D"/>
    <w:rsid w:val="001A073F"/>
    <w:rsid w:val="001A09EC"/>
    <w:rsid w:val="001A0D4E"/>
    <w:rsid w:val="001A0FBA"/>
    <w:rsid w:val="001A14A1"/>
    <w:rsid w:val="001A161B"/>
    <w:rsid w:val="001A2751"/>
    <w:rsid w:val="001A2785"/>
    <w:rsid w:val="001A320D"/>
    <w:rsid w:val="001A33EF"/>
    <w:rsid w:val="001A3B99"/>
    <w:rsid w:val="001A3FBC"/>
    <w:rsid w:val="001A41B0"/>
    <w:rsid w:val="001A440A"/>
    <w:rsid w:val="001A4C24"/>
    <w:rsid w:val="001A55E5"/>
    <w:rsid w:val="001A56C6"/>
    <w:rsid w:val="001A60BF"/>
    <w:rsid w:val="001A61BC"/>
    <w:rsid w:val="001A624A"/>
    <w:rsid w:val="001A6350"/>
    <w:rsid w:val="001A65F7"/>
    <w:rsid w:val="001A7092"/>
    <w:rsid w:val="001A7194"/>
    <w:rsid w:val="001B2344"/>
    <w:rsid w:val="001B2719"/>
    <w:rsid w:val="001B2A3D"/>
    <w:rsid w:val="001B2A93"/>
    <w:rsid w:val="001B2C2E"/>
    <w:rsid w:val="001B363C"/>
    <w:rsid w:val="001B3C09"/>
    <w:rsid w:val="001B3C38"/>
    <w:rsid w:val="001B3FD4"/>
    <w:rsid w:val="001B3FF4"/>
    <w:rsid w:val="001B4AA2"/>
    <w:rsid w:val="001B5181"/>
    <w:rsid w:val="001B543D"/>
    <w:rsid w:val="001B5B33"/>
    <w:rsid w:val="001B5BB7"/>
    <w:rsid w:val="001B5F3C"/>
    <w:rsid w:val="001B6BA8"/>
    <w:rsid w:val="001B6E33"/>
    <w:rsid w:val="001B7162"/>
    <w:rsid w:val="001B7197"/>
    <w:rsid w:val="001B7273"/>
    <w:rsid w:val="001B7871"/>
    <w:rsid w:val="001B7936"/>
    <w:rsid w:val="001C0548"/>
    <w:rsid w:val="001C08D1"/>
    <w:rsid w:val="001C13B1"/>
    <w:rsid w:val="001C1484"/>
    <w:rsid w:val="001C15CA"/>
    <w:rsid w:val="001C1868"/>
    <w:rsid w:val="001C188B"/>
    <w:rsid w:val="001C2841"/>
    <w:rsid w:val="001C295A"/>
    <w:rsid w:val="001C3664"/>
    <w:rsid w:val="001C3962"/>
    <w:rsid w:val="001C3976"/>
    <w:rsid w:val="001C3BDA"/>
    <w:rsid w:val="001C3D1D"/>
    <w:rsid w:val="001C401C"/>
    <w:rsid w:val="001C4386"/>
    <w:rsid w:val="001C4627"/>
    <w:rsid w:val="001C4761"/>
    <w:rsid w:val="001C4C31"/>
    <w:rsid w:val="001C5434"/>
    <w:rsid w:val="001C57AB"/>
    <w:rsid w:val="001C5A5E"/>
    <w:rsid w:val="001C5C57"/>
    <w:rsid w:val="001C5E7A"/>
    <w:rsid w:val="001C638E"/>
    <w:rsid w:val="001C6B1F"/>
    <w:rsid w:val="001C767A"/>
    <w:rsid w:val="001C78C3"/>
    <w:rsid w:val="001C7CDF"/>
    <w:rsid w:val="001C7E43"/>
    <w:rsid w:val="001C7F09"/>
    <w:rsid w:val="001D0400"/>
    <w:rsid w:val="001D0533"/>
    <w:rsid w:val="001D0F75"/>
    <w:rsid w:val="001D11DC"/>
    <w:rsid w:val="001D1442"/>
    <w:rsid w:val="001D14B0"/>
    <w:rsid w:val="001D20B5"/>
    <w:rsid w:val="001D2AB9"/>
    <w:rsid w:val="001D2B58"/>
    <w:rsid w:val="001D2DC0"/>
    <w:rsid w:val="001D3759"/>
    <w:rsid w:val="001D4493"/>
    <w:rsid w:val="001D5712"/>
    <w:rsid w:val="001D5858"/>
    <w:rsid w:val="001D58FE"/>
    <w:rsid w:val="001D67AC"/>
    <w:rsid w:val="001D77F4"/>
    <w:rsid w:val="001D7B6F"/>
    <w:rsid w:val="001E00D0"/>
    <w:rsid w:val="001E01C3"/>
    <w:rsid w:val="001E11A9"/>
    <w:rsid w:val="001E15DC"/>
    <w:rsid w:val="001E1848"/>
    <w:rsid w:val="001E18C9"/>
    <w:rsid w:val="001E2020"/>
    <w:rsid w:val="001E324F"/>
    <w:rsid w:val="001E35AA"/>
    <w:rsid w:val="001E36B0"/>
    <w:rsid w:val="001E3CD9"/>
    <w:rsid w:val="001E418E"/>
    <w:rsid w:val="001E424D"/>
    <w:rsid w:val="001E4683"/>
    <w:rsid w:val="001E55DA"/>
    <w:rsid w:val="001E597E"/>
    <w:rsid w:val="001E6691"/>
    <w:rsid w:val="001E6FF7"/>
    <w:rsid w:val="001E7F4B"/>
    <w:rsid w:val="001F09C8"/>
    <w:rsid w:val="001F13DF"/>
    <w:rsid w:val="001F18AD"/>
    <w:rsid w:val="001F1A8C"/>
    <w:rsid w:val="001F263A"/>
    <w:rsid w:val="001F267D"/>
    <w:rsid w:val="001F2C74"/>
    <w:rsid w:val="001F3247"/>
    <w:rsid w:val="001F34D4"/>
    <w:rsid w:val="001F3960"/>
    <w:rsid w:val="001F3AED"/>
    <w:rsid w:val="001F3C6A"/>
    <w:rsid w:val="001F4099"/>
    <w:rsid w:val="001F4F1C"/>
    <w:rsid w:val="001F4F88"/>
    <w:rsid w:val="001F51BE"/>
    <w:rsid w:val="001F54A0"/>
    <w:rsid w:val="001F58A4"/>
    <w:rsid w:val="001F5A93"/>
    <w:rsid w:val="001F60A8"/>
    <w:rsid w:val="001F65AD"/>
    <w:rsid w:val="001F6707"/>
    <w:rsid w:val="001F67F3"/>
    <w:rsid w:val="001F6D05"/>
    <w:rsid w:val="001F78FC"/>
    <w:rsid w:val="001F7C7E"/>
    <w:rsid w:val="001F7EB9"/>
    <w:rsid w:val="00200583"/>
    <w:rsid w:val="00200703"/>
    <w:rsid w:val="00200A6E"/>
    <w:rsid w:val="00200AC7"/>
    <w:rsid w:val="00200FD5"/>
    <w:rsid w:val="00201234"/>
    <w:rsid w:val="00201564"/>
    <w:rsid w:val="00202967"/>
    <w:rsid w:val="00202A36"/>
    <w:rsid w:val="00202E45"/>
    <w:rsid w:val="0020353A"/>
    <w:rsid w:val="002047A4"/>
    <w:rsid w:val="002048E7"/>
    <w:rsid w:val="002054F4"/>
    <w:rsid w:val="00205CCB"/>
    <w:rsid w:val="00205E51"/>
    <w:rsid w:val="00205FC6"/>
    <w:rsid w:val="00206021"/>
    <w:rsid w:val="002064A1"/>
    <w:rsid w:val="0020684B"/>
    <w:rsid w:val="00206AAE"/>
    <w:rsid w:val="00206C1D"/>
    <w:rsid w:val="002070DF"/>
    <w:rsid w:val="00210056"/>
    <w:rsid w:val="002111A1"/>
    <w:rsid w:val="002121D7"/>
    <w:rsid w:val="002128E4"/>
    <w:rsid w:val="002146D9"/>
    <w:rsid w:val="002147E1"/>
    <w:rsid w:val="0021494C"/>
    <w:rsid w:val="00215A2C"/>
    <w:rsid w:val="00215D0E"/>
    <w:rsid w:val="002168F4"/>
    <w:rsid w:val="002176B8"/>
    <w:rsid w:val="00217B30"/>
    <w:rsid w:val="00220197"/>
    <w:rsid w:val="00220A97"/>
    <w:rsid w:val="00221375"/>
    <w:rsid w:val="0022252D"/>
    <w:rsid w:val="00223CE5"/>
    <w:rsid w:val="00223FBB"/>
    <w:rsid w:val="0022429D"/>
    <w:rsid w:val="00225994"/>
    <w:rsid w:val="00225E1F"/>
    <w:rsid w:val="00226D58"/>
    <w:rsid w:val="002302A1"/>
    <w:rsid w:val="00230696"/>
    <w:rsid w:val="00230BFE"/>
    <w:rsid w:val="00232554"/>
    <w:rsid w:val="00232566"/>
    <w:rsid w:val="00232E15"/>
    <w:rsid w:val="00233105"/>
    <w:rsid w:val="0023323D"/>
    <w:rsid w:val="002334C3"/>
    <w:rsid w:val="00233A41"/>
    <w:rsid w:val="002347D9"/>
    <w:rsid w:val="00234B22"/>
    <w:rsid w:val="00234F86"/>
    <w:rsid w:val="00235201"/>
    <w:rsid w:val="002353D6"/>
    <w:rsid w:val="0023588A"/>
    <w:rsid w:val="00235B8E"/>
    <w:rsid w:val="0023615C"/>
    <w:rsid w:val="0023673A"/>
    <w:rsid w:val="00236EBC"/>
    <w:rsid w:val="00237335"/>
    <w:rsid w:val="00237974"/>
    <w:rsid w:val="002410A1"/>
    <w:rsid w:val="00241A0F"/>
    <w:rsid w:val="00241B4F"/>
    <w:rsid w:val="00241F0B"/>
    <w:rsid w:val="00241F83"/>
    <w:rsid w:val="0024229F"/>
    <w:rsid w:val="0024256A"/>
    <w:rsid w:val="00242B2C"/>
    <w:rsid w:val="0024324A"/>
    <w:rsid w:val="002432BF"/>
    <w:rsid w:val="002437E6"/>
    <w:rsid w:val="00243D3A"/>
    <w:rsid w:val="0024473F"/>
    <w:rsid w:val="002448EC"/>
    <w:rsid w:val="00244A0F"/>
    <w:rsid w:val="00244B8C"/>
    <w:rsid w:val="00244C5F"/>
    <w:rsid w:val="00244E44"/>
    <w:rsid w:val="00245BC7"/>
    <w:rsid w:val="002465FD"/>
    <w:rsid w:val="00247041"/>
    <w:rsid w:val="00247236"/>
    <w:rsid w:val="00247B2E"/>
    <w:rsid w:val="00247F5A"/>
    <w:rsid w:val="00250C67"/>
    <w:rsid w:val="00251401"/>
    <w:rsid w:val="00251633"/>
    <w:rsid w:val="00251699"/>
    <w:rsid w:val="002520F1"/>
    <w:rsid w:val="002522A3"/>
    <w:rsid w:val="00252A09"/>
    <w:rsid w:val="00252B30"/>
    <w:rsid w:val="00252C59"/>
    <w:rsid w:val="00253311"/>
    <w:rsid w:val="00253B8D"/>
    <w:rsid w:val="00253C29"/>
    <w:rsid w:val="00253F68"/>
    <w:rsid w:val="00254324"/>
    <w:rsid w:val="00254D07"/>
    <w:rsid w:val="00255567"/>
    <w:rsid w:val="00255D9C"/>
    <w:rsid w:val="002564C1"/>
    <w:rsid w:val="00256565"/>
    <w:rsid w:val="002567D7"/>
    <w:rsid w:val="00257AD9"/>
    <w:rsid w:val="00257C78"/>
    <w:rsid w:val="00260031"/>
    <w:rsid w:val="00260139"/>
    <w:rsid w:val="0026128C"/>
    <w:rsid w:val="002614A6"/>
    <w:rsid w:val="00261F23"/>
    <w:rsid w:val="0026202D"/>
    <w:rsid w:val="0026279A"/>
    <w:rsid w:val="00262956"/>
    <w:rsid w:val="0026379B"/>
    <w:rsid w:val="00263D7D"/>
    <w:rsid w:val="00264B58"/>
    <w:rsid w:val="00264F89"/>
    <w:rsid w:val="00265B61"/>
    <w:rsid w:val="00265B8A"/>
    <w:rsid w:val="00266832"/>
    <w:rsid w:val="002672CA"/>
    <w:rsid w:val="002672E3"/>
    <w:rsid w:val="002677EB"/>
    <w:rsid w:val="00267884"/>
    <w:rsid w:val="00267D1B"/>
    <w:rsid w:val="00267D6C"/>
    <w:rsid w:val="00267F83"/>
    <w:rsid w:val="0027012C"/>
    <w:rsid w:val="00270243"/>
    <w:rsid w:val="0027059F"/>
    <w:rsid w:val="00270F43"/>
    <w:rsid w:val="00271441"/>
    <w:rsid w:val="00271503"/>
    <w:rsid w:val="00271A1F"/>
    <w:rsid w:val="00271A4B"/>
    <w:rsid w:val="00271D70"/>
    <w:rsid w:val="00272252"/>
    <w:rsid w:val="00272CC1"/>
    <w:rsid w:val="00272EF1"/>
    <w:rsid w:val="002740AE"/>
    <w:rsid w:val="0027434A"/>
    <w:rsid w:val="00274463"/>
    <w:rsid w:val="00274820"/>
    <w:rsid w:val="00274A9C"/>
    <w:rsid w:val="00274CE7"/>
    <w:rsid w:val="0027514A"/>
    <w:rsid w:val="00275501"/>
    <w:rsid w:val="00275B86"/>
    <w:rsid w:val="00276366"/>
    <w:rsid w:val="0027637D"/>
    <w:rsid w:val="00277623"/>
    <w:rsid w:val="00277663"/>
    <w:rsid w:val="00277A2D"/>
    <w:rsid w:val="002803CA"/>
    <w:rsid w:val="00280BAC"/>
    <w:rsid w:val="00280F37"/>
    <w:rsid w:val="00281CC3"/>
    <w:rsid w:val="002824BC"/>
    <w:rsid w:val="002824EE"/>
    <w:rsid w:val="00282599"/>
    <w:rsid w:val="0028353C"/>
    <w:rsid w:val="002836E3"/>
    <w:rsid w:val="00284122"/>
    <w:rsid w:val="002842F8"/>
    <w:rsid w:val="002849F5"/>
    <w:rsid w:val="00285E54"/>
    <w:rsid w:val="0028635D"/>
    <w:rsid w:val="00286971"/>
    <w:rsid w:val="00286D81"/>
    <w:rsid w:val="002871E4"/>
    <w:rsid w:val="00287460"/>
    <w:rsid w:val="0029006E"/>
    <w:rsid w:val="002905F8"/>
    <w:rsid w:val="00290A0C"/>
    <w:rsid w:val="00290A4D"/>
    <w:rsid w:val="00291307"/>
    <w:rsid w:val="00291A18"/>
    <w:rsid w:val="002921EF"/>
    <w:rsid w:val="00292386"/>
    <w:rsid w:val="0029308E"/>
    <w:rsid w:val="002936D6"/>
    <w:rsid w:val="00293807"/>
    <w:rsid w:val="00293CE2"/>
    <w:rsid w:val="00293E59"/>
    <w:rsid w:val="00293F83"/>
    <w:rsid w:val="0029409F"/>
    <w:rsid w:val="00294282"/>
    <w:rsid w:val="00295100"/>
    <w:rsid w:val="0029519C"/>
    <w:rsid w:val="002953E4"/>
    <w:rsid w:val="00295576"/>
    <w:rsid w:val="002960AE"/>
    <w:rsid w:val="0029622B"/>
    <w:rsid w:val="00296265"/>
    <w:rsid w:val="00296B9F"/>
    <w:rsid w:val="00296D58"/>
    <w:rsid w:val="00297454"/>
    <w:rsid w:val="00297A2B"/>
    <w:rsid w:val="00297ACB"/>
    <w:rsid w:val="002A0094"/>
    <w:rsid w:val="002A00A1"/>
    <w:rsid w:val="002A0499"/>
    <w:rsid w:val="002A05C8"/>
    <w:rsid w:val="002A0C81"/>
    <w:rsid w:val="002A111A"/>
    <w:rsid w:val="002A1369"/>
    <w:rsid w:val="002A2658"/>
    <w:rsid w:val="002A2DDA"/>
    <w:rsid w:val="002A2EFB"/>
    <w:rsid w:val="002A2F49"/>
    <w:rsid w:val="002A3313"/>
    <w:rsid w:val="002A350E"/>
    <w:rsid w:val="002A37DD"/>
    <w:rsid w:val="002A3EAC"/>
    <w:rsid w:val="002A3FD9"/>
    <w:rsid w:val="002A4687"/>
    <w:rsid w:val="002A4879"/>
    <w:rsid w:val="002A4D80"/>
    <w:rsid w:val="002A53DF"/>
    <w:rsid w:val="002A5575"/>
    <w:rsid w:val="002A5A7C"/>
    <w:rsid w:val="002A5B5E"/>
    <w:rsid w:val="002A60D0"/>
    <w:rsid w:val="002A65EE"/>
    <w:rsid w:val="002A7D5B"/>
    <w:rsid w:val="002A7F55"/>
    <w:rsid w:val="002B05AD"/>
    <w:rsid w:val="002B0B43"/>
    <w:rsid w:val="002B138A"/>
    <w:rsid w:val="002B21EF"/>
    <w:rsid w:val="002B2334"/>
    <w:rsid w:val="002B2475"/>
    <w:rsid w:val="002B26C2"/>
    <w:rsid w:val="002B3ED1"/>
    <w:rsid w:val="002B47DF"/>
    <w:rsid w:val="002B4BBB"/>
    <w:rsid w:val="002B4DAB"/>
    <w:rsid w:val="002B5A51"/>
    <w:rsid w:val="002B6080"/>
    <w:rsid w:val="002B6983"/>
    <w:rsid w:val="002B7006"/>
    <w:rsid w:val="002B7658"/>
    <w:rsid w:val="002B7F93"/>
    <w:rsid w:val="002C0902"/>
    <w:rsid w:val="002C0AF8"/>
    <w:rsid w:val="002C0B64"/>
    <w:rsid w:val="002C0C46"/>
    <w:rsid w:val="002C0EC3"/>
    <w:rsid w:val="002C1FF9"/>
    <w:rsid w:val="002C2808"/>
    <w:rsid w:val="002C3C08"/>
    <w:rsid w:val="002C401B"/>
    <w:rsid w:val="002C401E"/>
    <w:rsid w:val="002C4575"/>
    <w:rsid w:val="002C45DC"/>
    <w:rsid w:val="002C4BD3"/>
    <w:rsid w:val="002C4C70"/>
    <w:rsid w:val="002C5125"/>
    <w:rsid w:val="002C5620"/>
    <w:rsid w:val="002C5D15"/>
    <w:rsid w:val="002C63C1"/>
    <w:rsid w:val="002C749D"/>
    <w:rsid w:val="002C7795"/>
    <w:rsid w:val="002C7956"/>
    <w:rsid w:val="002C7F06"/>
    <w:rsid w:val="002C7F59"/>
    <w:rsid w:val="002D0063"/>
    <w:rsid w:val="002D0642"/>
    <w:rsid w:val="002D0D6C"/>
    <w:rsid w:val="002D0E09"/>
    <w:rsid w:val="002D1294"/>
    <w:rsid w:val="002D1A71"/>
    <w:rsid w:val="002D28D5"/>
    <w:rsid w:val="002D3801"/>
    <w:rsid w:val="002D3C8D"/>
    <w:rsid w:val="002D4142"/>
    <w:rsid w:val="002D437B"/>
    <w:rsid w:val="002D48CE"/>
    <w:rsid w:val="002D5191"/>
    <w:rsid w:val="002D5992"/>
    <w:rsid w:val="002D65F2"/>
    <w:rsid w:val="002D69E2"/>
    <w:rsid w:val="002D70BD"/>
    <w:rsid w:val="002E1090"/>
    <w:rsid w:val="002E2011"/>
    <w:rsid w:val="002E2257"/>
    <w:rsid w:val="002E2474"/>
    <w:rsid w:val="002E2557"/>
    <w:rsid w:val="002E28E1"/>
    <w:rsid w:val="002E2AE4"/>
    <w:rsid w:val="002E56AC"/>
    <w:rsid w:val="002E5816"/>
    <w:rsid w:val="002E585A"/>
    <w:rsid w:val="002E5BD9"/>
    <w:rsid w:val="002E5D2F"/>
    <w:rsid w:val="002E7031"/>
    <w:rsid w:val="002E759A"/>
    <w:rsid w:val="002F0D29"/>
    <w:rsid w:val="002F169B"/>
    <w:rsid w:val="002F1BAA"/>
    <w:rsid w:val="002F1BFC"/>
    <w:rsid w:val="002F1E0F"/>
    <w:rsid w:val="002F255B"/>
    <w:rsid w:val="002F2584"/>
    <w:rsid w:val="002F28AD"/>
    <w:rsid w:val="002F2B24"/>
    <w:rsid w:val="002F3369"/>
    <w:rsid w:val="002F382A"/>
    <w:rsid w:val="002F3CF8"/>
    <w:rsid w:val="002F3FA4"/>
    <w:rsid w:val="002F3FED"/>
    <w:rsid w:val="002F44F0"/>
    <w:rsid w:val="002F4799"/>
    <w:rsid w:val="002F4B3F"/>
    <w:rsid w:val="002F4BE9"/>
    <w:rsid w:val="002F5131"/>
    <w:rsid w:val="002F53C5"/>
    <w:rsid w:val="002F599C"/>
    <w:rsid w:val="002F5F1F"/>
    <w:rsid w:val="002F62BA"/>
    <w:rsid w:val="002F6809"/>
    <w:rsid w:val="002F7218"/>
    <w:rsid w:val="002F748D"/>
    <w:rsid w:val="0030017D"/>
    <w:rsid w:val="00300413"/>
    <w:rsid w:val="00300899"/>
    <w:rsid w:val="00300C94"/>
    <w:rsid w:val="00301CCB"/>
    <w:rsid w:val="00302167"/>
    <w:rsid w:val="003022E6"/>
    <w:rsid w:val="0030247E"/>
    <w:rsid w:val="0030394C"/>
    <w:rsid w:val="00303AD0"/>
    <w:rsid w:val="00303F57"/>
    <w:rsid w:val="00304133"/>
    <w:rsid w:val="00304626"/>
    <w:rsid w:val="00304FE1"/>
    <w:rsid w:val="003052FE"/>
    <w:rsid w:val="0030553A"/>
    <w:rsid w:val="003056AB"/>
    <w:rsid w:val="00306628"/>
    <w:rsid w:val="00306B70"/>
    <w:rsid w:val="00307327"/>
    <w:rsid w:val="00307CFF"/>
    <w:rsid w:val="00310084"/>
    <w:rsid w:val="00310246"/>
    <w:rsid w:val="00310524"/>
    <w:rsid w:val="00310964"/>
    <w:rsid w:val="00310EBC"/>
    <w:rsid w:val="00311837"/>
    <w:rsid w:val="00311B8B"/>
    <w:rsid w:val="003121A3"/>
    <w:rsid w:val="00312B8E"/>
    <w:rsid w:val="00312C86"/>
    <w:rsid w:val="00313038"/>
    <w:rsid w:val="003132C2"/>
    <w:rsid w:val="003137D3"/>
    <w:rsid w:val="00313865"/>
    <w:rsid w:val="00313906"/>
    <w:rsid w:val="00313E11"/>
    <w:rsid w:val="00315908"/>
    <w:rsid w:val="00316145"/>
    <w:rsid w:val="00316317"/>
    <w:rsid w:val="00316624"/>
    <w:rsid w:val="00316F56"/>
    <w:rsid w:val="00316F9E"/>
    <w:rsid w:val="00317412"/>
    <w:rsid w:val="0031783F"/>
    <w:rsid w:val="003178FE"/>
    <w:rsid w:val="00317B12"/>
    <w:rsid w:val="003201ED"/>
    <w:rsid w:val="00320B83"/>
    <w:rsid w:val="00320D6E"/>
    <w:rsid w:val="00320EEC"/>
    <w:rsid w:val="00320FB0"/>
    <w:rsid w:val="00320FD8"/>
    <w:rsid w:val="00321234"/>
    <w:rsid w:val="00321253"/>
    <w:rsid w:val="003218A9"/>
    <w:rsid w:val="003223BA"/>
    <w:rsid w:val="00322897"/>
    <w:rsid w:val="00322A90"/>
    <w:rsid w:val="00323747"/>
    <w:rsid w:val="0032446F"/>
    <w:rsid w:val="00324976"/>
    <w:rsid w:val="00324A05"/>
    <w:rsid w:val="00324C32"/>
    <w:rsid w:val="00325351"/>
    <w:rsid w:val="00325686"/>
    <w:rsid w:val="003256C9"/>
    <w:rsid w:val="00325984"/>
    <w:rsid w:val="00325D19"/>
    <w:rsid w:val="00325EDE"/>
    <w:rsid w:val="003263A5"/>
    <w:rsid w:val="00326CDC"/>
    <w:rsid w:val="00326D1E"/>
    <w:rsid w:val="00327989"/>
    <w:rsid w:val="00327A42"/>
    <w:rsid w:val="00330248"/>
    <w:rsid w:val="003303C3"/>
    <w:rsid w:val="00330511"/>
    <w:rsid w:val="003320F2"/>
    <w:rsid w:val="00332A2C"/>
    <w:rsid w:val="00332E50"/>
    <w:rsid w:val="00333BFF"/>
    <w:rsid w:val="00333DE1"/>
    <w:rsid w:val="00334383"/>
    <w:rsid w:val="00334C15"/>
    <w:rsid w:val="00334E70"/>
    <w:rsid w:val="00335059"/>
    <w:rsid w:val="003359B5"/>
    <w:rsid w:val="00336626"/>
    <w:rsid w:val="00337751"/>
    <w:rsid w:val="0033783F"/>
    <w:rsid w:val="003410C3"/>
    <w:rsid w:val="00342475"/>
    <w:rsid w:val="00342774"/>
    <w:rsid w:val="00342926"/>
    <w:rsid w:val="00343CBB"/>
    <w:rsid w:val="00343CD4"/>
    <w:rsid w:val="0034409C"/>
    <w:rsid w:val="00344170"/>
    <w:rsid w:val="00344558"/>
    <w:rsid w:val="00344897"/>
    <w:rsid w:val="0034542D"/>
    <w:rsid w:val="0034545E"/>
    <w:rsid w:val="0034570B"/>
    <w:rsid w:val="00346FDC"/>
    <w:rsid w:val="00347312"/>
    <w:rsid w:val="00347A92"/>
    <w:rsid w:val="00350595"/>
    <w:rsid w:val="00350954"/>
    <w:rsid w:val="00350C03"/>
    <w:rsid w:val="00351315"/>
    <w:rsid w:val="00351607"/>
    <w:rsid w:val="003534B6"/>
    <w:rsid w:val="00353641"/>
    <w:rsid w:val="00353716"/>
    <w:rsid w:val="00353D3C"/>
    <w:rsid w:val="00353FA8"/>
    <w:rsid w:val="00354233"/>
    <w:rsid w:val="0035447F"/>
    <w:rsid w:val="00354BA6"/>
    <w:rsid w:val="00354DF1"/>
    <w:rsid w:val="00355BC8"/>
    <w:rsid w:val="00355DFA"/>
    <w:rsid w:val="00355E6C"/>
    <w:rsid w:val="00356080"/>
    <w:rsid w:val="003568E5"/>
    <w:rsid w:val="00360237"/>
    <w:rsid w:val="00360B0A"/>
    <w:rsid w:val="00360BDE"/>
    <w:rsid w:val="00361071"/>
    <w:rsid w:val="00361EA1"/>
    <w:rsid w:val="00362528"/>
    <w:rsid w:val="00362D58"/>
    <w:rsid w:val="00363096"/>
    <w:rsid w:val="003633B5"/>
    <w:rsid w:val="00363D7D"/>
    <w:rsid w:val="0036405D"/>
    <w:rsid w:val="00365542"/>
    <w:rsid w:val="003655C6"/>
    <w:rsid w:val="0036654F"/>
    <w:rsid w:val="003668EF"/>
    <w:rsid w:val="00366A1C"/>
    <w:rsid w:val="003679A0"/>
    <w:rsid w:val="0037011E"/>
    <w:rsid w:val="0037060F"/>
    <w:rsid w:val="003709AA"/>
    <w:rsid w:val="00370D68"/>
    <w:rsid w:val="00371034"/>
    <w:rsid w:val="003717B6"/>
    <w:rsid w:val="00371A27"/>
    <w:rsid w:val="00371C21"/>
    <w:rsid w:val="003726F3"/>
    <w:rsid w:val="00372853"/>
    <w:rsid w:val="0037432C"/>
    <w:rsid w:val="003744B4"/>
    <w:rsid w:val="00374725"/>
    <w:rsid w:val="003749B4"/>
    <w:rsid w:val="00374B1F"/>
    <w:rsid w:val="00374C71"/>
    <w:rsid w:val="00375811"/>
    <w:rsid w:val="00376352"/>
    <w:rsid w:val="00376702"/>
    <w:rsid w:val="00376769"/>
    <w:rsid w:val="00376FD5"/>
    <w:rsid w:val="003800E1"/>
    <w:rsid w:val="003802CD"/>
    <w:rsid w:val="0038036C"/>
    <w:rsid w:val="003811C6"/>
    <w:rsid w:val="003829F9"/>
    <w:rsid w:val="00382AAA"/>
    <w:rsid w:val="003831A1"/>
    <w:rsid w:val="00383560"/>
    <w:rsid w:val="003836EC"/>
    <w:rsid w:val="00383EF9"/>
    <w:rsid w:val="00384178"/>
    <w:rsid w:val="00384BE7"/>
    <w:rsid w:val="00385125"/>
    <w:rsid w:val="00385D18"/>
    <w:rsid w:val="00386533"/>
    <w:rsid w:val="00386665"/>
    <w:rsid w:val="003873D3"/>
    <w:rsid w:val="003874B1"/>
    <w:rsid w:val="00387B2E"/>
    <w:rsid w:val="00390976"/>
    <w:rsid w:val="00390BA1"/>
    <w:rsid w:val="00390CE0"/>
    <w:rsid w:val="00390FFC"/>
    <w:rsid w:val="0039152F"/>
    <w:rsid w:val="00391D6A"/>
    <w:rsid w:val="0039219D"/>
    <w:rsid w:val="00392402"/>
    <w:rsid w:val="00392D0C"/>
    <w:rsid w:val="003933DE"/>
    <w:rsid w:val="00393A9E"/>
    <w:rsid w:val="00393B72"/>
    <w:rsid w:val="00393DED"/>
    <w:rsid w:val="003941E3"/>
    <w:rsid w:val="00394939"/>
    <w:rsid w:val="00394ED3"/>
    <w:rsid w:val="003951AD"/>
    <w:rsid w:val="0039542C"/>
    <w:rsid w:val="0039564F"/>
    <w:rsid w:val="00395937"/>
    <w:rsid w:val="00395EB2"/>
    <w:rsid w:val="0039650B"/>
    <w:rsid w:val="00396671"/>
    <w:rsid w:val="00396A04"/>
    <w:rsid w:val="00396D6C"/>
    <w:rsid w:val="00397C4C"/>
    <w:rsid w:val="003A05F3"/>
    <w:rsid w:val="003A1A59"/>
    <w:rsid w:val="003A1B36"/>
    <w:rsid w:val="003A20EF"/>
    <w:rsid w:val="003A2245"/>
    <w:rsid w:val="003A2B6F"/>
    <w:rsid w:val="003A3188"/>
    <w:rsid w:val="003A341C"/>
    <w:rsid w:val="003A34A7"/>
    <w:rsid w:val="003A388E"/>
    <w:rsid w:val="003A3DC2"/>
    <w:rsid w:val="003A4049"/>
    <w:rsid w:val="003A4CB1"/>
    <w:rsid w:val="003A4D42"/>
    <w:rsid w:val="003A4D83"/>
    <w:rsid w:val="003A4E93"/>
    <w:rsid w:val="003A5683"/>
    <w:rsid w:val="003A5C2C"/>
    <w:rsid w:val="003A5EAF"/>
    <w:rsid w:val="003A6AB3"/>
    <w:rsid w:val="003A6DA8"/>
    <w:rsid w:val="003A6DE6"/>
    <w:rsid w:val="003A7277"/>
    <w:rsid w:val="003B1290"/>
    <w:rsid w:val="003B18CF"/>
    <w:rsid w:val="003B1C5D"/>
    <w:rsid w:val="003B1E2F"/>
    <w:rsid w:val="003B24A2"/>
    <w:rsid w:val="003B2581"/>
    <w:rsid w:val="003B30E6"/>
    <w:rsid w:val="003B3D6C"/>
    <w:rsid w:val="003B3F00"/>
    <w:rsid w:val="003B4164"/>
    <w:rsid w:val="003B442A"/>
    <w:rsid w:val="003B467D"/>
    <w:rsid w:val="003B4E73"/>
    <w:rsid w:val="003B563A"/>
    <w:rsid w:val="003B612D"/>
    <w:rsid w:val="003B6472"/>
    <w:rsid w:val="003B6A28"/>
    <w:rsid w:val="003B6A94"/>
    <w:rsid w:val="003B6B65"/>
    <w:rsid w:val="003B7170"/>
    <w:rsid w:val="003C029D"/>
    <w:rsid w:val="003C0CA2"/>
    <w:rsid w:val="003C0DFF"/>
    <w:rsid w:val="003C1754"/>
    <w:rsid w:val="003C185E"/>
    <w:rsid w:val="003C1B5A"/>
    <w:rsid w:val="003C21AA"/>
    <w:rsid w:val="003C2E5C"/>
    <w:rsid w:val="003C3314"/>
    <w:rsid w:val="003C36B4"/>
    <w:rsid w:val="003C3C60"/>
    <w:rsid w:val="003C4657"/>
    <w:rsid w:val="003C48A8"/>
    <w:rsid w:val="003C4A9E"/>
    <w:rsid w:val="003C5031"/>
    <w:rsid w:val="003C5A2D"/>
    <w:rsid w:val="003C5DEC"/>
    <w:rsid w:val="003C60A4"/>
    <w:rsid w:val="003C635F"/>
    <w:rsid w:val="003C6434"/>
    <w:rsid w:val="003C6D3F"/>
    <w:rsid w:val="003C6E49"/>
    <w:rsid w:val="003C6F17"/>
    <w:rsid w:val="003C78E5"/>
    <w:rsid w:val="003D00AF"/>
    <w:rsid w:val="003D0382"/>
    <w:rsid w:val="003D0696"/>
    <w:rsid w:val="003D0816"/>
    <w:rsid w:val="003D08EC"/>
    <w:rsid w:val="003D0989"/>
    <w:rsid w:val="003D1526"/>
    <w:rsid w:val="003D162F"/>
    <w:rsid w:val="003D2325"/>
    <w:rsid w:val="003D2396"/>
    <w:rsid w:val="003D2B6D"/>
    <w:rsid w:val="003D2D72"/>
    <w:rsid w:val="003D2E4D"/>
    <w:rsid w:val="003D3A1A"/>
    <w:rsid w:val="003D3B17"/>
    <w:rsid w:val="003D3F1D"/>
    <w:rsid w:val="003D40CE"/>
    <w:rsid w:val="003D422D"/>
    <w:rsid w:val="003D43C0"/>
    <w:rsid w:val="003D45BB"/>
    <w:rsid w:val="003D4D9C"/>
    <w:rsid w:val="003D4E90"/>
    <w:rsid w:val="003D54F5"/>
    <w:rsid w:val="003D56EE"/>
    <w:rsid w:val="003D58FC"/>
    <w:rsid w:val="003D70EC"/>
    <w:rsid w:val="003E0616"/>
    <w:rsid w:val="003E0FA1"/>
    <w:rsid w:val="003E235F"/>
    <w:rsid w:val="003E33AC"/>
    <w:rsid w:val="003E36A1"/>
    <w:rsid w:val="003E38AA"/>
    <w:rsid w:val="003E430A"/>
    <w:rsid w:val="003E45D4"/>
    <w:rsid w:val="003E472E"/>
    <w:rsid w:val="003E474A"/>
    <w:rsid w:val="003E47A9"/>
    <w:rsid w:val="003E59DA"/>
    <w:rsid w:val="003E5C24"/>
    <w:rsid w:val="003E6674"/>
    <w:rsid w:val="003E68E2"/>
    <w:rsid w:val="003E7B1C"/>
    <w:rsid w:val="003F0040"/>
    <w:rsid w:val="003F1435"/>
    <w:rsid w:val="003F1B2C"/>
    <w:rsid w:val="003F2824"/>
    <w:rsid w:val="003F302F"/>
    <w:rsid w:val="003F384B"/>
    <w:rsid w:val="003F3C03"/>
    <w:rsid w:val="003F3F57"/>
    <w:rsid w:val="003F403C"/>
    <w:rsid w:val="003F4140"/>
    <w:rsid w:val="003F41C4"/>
    <w:rsid w:val="003F4E66"/>
    <w:rsid w:val="003F5A3A"/>
    <w:rsid w:val="003F5D0C"/>
    <w:rsid w:val="003F5E48"/>
    <w:rsid w:val="003F5E93"/>
    <w:rsid w:val="003F5E9C"/>
    <w:rsid w:val="003F6548"/>
    <w:rsid w:val="003F6688"/>
    <w:rsid w:val="003F6DDC"/>
    <w:rsid w:val="003F7138"/>
    <w:rsid w:val="003F7FF7"/>
    <w:rsid w:val="00400699"/>
    <w:rsid w:val="004006A3"/>
    <w:rsid w:val="004009E6"/>
    <w:rsid w:val="00400BE3"/>
    <w:rsid w:val="00400CB4"/>
    <w:rsid w:val="00400D16"/>
    <w:rsid w:val="004014BF"/>
    <w:rsid w:val="00401A19"/>
    <w:rsid w:val="00401F2A"/>
    <w:rsid w:val="004025E3"/>
    <w:rsid w:val="0040339A"/>
    <w:rsid w:val="00403AAE"/>
    <w:rsid w:val="00403EBC"/>
    <w:rsid w:val="00404268"/>
    <w:rsid w:val="004050B9"/>
    <w:rsid w:val="0040545A"/>
    <w:rsid w:val="00405AC5"/>
    <w:rsid w:val="0040674B"/>
    <w:rsid w:val="0040720F"/>
    <w:rsid w:val="00407508"/>
    <w:rsid w:val="0040793D"/>
    <w:rsid w:val="00410A40"/>
    <w:rsid w:val="00410CDE"/>
    <w:rsid w:val="00410FC1"/>
    <w:rsid w:val="00411093"/>
    <w:rsid w:val="004115FE"/>
    <w:rsid w:val="00412495"/>
    <w:rsid w:val="00412704"/>
    <w:rsid w:val="00413497"/>
    <w:rsid w:val="0041362D"/>
    <w:rsid w:val="00413CF2"/>
    <w:rsid w:val="00414E09"/>
    <w:rsid w:val="00414EF5"/>
    <w:rsid w:val="004153B4"/>
    <w:rsid w:val="004158D9"/>
    <w:rsid w:val="00415C91"/>
    <w:rsid w:val="0041659F"/>
    <w:rsid w:val="00420636"/>
    <w:rsid w:val="00420B4F"/>
    <w:rsid w:val="00423380"/>
    <w:rsid w:val="0042339F"/>
    <w:rsid w:val="004234A4"/>
    <w:rsid w:val="00423CD7"/>
    <w:rsid w:val="00423D87"/>
    <w:rsid w:val="00425120"/>
    <w:rsid w:val="004252AE"/>
    <w:rsid w:val="00426272"/>
    <w:rsid w:val="0042702A"/>
    <w:rsid w:val="00427195"/>
    <w:rsid w:val="004276AA"/>
    <w:rsid w:val="00427828"/>
    <w:rsid w:val="004279F6"/>
    <w:rsid w:val="00427FCB"/>
    <w:rsid w:val="004303D9"/>
    <w:rsid w:val="00430724"/>
    <w:rsid w:val="004309D5"/>
    <w:rsid w:val="00431491"/>
    <w:rsid w:val="0043189E"/>
    <w:rsid w:val="004324EE"/>
    <w:rsid w:val="004326D2"/>
    <w:rsid w:val="0043415C"/>
    <w:rsid w:val="00434E47"/>
    <w:rsid w:val="00434FC1"/>
    <w:rsid w:val="00435CF4"/>
    <w:rsid w:val="00436A7C"/>
    <w:rsid w:val="0043731D"/>
    <w:rsid w:val="00440EEE"/>
    <w:rsid w:val="004413C3"/>
    <w:rsid w:val="00442016"/>
    <w:rsid w:val="00442091"/>
    <w:rsid w:val="0044221A"/>
    <w:rsid w:val="0044222F"/>
    <w:rsid w:val="00442253"/>
    <w:rsid w:val="0044266E"/>
    <w:rsid w:val="0044267E"/>
    <w:rsid w:val="0044332D"/>
    <w:rsid w:val="004457E1"/>
    <w:rsid w:val="0044584A"/>
    <w:rsid w:val="00446335"/>
    <w:rsid w:val="004466AF"/>
    <w:rsid w:val="00446C21"/>
    <w:rsid w:val="00446ECB"/>
    <w:rsid w:val="00447413"/>
    <w:rsid w:val="00450AAD"/>
    <w:rsid w:val="004512A6"/>
    <w:rsid w:val="00451D8F"/>
    <w:rsid w:val="00453393"/>
    <w:rsid w:val="004535BD"/>
    <w:rsid w:val="00454C04"/>
    <w:rsid w:val="00455303"/>
    <w:rsid w:val="00455725"/>
    <w:rsid w:val="00455A11"/>
    <w:rsid w:val="0045629F"/>
    <w:rsid w:val="00456452"/>
    <w:rsid w:val="004566A4"/>
    <w:rsid w:val="0045740D"/>
    <w:rsid w:val="00457631"/>
    <w:rsid w:val="00457CD4"/>
    <w:rsid w:val="004601BF"/>
    <w:rsid w:val="00460719"/>
    <w:rsid w:val="00460A34"/>
    <w:rsid w:val="00460A37"/>
    <w:rsid w:val="00460B0E"/>
    <w:rsid w:val="00460FBE"/>
    <w:rsid w:val="00461B14"/>
    <w:rsid w:val="00462409"/>
    <w:rsid w:val="0046290D"/>
    <w:rsid w:val="00463403"/>
    <w:rsid w:val="00464C1C"/>
    <w:rsid w:val="0046539F"/>
    <w:rsid w:val="00466C48"/>
    <w:rsid w:val="00466F1C"/>
    <w:rsid w:val="00467085"/>
    <w:rsid w:val="00467496"/>
    <w:rsid w:val="00470468"/>
    <w:rsid w:val="00470EB4"/>
    <w:rsid w:val="004711EF"/>
    <w:rsid w:val="00471822"/>
    <w:rsid w:val="00471D5B"/>
    <w:rsid w:val="004726DB"/>
    <w:rsid w:val="00472766"/>
    <w:rsid w:val="00472F09"/>
    <w:rsid w:val="00473136"/>
    <w:rsid w:val="00473983"/>
    <w:rsid w:val="00473D21"/>
    <w:rsid w:val="00474013"/>
    <w:rsid w:val="004742A6"/>
    <w:rsid w:val="0047480F"/>
    <w:rsid w:val="00476520"/>
    <w:rsid w:val="00477422"/>
    <w:rsid w:val="00477BB5"/>
    <w:rsid w:val="004815F8"/>
    <w:rsid w:val="0048187F"/>
    <w:rsid w:val="004819A5"/>
    <w:rsid w:val="004822C8"/>
    <w:rsid w:val="00482FD9"/>
    <w:rsid w:val="0048384E"/>
    <w:rsid w:val="00483BD2"/>
    <w:rsid w:val="00483BF2"/>
    <w:rsid w:val="0048476C"/>
    <w:rsid w:val="00485350"/>
    <w:rsid w:val="004855FD"/>
    <w:rsid w:val="00485A54"/>
    <w:rsid w:val="00485A56"/>
    <w:rsid w:val="0049014B"/>
    <w:rsid w:val="00490E66"/>
    <w:rsid w:val="004919BC"/>
    <w:rsid w:val="004924AF"/>
    <w:rsid w:val="0049269E"/>
    <w:rsid w:val="0049295E"/>
    <w:rsid w:val="00493E16"/>
    <w:rsid w:val="004949EF"/>
    <w:rsid w:val="00495E9E"/>
    <w:rsid w:val="004966EE"/>
    <w:rsid w:val="00496B1A"/>
    <w:rsid w:val="00496B3F"/>
    <w:rsid w:val="00496D41"/>
    <w:rsid w:val="00497087"/>
    <w:rsid w:val="004970EE"/>
    <w:rsid w:val="00497C74"/>
    <w:rsid w:val="00497D7B"/>
    <w:rsid w:val="004A0B18"/>
    <w:rsid w:val="004A0F19"/>
    <w:rsid w:val="004A1100"/>
    <w:rsid w:val="004A1B0B"/>
    <w:rsid w:val="004A2535"/>
    <w:rsid w:val="004A3873"/>
    <w:rsid w:val="004A3B8F"/>
    <w:rsid w:val="004A4228"/>
    <w:rsid w:val="004A58B8"/>
    <w:rsid w:val="004A61DC"/>
    <w:rsid w:val="004A6862"/>
    <w:rsid w:val="004A6DB9"/>
    <w:rsid w:val="004A7E6B"/>
    <w:rsid w:val="004B01F7"/>
    <w:rsid w:val="004B1417"/>
    <w:rsid w:val="004B14E8"/>
    <w:rsid w:val="004B151B"/>
    <w:rsid w:val="004B1CFF"/>
    <w:rsid w:val="004B2049"/>
    <w:rsid w:val="004B2245"/>
    <w:rsid w:val="004B224A"/>
    <w:rsid w:val="004B23FC"/>
    <w:rsid w:val="004B2E79"/>
    <w:rsid w:val="004B2EB0"/>
    <w:rsid w:val="004B378A"/>
    <w:rsid w:val="004B3936"/>
    <w:rsid w:val="004B447D"/>
    <w:rsid w:val="004B48BE"/>
    <w:rsid w:val="004B5350"/>
    <w:rsid w:val="004B5433"/>
    <w:rsid w:val="004B5675"/>
    <w:rsid w:val="004B587E"/>
    <w:rsid w:val="004B5DBE"/>
    <w:rsid w:val="004B66F0"/>
    <w:rsid w:val="004B6B9C"/>
    <w:rsid w:val="004B6FF5"/>
    <w:rsid w:val="004B7DC8"/>
    <w:rsid w:val="004C04C4"/>
    <w:rsid w:val="004C0EE0"/>
    <w:rsid w:val="004C211E"/>
    <w:rsid w:val="004C311A"/>
    <w:rsid w:val="004C3132"/>
    <w:rsid w:val="004C3A02"/>
    <w:rsid w:val="004C3E36"/>
    <w:rsid w:val="004C3FDE"/>
    <w:rsid w:val="004C418A"/>
    <w:rsid w:val="004C4506"/>
    <w:rsid w:val="004C550E"/>
    <w:rsid w:val="004C5BE0"/>
    <w:rsid w:val="004C5D9E"/>
    <w:rsid w:val="004C7C1B"/>
    <w:rsid w:val="004C7E07"/>
    <w:rsid w:val="004D049F"/>
    <w:rsid w:val="004D1087"/>
    <w:rsid w:val="004D14D4"/>
    <w:rsid w:val="004D1A4A"/>
    <w:rsid w:val="004D289D"/>
    <w:rsid w:val="004D28E2"/>
    <w:rsid w:val="004D2B1C"/>
    <w:rsid w:val="004D2F28"/>
    <w:rsid w:val="004D3208"/>
    <w:rsid w:val="004D3346"/>
    <w:rsid w:val="004D3C9E"/>
    <w:rsid w:val="004D3F1D"/>
    <w:rsid w:val="004D427B"/>
    <w:rsid w:val="004D46EF"/>
    <w:rsid w:val="004D49DD"/>
    <w:rsid w:val="004D54C0"/>
    <w:rsid w:val="004D59EE"/>
    <w:rsid w:val="004D5A61"/>
    <w:rsid w:val="004D5C39"/>
    <w:rsid w:val="004D5CB5"/>
    <w:rsid w:val="004D66A3"/>
    <w:rsid w:val="004D6796"/>
    <w:rsid w:val="004D67F4"/>
    <w:rsid w:val="004E106D"/>
    <w:rsid w:val="004E10AA"/>
    <w:rsid w:val="004E15F7"/>
    <w:rsid w:val="004E183D"/>
    <w:rsid w:val="004E205F"/>
    <w:rsid w:val="004E22A2"/>
    <w:rsid w:val="004E2786"/>
    <w:rsid w:val="004E3438"/>
    <w:rsid w:val="004E3757"/>
    <w:rsid w:val="004E3BBA"/>
    <w:rsid w:val="004E43A0"/>
    <w:rsid w:val="004E4615"/>
    <w:rsid w:val="004E4B5F"/>
    <w:rsid w:val="004E4F6D"/>
    <w:rsid w:val="004E51E3"/>
    <w:rsid w:val="004E5B9C"/>
    <w:rsid w:val="004E6E8E"/>
    <w:rsid w:val="004E6F00"/>
    <w:rsid w:val="004E73F1"/>
    <w:rsid w:val="004E7476"/>
    <w:rsid w:val="004F0469"/>
    <w:rsid w:val="004F04B1"/>
    <w:rsid w:val="004F0593"/>
    <w:rsid w:val="004F1233"/>
    <w:rsid w:val="004F1234"/>
    <w:rsid w:val="004F12F2"/>
    <w:rsid w:val="004F2F08"/>
    <w:rsid w:val="004F2F3B"/>
    <w:rsid w:val="004F3035"/>
    <w:rsid w:val="004F3DDD"/>
    <w:rsid w:val="004F4120"/>
    <w:rsid w:val="004F413E"/>
    <w:rsid w:val="004F4D75"/>
    <w:rsid w:val="004F53B6"/>
    <w:rsid w:val="004F541D"/>
    <w:rsid w:val="004F54DD"/>
    <w:rsid w:val="004F5A97"/>
    <w:rsid w:val="004F66CD"/>
    <w:rsid w:val="004F6972"/>
    <w:rsid w:val="004F7253"/>
    <w:rsid w:val="0050028C"/>
    <w:rsid w:val="005005E9"/>
    <w:rsid w:val="00501E97"/>
    <w:rsid w:val="0050218D"/>
    <w:rsid w:val="0050266B"/>
    <w:rsid w:val="00503037"/>
    <w:rsid w:val="00503295"/>
    <w:rsid w:val="005043A7"/>
    <w:rsid w:val="005044AD"/>
    <w:rsid w:val="00504C23"/>
    <w:rsid w:val="00505235"/>
    <w:rsid w:val="00505381"/>
    <w:rsid w:val="00505626"/>
    <w:rsid w:val="005066AE"/>
    <w:rsid w:val="00506EAD"/>
    <w:rsid w:val="005073A6"/>
    <w:rsid w:val="0050752F"/>
    <w:rsid w:val="00507B21"/>
    <w:rsid w:val="0051076E"/>
    <w:rsid w:val="00510C15"/>
    <w:rsid w:val="00511286"/>
    <w:rsid w:val="0051153D"/>
    <w:rsid w:val="00511AA6"/>
    <w:rsid w:val="0051242B"/>
    <w:rsid w:val="00512FE9"/>
    <w:rsid w:val="0051394C"/>
    <w:rsid w:val="00513997"/>
    <w:rsid w:val="00513EED"/>
    <w:rsid w:val="00514C0B"/>
    <w:rsid w:val="00514C8A"/>
    <w:rsid w:val="00515DF6"/>
    <w:rsid w:val="00517EB1"/>
    <w:rsid w:val="0052061E"/>
    <w:rsid w:val="00520C05"/>
    <w:rsid w:val="005219D5"/>
    <w:rsid w:val="0052235F"/>
    <w:rsid w:val="00522514"/>
    <w:rsid w:val="0052263D"/>
    <w:rsid w:val="00522FE9"/>
    <w:rsid w:val="0052318F"/>
    <w:rsid w:val="0052350E"/>
    <w:rsid w:val="00523794"/>
    <w:rsid w:val="00523842"/>
    <w:rsid w:val="00524F80"/>
    <w:rsid w:val="0052503D"/>
    <w:rsid w:val="00525139"/>
    <w:rsid w:val="00525305"/>
    <w:rsid w:val="005255B8"/>
    <w:rsid w:val="005258B4"/>
    <w:rsid w:val="00526BC7"/>
    <w:rsid w:val="00526EBE"/>
    <w:rsid w:val="0052797D"/>
    <w:rsid w:val="00527EE8"/>
    <w:rsid w:val="00530104"/>
    <w:rsid w:val="00530598"/>
    <w:rsid w:val="00530923"/>
    <w:rsid w:val="0053113D"/>
    <w:rsid w:val="0053114F"/>
    <w:rsid w:val="00531174"/>
    <w:rsid w:val="005311BD"/>
    <w:rsid w:val="00532107"/>
    <w:rsid w:val="005324DE"/>
    <w:rsid w:val="005326AF"/>
    <w:rsid w:val="00532C0E"/>
    <w:rsid w:val="00533193"/>
    <w:rsid w:val="00533DCA"/>
    <w:rsid w:val="0053418B"/>
    <w:rsid w:val="00534585"/>
    <w:rsid w:val="00534B38"/>
    <w:rsid w:val="00534D0B"/>
    <w:rsid w:val="005350C3"/>
    <w:rsid w:val="0053553F"/>
    <w:rsid w:val="00535A3C"/>
    <w:rsid w:val="005374AE"/>
    <w:rsid w:val="00537D53"/>
    <w:rsid w:val="00540016"/>
    <w:rsid w:val="005406AA"/>
    <w:rsid w:val="00540BD1"/>
    <w:rsid w:val="0054148E"/>
    <w:rsid w:val="0054180B"/>
    <w:rsid w:val="00542206"/>
    <w:rsid w:val="00542B90"/>
    <w:rsid w:val="0054332B"/>
    <w:rsid w:val="0054380A"/>
    <w:rsid w:val="00543C7A"/>
    <w:rsid w:val="00543F1C"/>
    <w:rsid w:val="005440A5"/>
    <w:rsid w:val="00545444"/>
    <w:rsid w:val="005454CC"/>
    <w:rsid w:val="0054661B"/>
    <w:rsid w:val="00546FB0"/>
    <w:rsid w:val="0054775C"/>
    <w:rsid w:val="005477BD"/>
    <w:rsid w:val="00547BF8"/>
    <w:rsid w:val="005500F6"/>
    <w:rsid w:val="005506D4"/>
    <w:rsid w:val="005506E7"/>
    <w:rsid w:val="005510E1"/>
    <w:rsid w:val="0055170A"/>
    <w:rsid w:val="005518FE"/>
    <w:rsid w:val="00551BE3"/>
    <w:rsid w:val="00552276"/>
    <w:rsid w:val="00552A93"/>
    <w:rsid w:val="00552AFF"/>
    <w:rsid w:val="005535AB"/>
    <w:rsid w:val="00553C3A"/>
    <w:rsid w:val="00555253"/>
    <w:rsid w:val="005555AE"/>
    <w:rsid w:val="00555AC7"/>
    <w:rsid w:val="00556010"/>
    <w:rsid w:val="005561A2"/>
    <w:rsid w:val="00556A12"/>
    <w:rsid w:val="0055701F"/>
    <w:rsid w:val="00557065"/>
    <w:rsid w:val="00557411"/>
    <w:rsid w:val="00557B76"/>
    <w:rsid w:val="00557CAB"/>
    <w:rsid w:val="00560225"/>
    <w:rsid w:val="0056042B"/>
    <w:rsid w:val="0056063E"/>
    <w:rsid w:val="005608C5"/>
    <w:rsid w:val="0056105B"/>
    <w:rsid w:val="005615D5"/>
    <w:rsid w:val="005616EC"/>
    <w:rsid w:val="00561AE9"/>
    <w:rsid w:val="005623FB"/>
    <w:rsid w:val="005623FE"/>
    <w:rsid w:val="0056254A"/>
    <w:rsid w:val="00564BF7"/>
    <w:rsid w:val="0056509B"/>
    <w:rsid w:val="005650D6"/>
    <w:rsid w:val="00566B50"/>
    <w:rsid w:val="00566C92"/>
    <w:rsid w:val="00566F56"/>
    <w:rsid w:val="00567222"/>
    <w:rsid w:val="00567419"/>
    <w:rsid w:val="00567F1E"/>
    <w:rsid w:val="00570647"/>
    <w:rsid w:val="00570A4A"/>
    <w:rsid w:val="00570D63"/>
    <w:rsid w:val="00571A66"/>
    <w:rsid w:val="0057263A"/>
    <w:rsid w:val="0057309F"/>
    <w:rsid w:val="0057366E"/>
    <w:rsid w:val="00573810"/>
    <w:rsid w:val="00573E70"/>
    <w:rsid w:val="00574785"/>
    <w:rsid w:val="00574DCA"/>
    <w:rsid w:val="005756AE"/>
    <w:rsid w:val="00575CFB"/>
    <w:rsid w:val="00576C11"/>
    <w:rsid w:val="00576E6E"/>
    <w:rsid w:val="00577547"/>
    <w:rsid w:val="00580045"/>
    <w:rsid w:val="00580214"/>
    <w:rsid w:val="005804D0"/>
    <w:rsid w:val="005804F1"/>
    <w:rsid w:val="00580A94"/>
    <w:rsid w:val="00580E18"/>
    <w:rsid w:val="0058174A"/>
    <w:rsid w:val="00581C8A"/>
    <w:rsid w:val="00581CE2"/>
    <w:rsid w:val="00582135"/>
    <w:rsid w:val="0058321C"/>
    <w:rsid w:val="00583239"/>
    <w:rsid w:val="00584A2A"/>
    <w:rsid w:val="00585A6B"/>
    <w:rsid w:val="00585C60"/>
    <w:rsid w:val="005861F9"/>
    <w:rsid w:val="005867C3"/>
    <w:rsid w:val="00586C7E"/>
    <w:rsid w:val="00587A95"/>
    <w:rsid w:val="00587C46"/>
    <w:rsid w:val="00587DEF"/>
    <w:rsid w:val="00590B4B"/>
    <w:rsid w:val="0059191D"/>
    <w:rsid w:val="0059281E"/>
    <w:rsid w:val="005933F5"/>
    <w:rsid w:val="0059370A"/>
    <w:rsid w:val="005939F8"/>
    <w:rsid w:val="00593B20"/>
    <w:rsid w:val="00593B6C"/>
    <w:rsid w:val="0059449B"/>
    <w:rsid w:val="00594B40"/>
    <w:rsid w:val="00594B72"/>
    <w:rsid w:val="00595351"/>
    <w:rsid w:val="00595C5A"/>
    <w:rsid w:val="00596095"/>
    <w:rsid w:val="005960C7"/>
    <w:rsid w:val="0059651D"/>
    <w:rsid w:val="0059737D"/>
    <w:rsid w:val="005977DC"/>
    <w:rsid w:val="005A031A"/>
    <w:rsid w:val="005A0704"/>
    <w:rsid w:val="005A0868"/>
    <w:rsid w:val="005A08B2"/>
    <w:rsid w:val="005A0F0D"/>
    <w:rsid w:val="005A1955"/>
    <w:rsid w:val="005A1D72"/>
    <w:rsid w:val="005A1F0D"/>
    <w:rsid w:val="005A26C2"/>
    <w:rsid w:val="005A28B7"/>
    <w:rsid w:val="005A2A42"/>
    <w:rsid w:val="005A3845"/>
    <w:rsid w:val="005A436E"/>
    <w:rsid w:val="005A4574"/>
    <w:rsid w:val="005A5547"/>
    <w:rsid w:val="005A5599"/>
    <w:rsid w:val="005A5957"/>
    <w:rsid w:val="005A5ACA"/>
    <w:rsid w:val="005A5CF2"/>
    <w:rsid w:val="005A6224"/>
    <w:rsid w:val="005A66E8"/>
    <w:rsid w:val="005A6D31"/>
    <w:rsid w:val="005A6E2D"/>
    <w:rsid w:val="005A76E8"/>
    <w:rsid w:val="005A7913"/>
    <w:rsid w:val="005A7D03"/>
    <w:rsid w:val="005A7DBE"/>
    <w:rsid w:val="005B0E71"/>
    <w:rsid w:val="005B1495"/>
    <w:rsid w:val="005B1BAE"/>
    <w:rsid w:val="005B1DA3"/>
    <w:rsid w:val="005B2830"/>
    <w:rsid w:val="005B2F87"/>
    <w:rsid w:val="005B3003"/>
    <w:rsid w:val="005B3289"/>
    <w:rsid w:val="005B3472"/>
    <w:rsid w:val="005B4081"/>
    <w:rsid w:val="005B4E8B"/>
    <w:rsid w:val="005B58A8"/>
    <w:rsid w:val="005B5940"/>
    <w:rsid w:val="005B5ABB"/>
    <w:rsid w:val="005B5B15"/>
    <w:rsid w:val="005B5DDC"/>
    <w:rsid w:val="005B6750"/>
    <w:rsid w:val="005B7407"/>
    <w:rsid w:val="005B7E5F"/>
    <w:rsid w:val="005B7EEF"/>
    <w:rsid w:val="005C1151"/>
    <w:rsid w:val="005C1208"/>
    <w:rsid w:val="005C1318"/>
    <w:rsid w:val="005C13B7"/>
    <w:rsid w:val="005C1B9F"/>
    <w:rsid w:val="005C1CF8"/>
    <w:rsid w:val="005C2712"/>
    <w:rsid w:val="005C2827"/>
    <w:rsid w:val="005C294D"/>
    <w:rsid w:val="005C2DBB"/>
    <w:rsid w:val="005C3263"/>
    <w:rsid w:val="005C3548"/>
    <w:rsid w:val="005C428D"/>
    <w:rsid w:val="005C49FB"/>
    <w:rsid w:val="005C5AC1"/>
    <w:rsid w:val="005C5CB0"/>
    <w:rsid w:val="005C6021"/>
    <w:rsid w:val="005C686B"/>
    <w:rsid w:val="005C74E0"/>
    <w:rsid w:val="005C7C61"/>
    <w:rsid w:val="005C7D6C"/>
    <w:rsid w:val="005D02F9"/>
    <w:rsid w:val="005D0305"/>
    <w:rsid w:val="005D0DE3"/>
    <w:rsid w:val="005D1103"/>
    <w:rsid w:val="005D19A2"/>
    <w:rsid w:val="005D273E"/>
    <w:rsid w:val="005D367C"/>
    <w:rsid w:val="005D3E8F"/>
    <w:rsid w:val="005D3EB4"/>
    <w:rsid w:val="005D41E4"/>
    <w:rsid w:val="005D454E"/>
    <w:rsid w:val="005D4941"/>
    <w:rsid w:val="005D4D12"/>
    <w:rsid w:val="005D53FF"/>
    <w:rsid w:val="005D564D"/>
    <w:rsid w:val="005D57A2"/>
    <w:rsid w:val="005D5C62"/>
    <w:rsid w:val="005D5EDF"/>
    <w:rsid w:val="005D6011"/>
    <w:rsid w:val="005D6402"/>
    <w:rsid w:val="005D67B6"/>
    <w:rsid w:val="005D723A"/>
    <w:rsid w:val="005D7F17"/>
    <w:rsid w:val="005D7F29"/>
    <w:rsid w:val="005E02AD"/>
    <w:rsid w:val="005E06DC"/>
    <w:rsid w:val="005E089F"/>
    <w:rsid w:val="005E0D1D"/>
    <w:rsid w:val="005E0E88"/>
    <w:rsid w:val="005E14A6"/>
    <w:rsid w:val="005E1D79"/>
    <w:rsid w:val="005E261D"/>
    <w:rsid w:val="005E2D4F"/>
    <w:rsid w:val="005E312C"/>
    <w:rsid w:val="005E3740"/>
    <w:rsid w:val="005E3981"/>
    <w:rsid w:val="005E3F01"/>
    <w:rsid w:val="005E3F32"/>
    <w:rsid w:val="005E40CE"/>
    <w:rsid w:val="005E41E2"/>
    <w:rsid w:val="005E4A58"/>
    <w:rsid w:val="005E53EC"/>
    <w:rsid w:val="005E584B"/>
    <w:rsid w:val="005E5FAD"/>
    <w:rsid w:val="005E6F76"/>
    <w:rsid w:val="005E6F85"/>
    <w:rsid w:val="005E71AA"/>
    <w:rsid w:val="005E72E6"/>
    <w:rsid w:val="005E7CA6"/>
    <w:rsid w:val="005F0298"/>
    <w:rsid w:val="005F0C2D"/>
    <w:rsid w:val="005F1297"/>
    <w:rsid w:val="005F1DBA"/>
    <w:rsid w:val="005F2468"/>
    <w:rsid w:val="005F26D6"/>
    <w:rsid w:val="005F2A17"/>
    <w:rsid w:val="005F2B96"/>
    <w:rsid w:val="005F2E2F"/>
    <w:rsid w:val="005F379B"/>
    <w:rsid w:val="005F3FE2"/>
    <w:rsid w:val="005F4055"/>
    <w:rsid w:val="005F49AF"/>
    <w:rsid w:val="005F4CFB"/>
    <w:rsid w:val="005F646F"/>
    <w:rsid w:val="005F76A9"/>
    <w:rsid w:val="00600845"/>
    <w:rsid w:val="00600AA9"/>
    <w:rsid w:val="00600D54"/>
    <w:rsid w:val="0060126D"/>
    <w:rsid w:val="006012BD"/>
    <w:rsid w:val="006013C2"/>
    <w:rsid w:val="00601576"/>
    <w:rsid w:val="00601DC3"/>
    <w:rsid w:val="00602327"/>
    <w:rsid w:val="006024DF"/>
    <w:rsid w:val="006024FC"/>
    <w:rsid w:val="00602B69"/>
    <w:rsid w:val="00603179"/>
    <w:rsid w:val="0060338A"/>
    <w:rsid w:val="006033B7"/>
    <w:rsid w:val="0060344B"/>
    <w:rsid w:val="00603CAF"/>
    <w:rsid w:val="00604995"/>
    <w:rsid w:val="006056F9"/>
    <w:rsid w:val="0060624F"/>
    <w:rsid w:val="00606840"/>
    <w:rsid w:val="00606DB3"/>
    <w:rsid w:val="0060738C"/>
    <w:rsid w:val="006076DC"/>
    <w:rsid w:val="00607BB8"/>
    <w:rsid w:val="00607C09"/>
    <w:rsid w:val="006107D0"/>
    <w:rsid w:val="00610EFC"/>
    <w:rsid w:val="006117EF"/>
    <w:rsid w:val="00611942"/>
    <w:rsid w:val="00611E60"/>
    <w:rsid w:val="00611F9D"/>
    <w:rsid w:val="00612772"/>
    <w:rsid w:val="00612B67"/>
    <w:rsid w:val="00612BFB"/>
    <w:rsid w:val="0061302E"/>
    <w:rsid w:val="006137EB"/>
    <w:rsid w:val="006152EF"/>
    <w:rsid w:val="0061553F"/>
    <w:rsid w:val="00615B3B"/>
    <w:rsid w:val="00615C66"/>
    <w:rsid w:val="00615D16"/>
    <w:rsid w:val="0061614A"/>
    <w:rsid w:val="00617016"/>
    <w:rsid w:val="00617278"/>
    <w:rsid w:val="0061778C"/>
    <w:rsid w:val="006206A3"/>
    <w:rsid w:val="00620BC9"/>
    <w:rsid w:val="0062159D"/>
    <w:rsid w:val="0062177C"/>
    <w:rsid w:val="00621AC4"/>
    <w:rsid w:val="00622082"/>
    <w:rsid w:val="006225D4"/>
    <w:rsid w:val="00623B9B"/>
    <w:rsid w:val="00624379"/>
    <w:rsid w:val="00624BFE"/>
    <w:rsid w:val="006250C1"/>
    <w:rsid w:val="0062523E"/>
    <w:rsid w:val="00625B8E"/>
    <w:rsid w:val="00626607"/>
    <w:rsid w:val="00626654"/>
    <w:rsid w:val="00626CC8"/>
    <w:rsid w:val="00626E0C"/>
    <w:rsid w:val="0062713C"/>
    <w:rsid w:val="00627152"/>
    <w:rsid w:val="0062783F"/>
    <w:rsid w:val="006304D0"/>
    <w:rsid w:val="00630639"/>
    <w:rsid w:val="0063092F"/>
    <w:rsid w:val="00630EAF"/>
    <w:rsid w:val="0063149B"/>
    <w:rsid w:val="00631C7F"/>
    <w:rsid w:val="00631CC0"/>
    <w:rsid w:val="00631E77"/>
    <w:rsid w:val="00632364"/>
    <w:rsid w:val="00632E0C"/>
    <w:rsid w:val="00632F05"/>
    <w:rsid w:val="00633BBA"/>
    <w:rsid w:val="00633C1B"/>
    <w:rsid w:val="00634837"/>
    <w:rsid w:val="00634D1A"/>
    <w:rsid w:val="00634FD2"/>
    <w:rsid w:val="0063545F"/>
    <w:rsid w:val="006358E0"/>
    <w:rsid w:val="00635BBF"/>
    <w:rsid w:val="00635FC7"/>
    <w:rsid w:val="0064006A"/>
    <w:rsid w:val="00640252"/>
    <w:rsid w:val="00640580"/>
    <w:rsid w:val="00641FAB"/>
    <w:rsid w:val="00642165"/>
    <w:rsid w:val="00642425"/>
    <w:rsid w:val="006425E3"/>
    <w:rsid w:val="006426C5"/>
    <w:rsid w:val="00643249"/>
    <w:rsid w:val="006436FB"/>
    <w:rsid w:val="00643EF4"/>
    <w:rsid w:val="00643F5E"/>
    <w:rsid w:val="00643FA3"/>
    <w:rsid w:val="006445D1"/>
    <w:rsid w:val="00644B7E"/>
    <w:rsid w:val="00644D7A"/>
    <w:rsid w:val="00645028"/>
    <w:rsid w:val="00645125"/>
    <w:rsid w:val="00645E41"/>
    <w:rsid w:val="0064707D"/>
    <w:rsid w:val="0064784E"/>
    <w:rsid w:val="00647917"/>
    <w:rsid w:val="00647BF7"/>
    <w:rsid w:val="006508DC"/>
    <w:rsid w:val="006520F3"/>
    <w:rsid w:val="00652D94"/>
    <w:rsid w:val="0065356A"/>
    <w:rsid w:val="0065376A"/>
    <w:rsid w:val="00653D75"/>
    <w:rsid w:val="00654021"/>
    <w:rsid w:val="0065415A"/>
    <w:rsid w:val="00654993"/>
    <w:rsid w:val="00654D0E"/>
    <w:rsid w:val="0065586B"/>
    <w:rsid w:val="00656400"/>
    <w:rsid w:val="0065642B"/>
    <w:rsid w:val="00656553"/>
    <w:rsid w:val="006566BA"/>
    <w:rsid w:val="00656981"/>
    <w:rsid w:val="00656E3E"/>
    <w:rsid w:val="00657177"/>
    <w:rsid w:val="006571C6"/>
    <w:rsid w:val="0065799F"/>
    <w:rsid w:val="00657D09"/>
    <w:rsid w:val="0066072A"/>
    <w:rsid w:val="00661383"/>
    <w:rsid w:val="0066194B"/>
    <w:rsid w:val="00661A6B"/>
    <w:rsid w:val="00661EEB"/>
    <w:rsid w:val="00662681"/>
    <w:rsid w:val="00662811"/>
    <w:rsid w:val="00662959"/>
    <w:rsid w:val="006637DA"/>
    <w:rsid w:val="0066384D"/>
    <w:rsid w:val="0066386C"/>
    <w:rsid w:val="00664181"/>
    <w:rsid w:val="00664E8F"/>
    <w:rsid w:val="0066506C"/>
    <w:rsid w:val="006655F3"/>
    <w:rsid w:val="00665E8B"/>
    <w:rsid w:val="00666AD4"/>
    <w:rsid w:val="00666D0B"/>
    <w:rsid w:val="00666F8F"/>
    <w:rsid w:val="00667078"/>
    <w:rsid w:val="00667962"/>
    <w:rsid w:val="0067045D"/>
    <w:rsid w:val="00670658"/>
    <w:rsid w:val="00671253"/>
    <w:rsid w:val="0067145C"/>
    <w:rsid w:val="0067193A"/>
    <w:rsid w:val="00672118"/>
    <w:rsid w:val="00672C14"/>
    <w:rsid w:val="00672D02"/>
    <w:rsid w:val="00672DB8"/>
    <w:rsid w:val="006730F5"/>
    <w:rsid w:val="00673256"/>
    <w:rsid w:val="00673A98"/>
    <w:rsid w:val="00674054"/>
    <w:rsid w:val="00674598"/>
    <w:rsid w:val="00674D5F"/>
    <w:rsid w:val="006751DA"/>
    <w:rsid w:val="00675CC5"/>
    <w:rsid w:val="0067660A"/>
    <w:rsid w:val="00676801"/>
    <w:rsid w:val="00676BC9"/>
    <w:rsid w:val="00676D26"/>
    <w:rsid w:val="0067726C"/>
    <w:rsid w:val="00677524"/>
    <w:rsid w:val="00677863"/>
    <w:rsid w:val="006805EF"/>
    <w:rsid w:val="00680B56"/>
    <w:rsid w:val="00680FD4"/>
    <w:rsid w:val="006817B5"/>
    <w:rsid w:val="00681F27"/>
    <w:rsid w:val="00681FCD"/>
    <w:rsid w:val="00682D26"/>
    <w:rsid w:val="00683318"/>
    <w:rsid w:val="00683722"/>
    <w:rsid w:val="00683BF0"/>
    <w:rsid w:val="00683CC2"/>
    <w:rsid w:val="0068486C"/>
    <w:rsid w:val="00685062"/>
    <w:rsid w:val="00685665"/>
    <w:rsid w:val="00685B04"/>
    <w:rsid w:val="006865A1"/>
    <w:rsid w:val="0068678C"/>
    <w:rsid w:val="00686D28"/>
    <w:rsid w:val="006872E1"/>
    <w:rsid w:val="00687750"/>
    <w:rsid w:val="006878CD"/>
    <w:rsid w:val="00687D33"/>
    <w:rsid w:val="0069015D"/>
    <w:rsid w:val="006902EA"/>
    <w:rsid w:val="00690C7E"/>
    <w:rsid w:val="006914E7"/>
    <w:rsid w:val="006916C3"/>
    <w:rsid w:val="00692B06"/>
    <w:rsid w:val="0069301B"/>
    <w:rsid w:val="006930D9"/>
    <w:rsid w:val="00693466"/>
    <w:rsid w:val="006937C6"/>
    <w:rsid w:val="00694485"/>
    <w:rsid w:val="00695B62"/>
    <w:rsid w:val="006961E3"/>
    <w:rsid w:val="00696F86"/>
    <w:rsid w:val="00697C06"/>
    <w:rsid w:val="00697E32"/>
    <w:rsid w:val="00697F74"/>
    <w:rsid w:val="006A0006"/>
    <w:rsid w:val="006A0017"/>
    <w:rsid w:val="006A0393"/>
    <w:rsid w:val="006A0C2D"/>
    <w:rsid w:val="006A0CA9"/>
    <w:rsid w:val="006A1933"/>
    <w:rsid w:val="006A1ACD"/>
    <w:rsid w:val="006A1B5A"/>
    <w:rsid w:val="006A2702"/>
    <w:rsid w:val="006A2BA2"/>
    <w:rsid w:val="006A2FE7"/>
    <w:rsid w:val="006A376E"/>
    <w:rsid w:val="006A3C53"/>
    <w:rsid w:val="006A3CAA"/>
    <w:rsid w:val="006A4558"/>
    <w:rsid w:val="006A46F5"/>
    <w:rsid w:val="006A4E13"/>
    <w:rsid w:val="006A4EC2"/>
    <w:rsid w:val="006A538E"/>
    <w:rsid w:val="006A5399"/>
    <w:rsid w:val="006A57E1"/>
    <w:rsid w:val="006A5A93"/>
    <w:rsid w:val="006A6840"/>
    <w:rsid w:val="006A7001"/>
    <w:rsid w:val="006A723D"/>
    <w:rsid w:val="006A7777"/>
    <w:rsid w:val="006A7F46"/>
    <w:rsid w:val="006B001B"/>
    <w:rsid w:val="006B1229"/>
    <w:rsid w:val="006B12FD"/>
    <w:rsid w:val="006B138B"/>
    <w:rsid w:val="006B1515"/>
    <w:rsid w:val="006B1CF9"/>
    <w:rsid w:val="006B21A9"/>
    <w:rsid w:val="006B2878"/>
    <w:rsid w:val="006B2AE4"/>
    <w:rsid w:val="006B318C"/>
    <w:rsid w:val="006B3202"/>
    <w:rsid w:val="006B3250"/>
    <w:rsid w:val="006B32E4"/>
    <w:rsid w:val="006B3737"/>
    <w:rsid w:val="006B37F9"/>
    <w:rsid w:val="006B3941"/>
    <w:rsid w:val="006B5089"/>
    <w:rsid w:val="006B55FA"/>
    <w:rsid w:val="006B5711"/>
    <w:rsid w:val="006B5DA1"/>
    <w:rsid w:val="006B6121"/>
    <w:rsid w:val="006B6902"/>
    <w:rsid w:val="006B6A1F"/>
    <w:rsid w:val="006B73EB"/>
    <w:rsid w:val="006B74BB"/>
    <w:rsid w:val="006B7AC2"/>
    <w:rsid w:val="006C0C3E"/>
    <w:rsid w:val="006C0FB6"/>
    <w:rsid w:val="006C1354"/>
    <w:rsid w:val="006C2BAC"/>
    <w:rsid w:val="006C3C1B"/>
    <w:rsid w:val="006C47B6"/>
    <w:rsid w:val="006C535C"/>
    <w:rsid w:val="006C6A47"/>
    <w:rsid w:val="006C6A6E"/>
    <w:rsid w:val="006C7B02"/>
    <w:rsid w:val="006D104E"/>
    <w:rsid w:val="006D150C"/>
    <w:rsid w:val="006D17BD"/>
    <w:rsid w:val="006D1879"/>
    <w:rsid w:val="006D2433"/>
    <w:rsid w:val="006D263D"/>
    <w:rsid w:val="006D2A23"/>
    <w:rsid w:val="006D3D83"/>
    <w:rsid w:val="006D3E81"/>
    <w:rsid w:val="006D4A00"/>
    <w:rsid w:val="006D4E20"/>
    <w:rsid w:val="006D5B0A"/>
    <w:rsid w:val="006D5C24"/>
    <w:rsid w:val="006D5CB2"/>
    <w:rsid w:val="006D60BD"/>
    <w:rsid w:val="006D6AC9"/>
    <w:rsid w:val="006D7421"/>
    <w:rsid w:val="006E09A3"/>
    <w:rsid w:val="006E1021"/>
    <w:rsid w:val="006E110A"/>
    <w:rsid w:val="006E1C11"/>
    <w:rsid w:val="006E1C5E"/>
    <w:rsid w:val="006E2813"/>
    <w:rsid w:val="006E2E33"/>
    <w:rsid w:val="006E308D"/>
    <w:rsid w:val="006E385F"/>
    <w:rsid w:val="006E3A70"/>
    <w:rsid w:val="006E3AE8"/>
    <w:rsid w:val="006E4244"/>
    <w:rsid w:val="006E4DC7"/>
    <w:rsid w:val="006E4FCE"/>
    <w:rsid w:val="006E5010"/>
    <w:rsid w:val="006E54E9"/>
    <w:rsid w:val="006E5530"/>
    <w:rsid w:val="006E5CC1"/>
    <w:rsid w:val="006E5D68"/>
    <w:rsid w:val="006E6201"/>
    <w:rsid w:val="006E6402"/>
    <w:rsid w:val="006E643A"/>
    <w:rsid w:val="006E6F20"/>
    <w:rsid w:val="006E6F23"/>
    <w:rsid w:val="006E723A"/>
    <w:rsid w:val="006E7537"/>
    <w:rsid w:val="006E75EE"/>
    <w:rsid w:val="006E780B"/>
    <w:rsid w:val="006E7C5E"/>
    <w:rsid w:val="006F1960"/>
    <w:rsid w:val="006F1AAF"/>
    <w:rsid w:val="006F217E"/>
    <w:rsid w:val="006F284E"/>
    <w:rsid w:val="006F3332"/>
    <w:rsid w:val="006F39C8"/>
    <w:rsid w:val="006F40C7"/>
    <w:rsid w:val="006F488B"/>
    <w:rsid w:val="006F4C6E"/>
    <w:rsid w:val="006F4FF3"/>
    <w:rsid w:val="006F5967"/>
    <w:rsid w:val="006F64E9"/>
    <w:rsid w:val="006F6BF8"/>
    <w:rsid w:val="006F6CE8"/>
    <w:rsid w:val="006F7006"/>
    <w:rsid w:val="006F7325"/>
    <w:rsid w:val="00700778"/>
    <w:rsid w:val="00700BAD"/>
    <w:rsid w:val="00702173"/>
    <w:rsid w:val="0070237B"/>
    <w:rsid w:val="007026F7"/>
    <w:rsid w:val="00702AD1"/>
    <w:rsid w:val="00702E3E"/>
    <w:rsid w:val="00702FD2"/>
    <w:rsid w:val="0070332D"/>
    <w:rsid w:val="007034FF"/>
    <w:rsid w:val="00704140"/>
    <w:rsid w:val="0070488F"/>
    <w:rsid w:val="007048E3"/>
    <w:rsid w:val="00704AAA"/>
    <w:rsid w:val="007056CD"/>
    <w:rsid w:val="007059C7"/>
    <w:rsid w:val="00705C4E"/>
    <w:rsid w:val="007061C5"/>
    <w:rsid w:val="0070626A"/>
    <w:rsid w:val="0070632B"/>
    <w:rsid w:val="00706950"/>
    <w:rsid w:val="00707184"/>
    <w:rsid w:val="007073D5"/>
    <w:rsid w:val="0070761F"/>
    <w:rsid w:val="00707752"/>
    <w:rsid w:val="007079AE"/>
    <w:rsid w:val="00707C3E"/>
    <w:rsid w:val="00707C97"/>
    <w:rsid w:val="00710334"/>
    <w:rsid w:val="007105B9"/>
    <w:rsid w:val="00710D05"/>
    <w:rsid w:val="00710F64"/>
    <w:rsid w:val="00711A88"/>
    <w:rsid w:val="00711B0A"/>
    <w:rsid w:val="00712B7F"/>
    <w:rsid w:val="00712EC9"/>
    <w:rsid w:val="00715A06"/>
    <w:rsid w:val="00715D11"/>
    <w:rsid w:val="007160DA"/>
    <w:rsid w:val="007162B9"/>
    <w:rsid w:val="007167F7"/>
    <w:rsid w:val="00716AB7"/>
    <w:rsid w:val="00717D46"/>
    <w:rsid w:val="00717FB3"/>
    <w:rsid w:val="00720F5C"/>
    <w:rsid w:val="00721003"/>
    <w:rsid w:val="00721EB5"/>
    <w:rsid w:val="0072225D"/>
    <w:rsid w:val="00722674"/>
    <w:rsid w:val="007227E5"/>
    <w:rsid w:val="007236CE"/>
    <w:rsid w:val="00723B06"/>
    <w:rsid w:val="00723F51"/>
    <w:rsid w:val="007249D7"/>
    <w:rsid w:val="00725159"/>
    <w:rsid w:val="007256ED"/>
    <w:rsid w:val="00725CAE"/>
    <w:rsid w:val="0072604A"/>
    <w:rsid w:val="00726680"/>
    <w:rsid w:val="00726939"/>
    <w:rsid w:val="00726B33"/>
    <w:rsid w:val="00726FB9"/>
    <w:rsid w:val="00727A14"/>
    <w:rsid w:val="00730412"/>
    <w:rsid w:val="00730973"/>
    <w:rsid w:val="00730DA2"/>
    <w:rsid w:val="007310EE"/>
    <w:rsid w:val="00731589"/>
    <w:rsid w:val="00731D94"/>
    <w:rsid w:val="00731ED1"/>
    <w:rsid w:val="00732511"/>
    <w:rsid w:val="007332B2"/>
    <w:rsid w:val="007338B4"/>
    <w:rsid w:val="00733947"/>
    <w:rsid w:val="00733F19"/>
    <w:rsid w:val="00734176"/>
    <w:rsid w:val="00734553"/>
    <w:rsid w:val="0073461F"/>
    <w:rsid w:val="007351C7"/>
    <w:rsid w:val="0073574C"/>
    <w:rsid w:val="00735F00"/>
    <w:rsid w:val="0073628E"/>
    <w:rsid w:val="0073697B"/>
    <w:rsid w:val="00736A95"/>
    <w:rsid w:val="00736C16"/>
    <w:rsid w:val="00736FF0"/>
    <w:rsid w:val="00737644"/>
    <w:rsid w:val="00737719"/>
    <w:rsid w:val="00740A4E"/>
    <w:rsid w:val="00741151"/>
    <w:rsid w:val="00741A57"/>
    <w:rsid w:val="00742251"/>
    <w:rsid w:val="00742691"/>
    <w:rsid w:val="00743271"/>
    <w:rsid w:val="007433CB"/>
    <w:rsid w:val="00743533"/>
    <w:rsid w:val="00743A07"/>
    <w:rsid w:val="00743E49"/>
    <w:rsid w:val="0074411D"/>
    <w:rsid w:val="00744285"/>
    <w:rsid w:val="00744C40"/>
    <w:rsid w:val="007451AD"/>
    <w:rsid w:val="00745322"/>
    <w:rsid w:val="007453F7"/>
    <w:rsid w:val="00745745"/>
    <w:rsid w:val="00746463"/>
    <w:rsid w:val="00746995"/>
    <w:rsid w:val="00747EBA"/>
    <w:rsid w:val="00750B8D"/>
    <w:rsid w:val="007514AC"/>
    <w:rsid w:val="00751A06"/>
    <w:rsid w:val="007522F6"/>
    <w:rsid w:val="00752EC8"/>
    <w:rsid w:val="00754465"/>
    <w:rsid w:val="00754BB2"/>
    <w:rsid w:val="00754DEC"/>
    <w:rsid w:val="00755575"/>
    <w:rsid w:val="007566CD"/>
    <w:rsid w:val="00756B1B"/>
    <w:rsid w:val="00756D43"/>
    <w:rsid w:val="007571B8"/>
    <w:rsid w:val="007578B1"/>
    <w:rsid w:val="00761260"/>
    <w:rsid w:val="007616D5"/>
    <w:rsid w:val="007618C0"/>
    <w:rsid w:val="00762771"/>
    <w:rsid w:val="0076363D"/>
    <w:rsid w:val="00763E4C"/>
    <w:rsid w:val="0076440B"/>
    <w:rsid w:val="00764C4D"/>
    <w:rsid w:val="00766237"/>
    <w:rsid w:val="00766AC2"/>
    <w:rsid w:val="00767AD8"/>
    <w:rsid w:val="00767D83"/>
    <w:rsid w:val="00770317"/>
    <w:rsid w:val="007706DF"/>
    <w:rsid w:val="007709EB"/>
    <w:rsid w:val="00770A9B"/>
    <w:rsid w:val="00770EC1"/>
    <w:rsid w:val="00770FDA"/>
    <w:rsid w:val="007717A7"/>
    <w:rsid w:val="007718DE"/>
    <w:rsid w:val="00771D79"/>
    <w:rsid w:val="007720AF"/>
    <w:rsid w:val="00772C2E"/>
    <w:rsid w:val="0077324A"/>
    <w:rsid w:val="0077334F"/>
    <w:rsid w:val="007733D3"/>
    <w:rsid w:val="007737D6"/>
    <w:rsid w:val="0077404E"/>
    <w:rsid w:val="00774487"/>
    <w:rsid w:val="0077593B"/>
    <w:rsid w:val="00775ECF"/>
    <w:rsid w:val="00777BB8"/>
    <w:rsid w:val="00780F60"/>
    <w:rsid w:val="0078156B"/>
    <w:rsid w:val="00781926"/>
    <w:rsid w:val="00781AD2"/>
    <w:rsid w:val="00781EE8"/>
    <w:rsid w:val="0078267F"/>
    <w:rsid w:val="00782A1C"/>
    <w:rsid w:val="00782DD6"/>
    <w:rsid w:val="00784D08"/>
    <w:rsid w:val="00785D1F"/>
    <w:rsid w:val="00786A1E"/>
    <w:rsid w:val="00786E84"/>
    <w:rsid w:val="0078724F"/>
    <w:rsid w:val="0078749F"/>
    <w:rsid w:val="0079106B"/>
    <w:rsid w:val="0079106D"/>
    <w:rsid w:val="007913EB"/>
    <w:rsid w:val="00791809"/>
    <w:rsid w:val="0079248D"/>
    <w:rsid w:val="00792525"/>
    <w:rsid w:val="00792557"/>
    <w:rsid w:val="007926D3"/>
    <w:rsid w:val="007926FF"/>
    <w:rsid w:val="00792A8D"/>
    <w:rsid w:val="00792C30"/>
    <w:rsid w:val="00792CA9"/>
    <w:rsid w:val="00794915"/>
    <w:rsid w:val="00794FF0"/>
    <w:rsid w:val="007952D4"/>
    <w:rsid w:val="007969F0"/>
    <w:rsid w:val="00796F62"/>
    <w:rsid w:val="0079794F"/>
    <w:rsid w:val="007A05FB"/>
    <w:rsid w:val="007A0772"/>
    <w:rsid w:val="007A0E91"/>
    <w:rsid w:val="007A12FA"/>
    <w:rsid w:val="007A17C8"/>
    <w:rsid w:val="007A1F26"/>
    <w:rsid w:val="007A2112"/>
    <w:rsid w:val="007A27BD"/>
    <w:rsid w:val="007A2931"/>
    <w:rsid w:val="007A2C67"/>
    <w:rsid w:val="007A2E99"/>
    <w:rsid w:val="007A2F99"/>
    <w:rsid w:val="007A30FA"/>
    <w:rsid w:val="007A39B6"/>
    <w:rsid w:val="007A4E04"/>
    <w:rsid w:val="007A5484"/>
    <w:rsid w:val="007A57CD"/>
    <w:rsid w:val="007A591D"/>
    <w:rsid w:val="007A5939"/>
    <w:rsid w:val="007A5995"/>
    <w:rsid w:val="007A5B3F"/>
    <w:rsid w:val="007A61F4"/>
    <w:rsid w:val="007A64DC"/>
    <w:rsid w:val="007A6C5B"/>
    <w:rsid w:val="007A6CAD"/>
    <w:rsid w:val="007A6DE7"/>
    <w:rsid w:val="007A6E37"/>
    <w:rsid w:val="007A7CA2"/>
    <w:rsid w:val="007B028D"/>
    <w:rsid w:val="007B033A"/>
    <w:rsid w:val="007B0D41"/>
    <w:rsid w:val="007B0DA3"/>
    <w:rsid w:val="007B179D"/>
    <w:rsid w:val="007B1CEC"/>
    <w:rsid w:val="007B213C"/>
    <w:rsid w:val="007B22C0"/>
    <w:rsid w:val="007B235E"/>
    <w:rsid w:val="007B2DA8"/>
    <w:rsid w:val="007B2E11"/>
    <w:rsid w:val="007B2FF5"/>
    <w:rsid w:val="007B2FF6"/>
    <w:rsid w:val="007B3539"/>
    <w:rsid w:val="007B376F"/>
    <w:rsid w:val="007B37B4"/>
    <w:rsid w:val="007B4203"/>
    <w:rsid w:val="007B473D"/>
    <w:rsid w:val="007B4A8F"/>
    <w:rsid w:val="007B523F"/>
    <w:rsid w:val="007B5EBC"/>
    <w:rsid w:val="007B661E"/>
    <w:rsid w:val="007B69C6"/>
    <w:rsid w:val="007B730A"/>
    <w:rsid w:val="007B74FE"/>
    <w:rsid w:val="007B77A7"/>
    <w:rsid w:val="007B78CE"/>
    <w:rsid w:val="007B7998"/>
    <w:rsid w:val="007C06DC"/>
    <w:rsid w:val="007C129F"/>
    <w:rsid w:val="007C1AAE"/>
    <w:rsid w:val="007C239C"/>
    <w:rsid w:val="007C2C77"/>
    <w:rsid w:val="007C315A"/>
    <w:rsid w:val="007C35A7"/>
    <w:rsid w:val="007C3751"/>
    <w:rsid w:val="007C3CD5"/>
    <w:rsid w:val="007C4670"/>
    <w:rsid w:val="007C4882"/>
    <w:rsid w:val="007C4956"/>
    <w:rsid w:val="007C4BC7"/>
    <w:rsid w:val="007C4D5B"/>
    <w:rsid w:val="007C5465"/>
    <w:rsid w:val="007C551F"/>
    <w:rsid w:val="007C59C7"/>
    <w:rsid w:val="007C5E4E"/>
    <w:rsid w:val="007C64F9"/>
    <w:rsid w:val="007C6CD7"/>
    <w:rsid w:val="007C6DFE"/>
    <w:rsid w:val="007C71B3"/>
    <w:rsid w:val="007C75AB"/>
    <w:rsid w:val="007C7FC1"/>
    <w:rsid w:val="007D07B6"/>
    <w:rsid w:val="007D1789"/>
    <w:rsid w:val="007D1D95"/>
    <w:rsid w:val="007D1DF2"/>
    <w:rsid w:val="007D2206"/>
    <w:rsid w:val="007D2AB6"/>
    <w:rsid w:val="007D2F6D"/>
    <w:rsid w:val="007D3552"/>
    <w:rsid w:val="007D3E6B"/>
    <w:rsid w:val="007D462A"/>
    <w:rsid w:val="007D639A"/>
    <w:rsid w:val="007D7FEC"/>
    <w:rsid w:val="007E1FAD"/>
    <w:rsid w:val="007E3A67"/>
    <w:rsid w:val="007E4458"/>
    <w:rsid w:val="007E4525"/>
    <w:rsid w:val="007E49E3"/>
    <w:rsid w:val="007E5845"/>
    <w:rsid w:val="007E5EEC"/>
    <w:rsid w:val="007E6366"/>
    <w:rsid w:val="007E6AFA"/>
    <w:rsid w:val="007F060E"/>
    <w:rsid w:val="007F090D"/>
    <w:rsid w:val="007F0C4C"/>
    <w:rsid w:val="007F0D2E"/>
    <w:rsid w:val="007F169F"/>
    <w:rsid w:val="007F16A3"/>
    <w:rsid w:val="007F263D"/>
    <w:rsid w:val="007F42CC"/>
    <w:rsid w:val="007F4870"/>
    <w:rsid w:val="007F4D47"/>
    <w:rsid w:val="007F53AD"/>
    <w:rsid w:val="007F5CEB"/>
    <w:rsid w:val="007F67A1"/>
    <w:rsid w:val="007F69D2"/>
    <w:rsid w:val="007F6AC1"/>
    <w:rsid w:val="007F7887"/>
    <w:rsid w:val="007F78CF"/>
    <w:rsid w:val="007F7A0B"/>
    <w:rsid w:val="007F7DF8"/>
    <w:rsid w:val="008000EA"/>
    <w:rsid w:val="0080064F"/>
    <w:rsid w:val="00800808"/>
    <w:rsid w:val="00801041"/>
    <w:rsid w:val="008015C3"/>
    <w:rsid w:val="00801843"/>
    <w:rsid w:val="00801B00"/>
    <w:rsid w:val="00801E45"/>
    <w:rsid w:val="0080207D"/>
    <w:rsid w:val="0080223E"/>
    <w:rsid w:val="0080284C"/>
    <w:rsid w:val="008038AA"/>
    <w:rsid w:val="00803CB2"/>
    <w:rsid w:val="00803CBB"/>
    <w:rsid w:val="0080408C"/>
    <w:rsid w:val="00804F57"/>
    <w:rsid w:val="00805023"/>
    <w:rsid w:val="00805147"/>
    <w:rsid w:val="0080585F"/>
    <w:rsid w:val="00805A1F"/>
    <w:rsid w:val="00806C7A"/>
    <w:rsid w:val="00806C85"/>
    <w:rsid w:val="00807312"/>
    <w:rsid w:val="0080774F"/>
    <w:rsid w:val="008078D9"/>
    <w:rsid w:val="00807D2F"/>
    <w:rsid w:val="008111A2"/>
    <w:rsid w:val="008119F2"/>
    <w:rsid w:val="008120FD"/>
    <w:rsid w:val="0081225A"/>
    <w:rsid w:val="0081304B"/>
    <w:rsid w:val="00813752"/>
    <w:rsid w:val="00813B81"/>
    <w:rsid w:val="0081425D"/>
    <w:rsid w:val="00814408"/>
    <w:rsid w:val="008144B5"/>
    <w:rsid w:val="00814678"/>
    <w:rsid w:val="00815386"/>
    <w:rsid w:val="00815BE3"/>
    <w:rsid w:val="00815F9D"/>
    <w:rsid w:val="0081672E"/>
    <w:rsid w:val="008170B1"/>
    <w:rsid w:val="00817CE3"/>
    <w:rsid w:val="008203D9"/>
    <w:rsid w:val="0082077C"/>
    <w:rsid w:val="0082187E"/>
    <w:rsid w:val="00821947"/>
    <w:rsid w:val="00821E12"/>
    <w:rsid w:val="00822217"/>
    <w:rsid w:val="008223DC"/>
    <w:rsid w:val="008224BC"/>
    <w:rsid w:val="00822AB3"/>
    <w:rsid w:val="00822DE3"/>
    <w:rsid w:val="00822E13"/>
    <w:rsid w:val="00822ED6"/>
    <w:rsid w:val="00823435"/>
    <w:rsid w:val="008237C8"/>
    <w:rsid w:val="008245A9"/>
    <w:rsid w:val="00824939"/>
    <w:rsid w:val="0082539C"/>
    <w:rsid w:val="008256E2"/>
    <w:rsid w:val="0082592E"/>
    <w:rsid w:val="00826491"/>
    <w:rsid w:val="00826EA2"/>
    <w:rsid w:val="00827A29"/>
    <w:rsid w:val="00827D31"/>
    <w:rsid w:val="008305B5"/>
    <w:rsid w:val="00830F3F"/>
    <w:rsid w:val="008311DB"/>
    <w:rsid w:val="00831778"/>
    <w:rsid w:val="00831BBE"/>
    <w:rsid w:val="00832481"/>
    <w:rsid w:val="00832984"/>
    <w:rsid w:val="00832AD2"/>
    <w:rsid w:val="00832C51"/>
    <w:rsid w:val="0083438A"/>
    <w:rsid w:val="00834670"/>
    <w:rsid w:val="008346BF"/>
    <w:rsid w:val="00834C0C"/>
    <w:rsid w:val="00834DC8"/>
    <w:rsid w:val="00835AA2"/>
    <w:rsid w:val="00835C8C"/>
    <w:rsid w:val="0083648F"/>
    <w:rsid w:val="00837673"/>
    <w:rsid w:val="00837824"/>
    <w:rsid w:val="008401D2"/>
    <w:rsid w:val="008402B4"/>
    <w:rsid w:val="00840E4F"/>
    <w:rsid w:val="00840EFC"/>
    <w:rsid w:val="0084105E"/>
    <w:rsid w:val="008415B2"/>
    <w:rsid w:val="00842B5A"/>
    <w:rsid w:val="00843097"/>
    <w:rsid w:val="0084359D"/>
    <w:rsid w:val="00843CCF"/>
    <w:rsid w:val="00843F3E"/>
    <w:rsid w:val="00844BA2"/>
    <w:rsid w:val="00844E66"/>
    <w:rsid w:val="00845189"/>
    <w:rsid w:val="008453AC"/>
    <w:rsid w:val="00845570"/>
    <w:rsid w:val="00845A63"/>
    <w:rsid w:val="00845F80"/>
    <w:rsid w:val="0084649E"/>
    <w:rsid w:val="00846626"/>
    <w:rsid w:val="008471EE"/>
    <w:rsid w:val="00847BB5"/>
    <w:rsid w:val="00847C35"/>
    <w:rsid w:val="00847C6B"/>
    <w:rsid w:val="008500EB"/>
    <w:rsid w:val="00850185"/>
    <w:rsid w:val="008501FE"/>
    <w:rsid w:val="008508FF"/>
    <w:rsid w:val="00850950"/>
    <w:rsid w:val="00850AEF"/>
    <w:rsid w:val="00851B1F"/>
    <w:rsid w:val="0085218D"/>
    <w:rsid w:val="00853B8E"/>
    <w:rsid w:val="00854402"/>
    <w:rsid w:val="00854496"/>
    <w:rsid w:val="00854757"/>
    <w:rsid w:val="00854E4C"/>
    <w:rsid w:val="00855537"/>
    <w:rsid w:val="00855F12"/>
    <w:rsid w:val="008564F3"/>
    <w:rsid w:val="00856673"/>
    <w:rsid w:val="008566F6"/>
    <w:rsid w:val="00857236"/>
    <w:rsid w:val="008573BD"/>
    <w:rsid w:val="00860490"/>
    <w:rsid w:val="008611E9"/>
    <w:rsid w:val="00861992"/>
    <w:rsid w:val="00862D18"/>
    <w:rsid w:val="008631C5"/>
    <w:rsid w:val="0086332E"/>
    <w:rsid w:val="00863FF9"/>
    <w:rsid w:val="008644FF"/>
    <w:rsid w:val="00864E02"/>
    <w:rsid w:val="00865196"/>
    <w:rsid w:val="00865627"/>
    <w:rsid w:val="00865802"/>
    <w:rsid w:val="00865B5C"/>
    <w:rsid w:val="00865BE0"/>
    <w:rsid w:val="00865C4D"/>
    <w:rsid w:val="00865D7E"/>
    <w:rsid w:val="008660DA"/>
    <w:rsid w:val="0086658F"/>
    <w:rsid w:val="00866A46"/>
    <w:rsid w:val="00867380"/>
    <w:rsid w:val="0086751B"/>
    <w:rsid w:val="00867A5F"/>
    <w:rsid w:val="00867D9F"/>
    <w:rsid w:val="00867F7F"/>
    <w:rsid w:val="008706A7"/>
    <w:rsid w:val="00870A11"/>
    <w:rsid w:val="00870A34"/>
    <w:rsid w:val="00870B93"/>
    <w:rsid w:val="00870E00"/>
    <w:rsid w:val="008717BC"/>
    <w:rsid w:val="00871DB0"/>
    <w:rsid w:val="00872002"/>
    <w:rsid w:val="0087202F"/>
    <w:rsid w:val="008720FA"/>
    <w:rsid w:val="00872359"/>
    <w:rsid w:val="008728FC"/>
    <w:rsid w:val="00872C58"/>
    <w:rsid w:val="00872FA9"/>
    <w:rsid w:val="00873A21"/>
    <w:rsid w:val="00873A73"/>
    <w:rsid w:val="00873B7F"/>
    <w:rsid w:val="00874AA3"/>
    <w:rsid w:val="00874EF2"/>
    <w:rsid w:val="00875B0F"/>
    <w:rsid w:val="008768FA"/>
    <w:rsid w:val="008769DF"/>
    <w:rsid w:val="00877128"/>
    <w:rsid w:val="008778BC"/>
    <w:rsid w:val="008779DE"/>
    <w:rsid w:val="00877D36"/>
    <w:rsid w:val="00877DE0"/>
    <w:rsid w:val="00880D83"/>
    <w:rsid w:val="0088105E"/>
    <w:rsid w:val="00881604"/>
    <w:rsid w:val="008817D3"/>
    <w:rsid w:val="00881AA9"/>
    <w:rsid w:val="00882760"/>
    <w:rsid w:val="00883F86"/>
    <w:rsid w:val="00884312"/>
    <w:rsid w:val="0088486B"/>
    <w:rsid w:val="008858F3"/>
    <w:rsid w:val="00885939"/>
    <w:rsid w:val="00885950"/>
    <w:rsid w:val="00885D57"/>
    <w:rsid w:val="00886157"/>
    <w:rsid w:val="008863F4"/>
    <w:rsid w:val="00886576"/>
    <w:rsid w:val="00886FC7"/>
    <w:rsid w:val="00887DD6"/>
    <w:rsid w:val="00887F28"/>
    <w:rsid w:val="00890B7B"/>
    <w:rsid w:val="00890E43"/>
    <w:rsid w:val="00892318"/>
    <w:rsid w:val="0089231B"/>
    <w:rsid w:val="00892383"/>
    <w:rsid w:val="008923EE"/>
    <w:rsid w:val="008930B8"/>
    <w:rsid w:val="00893412"/>
    <w:rsid w:val="00893B6A"/>
    <w:rsid w:val="00894B26"/>
    <w:rsid w:val="00894D54"/>
    <w:rsid w:val="00895392"/>
    <w:rsid w:val="00895616"/>
    <w:rsid w:val="008958EA"/>
    <w:rsid w:val="0089596C"/>
    <w:rsid w:val="00895B5F"/>
    <w:rsid w:val="00895E03"/>
    <w:rsid w:val="00896D03"/>
    <w:rsid w:val="0089731F"/>
    <w:rsid w:val="008978DF"/>
    <w:rsid w:val="008A0376"/>
    <w:rsid w:val="008A062A"/>
    <w:rsid w:val="008A06B5"/>
    <w:rsid w:val="008A0E1F"/>
    <w:rsid w:val="008A1A0C"/>
    <w:rsid w:val="008A218D"/>
    <w:rsid w:val="008A21A6"/>
    <w:rsid w:val="008A2332"/>
    <w:rsid w:val="008A319A"/>
    <w:rsid w:val="008A338F"/>
    <w:rsid w:val="008A33B1"/>
    <w:rsid w:val="008A365F"/>
    <w:rsid w:val="008A3C51"/>
    <w:rsid w:val="008A3F54"/>
    <w:rsid w:val="008A4589"/>
    <w:rsid w:val="008A5E20"/>
    <w:rsid w:val="008A5FBC"/>
    <w:rsid w:val="008A6580"/>
    <w:rsid w:val="008A6B8C"/>
    <w:rsid w:val="008A6D91"/>
    <w:rsid w:val="008A791A"/>
    <w:rsid w:val="008A7B3A"/>
    <w:rsid w:val="008A7F1E"/>
    <w:rsid w:val="008B044D"/>
    <w:rsid w:val="008B0CC3"/>
    <w:rsid w:val="008B13C5"/>
    <w:rsid w:val="008B19BA"/>
    <w:rsid w:val="008B1B3A"/>
    <w:rsid w:val="008B1FFA"/>
    <w:rsid w:val="008B20E7"/>
    <w:rsid w:val="008B2276"/>
    <w:rsid w:val="008B2B46"/>
    <w:rsid w:val="008B2EC0"/>
    <w:rsid w:val="008B316D"/>
    <w:rsid w:val="008B361A"/>
    <w:rsid w:val="008B36B8"/>
    <w:rsid w:val="008B3872"/>
    <w:rsid w:val="008B3A3C"/>
    <w:rsid w:val="008B4370"/>
    <w:rsid w:val="008B466E"/>
    <w:rsid w:val="008B4A05"/>
    <w:rsid w:val="008B5365"/>
    <w:rsid w:val="008B5C49"/>
    <w:rsid w:val="008B5F18"/>
    <w:rsid w:val="008B6226"/>
    <w:rsid w:val="008B6587"/>
    <w:rsid w:val="008B7468"/>
    <w:rsid w:val="008B78B4"/>
    <w:rsid w:val="008C0835"/>
    <w:rsid w:val="008C0CA0"/>
    <w:rsid w:val="008C206C"/>
    <w:rsid w:val="008C22B2"/>
    <w:rsid w:val="008C266B"/>
    <w:rsid w:val="008C3049"/>
    <w:rsid w:val="008C3269"/>
    <w:rsid w:val="008C38C2"/>
    <w:rsid w:val="008C3B90"/>
    <w:rsid w:val="008C4EED"/>
    <w:rsid w:val="008C551B"/>
    <w:rsid w:val="008C5B94"/>
    <w:rsid w:val="008C609F"/>
    <w:rsid w:val="008C64DE"/>
    <w:rsid w:val="008C656E"/>
    <w:rsid w:val="008C67FF"/>
    <w:rsid w:val="008C6982"/>
    <w:rsid w:val="008C7302"/>
    <w:rsid w:val="008C75F1"/>
    <w:rsid w:val="008C76DA"/>
    <w:rsid w:val="008D046F"/>
    <w:rsid w:val="008D0DC1"/>
    <w:rsid w:val="008D1798"/>
    <w:rsid w:val="008D182A"/>
    <w:rsid w:val="008D19F2"/>
    <w:rsid w:val="008D1B1D"/>
    <w:rsid w:val="008D238F"/>
    <w:rsid w:val="008D262B"/>
    <w:rsid w:val="008D28C0"/>
    <w:rsid w:val="008D3CFD"/>
    <w:rsid w:val="008D40E2"/>
    <w:rsid w:val="008D4125"/>
    <w:rsid w:val="008D4859"/>
    <w:rsid w:val="008D4C3D"/>
    <w:rsid w:val="008D51FF"/>
    <w:rsid w:val="008D5260"/>
    <w:rsid w:val="008D559A"/>
    <w:rsid w:val="008D586E"/>
    <w:rsid w:val="008D5944"/>
    <w:rsid w:val="008D5F89"/>
    <w:rsid w:val="008D65F9"/>
    <w:rsid w:val="008D6AEB"/>
    <w:rsid w:val="008D745B"/>
    <w:rsid w:val="008D749B"/>
    <w:rsid w:val="008D7A68"/>
    <w:rsid w:val="008D7C3B"/>
    <w:rsid w:val="008E0261"/>
    <w:rsid w:val="008E06E6"/>
    <w:rsid w:val="008E092C"/>
    <w:rsid w:val="008E0B76"/>
    <w:rsid w:val="008E2131"/>
    <w:rsid w:val="008E29D1"/>
    <w:rsid w:val="008E2B32"/>
    <w:rsid w:val="008E2B39"/>
    <w:rsid w:val="008E3902"/>
    <w:rsid w:val="008E3BCC"/>
    <w:rsid w:val="008E5051"/>
    <w:rsid w:val="008E53C4"/>
    <w:rsid w:val="008E5C63"/>
    <w:rsid w:val="008E5DDD"/>
    <w:rsid w:val="008E626A"/>
    <w:rsid w:val="008E6536"/>
    <w:rsid w:val="008E65E6"/>
    <w:rsid w:val="008E660D"/>
    <w:rsid w:val="008E6735"/>
    <w:rsid w:val="008E6E54"/>
    <w:rsid w:val="008E6F18"/>
    <w:rsid w:val="008F12C7"/>
    <w:rsid w:val="008F1B23"/>
    <w:rsid w:val="008F4E7C"/>
    <w:rsid w:val="008F53F1"/>
    <w:rsid w:val="008F664A"/>
    <w:rsid w:val="008F6E35"/>
    <w:rsid w:val="008F7B55"/>
    <w:rsid w:val="0090003A"/>
    <w:rsid w:val="00901641"/>
    <w:rsid w:val="00901710"/>
    <w:rsid w:val="0090201F"/>
    <w:rsid w:val="00902901"/>
    <w:rsid w:val="00903765"/>
    <w:rsid w:val="009046F3"/>
    <w:rsid w:val="00904D00"/>
    <w:rsid w:val="009054E0"/>
    <w:rsid w:val="009057AA"/>
    <w:rsid w:val="00905C86"/>
    <w:rsid w:val="00906437"/>
    <w:rsid w:val="0090647A"/>
    <w:rsid w:val="0090791F"/>
    <w:rsid w:val="00910A8B"/>
    <w:rsid w:val="00910AF7"/>
    <w:rsid w:val="00911FB6"/>
    <w:rsid w:val="009124FF"/>
    <w:rsid w:val="009144DF"/>
    <w:rsid w:val="00914565"/>
    <w:rsid w:val="00914F88"/>
    <w:rsid w:val="00915118"/>
    <w:rsid w:val="009153F2"/>
    <w:rsid w:val="00915AD5"/>
    <w:rsid w:val="0091627D"/>
    <w:rsid w:val="009166B4"/>
    <w:rsid w:val="00917320"/>
    <w:rsid w:val="00917A9B"/>
    <w:rsid w:val="0092051D"/>
    <w:rsid w:val="0092126A"/>
    <w:rsid w:val="0092160D"/>
    <w:rsid w:val="00921851"/>
    <w:rsid w:val="009238C3"/>
    <w:rsid w:val="00923DD0"/>
    <w:rsid w:val="00924941"/>
    <w:rsid w:val="00924AEB"/>
    <w:rsid w:val="00924EAC"/>
    <w:rsid w:val="00924F9D"/>
    <w:rsid w:val="0092549A"/>
    <w:rsid w:val="00925D45"/>
    <w:rsid w:val="00926F8A"/>
    <w:rsid w:val="00927468"/>
    <w:rsid w:val="00927B46"/>
    <w:rsid w:val="0093075D"/>
    <w:rsid w:val="00930EF7"/>
    <w:rsid w:val="00930FD4"/>
    <w:rsid w:val="0093202E"/>
    <w:rsid w:val="009338C0"/>
    <w:rsid w:val="00933BDF"/>
    <w:rsid w:val="00933CFA"/>
    <w:rsid w:val="00934D7F"/>
    <w:rsid w:val="0093502A"/>
    <w:rsid w:val="00936689"/>
    <w:rsid w:val="009367D3"/>
    <w:rsid w:val="00936835"/>
    <w:rsid w:val="00936A94"/>
    <w:rsid w:val="00936F7E"/>
    <w:rsid w:val="00937033"/>
    <w:rsid w:val="0094031D"/>
    <w:rsid w:val="00940320"/>
    <w:rsid w:val="0094043A"/>
    <w:rsid w:val="009409DD"/>
    <w:rsid w:val="00940E8C"/>
    <w:rsid w:val="00941376"/>
    <w:rsid w:val="00942965"/>
    <w:rsid w:val="00942E88"/>
    <w:rsid w:val="00942F49"/>
    <w:rsid w:val="00943544"/>
    <w:rsid w:val="009435C6"/>
    <w:rsid w:val="009439CB"/>
    <w:rsid w:val="00943C84"/>
    <w:rsid w:val="00944174"/>
    <w:rsid w:val="00944609"/>
    <w:rsid w:val="0094497E"/>
    <w:rsid w:val="00944BE7"/>
    <w:rsid w:val="00945076"/>
    <w:rsid w:val="00945232"/>
    <w:rsid w:val="009452B1"/>
    <w:rsid w:val="00945DC7"/>
    <w:rsid w:val="009463FD"/>
    <w:rsid w:val="009473D5"/>
    <w:rsid w:val="00947466"/>
    <w:rsid w:val="00947684"/>
    <w:rsid w:val="00947B77"/>
    <w:rsid w:val="00947D92"/>
    <w:rsid w:val="00950537"/>
    <w:rsid w:val="009508A2"/>
    <w:rsid w:val="00950C97"/>
    <w:rsid w:val="009510A9"/>
    <w:rsid w:val="009510BF"/>
    <w:rsid w:val="00951156"/>
    <w:rsid w:val="0095143B"/>
    <w:rsid w:val="00951652"/>
    <w:rsid w:val="009516FA"/>
    <w:rsid w:val="009521BF"/>
    <w:rsid w:val="00952637"/>
    <w:rsid w:val="0095308B"/>
    <w:rsid w:val="00953817"/>
    <w:rsid w:val="00954636"/>
    <w:rsid w:val="009547C3"/>
    <w:rsid w:val="009547C7"/>
    <w:rsid w:val="00954863"/>
    <w:rsid w:val="00954B30"/>
    <w:rsid w:val="00954E22"/>
    <w:rsid w:val="009558C5"/>
    <w:rsid w:val="00955919"/>
    <w:rsid w:val="00955D48"/>
    <w:rsid w:val="00956254"/>
    <w:rsid w:val="00956707"/>
    <w:rsid w:val="00956AC6"/>
    <w:rsid w:val="009572C8"/>
    <w:rsid w:val="00957869"/>
    <w:rsid w:val="00957B74"/>
    <w:rsid w:val="00957E39"/>
    <w:rsid w:val="009602C6"/>
    <w:rsid w:val="009602F9"/>
    <w:rsid w:val="00960720"/>
    <w:rsid w:val="00960A2E"/>
    <w:rsid w:val="00960D22"/>
    <w:rsid w:val="00960E5A"/>
    <w:rsid w:val="009612BD"/>
    <w:rsid w:val="00961422"/>
    <w:rsid w:val="00961D95"/>
    <w:rsid w:val="00962239"/>
    <w:rsid w:val="00962BC9"/>
    <w:rsid w:val="00962BCB"/>
    <w:rsid w:val="00962DE6"/>
    <w:rsid w:val="0096320A"/>
    <w:rsid w:val="009633C4"/>
    <w:rsid w:val="00963431"/>
    <w:rsid w:val="00963561"/>
    <w:rsid w:val="009643CC"/>
    <w:rsid w:val="00964B65"/>
    <w:rsid w:val="00965423"/>
    <w:rsid w:val="00965438"/>
    <w:rsid w:val="00966847"/>
    <w:rsid w:val="00967184"/>
    <w:rsid w:val="00967314"/>
    <w:rsid w:val="009676F7"/>
    <w:rsid w:val="00967969"/>
    <w:rsid w:val="0097031E"/>
    <w:rsid w:val="00970650"/>
    <w:rsid w:val="00970E7A"/>
    <w:rsid w:val="00971106"/>
    <w:rsid w:val="0097157C"/>
    <w:rsid w:val="00971D18"/>
    <w:rsid w:val="00971EA1"/>
    <w:rsid w:val="00972215"/>
    <w:rsid w:val="00972231"/>
    <w:rsid w:val="00972323"/>
    <w:rsid w:val="0097271C"/>
    <w:rsid w:val="00972F3D"/>
    <w:rsid w:val="0097374B"/>
    <w:rsid w:val="00973AE2"/>
    <w:rsid w:val="009741BF"/>
    <w:rsid w:val="009743BB"/>
    <w:rsid w:val="00974F53"/>
    <w:rsid w:val="009750E0"/>
    <w:rsid w:val="009751F6"/>
    <w:rsid w:val="009760B3"/>
    <w:rsid w:val="0097616E"/>
    <w:rsid w:val="00976CEB"/>
    <w:rsid w:val="00976EA8"/>
    <w:rsid w:val="00977033"/>
    <w:rsid w:val="00977056"/>
    <w:rsid w:val="009773C1"/>
    <w:rsid w:val="0097746B"/>
    <w:rsid w:val="009775D4"/>
    <w:rsid w:val="00977D69"/>
    <w:rsid w:val="009802EE"/>
    <w:rsid w:val="00980476"/>
    <w:rsid w:val="00980B1B"/>
    <w:rsid w:val="00980BA1"/>
    <w:rsid w:val="00980FB0"/>
    <w:rsid w:val="009812D6"/>
    <w:rsid w:val="009815F2"/>
    <w:rsid w:val="00981C6F"/>
    <w:rsid w:val="009828A6"/>
    <w:rsid w:val="009833EF"/>
    <w:rsid w:val="00983A08"/>
    <w:rsid w:val="00983A0A"/>
    <w:rsid w:val="00983B68"/>
    <w:rsid w:val="0098473B"/>
    <w:rsid w:val="00984FF4"/>
    <w:rsid w:val="0098589F"/>
    <w:rsid w:val="00985C2C"/>
    <w:rsid w:val="0098627C"/>
    <w:rsid w:val="009867BA"/>
    <w:rsid w:val="00986D6F"/>
    <w:rsid w:val="00987163"/>
    <w:rsid w:val="009873E5"/>
    <w:rsid w:val="009875D2"/>
    <w:rsid w:val="00987955"/>
    <w:rsid w:val="00987A6F"/>
    <w:rsid w:val="0099001C"/>
    <w:rsid w:val="00990EAC"/>
    <w:rsid w:val="009914A9"/>
    <w:rsid w:val="00991680"/>
    <w:rsid w:val="00991AB7"/>
    <w:rsid w:val="00993877"/>
    <w:rsid w:val="00993C4F"/>
    <w:rsid w:val="00993EF8"/>
    <w:rsid w:val="0099482C"/>
    <w:rsid w:val="009954FB"/>
    <w:rsid w:val="0099591A"/>
    <w:rsid w:val="00995B22"/>
    <w:rsid w:val="00995D0C"/>
    <w:rsid w:val="0099630C"/>
    <w:rsid w:val="009972B1"/>
    <w:rsid w:val="009976FB"/>
    <w:rsid w:val="00997BD1"/>
    <w:rsid w:val="00997E15"/>
    <w:rsid w:val="00997E54"/>
    <w:rsid w:val="00997FDA"/>
    <w:rsid w:val="009A04EF"/>
    <w:rsid w:val="009A0927"/>
    <w:rsid w:val="009A1131"/>
    <w:rsid w:val="009A1221"/>
    <w:rsid w:val="009A1816"/>
    <w:rsid w:val="009A2608"/>
    <w:rsid w:val="009A2745"/>
    <w:rsid w:val="009A2981"/>
    <w:rsid w:val="009A2E32"/>
    <w:rsid w:val="009A2F3A"/>
    <w:rsid w:val="009A304C"/>
    <w:rsid w:val="009A3216"/>
    <w:rsid w:val="009A32A3"/>
    <w:rsid w:val="009A32AB"/>
    <w:rsid w:val="009A3304"/>
    <w:rsid w:val="009A34A1"/>
    <w:rsid w:val="009A3587"/>
    <w:rsid w:val="009A414C"/>
    <w:rsid w:val="009A4655"/>
    <w:rsid w:val="009A466E"/>
    <w:rsid w:val="009A4753"/>
    <w:rsid w:val="009A4756"/>
    <w:rsid w:val="009A4FD1"/>
    <w:rsid w:val="009A5658"/>
    <w:rsid w:val="009A61A7"/>
    <w:rsid w:val="009A6AA3"/>
    <w:rsid w:val="009A73B6"/>
    <w:rsid w:val="009A7708"/>
    <w:rsid w:val="009A7FAE"/>
    <w:rsid w:val="009B01B0"/>
    <w:rsid w:val="009B01D9"/>
    <w:rsid w:val="009B0820"/>
    <w:rsid w:val="009B0C9C"/>
    <w:rsid w:val="009B131E"/>
    <w:rsid w:val="009B1DE4"/>
    <w:rsid w:val="009B1EC3"/>
    <w:rsid w:val="009B29C6"/>
    <w:rsid w:val="009B3C2B"/>
    <w:rsid w:val="009B5B75"/>
    <w:rsid w:val="009B60A8"/>
    <w:rsid w:val="009B65F3"/>
    <w:rsid w:val="009B6A4B"/>
    <w:rsid w:val="009B6E28"/>
    <w:rsid w:val="009B6E6C"/>
    <w:rsid w:val="009B7058"/>
    <w:rsid w:val="009B7294"/>
    <w:rsid w:val="009B74D4"/>
    <w:rsid w:val="009B75A1"/>
    <w:rsid w:val="009B75A2"/>
    <w:rsid w:val="009B7F11"/>
    <w:rsid w:val="009C0221"/>
    <w:rsid w:val="009C044F"/>
    <w:rsid w:val="009C0ADD"/>
    <w:rsid w:val="009C2034"/>
    <w:rsid w:val="009C241F"/>
    <w:rsid w:val="009C274C"/>
    <w:rsid w:val="009C28F6"/>
    <w:rsid w:val="009C2C1F"/>
    <w:rsid w:val="009C354C"/>
    <w:rsid w:val="009C3E36"/>
    <w:rsid w:val="009C4531"/>
    <w:rsid w:val="009C48EA"/>
    <w:rsid w:val="009C4C04"/>
    <w:rsid w:val="009C4C48"/>
    <w:rsid w:val="009C52EA"/>
    <w:rsid w:val="009C58CB"/>
    <w:rsid w:val="009C5A9B"/>
    <w:rsid w:val="009C7C5B"/>
    <w:rsid w:val="009D01FC"/>
    <w:rsid w:val="009D04F0"/>
    <w:rsid w:val="009D08D1"/>
    <w:rsid w:val="009D2172"/>
    <w:rsid w:val="009D2266"/>
    <w:rsid w:val="009D28CF"/>
    <w:rsid w:val="009D383E"/>
    <w:rsid w:val="009D44A0"/>
    <w:rsid w:val="009D4E2F"/>
    <w:rsid w:val="009D4F32"/>
    <w:rsid w:val="009D588C"/>
    <w:rsid w:val="009D5F50"/>
    <w:rsid w:val="009D60DE"/>
    <w:rsid w:val="009D6729"/>
    <w:rsid w:val="009D69DE"/>
    <w:rsid w:val="009D6D56"/>
    <w:rsid w:val="009D734D"/>
    <w:rsid w:val="009D7713"/>
    <w:rsid w:val="009D7E5D"/>
    <w:rsid w:val="009E0E87"/>
    <w:rsid w:val="009E1022"/>
    <w:rsid w:val="009E19FE"/>
    <w:rsid w:val="009E1DA3"/>
    <w:rsid w:val="009E1FDC"/>
    <w:rsid w:val="009E2CB6"/>
    <w:rsid w:val="009E2FD7"/>
    <w:rsid w:val="009E3740"/>
    <w:rsid w:val="009E37AB"/>
    <w:rsid w:val="009E43C4"/>
    <w:rsid w:val="009E514D"/>
    <w:rsid w:val="009E5615"/>
    <w:rsid w:val="009E5A56"/>
    <w:rsid w:val="009E5F50"/>
    <w:rsid w:val="009E6F3D"/>
    <w:rsid w:val="009E7350"/>
    <w:rsid w:val="009E74FA"/>
    <w:rsid w:val="009E7957"/>
    <w:rsid w:val="009E7D3F"/>
    <w:rsid w:val="009E7F4D"/>
    <w:rsid w:val="009F0087"/>
    <w:rsid w:val="009F01C5"/>
    <w:rsid w:val="009F08CD"/>
    <w:rsid w:val="009F0AFF"/>
    <w:rsid w:val="009F20A9"/>
    <w:rsid w:val="009F2729"/>
    <w:rsid w:val="009F29B7"/>
    <w:rsid w:val="009F30E2"/>
    <w:rsid w:val="009F3BE2"/>
    <w:rsid w:val="009F3E36"/>
    <w:rsid w:val="009F3E7E"/>
    <w:rsid w:val="009F4121"/>
    <w:rsid w:val="009F4C0E"/>
    <w:rsid w:val="009F4C78"/>
    <w:rsid w:val="009F4F83"/>
    <w:rsid w:val="009F4FA0"/>
    <w:rsid w:val="009F529A"/>
    <w:rsid w:val="009F5CD9"/>
    <w:rsid w:val="009F6E67"/>
    <w:rsid w:val="009F764D"/>
    <w:rsid w:val="009F7AD9"/>
    <w:rsid w:val="00A00E08"/>
    <w:rsid w:val="00A013A6"/>
    <w:rsid w:val="00A018BA"/>
    <w:rsid w:val="00A01C28"/>
    <w:rsid w:val="00A021AC"/>
    <w:rsid w:val="00A02B71"/>
    <w:rsid w:val="00A02D37"/>
    <w:rsid w:val="00A02D39"/>
    <w:rsid w:val="00A03660"/>
    <w:rsid w:val="00A03AD6"/>
    <w:rsid w:val="00A044A7"/>
    <w:rsid w:val="00A0501E"/>
    <w:rsid w:val="00A05AE9"/>
    <w:rsid w:val="00A06CEA"/>
    <w:rsid w:val="00A0798F"/>
    <w:rsid w:val="00A079BB"/>
    <w:rsid w:val="00A10237"/>
    <w:rsid w:val="00A10438"/>
    <w:rsid w:val="00A10BED"/>
    <w:rsid w:val="00A115AA"/>
    <w:rsid w:val="00A11F49"/>
    <w:rsid w:val="00A11F7B"/>
    <w:rsid w:val="00A125BF"/>
    <w:rsid w:val="00A129C4"/>
    <w:rsid w:val="00A13618"/>
    <w:rsid w:val="00A14D4D"/>
    <w:rsid w:val="00A15811"/>
    <w:rsid w:val="00A1603E"/>
    <w:rsid w:val="00A163C9"/>
    <w:rsid w:val="00A16425"/>
    <w:rsid w:val="00A16C79"/>
    <w:rsid w:val="00A17B91"/>
    <w:rsid w:val="00A17BB1"/>
    <w:rsid w:val="00A20336"/>
    <w:rsid w:val="00A20970"/>
    <w:rsid w:val="00A20C91"/>
    <w:rsid w:val="00A20EF7"/>
    <w:rsid w:val="00A214D5"/>
    <w:rsid w:val="00A21AD0"/>
    <w:rsid w:val="00A21DB0"/>
    <w:rsid w:val="00A223F0"/>
    <w:rsid w:val="00A22C2E"/>
    <w:rsid w:val="00A2318E"/>
    <w:rsid w:val="00A23909"/>
    <w:rsid w:val="00A23972"/>
    <w:rsid w:val="00A23AD5"/>
    <w:rsid w:val="00A24711"/>
    <w:rsid w:val="00A24824"/>
    <w:rsid w:val="00A24B5E"/>
    <w:rsid w:val="00A25316"/>
    <w:rsid w:val="00A259B7"/>
    <w:rsid w:val="00A25D07"/>
    <w:rsid w:val="00A2697A"/>
    <w:rsid w:val="00A26FA0"/>
    <w:rsid w:val="00A26FE2"/>
    <w:rsid w:val="00A2735A"/>
    <w:rsid w:val="00A278BA"/>
    <w:rsid w:val="00A313B5"/>
    <w:rsid w:val="00A316B9"/>
    <w:rsid w:val="00A31AFA"/>
    <w:rsid w:val="00A31B30"/>
    <w:rsid w:val="00A32736"/>
    <w:rsid w:val="00A32A1C"/>
    <w:rsid w:val="00A335D1"/>
    <w:rsid w:val="00A3391A"/>
    <w:rsid w:val="00A33D36"/>
    <w:rsid w:val="00A340BE"/>
    <w:rsid w:val="00A34F36"/>
    <w:rsid w:val="00A35073"/>
    <w:rsid w:val="00A354AB"/>
    <w:rsid w:val="00A36A97"/>
    <w:rsid w:val="00A36DEC"/>
    <w:rsid w:val="00A36E0B"/>
    <w:rsid w:val="00A37223"/>
    <w:rsid w:val="00A372F0"/>
    <w:rsid w:val="00A37D70"/>
    <w:rsid w:val="00A40198"/>
    <w:rsid w:val="00A40AC2"/>
    <w:rsid w:val="00A41070"/>
    <w:rsid w:val="00A416B4"/>
    <w:rsid w:val="00A41A6D"/>
    <w:rsid w:val="00A42367"/>
    <w:rsid w:val="00A42CCA"/>
    <w:rsid w:val="00A42F94"/>
    <w:rsid w:val="00A43C1B"/>
    <w:rsid w:val="00A44880"/>
    <w:rsid w:val="00A44891"/>
    <w:rsid w:val="00A45BCC"/>
    <w:rsid w:val="00A466E8"/>
    <w:rsid w:val="00A46B0F"/>
    <w:rsid w:val="00A46B6B"/>
    <w:rsid w:val="00A47335"/>
    <w:rsid w:val="00A474A4"/>
    <w:rsid w:val="00A475F3"/>
    <w:rsid w:val="00A478D1"/>
    <w:rsid w:val="00A503EA"/>
    <w:rsid w:val="00A50734"/>
    <w:rsid w:val="00A50A94"/>
    <w:rsid w:val="00A50B3C"/>
    <w:rsid w:val="00A5125A"/>
    <w:rsid w:val="00A52682"/>
    <w:rsid w:val="00A538D6"/>
    <w:rsid w:val="00A5432A"/>
    <w:rsid w:val="00A552E8"/>
    <w:rsid w:val="00A5531C"/>
    <w:rsid w:val="00A558C4"/>
    <w:rsid w:val="00A56125"/>
    <w:rsid w:val="00A56144"/>
    <w:rsid w:val="00A56670"/>
    <w:rsid w:val="00A571FA"/>
    <w:rsid w:val="00A57F5B"/>
    <w:rsid w:val="00A60DA8"/>
    <w:rsid w:val="00A61097"/>
    <w:rsid w:val="00A61B8F"/>
    <w:rsid w:val="00A620EF"/>
    <w:rsid w:val="00A6337F"/>
    <w:rsid w:val="00A638E4"/>
    <w:rsid w:val="00A65170"/>
    <w:rsid w:val="00A66B96"/>
    <w:rsid w:val="00A66F7A"/>
    <w:rsid w:val="00A67A1B"/>
    <w:rsid w:val="00A70054"/>
    <w:rsid w:val="00A70074"/>
    <w:rsid w:val="00A722AD"/>
    <w:rsid w:val="00A729B9"/>
    <w:rsid w:val="00A72B79"/>
    <w:rsid w:val="00A72EFE"/>
    <w:rsid w:val="00A736B6"/>
    <w:rsid w:val="00A736E3"/>
    <w:rsid w:val="00A73C7B"/>
    <w:rsid w:val="00A73D48"/>
    <w:rsid w:val="00A73E02"/>
    <w:rsid w:val="00A743DA"/>
    <w:rsid w:val="00A75666"/>
    <w:rsid w:val="00A75AF7"/>
    <w:rsid w:val="00A777E2"/>
    <w:rsid w:val="00A778B3"/>
    <w:rsid w:val="00A80253"/>
    <w:rsid w:val="00A80715"/>
    <w:rsid w:val="00A80744"/>
    <w:rsid w:val="00A80858"/>
    <w:rsid w:val="00A815AB"/>
    <w:rsid w:val="00A815C1"/>
    <w:rsid w:val="00A81BCE"/>
    <w:rsid w:val="00A82744"/>
    <w:rsid w:val="00A82750"/>
    <w:rsid w:val="00A829AB"/>
    <w:rsid w:val="00A82B25"/>
    <w:rsid w:val="00A82C12"/>
    <w:rsid w:val="00A82EB8"/>
    <w:rsid w:val="00A8337A"/>
    <w:rsid w:val="00A8371F"/>
    <w:rsid w:val="00A83722"/>
    <w:rsid w:val="00A83B40"/>
    <w:rsid w:val="00A83ECE"/>
    <w:rsid w:val="00A844E3"/>
    <w:rsid w:val="00A84A67"/>
    <w:rsid w:val="00A84C33"/>
    <w:rsid w:val="00A85436"/>
    <w:rsid w:val="00A854C1"/>
    <w:rsid w:val="00A85C7E"/>
    <w:rsid w:val="00A861F6"/>
    <w:rsid w:val="00A87110"/>
    <w:rsid w:val="00A877DE"/>
    <w:rsid w:val="00A87D19"/>
    <w:rsid w:val="00A87FFB"/>
    <w:rsid w:val="00A90804"/>
    <w:rsid w:val="00A90EB7"/>
    <w:rsid w:val="00A91098"/>
    <w:rsid w:val="00A91873"/>
    <w:rsid w:val="00A92131"/>
    <w:rsid w:val="00A9265F"/>
    <w:rsid w:val="00A935D3"/>
    <w:rsid w:val="00A93823"/>
    <w:rsid w:val="00A9429E"/>
    <w:rsid w:val="00A95F99"/>
    <w:rsid w:val="00A96C4D"/>
    <w:rsid w:val="00A96E1D"/>
    <w:rsid w:val="00A97298"/>
    <w:rsid w:val="00A973B3"/>
    <w:rsid w:val="00A97A3C"/>
    <w:rsid w:val="00AA0037"/>
    <w:rsid w:val="00AA00F1"/>
    <w:rsid w:val="00AA0C81"/>
    <w:rsid w:val="00AA17F7"/>
    <w:rsid w:val="00AA1B50"/>
    <w:rsid w:val="00AA2095"/>
    <w:rsid w:val="00AA20DF"/>
    <w:rsid w:val="00AA267B"/>
    <w:rsid w:val="00AA2781"/>
    <w:rsid w:val="00AA2C06"/>
    <w:rsid w:val="00AA34EF"/>
    <w:rsid w:val="00AA3AA3"/>
    <w:rsid w:val="00AA3BF2"/>
    <w:rsid w:val="00AA3DCB"/>
    <w:rsid w:val="00AA4293"/>
    <w:rsid w:val="00AA44D8"/>
    <w:rsid w:val="00AA49E4"/>
    <w:rsid w:val="00AA52AF"/>
    <w:rsid w:val="00AA5514"/>
    <w:rsid w:val="00AA5599"/>
    <w:rsid w:val="00AA6E5D"/>
    <w:rsid w:val="00AA732A"/>
    <w:rsid w:val="00AB0847"/>
    <w:rsid w:val="00AB11F9"/>
    <w:rsid w:val="00AB180A"/>
    <w:rsid w:val="00AB1BAB"/>
    <w:rsid w:val="00AB341D"/>
    <w:rsid w:val="00AB35A6"/>
    <w:rsid w:val="00AB35EC"/>
    <w:rsid w:val="00AB373A"/>
    <w:rsid w:val="00AB3BBB"/>
    <w:rsid w:val="00AB418D"/>
    <w:rsid w:val="00AB51A9"/>
    <w:rsid w:val="00AB54D7"/>
    <w:rsid w:val="00AB6EA5"/>
    <w:rsid w:val="00AB740C"/>
    <w:rsid w:val="00AB7694"/>
    <w:rsid w:val="00AB7786"/>
    <w:rsid w:val="00AB7AE2"/>
    <w:rsid w:val="00AB7D1F"/>
    <w:rsid w:val="00AB7FF0"/>
    <w:rsid w:val="00AC19BF"/>
    <w:rsid w:val="00AC278A"/>
    <w:rsid w:val="00AC2AB4"/>
    <w:rsid w:val="00AC32B2"/>
    <w:rsid w:val="00AC3BFF"/>
    <w:rsid w:val="00AC3E61"/>
    <w:rsid w:val="00AC3F40"/>
    <w:rsid w:val="00AC4B39"/>
    <w:rsid w:val="00AC4F45"/>
    <w:rsid w:val="00AC58CF"/>
    <w:rsid w:val="00AC5A87"/>
    <w:rsid w:val="00AC5E19"/>
    <w:rsid w:val="00AC6383"/>
    <w:rsid w:val="00AC6BAB"/>
    <w:rsid w:val="00AC6F26"/>
    <w:rsid w:val="00AC7223"/>
    <w:rsid w:val="00AC7665"/>
    <w:rsid w:val="00AD01B9"/>
    <w:rsid w:val="00AD12F2"/>
    <w:rsid w:val="00AD2129"/>
    <w:rsid w:val="00AD2703"/>
    <w:rsid w:val="00AD2BC0"/>
    <w:rsid w:val="00AD2C09"/>
    <w:rsid w:val="00AD2D1B"/>
    <w:rsid w:val="00AD33B6"/>
    <w:rsid w:val="00AD3AC5"/>
    <w:rsid w:val="00AD4393"/>
    <w:rsid w:val="00AD4A59"/>
    <w:rsid w:val="00AD4B2C"/>
    <w:rsid w:val="00AD6BA0"/>
    <w:rsid w:val="00AD70A1"/>
    <w:rsid w:val="00AD7C52"/>
    <w:rsid w:val="00AE01D0"/>
    <w:rsid w:val="00AE1EC5"/>
    <w:rsid w:val="00AE2214"/>
    <w:rsid w:val="00AE2B7A"/>
    <w:rsid w:val="00AE2C38"/>
    <w:rsid w:val="00AE2D6E"/>
    <w:rsid w:val="00AE3250"/>
    <w:rsid w:val="00AE37E3"/>
    <w:rsid w:val="00AE3A25"/>
    <w:rsid w:val="00AE3F75"/>
    <w:rsid w:val="00AE401F"/>
    <w:rsid w:val="00AE40D5"/>
    <w:rsid w:val="00AE4AA4"/>
    <w:rsid w:val="00AE5032"/>
    <w:rsid w:val="00AE666C"/>
    <w:rsid w:val="00AE71AB"/>
    <w:rsid w:val="00AE7363"/>
    <w:rsid w:val="00AE76BA"/>
    <w:rsid w:val="00AE7814"/>
    <w:rsid w:val="00AE7999"/>
    <w:rsid w:val="00AE7AA4"/>
    <w:rsid w:val="00AE7B15"/>
    <w:rsid w:val="00AF0B7E"/>
    <w:rsid w:val="00AF0EC1"/>
    <w:rsid w:val="00AF1490"/>
    <w:rsid w:val="00AF1844"/>
    <w:rsid w:val="00AF19B5"/>
    <w:rsid w:val="00AF1B90"/>
    <w:rsid w:val="00AF1D59"/>
    <w:rsid w:val="00AF1FD3"/>
    <w:rsid w:val="00AF2AE7"/>
    <w:rsid w:val="00AF31BE"/>
    <w:rsid w:val="00AF3FF6"/>
    <w:rsid w:val="00AF54DE"/>
    <w:rsid w:val="00AF5616"/>
    <w:rsid w:val="00AF5B9A"/>
    <w:rsid w:val="00AF5C65"/>
    <w:rsid w:val="00AF64BD"/>
    <w:rsid w:val="00AF682B"/>
    <w:rsid w:val="00AF6C9E"/>
    <w:rsid w:val="00AF6F8C"/>
    <w:rsid w:val="00AF7234"/>
    <w:rsid w:val="00AF7A99"/>
    <w:rsid w:val="00B0048B"/>
    <w:rsid w:val="00B01063"/>
    <w:rsid w:val="00B01319"/>
    <w:rsid w:val="00B01F96"/>
    <w:rsid w:val="00B0200A"/>
    <w:rsid w:val="00B02939"/>
    <w:rsid w:val="00B02CC2"/>
    <w:rsid w:val="00B039AF"/>
    <w:rsid w:val="00B03A87"/>
    <w:rsid w:val="00B03DEB"/>
    <w:rsid w:val="00B042DE"/>
    <w:rsid w:val="00B04D88"/>
    <w:rsid w:val="00B05169"/>
    <w:rsid w:val="00B053D5"/>
    <w:rsid w:val="00B0571E"/>
    <w:rsid w:val="00B05A8A"/>
    <w:rsid w:val="00B05BF9"/>
    <w:rsid w:val="00B06499"/>
    <w:rsid w:val="00B069FB"/>
    <w:rsid w:val="00B06AB3"/>
    <w:rsid w:val="00B07149"/>
    <w:rsid w:val="00B10103"/>
    <w:rsid w:val="00B108AC"/>
    <w:rsid w:val="00B10C36"/>
    <w:rsid w:val="00B116D6"/>
    <w:rsid w:val="00B12286"/>
    <w:rsid w:val="00B123A4"/>
    <w:rsid w:val="00B12754"/>
    <w:rsid w:val="00B12D26"/>
    <w:rsid w:val="00B13697"/>
    <w:rsid w:val="00B15C87"/>
    <w:rsid w:val="00B1675F"/>
    <w:rsid w:val="00B167F1"/>
    <w:rsid w:val="00B16D69"/>
    <w:rsid w:val="00B171A4"/>
    <w:rsid w:val="00B173D7"/>
    <w:rsid w:val="00B1772A"/>
    <w:rsid w:val="00B2038D"/>
    <w:rsid w:val="00B208F0"/>
    <w:rsid w:val="00B211BA"/>
    <w:rsid w:val="00B21214"/>
    <w:rsid w:val="00B222EA"/>
    <w:rsid w:val="00B227AA"/>
    <w:rsid w:val="00B227C2"/>
    <w:rsid w:val="00B229F6"/>
    <w:rsid w:val="00B22E10"/>
    <w:rsid w:val="00B2324A"/>
    <w:rsid w:val="00B2362B"/>
    <w:rsid w:val="00B23651"/>
    <w:rsid w:val="00B238AE"/>
    <w:rsid w:val="00B23B59"/>
    <w:rsid w:val="00B24485"/>
    <w:rsid w:val="00B246BF"/>
    <w:rsid w:val="00B24AE7"/>
    <w:rsid w:val="00B24F1D"/>
    <w:rsid w:val="00B257FD"/>
    <w:rsid w:val="00B25C29"/>
    <w:rsid w:val="00B262BF"/>
    <w:rsid w:val="00B268E4"/>
    <w:rsid w:val="00B278DC"/>
    <w:rsid w:val="00B30979"/>
    <w:rsid w:val="00B3100E"/>
    <w:rsid w:val="00B32595"/>
    <w:rsid w:val="00B334BB"/>
    <w:rsid w:val="00B334CD"/>
    <w:rsid w:val="00B33817"/>
    <w:rsid w:val="00B33918"/>
    <w:rsid w:val="00B33DD3"/>
    <w:rsid w:val="00B33E06"/>
    <w:rsid w:val="00B340DD"/>
    <w:rsid w:val="00B3502D"/>
    <w:rsid w:val="00B35380"/>
    <w:rsid w:val="00B366AC"/>
    <w:rsid w:val="00B366B9"/>
    <w:rsid w:val="00B36DCE"/>
    <w:rsid w:val="00B3738A"/>
    <w:rsid w:val="00B37892"/>
    <w:rsid w:val="00B40198"/>
    <w:rsid w:val="00B404AD"/>
    <w:rsid w:val="00B40A4A"/>
    <w:rsid w:val="00B41055"/>
    <w:rsid w:val="00B4164C"/>
    <w:rsid w:val="00B419D3"/>
    <w:rsid w:val="00B4272E"/>
    <w:rsid w:val="00B4302B"/>
    <w:rsid w:val="00B43F35"/>
    <w:rsid w:val="00B43F4A"/>
    <w:rsid w:val="00B443B1"/>
    <w:rsid w:val="00B44784"/>
    <w:rsid w:val="00B44E19"/>
    <w:rsid w:val="00B465EC"/>
    <w:rsid w:val="00B47759"/>
    <w:rsid w:val="00B478AE"/>
    <w:rsid w:val="00B50276"/>
    <w:rsid w:val="00B50E4C"/>
    <w:rsid w:val="00B51513"/>
    <w:rsid w:val="00B517AF"/>
    <w:rsid w:val="00B52A43"/>
    <w:rsid w:val="00B52B13"/>
    <w:rsid w:val="00B52FA5"/>
    <w:rsid w:val="00B535F4"/>
    <w:rsid w:val="00B55374"/>
    <w:rsid w:val="00B553D7"/>
    <w:rsid w:val="00B55537"/>
    <w:rsid w:val="00B55893"/>
    <w:rsid w:val="00B55EAA"/>
    <w:rsid w:val="00B56E33"/>
    <w:rsid w:val="00B5700C"/>
    <w:rsid w:val="00B57328"/>
    <w:rsid w:val="00B601C7"/>
    <w:rsid w:val="00B60597"/>
    <w:rsid w:val="00B6059B"/>
    <w:rsid w:val="00B60949"/>
    <w:rsid w:val="00B60F48"/>
    <w:rsid w:val="00B623BF"/>
    <w:rsid w:val="00B62663"/>
    <w:rsid w:val="00B629B7"/>
    <w:rsid w:val="00B62B2A"/>
    <w:rsid w:val="00B62E63"/>
    <w:rsid w:val="00B636F6"/>
    <w:rsid w:val="00B64095"/>
    <w:rsid w:val="00B648B9"/>
    <w:rsid w:val="00B65491"/>
    <w:rsid w:val="00B656B8"/>
    <w:rsid w:val="00B6586F"/>
    <w:rsid w:val="00B65BC4"/>
    <w:rsid w:val="00B66BFF"/>
    <w:rsid w:val="00B66DBC"/>
    <w:rsid w:val="00B66DED"/>
    <w:rsid w:val="00B67EF4"/>
    <w:rsid w:val="00B7016F"/>
    <w:rsid w:val="00B701F6"/>
    <w:rsid w:val="00B70673"/>
    <w:rsid w:val="00B70C47"/>
    <w:rsid w:val="00B70CB9"/>
    <w:rsid w:val="00B7191B"/>
    <w:rsid w:val="00B71DF4"/>
    <w:rsid w:val="00B71E7E"/>
    <w:rsid w:val="00B723E6"/>
    <w:rsid w:val="00B726F6"/>
    <w:rsid w:val="00B7275F"/>
    <w:rsid w:val="00B727D5"/>
    <w:rsid w:val="00B72AB7"/>
    <w:rsid w:val="00B7315A"/>
    <w:rsid w:val="00B7372A"/>
    <w:rsid w:val="00B73DC3"/>
    <w:rsid w:val="00B7408A"/>
    <w:rsid w:val="00B7444B"/>
    <w:rsid w:val="00B74C1D"/>
    <w:rsid w:val="00B76167"/>
    <w:rsid w:val="00B763AF"/>
    <w:rsid w:val="00B7684A"/>
    <w:rsid w:val="00B76A97"/>
    <w:rsid w:val="00B76DDC"/>
    <w:rsid w:val="00B77712"/>
    <w:rsid w:val="00B80287"/>
    <w:rsid w:val="00B8031A"/>
    <w:rsid w:val="00B80360"/>
    <w:rsid w:val="00B814A6"/>
    <w:rsid w:val="00B814E0"/>
    <w:rsid w:val="00B81BB5"/>
    <w:rsid w:val="00B81CF5"/>
    <w:rsid w:val="00B836E9"/>
    <w:rsid w:val="00B83AB8"/>
    <w:rsid w:val="00B83BCE"/>
    <w:rsid w:val="00B83BFB"/>
    <w:rsid w:val="00B8420A"/>
    <w:rsid w:val="00B8451D"/>
    <w:rsid w:val="00B84561"/>
    <w:rsid w:val="00B84B29"/>
    <w:rsid w:val="00B85884"/>
    <w:rsid w:val="00B8674E"/>
    <w:rsid w:val="00B872D6"/>
    <w:rsid w:val="00B87351"/>
    <w:rsid w:val="00B873D6"/>
    <w:rsid w:val="00B8748A"/>
    <w:rsid w:val="00B87544"/>
    <w:rsid w:val="00B87601"/>
    <w:rsid w:val="00B87E13"/>
    <w:rsid w:val="00B915E7"/>
    <w:rsid w:val="00B91A37"/>
    <w:rsid w:val="00B91AEB"/>
    <w:rsid w:val="00B91D49"/>
    <w:rsid w:val="00B92256"/>
    <w:rsid w:val="00B9232A"/>
    <w:rsid w:val="00B9236F"/>
    <w:rsid w:val="00B92827"/>
    <w:rsid w:val="00B9326D"/>
    <w:rsid w:val="00B94375"/>
    <w:rsid w:val="00B94926"/>
    <w:rsid w:val="00B94C6B"/>
    <w:rsid w:val="00B94FA5"/>
    <w:rsid w:val="00B95D4D"/>
    <w:rsid w:val="00B960FD"/>
    <w:rsid w:val="00B96A78"/>
    <w:rsid w:val="00B97178"/>
    <w:rsid w:val="00BA083F"/>
    <w:rsid w:val="00BA0C10"/>
    <w:rsid w:val="00BA0CCB"/>
    <w:rsid w:val="00BA0EC4"/>
    <w:rsid w:val="00BA11BD"/>
    <w:rsid w:val="00BA1362"/>
    <w:rsid w:val="00BA248B"/>
    <w:rsid w:val="00BA2A83"/>
    <w:rsid w:val="00BA35EB"/>
    <w:rsid w:val="00BA3664"/>
    <w:rsid w:val="00BA3E8A"/>
    <w:rsid w:val="00BA4939"/>
    <w:rsid w:val="00BA4AAA"/>
    <w:rsid w:val="00BA50BC"/>
    <w:rsid w:val="00BA666B"/>
    <w:rsid w:val="00BA6F9F"/>
    <w:rsid w:val="00BA7845"/>
    <w:rsid w:val="00BB05B7"/>
    <w:rsid w:val="00BB085F"/>
    <w:rsid w:val="00BB0B81"/>
    <w:rsid w:val="00BB0F9A"/>
    <w:rsid w:val="00BB0FCA"/>
    <w:rsid w:val="00BB1318"/>
    <w:rsid w:val="00BB142C"/>
    <w:rsid w:val="00BB1D30"/>
    <w:rsid w:val="00BB2C03"/>
    <w:rsid w:val="00BB33E0"/>
    <w:rsid w:val="00BB3623"/>
    <w:rsid w:val="00BB3BE6"/>
    <w:rsid w:val="00BB47E3"/>
    <w:rsid w:val="00BB4828"/>
    <w:rsid w:val="00BB497E"/>
    <w:rsid w:val="00BB49E1"/>
    <w:rsid w:val="00BB4D88"/>
    <w:rsid w:val="00BB510C"/>
    <w:rsid w:val="00BB5136"/>
    <w:rsid w:val="00BB69DE"/>
    <w:rsid w:val="00BB69FA"/>
    <w:rsid w:val="00BB6C58"/>
    <w:rsid w:val="00BB6CF9"/>
    <w:rsid w:val="00BC0664"/>
    <w:rsid w:val="00BC0B5C"/>
    <w:rsid w:val="00BC0EEB"/>
    <w:rsid w:val="00BC1ADE"/>
    <w:rsid w:val="00BC1BC3"/>
    <w:rsid w:val="00BC2848"/>
    <w:rsid w:val="00BC36C8"/>
    <w:rsid w:val="00BC409E"/>
    <w:rsid w:val="00BC5156"/>
    <w:rsid w:val="00BC53F0"/>
    <w:rsid w:val="00BC546E"/>
    <w:rsid w:val="00BC61A9"/>
    <w:rsid w:val="00BC63AF"/>
    <w:rsid w:val="00BC6621"/>
    <w:rsid w:val="00BC6706"/>
    <w:rsid w:val="00BC7347"/>
    <w:rsid w:val="00BC750A"/>
    <w:rsid w:val="00BC79CE"/>
    <w:rsid w:val="00BD0339"/>
    <w:rsid w:val="00BD0853"/>
    <w:rsid w:val="00BD08A7"/>
    <w:rsid w:val="00BD0AA3"/>
    <w:rsid w:val="00BD0C30"/>
    <w:rsid w:val="00BD0FEA"/>
    <w:rsid w:val="00BD11E5"/>
    <w:rsid w:val="00BD135F"/>
    <w:rsid w:val="00BD3E9E"/>
    <w:rsid w:val="00BD3F98"/>
    <w:rsid w:val="00BD4D7F"/>
    <w:rsid w:val="00BD594D"/>
    <w:rsid w:val="00BD5FA3"/>
    <w:rsid w:val="00BD63BE"/>
    <w:rsid w:val="00BD63D9"/>
    <w:rsid w:val="00BD6E35"/>
    <w:rsid w:val="00BE00FF"/>
    <w:rsid w:val="00BE0A0D"/>
    <w:rsid w:val="00BE0BC8"/>
    <w:rsid w:val="00BE1C6B"/>
    <w:rsid w:val="00BE2048"/>
    <w:rsid w:val="00BE2065"/>
    <w:rsid w:val="00BE35BA"/>
    <w:rsid w:val="00BE380B"/>
    <w:rsid w:val="00BE3909"/>
    <w:rsid w:val="00BE4B0E"/>
    <w:rsid w:val="00BE4BCD"/>
    <w:rsid w:val="00BE4BD4"/>
    <w:rsid w:val="00BE4E8D"/>
    <w:rsid w:val="00BE60E3"/>
    <w:rsid w:val="00BE639A"/>
    <w:rsid w:val="00BE6B9F"/>
    <w:rsid w:val="00BE701A"/>
    <w:rsid w:val="00BF0226"/>
    <w:rsid w:val="00BF09DD"/>
    <w:rsid w:val="00BF0D03"/>
    <w:rsid w:val="00BF0D20"/>
    <w:rsid w:val="00BF11A0"/>
    <w:rsid w:val="00BF1B4E"/>
    <w:rsid w:val="00BF1BBE"/>
    <w:rsid w:val="00BF1F79"/>
    <w:rsid w:val="00BF1FB4"/>
    <w:rsid w:val="00BF2A2B"/>
    <w:rsid w:val="00BF2AC9"/>
    <w:rsid w:val="00BF2D03"/>
    <w:rsid w:val="00BF2F2D"/>
    <w:rsid w:val="00BF3455"/>
    <w:rsid w:val="00BF3600"/>
    <w:rsid w:val="00BF3626"/>
    <w:rsid w:val="00BF3D33"/>
    <w:rsid w:val="00BF3D57"/>
    <w:rsid w:val="00BF41FB"/>
    <w:rsid w:val="00BF42A0"/>
    <w:rsid w:val="00BF441D"/>
    <w:rsid w:val="00BF4890"/>
    <w:rsid w:val="00BF4901"/>
    <w:rsid w:val="00BF4DF4"/>
    <w:rsid w:val="00BF4F49"/>
    <w:rsid w:val="00BF58EA"/>
    <w:rsid w:val="00BF5FFF"/>
    <w:rsid w:val="00BF6484"/>
    <w:rsid w:val="00BF6641"/>
    <w:rsid w:val="00BF6863"/>
    <w:rsid w:val="00BF6D1F"/>
    <w:rsid w:val="00BF70DB"/>
    <w:rsid w:val="00BF73B2"/>
    <w:rsid w:val="00BF7496"/>
    <w:rsid w:val="00BF7D24"/>
    <w:rsid w:val="00C00530"/>
    <w:rsid w:val="00C005D1"/>
    <w:rsid w:val="00C0195D"/>
    <w:rsid w:val="00C0272A"/>
    <w:rsid w:val="00C028B0"/>
    <w:rsid w:val="00C02A1F"/>
    <w:rsid w:val="00C02EAD"/>
    <w:rsid w:val="00C03AAB"/>
    <w:rsid w:val="00C03C32"/>
    <w:rsid w:val="00C04AA7"/>
    <w:rsid w:val="00C04F4E"/>
    <w:rsid w:val="00C06334"/>
    <w:rsid w:val="00C0643E"/>
    <w:rsid w:val="00C06557"/>
    <w:rsid w:val="00C0656F"/>
    <w:rsid w:val="00C0719C"/>
    <w:rsid w:val="00C072E2"/>
    <w:rsid w:val="00C073F4"/>
    <w:rsid w:val="00C07457"/>
    <w:rsid w:val="00C0745D"/>
    <w:rsid w:val="00C074DB"/>
    <w:rsid w:val="00C079BC"/>
    <w:rsid w:val="00C07F4F"/>
    <w:rsid w:val="00C10711"/>
    <w:rsid w:val="00C10B13"/>
    <w:rsid w:val="00C10E28"/>
    <w:rsid w:val="00C114F0"/>
    <w:rsid w:val="00C11CD2"/>
    <w:rsid w:val="00C121B1"/>
    <w:rsid w:val="00C121BA"/>
    <w:rsid w:val="00C12B9F"/>
    <w:rsid w:val="00C12BBE"/>
    <w:rsid w:val="00C12CC4"/>
    <w:rsid w:val="00C130B7"/>
    <w:rsid w:val="00C13EFA"/>
    <w:rsid w:val="00C14034"/>
    <w:rsid w:val="00C146DF"/>
    <w:rsid w:val="00C1477E"/>
    <w:rsid w:val="00C14985"/>
    <w:rsid w:val="00C14BFA"/>
    <w:rsid w:val="00C14FF4"/>
    <w:rsid w:val="00C15FD6"/>
    <w:rsid w:val="00C15FEB"/>
    <w:rsid w:val="00C16DE4"/>
    <w:rsid w:val="00C172D8"/>
    <w:rsid w:val="00C1732A"/>
    <w:rsid w:val="00C174A8"/>
    <w:rsid w:val="00C1780D"/>
    <w:rsid w:val="00C17904"/>
    <w:rsid w:val="00C17B71"/>
    <w:rsid w:val="00C17E98"/>
    <w:rsid w:val="00C20255"/>
    <w:rsid w:val="00C2029F"/>
    <w:rsid w:val="00C204BC"/>
    <w:rsid w:val="00C20C72"/>
    <w:rsid w:val="00C20DC9"/>
    <w:rsid w:val="00C239FD"/>
    <w:rsid w:val="00C24472"/>
    <w:rsid w:val="00C24A93"/>
    <w:rsid w:val="00C25165"/>
    <w:rsid w:val="00C25F83"/>
    <w:rsid w:val="00C26442"/>
    <w:rsid w:val="00C268E2"/>
    <w:rsid w:val="00C2713D"/>
    <w:rsid w:val="00C27C0B"/>
    <w:rsid w:val="00C30607"/>
    <w:rsid w:val="00C30BEC"/>
    <w:rsid w:val="00C3115E"/>
    <w:rsid w:val="00C31405"/>
    <w:rsid w:val="00C33641"/>
    <w:rsid w:val="00C33909"/>
    <w:rsid w:val="00C33D76"/>
    <w:rsid w:val="00C340DC"/>
    <w:rsid w:val="00C34290"/>
    <w:rsid w:val="00C349F4"/>
    <w:rsid w:val="00C34B59"/>
    <w:rsid w:val="00C35BCE"/>
    <w:rsid w:val="00C35C06"/>
    <w:rsid w:val="00C362D3"/>
    <w:rsid w:val="00C363FB"/>
    <w:rsid w:val="00C36484"/>
    <w:rsid w:val="00C367AF"/>
    <w:rsid w:val="00C36F2B"/>
    <w:rsid w:val="00C3746B"/>
    <w:rsid w:val="00C37CCD"/>
    <w:rsid w:val="00C37FD7"/>
    <w:rsid w:val="00C4015E"/>
    <w:rsid w:val="00C4016C"/>
    <w:rsid w:val="00C403E4"/>
    <w:rsid w:val="00C415EC"/>
    <w:rsid w:val="00C4233A"/>
    <w:rsid w:val="00C424C3"/>
    <w:rsid w:val="00C42C3C"/>
    <w:rsid w:val="00C43439"/>
    <w:rsid w:val="00C43DF8"/>
    <w:rsid w:val="00C446FC"/>
    <w:rsid w:val="00C4496F"/>
    <w:rsid w:val="00C44DD4"/>
    <w:rsid w:val="00C4584E"/>
    <w:rsid w:val="00C45B3F"/>
    <w:rsid w:val="00C45F6D"/>
    <w:rsid w:val="00C46321"/>
    <w:rsid w:val="00C4652A"/>
    <w:rsid w:val="00C4667F"/>
    <w:rsid w:val="00C46680"/>
    <w:rsid w:val="00C46B88"/>
    <w:rsid w:val="00C46C0F"/>
    <w:rsid w:val="00C46EFA"/>
    <w:rsid w:val="00C4700E"/>
    <w:rsid w:val="00C4740C"/>
    <w:rsid w:val="00C50511"/>
    <w:rsid w:val="00C508C9"/>
    <w:rsid w:val="00C50A22"/>
    <w:rsid w:val="00C50B48"/>
    <w:rsid w:val="00C512B1"/>
    <w:rsid w:val="00C517F8"/>
    <w:rsid w:val="00C5240B"/>
    <w:rsid w:val="00C533A8"/>
    <w:rsid w:val="00C53498"/>
    <w:rsid w:val="00C5459B"/>
    <w:rsid w:val="00C547C0"/>
    <w:rsid w:val="00C54A62"/>
    <w:rsid w:val="00C5590F"/>
    <w:rsid w:val="00C55FF6"/>
    <w:rsid w:val="00C561FB"/>
    <w:rsid w:val="00C5691C"/>
    <w:rsid w:val="00C56E5F"/>
    <w:rsid w:val="00C5745E"/>
    <w:rsid w:val="00C57D4C"/>
    <w:rsid w:val="00C57D6B"/>
    <w:rsid w:val="00C62042"/>
    <w:rsid w:val="00C63226"/>
    <w:rsid w:val="00C632A9"/>
    <w:rsid w:val="00C634FC"/>
    <w:rsid w:val="00C64942"/>
    <w:rsid w:val="00C64AE9"/>
    <w:rsid w:val="00C64FFA"/>
    <w:rsid w:val="00C65F33"/>
    <w:rsid w:val="00C67B1E"/>
    <w:rsid w:val="00C700B5"/>
    <w:rsid w:val="00C701C4"/>
    <w:rsid w:val="00C7072C"/>
    <w:rsid w:val="00C70DFF"/>
    <w:rsid w:val="00C711E8"/>
    <w:rsid w:val="00C71B0D"/>
    <w:rsid w:val="00C71CCE"/>
    <w:rsid w:val="00C72297"/>
    <w:rsid w:val="00C72829"/>
    <w:rsid w:val="00C73056"/>
    <w:rsid w:val="00C741D2"/>
    <w:rsid w:val="00C7426E"/>
    <w:rsid w:val="00C7516F"/>
    <w:rsid w:val="00C754D6"/>
    <w:rsid w:val="00C755CA"/>
    <w:rsid w:val="00C758F0"/>
    <w:rsid w:val="00C759BD"/>
    <w:rsid w:val="00C75B9F"/>
    <w:rsid w:val="00C75E08"/>
    <w:rsid w:val="00C762F3"/>
    <w:rsid w:val="00C76313"/>
    <w:rsid w:val="00C764BF"/>
    <w:rsid w:val="00C77390"/>
    <w:rsid w:val="00C80163"/>
    <w:rsid w:val="00C803A0"/>
    <w:rsid w:val="00C803D2"/>
    <w:rsid w:val="00C8163A"/>
    <w:rsid w:val="00C8187F"/>
    <w:rsid w:val="00C828D9"/>
    <w:rsid w:val="00C82BB2"/>
    <w:rsid w:val="00C82D25"/>
    <w:rsid w:val="00C834A7"/>
    <w:rsid w:val="00C83E29"/>
    <w:rsid w:val="00C84428"/>
    <w:rsid w:val="00C84AC2"/>
    <w:rsid w:val="00C85CCD"/>
    <w:rsid w:val="00C86598"/>
    <w:rsid w:val="00C8692B"/>
    <w:rsid w:val="00C86A08"/>
    <w:rsid w:val="00C86B18"/>
    <w:rsid w:val="00C86C41"/>
    <w:rsid w:val="00C87C78"/>
    <w:rsid w:val="00C87D98"/>
    <w:rsid w:val="00C9030E"/>
    <w:rsid w:val="00C9058F"/>
    <w:rsid w:val="00C90702"/>
    <w:rsid w:val="00C90A06"/>
    <w:rsid w:val="00C90B2B"/>
    <w:rsid w:val="00C91077"/>
    <w:rsid w:val="00C91606"/>
    <w:rsid w:val="00C91C0E"/>
    <w:rsid w:val="00C92FF5"/>
    <w:rsid w:val="00C93A62"/>
    <w:rsid w:val="00C93F50"/>
    <w:rsid w:val="00C94063"/>
    <w:rsid w:val="00C94684"/>
    <w:rsid w:val="00C946A1"/>
    <w:rsid w:val="00C94873"/>
    <w:rsid w:val="00C95980"/>
    <w:rsid w:val="00C95C41"/>
    <w:rsid w:val="00C9642B"/>
    <w:rsid w:val="00C96B16"/>
    <w:rsid w:val="00C9724B"/>
    <w:rsid w:val="00C97368"/>
    <w:rsid w:val="00C973D0"/>
    <w:rsid w:val="00C974BE"/>
    <w:rsid w:val="00CA01FC"/>
    <w:rsid w:val="00CA0237"/>
    <w:rsid w:val="00CA0327"/>
    <w:rsid w:val="00CA039F"/>
    <w:rsid w:val="00CA0BBF"/>
    <w:rsid w:val="00CA0DE4"/>
    <w:rsid w:val="00CA0EF9"/>
    <w:rsid w:val="00CA1236"/>
    <w:rsid w:val="00CA2A51"/>
    <w:rsid w:val="00CA3C90"/>
    <w:rsid w:val="00CA3F00"/>
    <w:rsid w:val="00CA3FEA"/>
    <w:rsid w:val="00CA57A6"/>
    <w:rsid w:val="00CA7144"/>
    <w:rsid w:val="00CB066A"/>
    <w:rsid w:val="00CB084C"/>
    <w:rsid w:val="00CB0A5C"/>
    <w:rsid w:val="00CB1A20"/>
    <w:rsid w:val="00CB1C0E"/>
    <w:rsid w:val="00CB20F0"/>
    <w:rsid w:val="00CB2669"/>
    <w:rsid w:val="00CB34C7"/>
    <w:rsid w:val="00CB399F"/>
    <w:rsid w:val="00CB3C8F"/>
    <w:rsid w:val="00CB3EDE"/>
    <w:rsid w:val="00CB3FA8"/>
    <w:rsid w:val="00CB417E"/>
    <w:rsid w:val="00CB43FD"/>
    <w:rsid w:val="00CB45FA"/>
    <w:rsid w:val="00CB5099"/>
    <w:rsid w:val="00CB564C"/>
    <w:rsid w:val="00CB5CCC"/>
    <w:rsid w:val="00CB64D2"/>
    <w:rsid w:val="00CB67C4"/>
    <w:rsid w:val="00CB6D5F"/>
    <w:rsid w:val="00CB7AAB"/>
    <w:rsid w:val="00CC0CF6"/>
    <w:rsid w:val="00CC11DA"/>
    <w:rsid w:val="00CC1469"/>
    <w:rsid w:val="00CC1C65"/>
    <w:rsid w:val="00CC2099"/>
    <w:rsid w:val="00CC2440"/>
    <w:rsid w:val="00CC2ADD"/>
    <w:rsid w:val="00CC2C98"/>
    <w:rsid w:val="00CC3341"/>
    <w:rsid w:val="00CC3646"/>
    <w:rsid w:val="00CC3B1C"/>
    <w:rsid w:val="00CC4092"/>
    <w:rsid w:val="00CC4513"/>
    <w:rsid w:val="00CC47FF"/>
    <w:rsid w:val="00CC48C6"/>
    <w:rsid w:val="00CC495C"/>
    <w:rsid w:val="00CC4BCE"/>
    <w:rsid w:val="00CC5584"/>
    <w:rsid w:val="00CC59C9"/>
    <w:rsid w:val="00CC5EE0"/>
    <w:rsid w:val="00CC5F3A"/>
    <w:rsid w:val="00CC6B47"/>
    <w:rsid w:val="00CC7902"/>
    <w:rsid w:val="00CC7B5C"/>
    <w:rsid w:val="00CD08A8"/>
    <w:rsid w:val="00CD1879"/>
    <w:rsid w:val="00CD192B"/>
    <w:rsid w:val="00CD1E93"/>
    <w:rsid w:val="00CD30F5"/>
    <w:rsid w:val="00CD38EA"/>
    <w:rsid w:val="00CD3B29"/>
    <w:rsid w:val="00CD3B6F"/>
    <w:rsid w:val="00CD4678"/>
    <w:rsid w:val="00CD4FFE"/>
    <w:rsid w:val="00CD5554"/>
    <w:rsid w:val="00CD68E7"/>
    <w:rsid w:val="00CD6B8A"/>
    <w:rsid w:val="00CD6ED2"/>
    <w:rsid w:val="00CD7612"/>
    <w:rsid w:val="00CD76A1"/>
    <w:rsid w:val="00CE0611"/>
    <w:rsid w:val="00CE101C"/>
    <w:rsid w:val="00CE1268"/>
    <w:rsid w:val="00CE1D23"/>
    <w:rsid w:val="00CE2336"/>
    <w:rsid w:val="00CE2727"/>
    <w:rsid w:val="00CE29E6"/>
    <w:rsid w:val="00CE3058"/>
    <w:rsid w:val="00CE3E94"/>
    <w:rsid w:val="00CE4813"/>
    <w:rsid w:val="00CE5058"/>
    <w:rsid w:val="00CE5313"/>
    <w:rsid w:val="00CE5F22"/>
    <w:rsid w:val="00CE5F54"/>
    <w:rsid w:val="00CE62EC"/>
    <w:rsid w:val="00CE6480"/>
    <w:rsid w:val="00CE686D"/>
    <w:rsid w:val="00CE7E97"/>
    <w:rsid w:val="00CF02DB"/>
    <w:rsid w:val="00CF109A"/>
    <w:rsid w:val="00CF1173"/>
    <w:rsid w:val="00CF11ED"/>
    <w:rsid w:val="00CF1CBA"/>
    <w:rsid w:val="00CF218E"/>
    <w:rsid w:val="00CF24E2"/>
    <w:rsid w:val="00CF2A93"/>
    <w:rsid w:val="00CF2F73"/>
    <w:rsid w:val="00CF32E9"/>
    <w:rsid w:val="00CF34B0"/>
    <w:rsid w:val="00CF35A8"/>
    <w:rsid w:val="00CF4312"/>
    <w:rsid w:val="00CF4A10"/>
    <w:rsid w:val="00CF53A6"/>
    <w:rsid w:val="00CF5C26"/>
    <w:rsid w:val="00CF5E49"/>
    <w:rsid w:val="00CF6161"/>
    <w:rsid w:val="00CF664C"/>
    <w:rsid w:val="00CF6E35"/>
    <w:rsid w:val="00CF738B"/>
    <w:rsid w:val="00CF743A"/>
    <w:rsid w:val="00CF7765"/>
    <w:rsid w:val="00D0008A"/>
    <w:rsid w:val="00D007F7"/>
    <w:rsid w:val="00D00EF4"/>
    <w:rsid w:val="00D02088"/>
    <w:rsid w:val="00D02A9C"/>
    <w:rsid w:val="00D03616"/>
    <w:rsid w:val="00D03784"/>
    <w:rsid w:val="00D03B2D"/>
    <w:rsid w:val="00D041AD"/>
    <w:rsid w:val="00D04871"/>
    <w:rsid w:val="00D04FC0"/>
    <w:rsid w:val="00D056BE"/>
    <w:rsid w:val="00D05EEF"/>
    <w:rsid w:val="00D06266"/>
    <w:rsid w:val="00D06843"/>
    <w:rsid w:val="00D06FBE"/>
    <w:rsid w:val="00D06FD8"/>
    <w:rsid w:val="00D10CE0"/>
    <w:rsid w:val="00D10E05"/>
    <w:rsid w:val="00D10E2C"/>
    <w:rsid w:val="00D10F5F"/>
    <w:rsid w:val="00D11522"/>
    <w:rsid w:val="00D1153E"/>
    <w:rsid w:val="00D1171B"/>
    <w:rsid w:val="00D11971"/>
    <w:rsid w:val="00D11A91"/>
    <w:rsid w:val="00D11AFB"/>
    <w:rsid w:val="00D124CA"/>
    <w:rsid w:val="00D1308F"/>
    <w:rsid w:val="00D132A9"/>
    <w:rsid w:val="00D13F46"/>
    <w:rsid w:val="00D142DD"/>
    <w:rsid w:val="00D145E2"/>
    <w:rsid w:val="00D14C64"/>
    <w:rsid w:val="00D14FAE"/>
    <w:rsid w:val="00D15B1D"/>
    <w:rsid w:val="00D166F9"/>
    <w:rsid w:val="00D16FAD"/>
    <w:rsid w:val="00D16FB5"/>
    <w:rsid w:val="00D20391"/>
    <w:rsid w:val="00D20BAE"/>
    <w:rsid w:val="00D212F0"/>
    <w:rsid w:val="00D219BD"/>
    <w:rsid w:val="00D21FF1"/>
    <w:rsid w:val="00D22B34"/>
    <w:rsid w:val="00D22D18"/>
    <w:rsid w:val="00D24B32"/>
    <w:rsid w:val="00D25130"/>
    <w:rsid w:val="00D25919"/>
    <w:rsid w:val="00D262D1"/>
    <w:rsid w:val="00D26342"/>
    <w:rsid w:val="00D26499"/>
    <w:rsid w:val="00D269E1"/>
    <w:rsid w:val="00D2719B"/>
    <w:rsid w:val="00D2751C"/>
    <w:rsid w:val="00D27814"/>
    <w:rsid w:val="00D27A32"/>
    <w:rsid w:val="00D27BC6"/>
    <w:rsid w:val="00D31383"/>
    <w:rsid w:val="00D3183E"/>
    <w:rsid w:val="00D32B6D"/>
    <w:rsid w:val="00D33421"/>
    <w:rsid w:val="00D33782"/>
    <w:rsid w:val="00D338A5"/>
    <w:rsid w:val="00D3396E"/>
    <w:rsid w:val="00D3399F"/>
    <w:rsid w:val="00D33A2E"/>
    <w:rsid w:val="00D33B54"/>
    <w:rsid w:val="00D34E4F"/>
    <w:rsid w:val="00D35087"/>
    <w:rsid w:val="00D355A0"/>
    <w:rsid w:val="00D360E6"/>
    <w:rsid w:val="00D36BBD"/>
    <w:rsid w:val="00D37420"/>
    <w:rsid w:val="00D3746E"/>
    <w:rsid w:val="00D40719"/>
    <w:rsid w:val="00D407E2"/>
    <w:rsid w:val="00D4284A"/>
    <w:rsid w:val="00D42AD4"/>
    <w:rsid w:val="00D43114"/>
    <w:rsid w:val="00D43DB8"/>
    <w:rsid w:val="00D44172"/>
    <w:rsid w:val="00D448E1"/>
    <w:rsid w:val="00D449D4"/>
    <w:rsid w:val="00D44CF1"/>
    <w:rsid w:val="00D45566"/>
    <w:rsid w:val="00D46192"/>
    <w:rsid w:val="00D46DAE"/>
    <w:rsid w:val="00D50186"/>
    <w:rsid w:val="00D50B29"/>
    <w:rsid w:val="00D50B88"/>
    <w:rsid w:val="00D51D52"/>
    <w:rsid w:val="00D52458"/>
    <w:rsid w:val="00D529C5"/>
    <w:rsid w:val="00D52B33"/>
    <w:rsid w:val="00D538DB"/>
    <w:rsid w:val="00D53A3D"/>
    <w:rsid w:val="00D545E5"/>
    <w:rsid w:val="00D5492E"/>
    <w:rsid w:val="00D549E7"/>
    <w:rsid w:val="00D5507E"/>
    <w:rsid w:val="00D550FC"/>
    <w:rsid w:val="00D556A6"/>
    <w:rsid w:val="00D5741C"/>
    <w:rsid w:val="00D57E14"/>
    <w:rsid w:val="00D600D6"/>
    <w:rsid w:val="00D602DB"/>
    <w:rsid w:val="00D60707"/>
    <w:rsid w:val="00D6141C"/>
    <w:rsid w:val="00D6197F"/>
    <w:rsid w:val="00D61C7D"/>
    <w:rsid w:val="00D62352"/>
    <w:rsid w:val="00D627FB"/>
    <w:rsid w:val="00D62F50"/>
    <w:rsid w:val="00D6448D"/>
    <w:rsid w:val="00D65173"/>
    <w:rsid w:val="00D658FE"/>
    <w:rsid w:val="00D6667E"/>
    <w:rsid w:val="00D66DC6"/>
    <w:rsid w:val="00D674C0"/>
    <w:rsid w:val="00D70003"/>
    <w:rsid w:val="00D70FF1"/>
    <w:rsid w:val="00D71677"/>
    <w:rsid w:val="00D71A08"/>
    <w:rsid w:val="00D71B2C"/>
    <w:rsid w:val="00D71FFF"/>
    <w:rsid w:val="00D7214A"/>
    <w:rsid w:val="00D72469"/>
    <w:rsid w:val="00D740A0"/>
    <w:rsid w:val="00D74987"/>
    <w:rsid w:val="00D74F1D"/>
    <w:rsid w:val="00D753FA"/>
    <w:rsid w:val="00D75A37"/>
    <w:rsid w:val="00D760BD"/>
    <w:rsid w:val="00D764CC"/>
    <w:rsid w:val="00D76508"/>
    <w:rsid w:val="00D7697E"/>
    <w:rsid w:val="00D776AC"/>
    <w:rsid w:val="00D77777"/>
    <w:rsid w:val="00D77914"/>
    <w:rsid w:val="00D77AC4"/>
    <w:rsid w:val="00D77BBA"/>
    <w:rsid w:val="00D80FAC"/>
    <w:rsid w:val="00D812D7"/>
    <w:rsid w:val="00D81703"/>
    <w:rsid w:val="00D817D8"/>
    <w:rsid w:val="00D81A62"/>
    <w:rsid w:val="00D83008"/>
    <w:rsid w:val="00D856E5"/>
    <w:rsid w:val="00D86069"/>
    <w:rsid w:val="00D860E9"/>
    <w:rsid w:val="00D8614B"/>
    <w:rsid w:val="00D86157"/>
    <w:rsid w:val="00D8663F"/>
    <w:rsid w:val="00D866B4"/>
    <w:rsid w:val="00D86A66"/>
    <w:rsid w:val="00D86D94"/>
    <w:rsid w:val="00D872B5"/>
    <w:rsid w:val="00D902CC"/>
    <w:rsid w:val="00D9031B"/>
    <w:rsid w:val="00D90DB7"/>
    <w:rsid w:val="00D90E2C"/>
    <w:rsid w:val="00D90FDB"/>
    <w:rsid w:val="00D9119A"/>
    <w:rsid w:val="00D911CF"/>
    <w:rsid w:val="00D913E2"/>
    <w:rsid w:val="00D91E99"/>
    <w:rsid w:val="00D91F4B"/>
    <w:rsid w:val="00D92945"/>
    <w:rsid w:val="00D92AF5"/>
    <w:rsid w:val="00D92C8E"/>
    <w:rsid w:val="00D92CCF"/>
    <w:rsid w:val="00D93D12"/>
    <w:rsid w:val="00D94401"/>
    <w:rsid w:val="00D948E5"/>
    <w:rsid w:val="00D94CC1"/>
    <w:rsid w:val="00D95375"/>
    <w:rsid w:val="00D954C7"/>
    <w:rsid w:val="00D95F98"/>
    <w:rsid w:val="00D96537"/>
    <w:rsid w:val="00D96A7E"/>
    <w:rsid w:val="00D978B4"/>
    <w:rsid w:val="00DA106D"/>
    <w:rsid w:val="00DA1B1E"/>
    <w:rsid w:val="00DA1D49"/>
    <w:rsid w:val="00DA1D7A"/>
    <w:rsid w:val="00DA2CA6"/>
    <w:rsid w:val="00DA2D67"/>
    <w:rsid w:val="00DA374D"/>
    <w:rsid w:val="00DA5BE2"/>
    <w:rsid w:val="00DA5C23"/>
    <w:rsid w:val="00DA5D59"/>
    <w:rsid w:val="00DA6646"/>
    <w:rsid w:val="00DA6BAA"/>
    <w:rsid w:val="00DA6CB2"/>
    <w:rsid w:val="00DA712C"/>
    <w:rsid w:val="00DA7689"/>
    <w:rsid w:val="00DA797D"/>
    <w:rsid w:val="00DB0A1C"/>
    <w:rsid w:val="00DB0CB4"/>
    <w:rsid w:val="00DB1255"/>
    <w:rsid w:val="00DB1EF1"/>
    <w:rsid w:val="00DB2275"/>
    <w:rsid w:val="00DB2B01"/>
    <w:rsid w:val="00DB2F16"/>
    <w:rsid w:val="00DB3378"/>
    <w:rsid w:val="00DB410F"/>
    <w:rsid w:val="00DB41BC"/>
    <w:rsid w:val="00DB4445"/>
    <w:rsid w:val="00DB46A5"/>
    <w:rsid w:val="00DB4C1E"/>
    <w:rsid w:val="00DB581F"/>
    <w:rsid w:val="00DB6470"/>
    <w:rsid w:val="00DB64E6"/>
    <w:rsid w:val="00DB64E9"/>
    <w:rsid w:val="00DB78B7"/>
    <w:rsid w:val="00DB7C0E"/>
    <w:rsid w:val="00DB7C99"/>
    <w:rsid w:val="00DB7FE1"/>
    <w:rsid w:val="00DC0970"/>
    <w:rsid w:val="00DC0AD7"/>
    <w:rsid w:val="00DC0E90"/>
    <w:rsid w:val="00DC17D9"/>
    <w:rsid w:val="00DC1CB5"/>
    <w:rsid w:val="00DC1F15"/>
    <w:rsid w:val="00DC4075"/>
    <w:rsid w:val="00DC4421"/>
    <w:rsid w:val="00DC4439"/>
    <w:rsid w:val="00DC4A36"/>
    <w:rsid w:val="00DC4D80"/>
    <w:rsid w:val="00DC5C22"/>
    <w:rsid w:val="00DC6AD6"/>
    <w:rsid w:val="00DC7583"/>
    <w:rsid w:val="00DC7665"/>
    <w:rsid w:val="00DC7D10"/>
    <w:rsid w:val="00DD02FB"/>
    <w:rsid w:val="00DD04BE"/>
    <w:rsid w:val="00DD09CA"/>
    <w:rsid w:val="00DD2476"/>
    <w:rsid w:val="00DD2910"/>
    <w:rsid w:val="00DD3501"/>
    <w:rsid w:val="00DD3700"/>
    <w:rsid w:val="00DD4750"/>
    <w:rsid w:val="00DD532F"/>
    <w:rsid w:val="00DD55B2"/>
    <w:rsid w:val="00DD5C66"/>
    <w:rsid w:val="00DD65EC"/>
    <w:rsid w:val="00DD6818"/>
    <w:rsid w:val="00DD6CEE"/>
    <w:rsid w:val="00DD6D8C"/>
    <w:rsid w:val="00DD79C1"/>
    <w:rsid w:val="00DE07FC"/>
    <w:rsid w:val="00DE0832"/>
    <w:rsid w:val="00DE08FE"/>
    <w:rsid w:val="00DE0C69"/>
    <w:rsid w:val="00DE0D7F"/>
    <w:rsid w:val="00DE11D9"/>
    <w:rsid w:val="00DE1219"/>
    <w:rsid w:val="00DE13E4"/>
    <w:rsid w:val="00DE1BFD"/>
    <w:rsid w:val="00DE1DE8"/>
    <w:rsid w:val="00DE1F88"/>
    <w:rsid w:val="00DE2418"/>
    <w:rsid w:val="00DE2461"/>
    <w:rsid w:val="00DE250E"/>
    <w:rsid w:val="00DE394F"/>
    <w:rsid w:val="00DE3A96"/>
    <w:rsid w:val="00DE4299"/>
    <w:rsid w:val="00DE4388"/>
    <w:rsid w:val="00DE4424"/>
    <w:rsid w:val="00DE4FB4"/>
    <w:rsid w:val="00DE5013"/>
    <w:rsid w:val="00DE55FB"/>
    <w:rsid w:val="00DE6AA3"/>
    <w:rsid w:val="00DE6D73"/>
    <w:rsid w:val="00DE6EC9"/>
    <w:rsid w:val="00DE6FA0"/>
    <w:rsid w:val="00DE7E81"/>
    <w:rsid w:val="00DF0060"/>
    <w:rsid w:val="00DF078A"/>
    <w:rsid w:val="00DF0D11"/>
    <w:rsid w:val="00DF127A"/>
    <w:rsid w:val="00DF23CD"/>
    <w:rsid w:val="00DF2543"/>
    <w:rsid w:val="00DF25B0"/>
    <w:rsid w:val="00DF2B4E"/>
    <w:rsid w:val="00DF2B9A"/>
    <w:rsid w:val="00DF3186"/>
    <w:rsid w:val="00DF531A"/>
    <w:rsid w:val="00DF59E0"/>
    <w:rsid w:val="00DF5E24"/>
    <w:rsid w:val="00DF62FB"/>
    <w:rsid w:val="00DF63AF"/>
    <w:rsid w:val="00DF66BD"/>
    <w:rsid w:val="00DF6701"/>
    <w:rsid w:val="00DF6A7F"/>
    <w:rsid w:val="00DF6F6A"/>
    <w:rsid w:val="00DF7664"/>
    <w:rsid w:val="00DF7E1E"/>
    <w:rsid w:val="00E005BE"/>
    <w:rsid w:val="00E019CB"/>
    <w:rsid w:val="00E02CFD"/>
    <w:rsid w:val="00E03C3A"/>
    <w:rsid w:val="00E05030"/>
    <w:rsid w:val="00E050A6"/>
    <w:rsid w:val="00E051C1"/>
    <w:rsid w:val="00E05422"/>
    <w:rsid w:val="00E05A62"/>
    <w:rsid w:val="00E05C1F"/>
    <w:rsid w:val="00E06166"/>
    <w:rsid w:val="00E06217"/>
    <w:rsid w:val="00E06289"/>
    <w:rsid w:val="00E0692D"/>
    <w:rsid w:val="00E06A59"/>
    <w:rsid w:val="00E06FE3"/>
    <w:rsid w:val="00E07924"/>
    <w:rsid w:val="00E100B0"/>
    <w:rsid w:val="00E10746"/>
    <w:rsid w:val="00E1087F"/>
    <w:rsid w:val="00E114EA"/>
    <w:rsid w:val="00E124D2"/>
    <w:rsid w:val="00E12E80"/>
    <w:rsid w:val="00E134A1"/>
    <w:rsid w:val="00E1361A"/>
    <w:rsid w:val="00E13928"/>
    <w:rsid w:val="00E13B59"/>
    <w:rsid w:val="00E14FC4"/>
    <w:rsid w:val="00E1550C"/>
    <w:rsid w:val="00E15DB1"/>
    <w:rsid w:val="00E15FA7"/>
    <w:rsid w:val="00E16226"/>
    <w:rsid w:val="00E16823"/>
    <w:rsid w:val="00E17C3B"/>
    <w:rsid w:val="00E2054B"/>
    <w:rsid w:val="00E20813"/>
    <w:rsid w:val="00E20C0E"/>
    <w:rsid w:val="00E2133D"/>
    <w:rsid w:val="00E21839"/>
    <w:rsid w:val="00E21E7D"/>
    <w:rsid w:val="00E220C0"/>
    <w:rsid w:val="00E224CB"/>
    <w:rsid w:val="00E2251A"/>
    <w:rsid w:val="00E22620"/>
    <w:rsid w:val="00E22E70"/>
    <w:rsid w:val="00E24105"/>
    <w:rsid w:val="00E26BAB"/>
    <w:rsid w:val="00E27357"/>
    <w:rsid w:val="00E27528"/>
    <w:rsid w:val="00E27F74"/>
    <w:rsid w:val="00E3020C"/>
    <w:rsid w:val="00E3078D"/>
    <w:rsid w:val="00E30A21"/>
    <w:rsid w:val="00E30D86"/>
    <w:rsid w:val="00E3130E"/>
    <w:rsid w:val="00E3149C"/>
    <w:rsid w:val="00E31D96"/>
    <w:rsid w:val="00E32AF7"/>
    <w:rsid w:val="00E32E9D"/>
    <w:rsid w:val="00E33492"/>
    <w:rsid w:val="00E33995"/>
    <w:rsid w:val="00E33F39"/>
    <w:rsid w:val="00E35172"/>
    <w:rsid w:val="00E370C4"/>
    <w:rsid w:val="00E377AC"/>
    <w:rsid w:val="00E37ED3"/>
    <w:rsid w:val="00E40805"/>
    <w:rsid w:val="00E4170F"/>
    <w:rsid w:val="00E41DDE"/>
    <w:rsid w:val="00E41F41"/>
    <w:rsid w:val="00E4205B"/>
    <w:rsid w:val="00E421C3"/>
    <w:rsid w:val="00E448C6"/>
    <w:rsid w:val="00E44F4C"/>
    <w:rsid w:val="00E44FCE"/>
    <w:rsid w:val="00E45318"/>
    <w:rsid w:val="00E45E12"/>
    <w:rsid w:val="00E46030"/>
    <w:rsid w:val="00E46761"/>
    <w:rsid w:val="00E472A4"/>
    <w:rsid w:val="00E4736C"/>
    <w:rsid w:val="00E5038D"/>
    <w:rsid w:val="00E50757"/>
    <w:rsid w:val="00E50AFF"/>
    <w:rsid w:val="00E51221"/>
    <w:rsid w:val="00E518AB"/>
    <w:rsid w:val="00E52E50"/>
    <w:rsid w:val="00E53015"/>
    <w:rsid w:val="00E53694"/>
    <w:rsid w:val="00E53867"/>
    <w:rsid w:val="00E53CFA"/>
    <w:rsid w:val="00E54518"/>
    <w:rsid w:val="00E54D31"/>
    <w:rsid w:val="00E54E10"/>
    <w:rsid w:val="00E555B9"/>
    <w:rsid w:val="00E55E78"/>
    <w:rsid w:val="00E56018"/>
    <w:rsid w:val="00E56B42"/>
    <w:rsid w:val="00E56F13"/>
    <w:rsid w:val="00E57175"/>
    <w:rsid w:val="00E6081F"/>
    <w:rsid w:val="00E6107D"/>
    <w:rsid w:val="00E61448"/>
    <w:rsid w:val="00E619E3"/>
    <w:rsid w:val="00E61FE7"/>
    <w:rsid w:val="00E62906"/>
    <w:rsid w:val="00E6296D"/>
    <w:rsid w:val="00E629FE"/>
    <w:rsid w:val="00E62EA4"/>
    <w:rsid w:val="00E62EBB"/>
    <w:rsid w:val="00E63750"/>
    <w:rsid w:val="00E64292"/>
    <w:rsid w:val="00E644C2"/>
    <w:rsid w:val="00E645A4"/>
    <w:rsid w:val="00E6474F"/>
    <w:rsid w:val="00E64774"/>
    <w:rsid w:val="00E65AC3"/>
    <w:rsid w:val="00E65AD4"/>
    <w:rsid w:val="00E66533"/>
    <w:rsid w:val="00E67A19"/>
    <w:rsid w:val="00E67A35"/>
    <w:rsid w:val="00E67C74"/>
    <w:rsid w:val="00E71AC1"/>
    <w:rsid w:val="00E71E34"/>
    <w:rsid w:val="00E72025"/>
    <w:rsid w:val="00E7203D"/>
    <w:rsid w:val="00E726D5"/>
    <w:rsid w:val="00E72EFB"/>
    <w:rsid w:val="00E73242"/>
    <w:rsid w:val="00E74103"/>
    <w:rsid w:val="00E741BD"/>
    <w:rsid w:val="00E7467B"/>
    <w:rsid w:val="00E74877"/>
    <w:rsid w:val="00E74961"/>
    <w:rsid w:val="00E74B91"/>
    <w:rsid w:val="00E751F3"/>
    <w:rsid w:val="00E75599"/>
    <w:rsid w:val="00E75792"/>
    <w:rsid w:val="00E7580B"/>
    <w:rsid w:val="00E75AF3"/>
    <w:rsid w:val="00E75C9E"/>
    <w:rsid w:val="00E76601"/>
    <w:rsid w:val="00E76D2B"/>
    <w:rsid w:val="00E779BF"/>
    <w:rsid w:val="00E802E9"/>
    <w:rsid w:val="00E80D39"/>
    <w:rsid w:val="00E81A2C"/>
    <w:rsid w:val="00E81E15"/>
    <w:rsid w:val="00E81FC0"/>
    <w:rsid w:val="00E8340E"/>
    <w:rsid w:val="00E84ECE"/>
    <w:rsid w:val="00E85031"/>
    <w:rsid w:val="00E85892"/>
    <w:rsid w:val="00E85BCC"/>
    <w:rsid w:val="00E87082"/>
    <w:rsid w:val="00E870E2"/>
    <w:rsid w:val="00E8764C"/>
    <w:rsid w:val="00E9007E"/>
    <w:rsid w:val="00E90F68"/>
    <w:rsid w:val="00E91048"/>
    <w:rsid w:val="00E91686"/>
    <w:rsid w:val="00E9217C"/>
    <w:rsid w:val="00E92539"/>
    <w:rsid w:val="00E92A8E"/>
    <w:rsid w:val="00E93194"/>
    <w:rsid w:val="00E9320C"/>
    <w:rsid w:val="00E94609"/>
    <w:rsid w:val="00E947FE"/>
    <w:rsid w:val="00E94DE3"/>
    <w:rsid w:val="00E951EF"/>
    <w:rsid w:val="00E95348"/>
    <w:rsid w:val="00E95E6B"/>
    <w:rsid w:val="00E96178"/>
    <w:rsid w:val="00E9624C"/>
    <w:rsid w:val="00E96D09"/>
    <w:rsid w:val="00E97FA6"/>
    <w:rsid w:val="00EA0329"/>
    <w:rsid w:val="00EA06AB"/>
    <w:rsid w:val="00EA0F19"/>
    <w:rsid w:val="00EA1BE4"/>
    <w:rsid w:val="00EA23EC"/>
    <w:rsid w:val="00EA2B58"/>
    <w:rsid w:val="00EA303C"/>
    <w:rsid w:val="00EA39FD"/>
    <w:rsid w:val="00EA4A22"/>
    <w:rsid w:val="00EA4E17"/>
    <w:rsid w:val="00EA5721"/>
    <w:rsid w:val="00EA779D"/>
    <w:rsid w:val="00EA7A70"/>
    <w:rsid w:val="00EB0BEA"/>
    <w:rsid w:val="00EB15C7"/>
    <w:rsid w:val="00EB1CB5"/>
    <w:rsid w:val="00EB2384"/>
    <w:rsid w:val="00EB2A35"/>
    <w:rsid w:val="00EB2C9A"/>
    <w:rsid w:val="00EB326F"/>
    <w:rsid w:val="00EB3326"/>
    <w:rsid w:val="00EB3849"/>
    <w:rsid w:val="00EB3A39"/>
    <w:rsid w:val="00EB3CA6"/>
    <w:rsid w:val="00EB4186"/>
    <w:rsid w:val="00EB420A"/>
    <w:rsid w:val="00EB4BA7"/>
    <w:rsid w:val="00EB4CF8"/>
    <w:rsid w:val="00EB6048"/>
    <w:rsid w:val="00EB67C6"/>
    <w:rsid w:val="00EB6A0D"/>
    <w:rsid w:val="00EB6A76"/>
    <w:rsid w:val="00EB7921"/>
    <w:rsid w:val="00EC0A9A"/>
    <w:rsid w:val="00EC0DE8"/>
    <w:rsid w:val="00EC138E"/>
    <w:rsid w:val="00EC1414"/>
    <w:rsid w:val="00EC1ED6"/>
    <w:rsid w:val="00EC2A75"/>
    <w:rsid w:val="00EC3083"/>
    <w:rsid w:val="00EC380D"/>
    <w:rsid w:val="00EC3C9B"/>
    <w:rsid w:val="00EC3F6F"/>
    <w:rsid w:val="00EC3FEC"/>
    <w:rsid w:val="00EC4AEF"/>
    <w:rsid w:val="00EC54ED"/>
    <w:rsid w:val="00EC55DB"/>
    <w:rsid w:val="00EC584B"/>
    <w:rsid w:val="00EC6444"/>
    <w:rsid w:val="00EC6505"/>
    <w:rsid w:val="00EC65ED"/>
    <w:rsid w:val="00EC78E2"/>
    <w:rsid w:val="00EC7F60"/>
    <w:rsid w:val="00ED025F"/>
    <w:rsid w:val="00ED0C4A"/>
    <w:rsid w:val="00ED0C9C"/>
    <w:rsid w:val="00ED16F1"/>
    <w:rsid w:val="00ED2297"/>
    <w:rsid w:val="00ED232D"/>
    <w:rsid w:val="00ED2D31"/>
    <w:rsid w:val="00ED2ECA"/>
    <w:rsid w:val="00ED427D"/>
    <w:rsid w:val="00ED47FF"/>
    <w:rsid w:val="00ED4D2B"/>
    <w:rsid w:val="00ED4EF1"/>
    <w:rsid w:val="00ED5A5F"/>
    <w:rsid w:val="00ED713F"/>
    <w:rsid w:val="00ED7357"/>
    <w:rsid w:val="00EE004C"/>
    <w:rsid w:val="00EE070D"/>
    <w:rsid w:val="00EE0A7B"/>
    <w:rsid w:val="00EE115D"/>
    <w:rsid w:val="00EE1F3C"/>
    <w:rsid w:val="00EE1F47"/>
    <w:rsid w:val="00EE1F7F"/>
    <w:rsid w:val="00EE3142"/>
    <w:rsid w:val="00EE325E"/>
    <w:rsid w:val="00EE4273"/>
    <w:rsid w:val="00EE4BB5"/>
    <w:rsid w:val="00EE4E0C"/>
    <w:rsid w:val="00EE58CE"/>
    <w:rsid w:val="00EE7D70"/>
    <w:rsid w:val="00EE7E0F"/>
    <w:rsid w:val="00EF0723"/>
    <w:rsid w:val="00EF0820"/>
    <w:rsid w:val="00EF0D92"/>
    <w:rsid w:val="00EF2468"/>
    <w:rsid w:val="00EF2F4A"/>
    <w:rsid w:val="00EF3CBE"/>
    <w:rsid w:val="00EF3DB6"/>
    <w:rsid w:val="00EF3F21"/>
    <w:rsid w:val="00EF494D"/>
    <w:rsid w:val="00EF54DE"/>
    <w:rsid w:val="00EF596F"/>
    <w:rsid w:val="00EF5EC7"/>
    <w:rsid w:val="00EF68E6"/>
    <w:rsid w:val="00EF6D36"/>
    <w:rsid w:val="00EF7BBE"/>
    <w:rsid w:val="00EF7ECC"/>
    <w:rsid w:val="00EF7ED6"/>
    <w:rsid w:val="00F000B4"/>
    <w:rsid w:val="00F00ED6"/>
    <w:rsid w:val="00F01594"/>
    <w:rsid w:val="00F01710"/>
    <w:rsid w:val="00F01862"/>
    <w:rsid w:val="00F018B4"/>
    <w:rsid w:val="00F020C2"/>
    <w:rsid w:val="00F02699"/>
    <w:rsid w:val="00F036DE"/>
    <w:rsid w:val="00F0394D"/>
    <w:rsid w:val="00F041DC"/>
    <w:rsid w:val="00F04BF8"/>
    <w:rsid w:val="00F056FD"/>
    <w:rsid w:val="00F0583A"/>
    <w:rsid w:val="00F05BFF"/>
    <w:rsid w:val="00F05E1D"/>
    <w:rsid w:val="00F07189"/>
    <w:rsid w:val="00F07533"/>
    <w:rsid w:val="00F07DBE"/>
    <w:rsid w:val="00F10E25"/>
    <w:rsid w:val="00F117E9"/>
    <w:rsid w:val="00F117EA"/>
    <w:rsid w:val="00F1219D"/>
    <w:rsid w:val="00F1236B"/>
    <w:rsid w:val="00F123C5"/>
    <w:rsid w:val="00F12A23"/>
    <w:rsid w:val="00F12FE3"/>
    <w:rsid w:val="00F131E3"/>
    <w:rsid w:val="00F13B70"/>
    <w:rsid w:val="00F1412A"/>
    <w:rsid w:val="00F141C2"/>
    <w:rsid w:val="00F14290"/>
    <w:rsid w:val="00F15194"/>
    <w:rsid w:val="00F1583B"/>
    <w:rsid w:val="00F15867"/>
    <w:rsid w:val="00F15B07"/>
    <w:rsid w:val="00F15FA2"/>
    <w:rsid w:val="00F168FE"/>
    <w:rsid w:val="00F16C6E"/>
    <w:rsid w:val="00F16EDC"/>
    <w:rsid w:val="00F178B1"/>
    <w:rsid w:val="00F17C32"/>
    <w:rsid w:val="00F21A60"/>
    <w:rsid w:val="00F22B3E"/>
    <w:rsid w:val="00F22B9D"/>
    <w:rsid w:val="00F22E67"/>
    <w:rsid w:val="00F2356C"/>
    <w:rsid w:val="00F2447B"/>
    <w:rsid w:val="00F2469A"/>
    <w:rsid w:val="00F24D31"/>
    <w:rsid w:val="00F2530F"/>
    <w:rsid w:val="00F26AB3"/>
    <w:rsid w:val="00F26ABD"/>
    <w:rsid w:val="00F26D9B"/>
    <w:rsid w:val="00F27507"/>
    <w:rsid w:val="00F2766B"/>
    <w:rsid w:val="00F278FF"/>
    <w:rsid w:val="00F27A7F"/>
    <w:rsid w:val="00F27B51"/>
    <w:rsid w:val="00F3003D"/>
    <w:rsid w:val="00F30DDE"/>
    <w:rsid w:val="00F30F65"/>
    <w:rsid w:val="00F31500"/>
    <w:rsid w:val="00F31974"/>
    <w:rsid w:val="00F31A4E"/>
    <w:rsid w:val="00F31E02"/>
    <w:rsid w:val="00F32431"/>
    <w:rsid w:val="00F325A5"/>
    <w:rsid w:val="00F3292E"/>
    <w:rsid w:val="00F32951"/>
    <w:rsid w:val="00F32A9F"/>
    <w:rsid w:val="00F32E37"/>
    <w:rsid w:val="00F33532"/>
    <w:rsid w:val="00F34A1E"/>
    <w:rsid w:val="00F34A56"/>
    <w:rsid w:val="00F3526D"/>
    <w:rsid w:val="00F35B3A"/>
    <w:rsid w:val="00F35BE2"/>
    <w:rsid w:val="00F36FEE"/>
    <w:rsid w:val="00F370B0"/>
    <w:rsid w:val="00F40E90"/>
    <w:rsid w:val="00F417F3"/>
    <w:rsid w:val="00F41A72"/>
    <w:rsid w:val="00F41DC2"/>
    <w:rsid w:val="00F430CF"/>
    <w:rsid w:val="00F43775"/>
    <w:rsid w:val="00F43992"/>
    <w:rsid w:val="00F43B42"/>
    <w:rsid w:val="00F44055"/>
    <w:rsid w:val="00F4419E"/>
    <w:rsid w:val="00F445DB"/>
    <w:rsid w:val="00F4533A"/>
    <w:rsid w:val="00F45367"/>
    <w:rsid w:val="00F45388"/>
    <w:rsid w:val="00F4552B"/>
    <w:rsid w:val="00F4566B"/>
    <w:rsid w:val="00F4689B"/>
    <w:rsid w:val="00F46CDF"/>
    <w:rsid w:val="00F47338"/>
    <w:rsid w:val="00F4749E"/>
    <w:rsid w:val="00F47F1A"/>
    <w:rsid w:val="00F47F46"/>
    <w:rsid w:val="00F51548"/>
    <w:rsid w:val="00F51E46"/>
    <w:rsid w:val="00F5220A"/>
    <w:rsid w:val="00F52C48"/>
    <w:rsid w:val="00F533B9"/>
    <w:rsid w:val="00F53A0E"/>
    <w:rsid w:val="00F54A13"/>
    <w:rsid w:val="00F54BB4"/>
    <w:rsid w:val="00F55164"/>
    <w:rsid w:val="00F55632"/>
    <w:rsid w:val="00F5578A"/>
    <w:rsid w:val="00F55ADB"/>
    <w:rsid w:val="00F55C9E"/>
    <w:rsid w:val="00F55D2E"/>
    <w:rsid w:val="00F56BDE"/>
    <w:rsid w:val="00F56CE5"/>
    <w:rsid w:val="00F57B7B"/>
    <w:rsid w:val="00F57B7D"/>
    <w:rsid w:val="00F606AA"/>
    <w:rsid w:val="00F60FDE"/>
    <w:rsid w:val="00F611B6"/>
    <w:rsid w:val="00F635A8"/>
    <w:rsid w:val="00F63AD8"/>
    <w:rsid w:val="00F63DCA"/>
    <w:rsid w:val="00F64862"/>
    <w:rsid w:val="00F6490B"/>
    <w:rsid w:val="00F64B0D"/>
    <w:rsid w:val="00F64B88"/>
    <w:rsid w:val="00F64C6E"/>
    <w:rsid w:val="00F64C9E"/>
    <w:rsid w:val="00F651AA"/>
    <w:rsid w:val="00F65522"/>
    <w:rsid w:val="00F65E64"/>
    <w:rsid w:val="00F6668E"/>
    <w:rsid w:val="00F66B2E"/>
    <w:rsid w:val="00F66EC5"/>
    <w:rsid w:val="00F670EE"/>
    <w:rsid w:val="00F67120"/>
    <w:rsid w:val="00F67503"/>
    <w:rsid w:val="00F7053B"/>
    <w:rsid w:val="00F71061"/>
    <w:rsid w:val="00F7136D"/>
    <w:rsid w:val="00F71F3D"/>
    <w:rsid w:val="00F71F83"/>
    <w:rsid w:val="00F72471"/>
    <w:rsid w:val="00F72506"/>
    <w:rsid w:val="00F72517"/>
    <w:rsid w:val="00F730FB"/>
    <w:rsid w:val="00F735CC"/>
    <w:rsid w:val="00F737F1"/>
    <w:rsid w:val="00F7395E"/>
    <w:rsid w:val="00F73A30"/>
    <w:rsid w:val="00F73C5B"/>
    <w:rsid w:val="00F7531F"/>
    <w:rsid w:val="00F75855"/>
    <w:rsid w:val="00F75B20"/>
    <w:rsid w:val="00F77BB3"/>
    <w:rsid w:val="00F77E30"/>
    <w:rsid w:val="00F80A86"/>
    <w:rsid w:val="00F80BC7"/>
    <w:rsid w:val="00F80C80"/>
    <w:rsid w:val="00F81044"/>
    <w:rsid w:val="00F8163C"/>
    <w:rsid w:val="00F816DD"/>
    <w:rsid w:val="00F81A72"/>
    <w:rsid w:val="00F81F34"/>
    <w:rsid w:val="00F820A5"/>
    <w:rsid w:val="00F824D7"/>
    <w:rsid w:val="00F82975"/>
    <w:rsid w:val="00F82B67"/>
    <w:rsid w:val="00F82D3A"/>
    <w:rsid w:val="00F83498"/>
    <w:rsid w:val="00F83AFF"/>
    <w:rsid w:val="00F83BCA"/>
    <w:rsid w:val="00F83DA7"/>
    <w:rsid w:val="00F84D35"/>
    <w:rsid w:val="00F84D3A"/>
    <w:rsid w:val="00F86230"/>
    <w:rsid w:val="00F87D6B"/>
    <w:rsid w:val="00F901AC"/>
    <w:rsid w:val="00F902B6"/>
    <w:rsid w:val="00F9078A"/>
    <w:rsid w:val="00F907B7"/>
    <w:rsid w:val="00F909AD"/>
    <w:rsid w:val="00F91105"/>
    <w:rsid w:val="00F91CBF"/>
    <w:rsid w:val="00F91FF0"/>
    <w:rsid w:val="00F921B6"/>
    <w:rsid w:val="00F92B23"/>
    <w:rsid w:val="00F92F5C"/>
    <w:rsid w:val="00F93725"/>
    <w:rsid w:val="00F938A6"/>
    <w:rsid w:val="00F93D55"/>
    <w:rsid w:val="00F95A10"/>
    <w:rsid w:val="00F95CED"/>
    <w:rsid w:val="00F95E6B"/>
    <w:rsid w:val="00F96761"/>
    <w:rsid w:val="00F96F82"/>
    <w:rsid w:val="00F97751"/>
    <w:rsid w:val="00F978B7"/>
    <w:rsid w:val="00F978C0"/>
    <w:rsid w:val="00FA0198"/>
    <w:rsid w:val="00FA0EDF"/>
    <w:rsid w:val="00FA10D8"/>
    <w:rsid w:val="00FA1658"/>
    <w:rsid w:val="00FA1938"/>
    <w:rsid w:val="00FA1E79"/>
    <w:rsid w:val="00FA236C"/>
    <w:rsid w:val="00FA25BB"/>
    <w:rsid w:val="00FA28C3"/>
    <w:rsid w:val="00FA2D44"/>
    <w:rsid w:val="00FA2DFC"/>
    <w:rsid w:val="00FA2FAE"/>
    <w:rsid w:val="00FA334D"/>
    <w:rsid w:val="00FA33ED"/>
    <w:rsid w:val="00FA4CF6"/>
    <w:rsid w:val="00FA606B"/>
    <w:rsid w:val="00FA6316"/>
    <w:rsid w:val="00FA6584"/>
    <w:rsid w:val="00FA6A7C"/>
    <w:rsid w:val="00FA6EEA"/>
    <w:rsid w:val="00FA78F6"/>
    <w:rsid w:val="00FA7B65"/>
    <w:rsid w:val="00FB025F"/>
    <w:rsid w:val="00FB16F2"/>
    <w:rsid w:val="00FB188A"/>
    <w:rsid w:val="00FB28BD"/>
    <w:rsid w:val="00FB2E60"/>
    <w:rsid w:val="00FB3894"/>
    <w:rsid w:val="00FB3D8C"/>
    <w:rsid w:val="00FB3E70"/>
    <w:rsid w:val="00FB40A1"/>
    <w:rsid w:val="00FB4A4A"/>
    <w:rsid w:val="00FB5678"/>
    <w:rsid w:val="00FB5D90"/>
    <w:rsid w:val="00FB60AD"/>
    <w:rsid w:val="00FB6588"/>
    <w:rsid w:val="00FB6887"/>
    <w:rsid w:val="00FB7017"/>
    <w:rsid w:val="00FB74CA"/>
    <w:rsid w:val="00FB77EC"/>
    <w:rsid w:val="00FB7875"/>
    <w:rsid w:val="00FB79B8"/>
    <w:rsid w:val="00FB7AD4"/>
    <w:rsid w:val="00FC0173"/>
    <w:rsid w:val="00FC0925"/>
    <w:rsid w:val="00FC0CA8"/>
    <w:rsid w:val="00FC1F2E"/>
    <w:rsid w:val="00FC2651"/>
    <w:rsid w:val="00FC2D82"/>
    <w:rsid w:val="00FC37C5"/>
    <w:rsid w:val="00FC37FC"/>
    <w:rsid w:val="00FC39FF"/>
    <w:rsid w:val="00FC3C8E"/>
    <w:rsid w:val="00FC42E0"/>
    <w:rsid w:val="00FC48AE"/>
    <w:rsid w:val="00FC4B4E"/>
    <w:rsid w:val="00FC5574"/>
    <w:rsid w:val="00FC5C1B"/>
    <w:rsid w:val="00FC62BA"/>
    <w:rsid w:val="00FC6614"/>
    <w:rsid w:val="00FD092D"/>
    <w:rsid w:val="00FD0A59"/>
    <w:rsid w:val="00FD0AB1"/>
    <w:rsid w:val="00FD0B2E"/>
    <w:rsid w:val="00FD0FF1"/>
    <w:rsid w:val="00FD16A0"/>
    <w:rsid w:val="00FD1D02"/>
    <w:rsid w:val="00FD2781"/>
    <w:rsid w:val="00FD2930"/>
    <w:rsid w:val="00FD2D63"/>
    <w:rsid w:val="00FD2E31"/>
    <w:rsid w:val="00FD2E63"/>
    <w:rsid w:val="00FD3137"/>
    <w:rsid w:val="00FD3156"/>
    <w:rsid w:val="00FD3893"/>
    <w:rsid w:val="00FD3D0C"/>
    <w:rsid w:val="00FD4448"/>
    <w:rsid w:val="00FD4929"/>
    <w:rsid w:val="00FD5242"/>
    <w:rsid w:val="00FD5999"/>
    <w:rsid w:val="00FD7E96"/>
    <w:rsid w:val="00FE103F"/>
    <w:rsid w:val="00FE17E8"/>
    <w:rsid w:val="00FE1984"/>
    <w:rsid w:val="00FE1F7E"/>
    <w:rsid w:val="00FE2985"/>
    <w:rsid w:val="00FE2F66"/>
    <w:rsid w:val="00FE31CD"/>
    <w:rsid w:val="00FE3A54"/>
    <w:rsid w:val="00FE3BDD"/>
    <w:rsid w:val="00FE4356"/>
    <w:rsid w:val="00FE4545"/>
    <w:rsid w:val="00FE50A6"/>
    <w:rsid w:val="00FE5EAE"/>
    <w:rsid w:val="00FE64DC"/>
    <w:rsid w:val="00FE66CB"/>
    <w:rsid w:val="00FE6B0A"/>
    <w:rsid w:val="00FE6B90"/>
    <w:rsid w:val="00FE6D18"/>
    <w:rsid w:val="00FE6D23"/>
    <w:rsid w:val="00FE6F21"/>
    <w:rsid w:val="00FE7AB3"/>
    <w:rsid w:val="00FF24A9"/>
    <w:rsid w:val="00FF2718"/>
    <w:rsid w:val="00FF2C18"/>
    <w:rsid w:val="00FF3CB1"/>
    <w:rsid w:val="00FF3E91"/>
    <w:rsid w:val="00FF40F0"/>
    <w:rsid w:val="00FF489F"/>
    <w:rsid w:val="00FF5424"/>
    <w:rsid w:val="00FF5757"/>
    <w:rsid w:val="00FF5799"/>
    <w:rsid w:val="00FF5B16"/>
    <w:rsid w:val="00FF62D3"/>
    <w:rsid w:val="00FF63A1"/>
    <w:rsid w:val="00FF68F1"/>
    <w:rsid w:val="00FF6F3D"/>
    <w:rsid w:val="00FF6F5C"/>
    <w:rsid w:val="00FF7302"/>
    <w:rsid w:val="00FF744D"/>
    <w:rsid w:val="00FF77A8"/>
    <w:rsid w:val="00FF78EF"/>
    <w:rsid w:val="00FF7A66"/>
    <w:rsid w:val="51E09BF8"/>
    <w:rsid w:val="63E93184"/>
    <w:rsid w:val="69D5C011"/>
    <w:rsid w:val="7F6E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0F4B"/>
  <w15:chartTrackingRefBased/>
  <w15:docId w15:val="{E815B186-41B2-4EE1-B2BA-54771665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DB"/>
    <w:pPr>
      <w:spacing w:before="240" w:after="60"/>
    </w:pPr>
    <w:rPr>
      <w:rFonts w:ascii="Aptos" w:hAnsi="Aptos"/>
      <w:sz w:val="24"/>
      <w:szCs w:val="22"/>
    </w:rPr>
  </w:style>
  <w:style w:type="paragraph" w:styleId="Heading1">
    <w:name w:val="heading 1"/>
    <w:aliases w:val="SECTION"/>
    <w:basedOn w:val="Normal"/>
    <w:next w:val="LVL1"/>
    <w:link w:val="Heading1Char"/>
    <w:uiPriority w:val="9"/>
    <w:qFormat/>
    <w:rsid w:val="000808D6"/>
    <w:pPr>
      <w:keepNext/>
      <w:keepLines/>
      <w:numPr>
        <w:numId w:val="4"/>
      </w:numPr>
      <w:ind w:left="0"/>
      <w:jc w:val="center"/>
      <w:outlineLvl w:val="0"/>
    </w:pPr>
    <w:rPr>
      <w:rFonts w:eastAsia="Times New Roman"/>
      <w:b/>
      <w:bCs/>
      <w:szCs w:val="28"/>
      <w:lang w:val="x-none" w:eastAsia="x-none"/>
    </w:rPr>
  </w:style>
  <w:style w:type="paragraph" w:styleId="Heading2">
    <w:name w:val="heading 2"/>
    <w:basedOn w:val="Heading1"/>
    <w:next w:val="Normal"/>
    <w:link w:val="Heading2Char"/>
    <w:uiPriority w:val="9"/>
    <w:unhideWhenUsed/>
    <w:rsid w:val="000808D6"/>
    <w:pPr>
      <w:jc w:val="left"/>
      <w:outlineLvl w:val="1"/>
    </w:pPr>
    <w:rPr>
      <w:b w:val="0"/>
      <w:sz w:val="26"/>
      <w:szCs w:val="26"/>
    </w:rPr>
  </w:style>
  <w:style w:type="paragraph" w:styleId="Heading3">
    <w:name w:val="heading 3"/>
    <w:aliases w:val="Level 1"/>
    <w:basedOn w:val="Normal"/>
    <w:next w:val="Normal"/>
    <w:link w:val="Heading3Char"/>
    <w:uiPriority w:val="9"/>
    <w:unhideWhenUsed/>
    <w:rsid w:val="000808D6"/>
    <w:pPr>
      <w:keepNext/>
      <w:keepLines/>
      <w:outlineLvl w:val="2"/>
    </w:pPr>
    <w:rPr>
      <w:rFonts w:eastAsia="Times New Roman"/>
      <w:b/>
      <w:bCs/>
      <w:szCs w:val="24"/>
      <w:u w:val="single"/>
      <w:lang w:val="x-none" w:eastAsia="x-none"/>
    </w:rPr>
  </w:style>
  <w:style w:type="paragraph" w:styleId="Heading4">
    <w:name w:val="heading 4"/>
    <w:aliases w:val="Level 3"/>
    <w:basedOn w:val="Normal"/>
    <w:next w:val="Normal"/>
    <w:link w:val="Heading4Char"/>
    <w:uiPriority w:val="9"/>
    <w:unhideWhenUsed/>
    <w:rsid w:val="000808D6"/>
    <w:pPr>
      <w:keepNext/>
      <w:keepLines/>
      <w:outlineLvl w:val="3"/>
    </w:pPr>
    <w:rPr>
      <w:rFonts w:eastAsia="Times New Roman"/>
      <w:b/>
      <w:bCs/>
      <w:iCs/>
      <w:szCs w:val="24"/>
      <w:lang w:val="x-none" w:eastAsia="x-none"/>
    </w:rPr>
  </w:style>
  <w:style w:type="paragraph" w:styleId="Heading5">
    <w:name w:val="heading 5"/>
    <w:basedOn w:val="Normal"/>
    <w:next w:val="Normal"/>
    <w:link w:val="Heading5Char"/>
    <w:uiPriority w:val="9"/>
    <w:unhideWhenUsed/>
    <w:rsid w:val="000808D6"/>
    <w:pPr>
      <w:keepNext/>
      <w:keepLines/>
      <w:outlineLvl w:val="4"/>
    </w:pPr>
    <w:rPr>
      <w:rFonts w:eastAsia="Times New Roman"/>
      <w:i/>
      <w:lang w:val="x-none" w:eastAsia="x-none"/>
    </w:rPr>
  </w:style>
  <w:style w:type="paragraph" w:styleId="Heading6">
    <w:name w:val="heading 6"/>
    <w:basedOn w:val="Normal"/>
    <w:next w:val="Normal"/>
    <w:link w:val="Heading6Char"/>
    <w:uiPriority w:val="9"/>
    <w:unhideWhenUsed/>
    <w:rsid w:val="000808D6"/>
    <w:pPr>
      <w:outlineLvl w:val="5"/>
    </w:pPr>
    <w:rPr>
      <w:color w:val="262626"/>
      <w:szCs w:val="24"/>
      <w:lang w:val="x-none" w:eastAsia="x-none"/>
    </w:rPr>
  </w:style>
  <w:style w:type="paragraph" w:styleId="Heading7">
    <w:name w:val="heading 7"/>
    <w:basedOn w:val="Normal"/>
    <w:next w:val="Normal"/>
    <w:link w:val="Heading7Char"/>
    <w:uiPriority w:val="9"/>
    <w:unhideWhenUsed/>
    <w:rsid w:val="000808D6"/>
    <w:pPr>
      <w:keepNext/>
      <w:keepLines/>
      <w:outlineLvl w:val="6"/>
    </w:pPr>
    <w:rPr>
      <w:rFonts w:eastAsia="Times New Roman"/>
      <w:iCs/>
      <w:u w:val="single"/>
      <w:lang w:val="x-none" w:eastAsia="x-none"/>
    </w:rPr>
  </w:style>
  <w:style w:type="paragraph" w:styleId="Heading8">
    <w:name w:val="heading 8"/>
    <w:basedOn w:val="Normal"/>
    <w:next w:val="Normal"/>
    <w:link w:val="Heading8Char"/>
    <w:uiPriority w:val="9"/>
    <w:unhideWhenUsed/>
    <w:rsid w:val="000808D6"/>
    <w:pPr>
      <w:keepNext/>
      <w:keepLines/>
      <w:outlineLvl w:val="7"/>
    </w:pPr>
    <w:rPr>
      <w:rFonts w:eastAsia="Times New Roman"/>
      <w:sz w:val="20"/>
      <w:szCs w:val="20"/>
      <w:lang w:val="x-none" w:eastAsia="x-none"/>
    </w:rPr>
  </w:style>
  <w:style w:type="paragraph" w:styleId="Heading9">
    <w:name w:val="heading 9"/>
    <w:basedOn w:val="Normal"/>
    <w:next w:val="Normal"/>
    <w:link w:val="Heading9Char"/>
    <w:uiPriority w:val="9"/>
    <w:unhideWhenUsed/>
    <w:rsid w:val="000808D6"/>
    <w:pPr>
      <w:keepNext/>
      <w:keepLines/>
      <w:outlineLvl w:val="8"/>
    </w:pPr>
    <w:rPr>
      <w:rFonts w:eastAsia="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C1318"/>
    <w:pPr>
      <w:tabs>
        <w:tab w:val="left" w:pos="1440"/>
        <w:tab w:val="right" w:leader="dot" w:pos="9350"/>
      </w:tabs>
      <w:spacing w:before="0" w:after="0"/>
      <w:ind w:left="1080" w:hanging="1080"/>
    </w:pPr>
    <w:rPr>
      <w:noProof/>
      <w:szCs w:val="28"/>
    </w:rPr>
  </w:style>
  <w:style w:type="paragraph" w:styleId="TOC2">
    <w:name w:val="toc 2"/>
    <w:basedOn w:val="Normal"/>
    <w:next w:val="Normal"/>
    <w:autoRedefine/>
    <w:uiPriority w:val="39"/>
    <w:unhideWhenUsed/>
    <w:rsid w:val="00AF31BE"/>
    <w:pPr>
      <w:spacing w:after="240"/>
      <w:ind w:left="1440" w:hanging="720"/>
    </w:pPr>
  </w:style>
  <w:style w:type="paragraph" w:styleId="TOC3">
    <w:name w:val="toc 3"/>
    <w:basedOn w:val="Normal"/>
    <w:next w:val="Normal"/>
    <w:autoRedefine/>
    <w:uiPriority w:val="39"/>
    <w:unhideWhenUsed/>
    <w:rsid w:val="00AF31BE"/>
    <w:pPr>
      <w:tabs>
        <w:tab w:val="left" w:pos="880"/>
        <w:tab w:val="right" w:leader="dot" w:pos="9350"/>
      </w:tabs>
      <w:spacing w:after="240"/>
      <w:ind w:left="2160" w:hanging="720"/>
    </w:pPr>
  </w:style>
  <w:style w:type="paragraph" w:styleId="TOC4">
    <w:name w:val="toc 4"/>
    <w:basedOn w:val="Normal"/>
    <w:next w:val="Normal"/>
    <w:autoRedefine/>
    <w:uiPriority w:val="39"/>
    <w:unhideWhenUsed/>
    <w:rsid w:val="00AF31BE"/>
    <w:pPr>
      <w:spacing w:after="240"/>
      <w:ind w:left="2880" w:hanging="720"/>
    </w:pPr>
  </w:style>
  <w:style w:type="numbering" w:customStyle="1" w:styleId="ENRDRoman">
    <w:name w:val="ENRD Roman"/>
    <w:uiPriority w:val="99"/>
    <w:rsid w:val="004E22A2"/>
    <w:pPr>
      <w:numPr>
        <w:numId w:val="2"/>
      </w:numPr>
    </w:pPr>
  </w:style>
  <w:style w:type="numbering" w:customStyle="1" w:styleId="ENRDLegal">
    <w:name w:val="ENRD Legal"/>
    <w:uiPriority w:val="99"/>
    <w:rsid w:val="004E22A2"/>
    <w:pPr>
      <w:numPr>
        <w:numId w:val="3"/>
      </w:numPr>
    </w:pPr>
  </w:style>
  <w:style w:type="paragraph" w:styleId="TableofAuthorities">
    <w:name w:val="table of authorities"/>
    <w:basedOn w:val="Normal"/>
    <w:next w:val="Normal"/>
    <w:uiPriority w:val="99"/>
    <w:unhideWhenUsed/>
    <w:rsid w:val="00AF31BE"/>
    <w:pPr>
      <w:tabs>
        <w:tab w:val="right" w:leader="dot" w:pos="9360"/>
      </w:tabs>
      <w:spacing w:after="240"/>
      <w:ind w:left="720" w:hanging="720"/>
    </w:pPr>
    <w:rPr>
      <w:rFonts w:eastAsia="Times New Roman"/>
      <w:lang w:bidi="en-US"/>
    </w:rPr>
  </w:style>
  <w:style w:type="character" w:customStyle="1" w:styleId="Heading1Char">
    <w:name w:val="Heading 1 Char"/>
    <w:aliases w:val="SECTION Char"/>
    <w:link w:val="Heading1"/>
    <w:uiPriority w:val="9"/>
    <w:rsid w:val="00B9236F"/>
    <w:rPr>
      <w:rFonts w:ascii="Times New Roman" w:eastAsia="Times New Roman" w:hAnsi="Times New Roman"/>
      <w:b/>
      <w:bCs/>
      <w:sz w:val="24"/>
      <w:szCs w:val="28"/>
      <w:lang w:val="x-none" w:eastAsia="x-none"/>
    </w:rPr>
  </w:style>
  <w:style w:type="character" w:customStyle="1" w:styleId="Heading2Char">
    <w:name w:val="Heading 2 Char"/>
    <w:link w:val="Heading2"/>
    <w:uiPriority w:val="9"/>
    <w:rsid w:val="002960AE"/>
    <w:rPr>
      <w:rFonts w:ascii="Times New Roman" w:eastAsia="Times New Roman" w:hAnsi="Times New Roman"/>
      <w:bCs/>
      <w:sz w:val="26"/>
      <w:szCs w:val="26"/>
      <w:lang w:val="x-none" w:eastAsia="x-none"/>
    </w:rPr>
  </w:style>
  <w:style w:type="character" w:customStyle="1" w:styleId="Heading3Char">
    <w:name w:val="Heading 3 Char"/>
    <w:aliases w:val="Level 1 Char1"/>
    <w:link w:val="Heading3"/>
    <w:uiPriority w:val="9"/>
    <w:rsid w:val="002960AE"/>
    <w:rPr>
      <w:rFonts w:ascii="Times New Roman" w:eastAsia="Times New Roman" w:hAnsi="Times New Roman"/>
      <w:b/>
      <w:bCs/>
      <w:sz w:val="24"/>
      <w:szCs w:val="24"/>
      <w:u w:val="single"/>
      <w:lang w:val="x-none" w:eastAsia="x-none"/>
    </w:rPr>
  </w:style>
  <w:style w:type="character" w:customStyle="1" w:styleId="Heading4Char">
    <w:name w:val="Heading 4 Char"/>
    <w:aliases w:val="Level 3 Char"/>
    <w:link w:val="Heading4"/>
    <w:uiPriority w:val="9"/>
    <w:rsid w:val="002960AE"/>
    <w:rPr>
      <w:rFonts w:ascii="Times New Roman" w:eastAsia="Times New Roman" w:hAnsi="Times New Roman"/>
      <w:b/>
      <w:bCs/>
      <w:iCs/>
      <w:sz w:val="24"/>
      <w:szCs w:val="24"/>
      <w:lang w:val="x-none" w:eastAsia="x-none"/>
    </w:rPr>
  </w:style>
  <w:style w:type="character" w:customStyle="1" w:styleId="Heading5Char">
    <w:name w:val="Heading 5 Char"/>
    <w:link w:val="Heading5"/>
    <w:uiPriority w:val="9"/>
    <w:rsid w:val="004E22A2"/>
    <w:rPr>
      <w:rFonts w:ascii="Times New Roman" w:eastAsia="Times New Roman" w:hAnsi="Times New Roman"/>
      <w:i/>
      <w:sz w:val="24"/>
      <w:szCs w:val="22"/>
      <w:lang w:val="x-none" w:eastAsia="x-none"/>
    </w:rPr>
  </w:style>
  <w:style w:type="character" w:customStyle="1" w:styleId="Heading6Char">
    <w:name w:val="Heading 6 Char"/>
    <w:link w:val="Heading6"/>
    <w:uiPriority w:val="9"/>
    <w:rsid w:val="00993C4F"/>
    <w:rPr>
      <w:rFonts w:ascii="Times New Roman" w:hAnsi="Times New Roman"/>
      <w:color w:val="262626"/>
      <w:sz w:val="24"/>
      <w:szCs w:val="24"/>
      <w:lang w:val="x-none" w:eastAsia="x-none"/>
    </w:rPr>
  </w:style>
  <w:style w:type="character" w:customStyle="1" w:styleId="Heading7Char">
    <w:name w:val="Heading 7 Char"/>
    <w:link w:val="Heading7"/>
    <w:uiPriority w:val="9"/>
    <w:rsid w:val="002960AE"/>
    <w:rPr>
      <w:rFonts w:ascii="Times New Roman" w:eastAsia="Times New Roman" w:hAnsi="Times New Roman"/>
      <w:iCs/>
      <w:sz w:val="24"/>
      <w:szCs w:val="22"/>
      <w:u w:val="single"/>
      <w:lang w:val="x-none" w:eastAsia="x-none"/>
    </w:rPr>
  </w:style>
  <w:style w:type="paragraph" w:styleId="NoSpacing">
    <w:name w:val="No Spacing"/>
    <w:basedOn w:val="Normal"/>
    <w:link w:val="NoSpacingChar"/>
    <w:uiPriority w:val="1"/>
    <w:qFormat/>
    <w:rsid w:val="000808D6"/>
    <w:pPr>
      <w:spacing w:before="0" w:after="0"/>
    </w:pPr>
  </w:style>
  <w:style w:type="paragraph" w:styleId="ListParagraph">
    <w:name w:val="List Paragraph"/>
    <w:basedOn w:val="Normal"/>
    <w:uiPriority w:val="34"/>
    <w:qFormat/>
    <w:rsid w:val="00182A28"/>
    <w:pPr>
      <w:ind w:left="720"/>
      <w:contextualSpacing/>
    </w:pPr>
  </w:style>
  <w:style w:type="paragraph" w:customStyle="1" w:styleId="DoubleIndent">
    <w:name w:val="Double Indent"/>
    <w:basedOn w:val="Normal"/>
    <w:link w:val="DoubleIndentChar"/>
    <w:rsid w:val="00993C4F"/>
    <w:pPr>
      <w:ind w:left="720" w:right="720"/>
    </w:pPr>
    <w:rPr>
      <w:lang w:val="x-none" w:eastAsia="x-none"/>
    </w:rPr>
  </w:style>
  <w:style w:type="character" w:customStyle="1" w:styleId="Heading8Char">
    <w:name w:val="Heading 8 Char"/>
    <w:link w:val="Heading8"/>
    <w:uiPriority w:val="9"/>
    <w:rsid w:val="002960AE"/>
    <w:rPr>
      <w:rFonts w:ascii="Times New Roman" w:eastAsia="Times New Roman" w:hAnsi="Times New Roman"/>
      <w:lang w:val="x-none" w:eastAsia="x-none"/>
    </w:rPr>
  </w:style>
  <w:style w:type="character" w:customStyle="1" w:styleId="DoubleIndentChar">
    <w:name w:val="Double Indent Char"/>
    <w:link w:val="DoubleIndent"/>
    <w:rsid w:val="00993C4F"/>
    <w:rPr>
      <w:rFonts w:ascii="Times New Roman" w:hAnsi="Times New Roman"/>
      <w:sz w:val="24"/>
      <w:szCs w:val="22"/>
    </w:rPr>
  </w:style>
  <w:style w:type="character" w:customStyle="1" w:styleId="Heading9Char">
    <w:name w:val="Heading 9 Char"/>
    <w:link w:val="Heading9"/>
    <w:uiPriority w:val="9"/>
    <w:rsid w:val="002960AE"/>
    <w:rPr>
      <w:rFonts w:ascii="Times New Roman" w:eastAsia="Times New Roman" w:hAnsi="Times New Roman"/>
      <w:i/>
      <w:iCs/>
      <w:color w:val="404040"/>
      <w:lang w:val="x-none" w:eastAsia="x-none"/>
    </w:rPr>
  </w:style>
  <w:style w:type="paragraph" w:styleId="Title">
    <w:name w:val="Title"/>
    <w:basedOn w:val="Normal"/>
    <w:next w:val="Normal"/>
    <w:link w:val="TitleChar"/>
    <w:uiPriority w:val="10"/>
    <w:rsid w:val="002960AE"/>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2960AE"/>
    <w:rPr>
      <w:rFonts w:ascii="Cambria" w:eastAsia="Times New Roman" w:hAnsi="Cambria" w:cs="Times New Roman"/>
      <w:color w:val="17365D"/>
      <w:spacing w:val="5"/>
      <w:kern w:val="28"/>
      <w:sz w:val="52"/>
      <w:szCs w:val="52"/>
    </w:rPr>
  </w:style>
  <w:style w:type="paragraph" w:styleId="Subtitle">
    <w:name w:val="Subtitle"/>
    <w:aliases w:val="Level 2"/>
    <w:basedOn w:val="Normal"/>
    <w:next w:val="Normal"/>
    <w:link w:val="SubtitleChar"/>
    <w:uiPriority w:val="11"/>
    <w:rsid w:val="002960AE"/>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aliases w:val="Level 2 Char"/>
    <w:link w:val="Subtitle"/>
    <w:uiPriority w:val="11"/>
    <w:rsid w:val="002960AE"/>
    <w:rPr>
      <w:rFonts w:ascii="Cambria" w:eastAsia="Times New Roman" w:hAnsi="Cambria" w:cs="Times New Roman"/>
      <w:i/>
      <w:iCs/>
      <w:color w:val="4F81BD"/>
      <w:spacing w:val="15"/>
      <w:sz w:val="24"/>
      <w:szCs w:val="24"/>
    </w:rPr>
  </w:style>
  <w:style w:type="character" w:styleId="SubtleEmphasis">
    <w:name w:val="Subtle Emphasis"/>
    <w:uiPriority w:val="19"/>
    <w:rsid w:val="002960AE"/>
    <w:rPr>
      <w:i/>
      <w:iCs/>
      <w:color w:val="808080"/>
    </w:rPr>
  </w:style>
  <w:style w:type="character" w:styleId="Emphasis">
    <w:name w:val="Emphasis"/>
    <w:uiPriority w:val="20"/>
    <w:rsid w:val="002960AE"/>
    <w:rPr>
      <w:i/>
      <w:iCs/>
    </w:rPr>
  </w:style>
  <w:style w:type="character" w:styleId="IntenseEmphasis">
    <w:name w:val="Intense Emphasis"/>
    <w:uiPriority w:val="21"/>
    <w:rsid w:val="002960AE"/>
    <w:rPr>
      <w:b/>
      <w:bCs/>
      <w:i/>
      <w:iCs/>
      <w:color w:val="4F81BD"/>
    </w:rPr>
  </w:style>
  <w:style w:type="paragraph" w:customStyle="1" w:styleId="LVL4">
    <w:name w:val="LVL4"/>
    <w:basedOn w:val="Normal"/>
    <w:link w:val="LVL4Char"/>
    <w:qFormat/>
    <w:rsid w:val="00294282"/>
    <w:pPr>
      <w:numPr>
        <w:ilvl w:val="3"/>
        <w:numId w:val="6"/>
      </w:numPr>
    </w:pPr>
  </w:style>
  <w:style w:type="paragraph" w:styleId="Quote">
    <w:name w:val="Quote"/>
    <w:basedOn w:val="Normal"/>
    <w:next w:val="Normal"/>
    <w:link w:val="QuoteChar"/>
    <w:uiPriority w:val="29"/>
    <w:rsid w:val="002960AE"/>
    <w:rPr>
      <w:i/>
      <w:iCs/>
      <w:color w:val="000000"/>
      <w:lang w:val="x-none" w:eastAsia="x-none"/>
    </w:rPr>
  </w:style>
  <w:style w:type="character" w:customStyle="1" w:styleId="QuoteChar">
    <w:name w:val="Quote Char"/>
    <w:link w:val="Quote"/>
    <w:uiPriority w:val="29"/>
    <w:rsid w:val="002960AE"/>
    <w:rPr>
      <w:rFonts w:ascii="Times New Roman" w:hAnsi="Times New Roman"/>
      <w:i/>
      <w:iCs/>
      <w:color w:val="000000"/>
      <w:sz w:val="24"/>
      <w:szCs w:val="22"/>
    </w:rPr>
  </w:style>
  <w:style w:type="character" w:customStyle="1" w:styleId="LVL4Char">
    <w:name w:val="LVL4 Char"/>
    <w:basedOn w:val="DefaultParagraphFont"/>
    <w:link w:val="LVL4"/>
    <w:rsid w:val="00294282"/>
    <w:rPr>
      <w:rFonts w:ascii="Times New Roman" w:hAnsi="Times New Roman"/>
      <w:sz w:val="24"/>
      <w:szCs w:val="22"/>
    </w:rPr>
  </w:style>
  <w:style w:type="paragraph" w:styleId="TOC5">
    <w:name w:val="toc 5"/>
    <w:basedOn w:val="Normal"/>
    <w:next w:val="Normal"/>
    <w:autoRedefine/>
    <w:uiPriority w:val="39"/>
    <w:unhideWhenUsed/>
    <w:rsid w:val="00AF31BE"/>
    <w:pPr>
      <w:spacing w:after="240"/>
      <w:ind w:left="3600" w:hanging="720"/>
    </w:pPr>
  </w:style>
  <w:style w:type="paragraph" w:styleId="TOC6">
    <w:name w:val="toc 6"/>
    <w:basedOn w:val="Normal"/>
    <w:next w:val="Normal"/>
    <w:autoRedefine/>
    <w:uiPriority w:val="39"/>
    <w:unhideWhenUsed/>
    <w:rsid w:val="00AF31BE"/>
    <w:pPr>
      <w:spacing w:after="240"/>
      <w:ind w:left="4320" w:hanging="720"/>
    </w:pPr>
  </w:style>
  <w:style w:type="paragraph" w:styleId="TOC7">
    <w:name w:val="toc 7"/>
    <w:basedOn w:val="Normal"/>
    <w:next w:val="Normal"/>
    <w:autoRedefine/>
    <w:uiPriority w:val="39"/>
    <w:unhideWhenUsed/>
    <w:rsid w:val="00AF31BE"/>
    <w:pPr>
      <w:spacing w:after="240"/>
      <w:ind w:left="5040" w:hanging="720"/>
    </w:pPr>
  </w:style>
  <w:style w:type="paragraph" w:styleId="TOC8">
    <w:name w:val="toc 8"/>
    <w:basedOn w:val="Normal"/>
    <w:next w:val="Normal"/>
    <w:autoRedefine/>
    <w:uiPriority w:val="39"/>
    <w:unhideWhenUsed/>
    <w:rsid w:val="00AF31BE"/>
    <w:pPr>
      <w:spacing w:after="240"/>
      <w:ind w:left="5760" w:hanging="720"/>
    </w:pPr>
  </w:style>
  <w:style w:type="paragraph" w:styleId="TOC9">
    <w:name w:val="toc 9"/>
    <w:basedOn w:val="Normal"/>
    <w:next w:val="Normal"/>
    <w:autoRedefine/>
    <w:uiPriority w:val="39"/>
    <w:unhideWhenUsed/>
    <w:rsid w:val="00AF31BE"/>
    <w:pPr>
      <w:spacing w:after="240"/>
      <w:ind w:left="6480" w:hanging="720"/>
    </w:pPr>
  </w:style>
  <w:style w:type="paragraph" w:styleId="TOCHeading">
    <w:name w:val="TOC Heading"/>
    <w:basedOn w:val="Heading1"/>
    <w:next w:val="Normal"/>
    <w:uiPriority w:val="39"/>
    <w:semiHidden/>
    <w:unhideWhenUsed/>
    <w:qFormat/>
    <w:rsid w:val="007A2E99"/>
    <w:pPr>
      <w:numPr>
        <w:numId w:val="0"/>
      </w:numPr>
      <w:spacing w:before="480" w:line="276" w:lineRule="auto"/>
      <w:jc w:val="left"/>
      <w:outlineLvl w:val="9"/>
    </w:pPr>
    <w:rPr>
      <w:rFonts w:ascii="Cambria" w:hAnsi="Cambria"/>
      <w:b w:val="0"/>
      <w:color w:val="365F91"/>
      <w:sz w:val="28"/>
    </w:rPr>
  </w:style>
  <w:style w:type="character" w:styleId="Hyperlink">
    <w:name w:val="Hyperlink"/>
    <w:uiPriority w:val="99"/>
    <w:unhideWhenUsed/>
    <w:rsid w:val="007A2E99"/>
    <w:rPr>
      <w:color w:val="0000FF"/>
      <w:u w:val="single"/>
    </w:rPr>
  </w:style>
  <w:style w:type="character" w:styleId="CommentReference">
    <w:name w:val="annotation reference"/>
    <w:uiPriority w:val="99"/>
    <w:unhideWhenUsed/>
    <w:rsid w:val="009633C4"/>
    <w:rPr>
      <w:sz w:val="16"/>
      <w:szCs w:val="16"/>
    </w:rPr>
  </w:style>
  <w:style w:type="paragraph" w:styleId="CommentText">
    <w:name w:val="annotation text"/>
    <w:basedOn w:val="Normal"/>
    <w:link w:val="CommentTextChar"/>
    <w:uiPriority w:val="99"/>
    <w:unhideWhenUsed/>
    <w:rsid w:val="009633C4"/>
    <w:pPr>
      <w:widowControl w:val="0"/>
      <w:autoSpaceDE w:val="0"/>
      <w:autoSpaceDN w:val="0"/>
      <w:adjustRightInd w:val="0"/>
    </w:pPr>
    <w:rPr>
      <w:rFonts w:ascii="Calibri" w:eastAsia="Times New Roman" w:hAnsi="Calibri"/>
      <w:sz w:val="20"/>
      <w:szCs w:val="20"/>
      <w:lang w:val="x-none" w:eastAsia="x-none"/>
    </w:rPr>
  </w:style>
  <w:style w:type="character" w:customStyle="1" w:styleId="CommentTextChar">
    <w:name w:val="Comment Text Char"/>
    <w:link w:val="CommentText"/>
    <w:uiPriority w:val="99"/>
    <w:rsid w:val="009633C4"/>
    <w:rPr>
      <w:rFonts w:eastAsia="Times New Roman"/>
    </w:rPr>
  </w:style>
  <w:style w:type="paragraph" w:styleId="BalloonText">
    <w:name w:val="Balloon Text"/>
    <w:basedOn w:val="Normal"/>
    <w:link w:val="BalloonTextChar"/>
    <w:uiPriority w:val="99"/>
    <w:semiHidden/>
    <w:unhideWhenUsed/>
    <w:rsid w:val="009B6E28"/>
    <w:rPr>
      <w:rFonts w:ascii="Calibri" w:hAnsi="Calibri"/>
      <w:sz w:val="20"/>
      <w:szCs w:val="16"/>
      <w:lang w:val="x-none" w:eastAsia="x-none"/>
    </w:rPr>
  </w:style>
  <w:style w:type="character" w:customStyle="1" w:styleId="BalloonTextChar">
    <w:name w:val="Balloon Text Char"/>
    <w:link w:val="BalloonText"/>
    <w:uiPriority w:val="99"/>
    <w:semiHidden/>
    <w:rsid w:val="009B6E28"/>
    <w:rPr>
      <w:szCs w:val="16"/>
      <w:lang w:val="x-none" w:eastAsia="x-none"/>
    </w:rPr>
  </w:style>
  <w:style w:type="paragraph" w:customStyle="1" w:styleId="LVL1">
    <w:name w:val="LVL 1"/>
    <w:basedOn w:val="Normal"/>
    <w:link w:val="LVL1Char"/>
    <w:qFormat/>
    <w:rsid w:val="000808D6"/>
    <w:pPr>
      <w:numPr>
        <w:numId w:val="6"/>
      </w:numPr>
      <w:outlineLvl w:val="1"/>
    </w:pPr>
    <w:rPr>
      <w:lang w:val="x-none" w:eastAsia="x-none"/>
    </w:rPr>
  </w:style>
  <w:style w:type="character" w:customStyle="1" w:styleId="LVL1Char">
    <w:name w:val="LVL 1 Char"/>
    <w:link w:val="LVL1"/>
    <w:rsid w:val="005510E1"/>
    <w:rPr>
      <w:rFonts w:ascii="Times New Roman" w:hAnsi="Times New Roman"/>
      <w:sz w:val="24"/>
      <w:szCs w:val="22"/>
      <w:lang w:val="x-none" w:eastAsia="x-none"/>
    </w:rPr>
  </w:style>
  <w:style w:type="character" w:styleId="FootnoteReference">
    <w:name w:val="footnote reference"/>
    <w:uiPriority w:val="99"/>
    <w:rsid w:val="003303C3"/>
    <w:rPr>
      <w:rFonts w:ascii="Aptos" w:hAnsi="Aptos"/>
      <w:color w:val="000000" w:themeColor="text1"/>
      <w:sz w:val="24"/>
      <w:vertAlign w:val="superscript"/>
    </w:rPr>
  </w:style>
  <w:style w:type="paragraph" w:customStyle="1" w:styleId="LVL2">
    <w:name w:val="LVL 2"/>
    <w:basedOn w:val="Normal"/>
    <w:next w:val="LVL1"/>
    <w:link w:val="LVL2Char"/>
    <w:qFormat/>
    <w:rsid w:val="000808D6"/>
    <w:pPr>
      <w:numPr>
        <w:ilvl w:val="1"/>
        <w:numId w:val="6"/>
      </w:numPr>
      <w:autoSpaceDE w:val="0"/>
      <w:autoSpaceDN w:val="0"/>
      <w:adjustRightInd w:val="0"/>
      <w:spacing w:after="240"/>
      <w:outlineLvl w:val="2"/>
    </w:pPr>
    <w:rPr>
      <w:rFonts w:eastAsia="Times New Roman"/>
      <w:iCs/>
      <w:color w:val="000000"/>
      <w:lang w:val="x-none" w:eastAsia="x-none"/>
    </w:rPr>
  </w:style>
  <w:style w:type="paragraph" w:customStyle="1" w:styleId="LVL3">
    <w:name w:val="LVL 3"/>
    <w:basedOn w:val="LVL2"/>
    <w:link w:val="LVL3Char"/>
    <w:qFormat/>
    <w:rsid w:val="000808D6"/>
    <w:pPr>
      <w:numPr>
        <w:ilvl w:val="2"/>
      </w:numPr>
      <w:outlineLvl w:val="3"/>
    </w:pPr>
  </w:style>
  <w:style w:type="character" w:customStyle="1" w:styleId="LVL2Char">
    <w:name w:val="LVL 2 Char"/>
    <w:link w:val="LVL2"/>
    <w:rsid w:val="006C6A47"/>
    <w:rPr>
      <w:rFonts w:ascii="Times New Roman" w:eastAsia="Times New Roman" w:hAnsi="Times New Roman"/>
      <w:iCs/>
      <w:color w:val="000000"/>
      <w:sz w:val="24"/>
      <w:szCs w:val="22"/>
      <w:lang w:val="x-none" w:eastAsia="x-none"/>
    </w:rPr>
  </w:style>
  <w:style w:type="character" w:customStyle="1" w:styleId="LVL3Char">
    <w:name w:val="LVL 3 Char"/>
    <w:link w:val="LVL3"/>
    <w:rsid w:val="005510E1"/>
    <w:rPr>
      <w:rFonts w:ascii="Times New Roman" w:eastAsia="Times New Roman" w:hAnsi="Times New Roman"/>
      <w:iCs/>
      <w:color w:val="000000"/>
      <w:sz w:val="24"/>
      <w:szCs w:val="22"/>
      <w:lang w:val="x-none" w:eastAsia="x-none"/>
    </w:rPr>
  </w:style>
  <w:style w:type="paragraph" w:styleId="CommentSubject">
    <w:name w:val="annotation subject"/>
    <w:basedOn w:val="CommentText"/>
    <w:next w:val="CommentText"/>
    <w:link w:val="CommentSubjectChar"/>
    <w:uiPriority w:val="99"/>
    <w:semiHidden/>
    <w:unhideWhenUsed/>
    <w:rsid w:val="002824EE"/>
    <w:pPr>
      <w:widowControl/>
      <w:autoSpaceDE/>
      <w:autoSpaceDN/>
      <w:adjustRightInd/>
    </w:pPr>
    <w:rPr>
      <w:b/>
      <w:bCs/>
    </w:rPr>
  </w:style>
  <w:style w:type="character" w:customStyle="1" w:styleId="CommentSubjectChar">
    <w:name w:val="Comment Subject Char"/>
    <w:link w:val="CommentSubject"/>
    <w:uiPriority w:val="99"/>
    <w:semiHidden/>
    <w:rsid w:val="002824EE"/>
    <w:rPr>
      <w:rFonts w:eastAsia="Times New Roman"/>
      <w:b/>
      <w:bCs/>
    </w:rPr>
  </w:style>
  <w:style w:type="paragraph" w:styleId="Header">
    <w:name w:val="header"/>
    <w:basedOn w:val="Normal"/>
    <w:link w:val="HeaderChar"/>
    <w:uiPriority w:val="99"/>
    <w:unhideWhenUsed/>
    <w:rsid w:val="00872359"/>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872359"/>
    <w:rPr>
      <w:sz w:val="24"/>
      <w:szCs w:val="22"/>
    </w:rPr>
  </w:style>
  <w:style w:type="paragraph" w:styleId="Footer">
    <w:name w:val="footer"/>
    <w:basedOn w:val="Normal"/>
    <w:link w:val="FooterChar"/>
    <w:uiPriority w:val="99"/>
    <w:unhideWhenUsed/>
    <w:rsid w:val="00872359"/>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872359"/>
    <w:rPr>
      <w:sz w:val="24"/>
      <w:szCs w:val="22"/>
    </w:rPr>
  </w:style>
  <w:style w:type="paragraph" w:styleId="Revision">
    <w:name w:val="Revision"/>
    <w:hidden/>
    <w:uiPriority w:val="99"/>
    <w:semiHidden/>
    <w:rsid w:val="00100327"/>
    <w:rPr>
      <w:sz w:val="24"/>
      <w:szCs w:val="22"/>
    </w:rPr>
  </w:style>
  <w:style w:type="paragraph" w:customStyle="1" w:styleId="Note">
    <w:name w:val="Note"/>
    <w:basedOn w:val="Normal"/>
    <w:link w:val="NoteChar"/>
    <w:qFormat/>
    <w:rsid w:val="000808D6"/>
    <w:rPr>
      <w:rFonts w:ascii="Calibri" w:hAnsi="Calibri"/>
      <w:b/>
      <w:sz w:val="20"/>
      <w:lang w:val="x-none" w:eastAsia="x-none"/>
    </w:rPr>
  </w:style>
  <w:style w:type="table" w:styleId="TableGrid">
    <w:name w:val="Table Grid"/>
    <w:basedOn w:val="TableNormal"/>
    <w:uiPriority w:val="59"/>
    <w:rsid w:val="00770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9B6E28"/>
    <w:rPr>
      <w:b/>
      <w:szCs w:val="22"/>
      <w:lang w:val="x-none" w:eastAsia="x-none"/>
    </w:rPr>
  </w:style>
  <w:style w:type="paragraph" w:styleId="EndnoteText">
    <w:name w:val="endnote text"/>
    <w:basedOn w:val="Normal"/>
    <w:link w:val="EndnoteTextChar"/>
    <w:uiPriority w:val="99"/>
    <w:semiHidden/>
    <w:unhideWhenUsed/>
    <w:rsid w:val="00405AC5"/>
    <w:rPr>
      <w:sz w:val="20"/>
      <w:szCs w:val="20"/>
      <w:lang w:val="x-none" w:eastAsia="x-none"/>
    </w:rPr>
  </w:style>
  <w:style w:type="character" w:customStyle="1" w:styleId="EndnoteTextChar">
    <w:name w:val="Endnote Text Char"/>
    <w:link w:val="EndnoteText"/>
    <w:uiPriority w:val="99"/>
    <w:semiHidden/>
    <w:rsid w:val="00405AC5"/>
    <w:rPr>
      <w:rFonts w:ascii="Times New Roman" w:hAnsi="Times New Roman"/>
    </w:rPr>
  </w:style>
  <w:style w:type="character" w:styleId="EndnoteReference">
    <w:name w:val="endnote reference"/>
    <w:uiPriority w:val="99"/>
    <w:semiHidden/>
    <w:unhideWhenUsed/>
    <w:rsid w:val="00405AC5"/>
    <w:rPr>
      <w:vertAlign w:val="superscript"/>
    </w:rPr>
  </w:style>
  <w:style w:type="paragraph" w:styleId="FootnoteText">
    <w:name w:val="footnote text"/>
    <w:basedOn w:val="Normal"/>
    <w:link w:val="FootnoteTextChar"/>
    <w:uiPriority w:val="99"/>
    <w:unhideWhenUsed/>
    <w:qFormat/>
    <w:rsid w:val="00D602DB"/>
    <w:pPr>
      <w:spacing w:before="0" w:after="0"/>
    </w:pPr>
    <w:rPr>
      <w:sz w:val="22"/>
      <w:szCs w:val="20"/>
      <w:lang w:val="x-none" w:eastAsia="x-none"/>
    </w:rPr>
  </w:style>
  <w:style w:type="character" w:customStyle="1" w:styleId="FootnoteTextChar">
    <w:name w:val="Footnote Text Char"/>
    <w:link w:val="FootnoteText"/>
    <w:uiPriority w:val="99"/>
    <w:rsid w:val="00D602DB"/>
    <w:rPr>
      <w:rFonts w:ascii="Aptos" w:hAnsi="Aptos"/>
      <w:sz w:val="22"/>
      <w:lang w:val="x-none" w:eastAsia="x-none"/>
    </w:rPr>
  </w:style>
  <w:style w:type="numbering" w:customStyle="1" w:styleId="ENRDCD3">
    <w:name w:val="ENRD CD3"/>
    <w:uiPriority w:val="99"/>
    <w:rsid w:val="00D96A7E"/>
    <w:pPr>
      <w:numPr>
        <w:numId w:val="1"/>
      </w:numPr>
    </w:pPr>
  </w:style>
  <w:style w:type="character" w:customStyle="1" w:styleId="annotationr">
    <w:name w:val="annotation r"/>
    <w:uiPriority w:val="99"/>
    <w:rsid w:val="008170B1"/>
    <w:rPr>
      <w:sz w:val="16"/>
      <w:szCs w:val="16"/>
    </w:rPr>
  </w:style>
  <w:style w:type="paragraph" w:customStyle="1" w:styleId="penaltypara">
    <w:name w:val="penalty para"/>
    <w:uiPriority w:val="99"/>
    <w:rsid w:val="008170B1"/>
    <w:pPr>
      <w:tabs>
        <w:tab w:val="left" w:pos="730"/>
        <w:tab w:val="left" w:pos="1440"/>
        <w:tab w:val="left" w:pos="4320"/>
        <w:tab w:val="left" w:pos="4680"/>
      </w:tabs>
      <w:autoSpaceDE w:val="0"/>
      <w:autoSpaceDN w:val="0"/>
      <w:adjustRightInd w:val="0"/>
    </w:pPr>
    <w:rPr>
      <w:rFonts w:ascii="Times New Roman" w:hAnsi="Times New Roman"/>
      <w:sz w:val="24"/>
      <w:szCs w:val="24"/>
    </w:rPr>
  </w:style>
  <w:style w:type="character" w:customStyle="1" w:styleId="SYSHYPERTEXT">
    <w:name w:val="SYS_HYPERTEXT"/>
    <w:uiPriority w:val="99"/>
    <w:rsid w:val="008170B1"/>
    <w:rPr>
      <w:color w:val="0000FF"/>
      <w:u w:val="single"/>
    </w:rPr>
  </w:style>
  <w:style w:type="character" w:customStyle="1" w:styleId="Level1Char">
    <w:name w:val="Level 1 Char"/>
    <w:rsid w:val="008170B1"/>
    <w:rPr>
      <w:rFonts w:ascii="Times New Roman" w:hAnsi="Times New Roman" w:cs="Times New Roman"/>
      <w:sz w:val="24"/>
      <w:szCs w:val="24"/>
    </w:rPr>
  </w:style>
  <w:style w:type="paragraph" w:customStyle="1" w:styleId="aList3">
    <w:name w:val="a. List 3"/>
    <w:basedOn w:val="List"/>
    <w:semiHidden/>
    <w:rsid w:val="006A3CAA"/>
    <w:pPr>
      <w:numPr>
        <w:ilvl w:val="2"/>
        <w:numId w:val="5"/>
      </w:numPr>
      <w:tabs>
        <w:tab w:val="clear" w:pos="2880"/>
      </w:tabs>
      <w:autoSpaceDE w:val="0"/>
      <w:autoSpaceDN w:val="0"/>
      <w:adjustRightInd w:val="0"/>
      <w:spacing w:before="60"/>
      <w:ind w:left="1440"/>
      <w:contextualSpacing w:val="0"/>
    </w:pPr>
    <w:rPr>
      <w:rFonts w:eastAsia="Times New Roman"/>
      <w:szCs w:val="24"/>
    </w:rPr>
  </w:style>
  <w:style w:type="paragraph" w:styleId="List">
    <w:name w:val="List"/>
    <w:basedOn w:val="Normal"/>
    <w:uiPriority w:val="99"/>
    <w:semiHidden/>
    <w:unhideWhenUsed/>
    <w:rsid w:val="006A3CAA"/>
    <w:pPr>
      <w:ind w:left="360" w:hanging="360"/>
      <w:contextualSpacing/>
    </w:pPr>
  </w:style>
  <w:style w:type="character" w:styleId="FollowedHyperlink">
    <w:name w:val="FollowedHyperlink"/>
    <w:uiPriority w:val="99"/>
    <w:semiHidden/>
    <w:unhideWhenUsed/>
    <w:rsid w:val="000808D6"/>
    <w:rPr>
      <w:color w:val="954F72"/>
      <w:u w:val="single"/>
    </w:rPr>
  </w:style>
  <w:style w:type="character" w:customStyle="1" w:styleId="NoSpacingChar">
    <w:name w:val="No Spacing Char"/>
    <w:link w:val="NoSpacing"/>
    <w:uiPriority w:val="1"/>
    <w:locked/>
    <w:rsid w:val="00DD04BE"/>
    <w:rPr>
      <w:rFonts w:ascii="Times New Roman" w:hAnsi="Times New Roman"/>
      <w:sz w:val="24"/>
      <w:szCs w:val="22"/>
    </w:rPr>
  </w:style>
  <w:style w:type="table" w:styleId="PlainTable3">
    <w:name w:val="Plain Table 3"/>
    <w:basedOn w:val="TableNormal"/>
    <w:uiPriority w:val="43"/>
    <w:rsid w:val="00E74103"/>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VL40">
    <w:name w:val="LVL 4"/>
    <w:basedOn w:val="Normal"/>
    <w:qFormat/>
    <w:rsid w:val="000808D6"/>
    <w:pPr>
      <w:ind w:left="3600" w:hanging="720"/>
      <w:outlineLvl w:val="4"/>
    </w:pPr>
    <w:rPr>
      <w:rFonts w:eastAsia="Times New Roman" w:cs="Arial"/>
      <w:bCs/>
      <w:szCs w:val="26"/>
      <w:lang w:val="en"/>
    </w:rPr>
  </w:style>
  <w:style w:type="character" w:customStyle="1" w:styleId="UnresolvedMention1">
    <w:name w:val="Unresolved Mention1"/>
    <w:basedOn w:val="DefaultParagraphFont"/>
    <w:uiPriority w:val="99"/>
    <w:unhideWhenUsed/>
    <w:rsid w:val="002410A1"/>
    <w:rPr>
      <w:color w:val="605E5C"/>
      <w:shd w:val="clear" w:color="auto" w:fill="E1DFDD"/>
    </w:rPr>
  </w:style>
  <w:style w:type="paragraph" w:customStyle="1" w:styleId="Def-Whereas">
    <w:name w:val="Def-Whereas"/>
    <w:basedOn w:val="LVL1"/>
    <w:qFormat/>
    <w:rsid w:val="00AF1490"/>
    <w:pPr>
      <w:numPr>
        <w:numId w:val="0"/>
      </w:numPr>
      <w:autoSpaceDE w:val="0"/>
      <w:autoSpaceDN w:val="0"/>
      <w:adjustRightInd w:val="0"/>
      <w:spacing w:after="240"/>
      <w:ind w:firstLine="720"/>
      <w:outlineLvl w:val="2"/>
    </w:pPr>
    <w:rPr>
      <w:rFonts w:eastAsia="Times New Roman"/>
      <w:szCs w:val="24"/>
      <w:lang w:val="en-US" w:eastAsia="en-US"/>
    </w:rPr>
  </w:style>
  <w:style w:type="paragraph" w:styleId="List3">
    <w:name w:val="List 3"/>
    <w:basedOn w:val="Normal"/>
    <w:next w:val="Normal"/>
    <w:rsid w:val="00AB418D"/>
    <w:pPr>
      <w:numPr>
        <w:numId w:val="13"/>
      </w:numPr>
      <w:autoSpaceDE w:val="0"/>
      <w:autoSpaceDN w:val="0"/>
      <w:adjustRightInd w:val="0"/>
      <w:spacing w:before="0" w:after="0"/>
    </w:pPr>
    <w:rPr>
      <w:rFonts w:eastAsia="Times New Roman"/>
      <w:szCs w:val="24"/>
    </w:rPr>
  </w:style>
  <w:style w:type="character" w:styleId="Strong">
    <w:name w:val="Strong"/>
    <w:uiPriority w:val="22"/>
    <w:rsid w:val="000808D6"/>
    <w:rPr>
      <w:b/>
      <w:bCs/>
    </w:rPr>
  </w:style>
  <w:style w:type="character" w:styleId="SubtleReference">
    <w:name w:val="Subtle Reference"/>
    <w:uiPriority w:val="31"/>
    <w:rsid w:val="000808D6"/>
    <w:rPr>
      <w:smallCaps/>
      <w:color w:val="C0504D"/>
      <w:u w:val="single"/>
    </w:rPr>
  </w:style>
  <w:style w:type="character" w:styleId="IntenseReference">
    <w:name w:val="Intense Reference"/>
    <w:uiPriority w:val="32"/>
    <w:rsid w:val="000808D6"/>
    <w:rPr>
      <w:b/>
      <w:bCs/>
      <w:smallCaps/>
      <w:color w:val="C0504D"/>
      <w:spacing w:val="5"/>
      <w:u w:val="single"/>
    </w:rPr>
  </w:style>
  <w:style w:type="character" w:styleId="BookTitle">
    <w:name w:val="Book Title"/>
    <w:uiPriority w:val="33"/>
    <w:rsid w:val="000808D6"/>
    <w:rPr>
      <w:b/>
      <w:bCs/>
      <w:smallCaps/>
      <w:spacing w:val="5"/>
    </w:rPr>
  </w:style>
  <w:style w:type="paragraph" w:styleId="IntenseQuote">
    <w:name w:val="Intense Quote"/>
    <w:basedOn w:val="Normal"/>
    <w:next w:val="Normal"/>
    <w:link w:val="IntenseQuoteChar"/>
    <w:uiPriority w:val="30"/>
    <w:rsid w:val="000808D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808D6"/>
    <w:rPr>
      <w:rFonts w:ascii="Times New Roman" w:hAnsi="Times New Roman"/>
      <w:b/>
      <w:bCs/>
      <w:i/>
      <w:iCs/>
      <w:color w:val="4F81BD"/>
      <w:sz w:val="24"/>
      <w:szCs w:val="22"/>
    </w:rPr>
  </w:style>
  <w:style w:type="paragraph" w:customStyle="1" w:styleId="DEFN">
    <w:name w:val="DEFN"/>
    <w:basedOn w:val="Normal"/>
    <w:link w:val="DEFNChar"/>
    <w:qFormat/>
    <w:rsid w:val="000808D6"/>
    <w:pPr>
      <w:autoSpaceDE w:val="0"/>
      <w:autoSpaceDN w:val="0"/>
      <w:adjustRightInd w:val="0"/>
      <w:ind w:firstLine="720"/>
    </w:pPr>
    <w:rPr>
      <w:rFonts w:eastAsia="Times New Roman"/>
      <w:color w:val="000000"/>
      <w:spacing w:val="5"/>
      <w:kern w:val="28"/>
      <w:szCs w:val="24"/>
    </w:rPr>
  </w:style>
  <w:style w:type="character" w:customStyle="1" w:styleId="DEFNChar">
    <w:name w:val="DEFN Char"/>
    <w:link w:val="DEFN"/>
    <w:rsid w:val="000808D6"/>
    <w:rPr>
      <w:rFonts w:ascii="Times New Roman" w:eastAsia="Times New Roman" w:hAnsi="Times New Roman"/>
      <w:color w:val="000000"/>
      <w:spacing w:val="5"/>
      <w:kern w:val="28"/>
      <w:sz w:val="24"/>
      <w:szCs w:val="24"/>
    </w:rPr>
  </w:style>
  <w:style w:type="paragraph" w:customStyle="1" w:styleId="Default">
    <w:name w:val="Default"/>
    <w:rsid w:val="000808D6"/>
    <w:pPr>
      <w:autoSpaceDE w:val="0"/>
      <w:autoSpaceDN w:val="0"/>
      <w:adjustRightInd w:val="0"/>
    </w:pPr>
    <w:rPr>
      <w:rFonts w:ascii="Times New Roman" w:hAnsi="Times New Roman"/>
      <w:color w:val="000000"/>
      <w:sz w:val="24"/>
      <w:szCs w:val="24"/>
    </w:rPr>
  </w:style>
  <w:style w:type="paragraph" w:customStyle="1" w:styleId="LVL5">
    <w:name w:val="LVL 5"/>
    <w:basedOn w:val="Normal"/>
    <w:rsid w:val="000808D6"/>
    <w:pPr>
      <w:ind w:left="2880" w:hanging="720"/>
    </w:pPr>
    <w:rPr>
      <w:rFonts w:eastAsia="Times New Roman" w:cs="Arial"/>
      <w:bCs/>
      <w:szCs w:val="26"/>
    </w:rPr>
  </w:style>
  <w:style w:type="paragraph" w:customStyle="1" w:styleId="LVL6">
    <w:name w:val="LVL 6"/>
    <w:basedOn w:val="Normal"/>
    <w:rsid w:val="000808D6"/>
    <w:pPr>
      <w:ind w:left="3600" w:hanging="720"/>
    </w:pPr>
    <w:rPr>
      <w:rFonts w:eastAsia="Times New Roman" w:cs="Arial"/>
      <w:bCs/>
      <w:szCs w:val="26"/>
    </w:rPr>
  </w:style>
  <w:style w:type="character" w:customStyle="1" w:styleId="Mention1">
    <w:name w:val="Mention1"/>
    <w:basedOn w:val="DefaultParagraphFont"/>
    <w:uiPriority w:val="99"/>
    <w:unhideWhenUsed/>
    <w:rsid w:val="000808D6"/>
    <w:rPr>
      <w:color w:val="2B579A"/>
      <w:shd w:val="clear" w:color="auto" w:fill="E1DFDD"/>
    </w:rPr>
  </w:style>
  <w:style w:type="paragraph" w:styleId="NormalWeb">
    <w:name w:val="Normal (Web)"/>
    <w:basedOn w:val="Normal"/>
    <w:uiPriority w:val="99"/>
    <w:semiHidden/>
    <w:unhideWhenUsed/>
    <w:rsid w:val="00250C67"/>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135760"/>
    <w:rPr>
      <w:color w:val="605E5C"/>
      <w:shd w:val="clear" w:color="auto" w:fill="E1DFDD"/>
    </w:rPr>
  </w:style>
  <w:style w:type="character" w:customStyle="1" w:styleId="normaltextrun">
    <w:name w:val="normaltextrun"/>
    <w:basedOn w:val="DefaultParagraphFont"/>
    <w:rsid w:val="00944BE7"/>
  </w:style>
  <w:style w:type="paragraph" w:customStyle="1" w:styleId="Where-Def">
    <w:name w:val="Where-Def"/>
    <w:basedOn w:val="Normal"/>
    <w:qFormat/>
    <w:rsid w:val="008D4C3D"/>
    <w:pPr>
      <w:autoSpaceDE w:val="0"/>
      <w:autoSpaceDN w:val="0"/>
      <w:adjustRightInd w:val="0"/>
      <w:spacing w:before="0" w:after="240"/>
      <w:ind w:firstLine="720"/>
      <w:outlineLvl w:val="2"/>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283">
      <w:bodyDiv w:val="1"/>
      <w:marLeft w:val="0"/>
      <w:marRight w:val="0"/>
      <w:marTop w:val="0"/>
      <w:marBottom w:val="0"/>
      <w:divBdr>
        <w:top w:val="none" w:sz="0" w:space="0" w:color="auto"/>
        <w:left w:val="none" w:sz="0" w:space="0" w:color="auto"/>
        <w:bottom w:val="none" w:sz="0" w:space="0" w:color="auto"/>
        <w:right w:val="none" w:sz="0" w:space="0" w:color="auto"/>
      </w:divBdr>
    </w:div>
    <w:div w:id="107699197">
      <w:bodyDiv w:val="1"/>
      <w:marLeft w:val="0"/>
      <w:marRight w:val="0"/>
      <w:marTop w:val="0"/>
      <w:marBottom w:val="0"/>
      <w:divBdr>
        <w:top w:val="none" w:sz="0" w:space="0" w:color="auto"/>
        <w:left w:val="none" w:sz="0" w:space="0" w:color="auto"/>
        <w:bottom w:val="none" w:sz="0" w:space="0" w:color="auto"/>
        <w:right w:val="none" w:sz="0" w:space="0" w:color="auto"/>
      </w:divBdr>
      <w:divsChild>
        <w:div w:id="860318984">
          <w:marLeft w:val="0"/>
          <w:marRight w:val="0"/>
          <w:marTop w:val="0"/>
          <w:marBottom w:val="0"/>
          <w:divBdr>
            <w:top w:val="none" w:sz="0" w:space="0" w:color="auto"/>
            <w:left w:val="none" w:sz="0" w:space="0" w:color="auto"/>
            <w:bottom w:val="none" w:sz="0" w:space="0" w:color="auto"/>
            <w:right w:val="none" w:sz="0" w:space="0" w:color="auto"/>
          </w:divBdr>
          <w:divsChild>
            <w:div w:id="496577103">
              <w:marLeft w:val="0"/>
              <w:marRight w:val="0"/>
              <w:marTop w:val="0"/>
              <w:marBottom w:val="0"/>
              <w:divBdr>
                <w:top w:val="none" w:sz="0" w:space="0" w:color="auto"/>
                <w:left w:val="none" w:sz="0" w:space="0" w:color="auto"/>
                <w:bottom w:val="none" w:sz="0" w:space="0" w:color="auto"/>
                <w:right w:val="none" w:sz="0" w:space="0" w:color="auto"/>
              </w:divBdr>
              <w:divsChild>
                <w:div w:id="1632707500">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14052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3666">
      <w:bodyDiv w:val="1"/>
      <w:marLeft w:val="0"/>
      <w:marRight w:val="0"/>
      <w:marTop w:val="0"/>
      <w:marBottom w:val="0"/>
      <w:divBdr>
        <w:top w:val="none" w:sz="0" w:space="0" w:color="auto"/>
        <w:left w:val="none" w:sz="0" w:space="0" w:color="auto"/>
        <w:bottom w:val="none" w:sz="0" w:space="0" w:color="auto"/>
        <w:right w:val="none" w:sz="0" w:space="0" w:color="auto"/>
      </w:divBdr>
    </w:div>
    <w:div w:id="142620943">
      <w:bodyDiv w:val="1"/>
      <w:marLeft w:val="0"/>
      <w:marRight w:val="0"/>
      <w:marTop w:val="0"/>
      <w:marBottom w:val="0"/>
      <w:divBdr>
        <w:top w:val="none" w:sz="0" w:space="0" w:color="auto"/>
        <w:left w:val="none" w:sz="0" w:space="0" w:color="auto"/>
        <w:bottom w:val="none" w:sz="0" w:space="0" w:color="auto"/>
        <w:right w:val="none" w:sz="0" w:space="0" w:color="auto"/>
      </w:divBdr>
    </w:div>
    <w:div w:id="202600186">
      <w:bodyDiv w:val="1"/>
      <w:marLeft w:val="0"/>
      <w:marRight w:val="0"/>
      <w:marTop w:val="0"/>
      <w:marBottom w:val="0"/>
      <w:divBdr>
        <w:top w:val="none" w:sz="0" w:space="0" w:color="auto"/>
        <w:left w:val="none" w:sz="0" w:space="0" w:color="auto"/>
        <w:bottom w:val="none" w:sz="0" w:space="0" w:color="auto"/>
        <w:right w:val="none" w:sz="0" w:space="0" w:color="auto"/>
      </w:divBdr>
    </w:div>
    <w:div w:id="241188395">
      <w:bodyDiv w:val="1"/>
      <w:marLeft w:val="0"/>
      <w:marRight w:val="0"/>
      <w:marTop w:val="0"/>
      <w:marBottom w:val="0"/>
      <w:divBdr>
        <w:top w:val="none" w:sz="0" w:space="0" w:color="auto"/>
        <w:left w:val="none" w:sz="0" w:space="0" w:color="auto"/>
        <w:bottom w:val="none" w:sz="0" w:space="0" w:color="auto"/>
        <w:right w:val="none" w:sz="0" w:space="0" w:color="auto"/>
      </w:divBdr>
    </w:div>
    <w:div w:id="310210379">
      <w:bodyDiv w:val="1"/>
      <w:marLeft w:val="0"/>
      <w:marRight w:val="0"/>
      <w:marTop w:val="0"/>
      <w:marBottom w:val="0"/>
      <w:divBdr>
        <w:top w:val="none" w:sz="0" w:space="0" w:color="auto"/>
        <w:left w:val="none" w:sz="0" w:space="0" w:color="auto"/>
        <w:bottom w:val="none" w:sz="0" w:space="0" w:color="auto"/>
        <w:right w:val="none" w:sz="0" w:space="0" w:color="auto"/>
      </w:divBdr>
    </w:div>
    <w:div w:id="456143474">
      <w:bodyDiv w:val="1"/>
      <w:marLeft w:val="0"/>
      <w:marRight w:val="0"/>
      <w:marTop w:val="0"/>
      <w:marBottom w:val="0"/>
      <w:divBdr>
        <w:top w:val="none" w:sz="0" w:space="0" w:color="auto"/>
        <w:left w:val="none" w:sz="0" w:space="0" w:color="auto"/>
        <w:bottom w:val="none" w:sz="0" w:space="0" w:color="auto"/>
        <w:right w:val="none" w:sz="0" w:space="0" w:color="auto"/>
      </w:divBdr>
    </w:div>
    <w:div w:id="469253843">
      <w:bodyDiv w:val="1"/>
      <w:marLeft w:val="0"/>
      <w:marRight w:val="0"/>
      <w:marTop w:val="0"/>
      <w:marBottom w:val="0"/>
      <w:divBdr>
        <w:top w:val="none" w:sz="0" w:space="0" w:color="auto"/>
        <w:left w:val="none" w:sz="0" w:space="0" w:color="auto"/>
        <w:bottom w:val="none" w:sz="0" w:space="0" w:color="auto"/>
        <w:right w:val="none" w:sz="0" w:space="0" w:color="auto"/>
      </w:divBdr>
    </w:div>
    <w:div w:id="529681083">
      <w:bodyDiv w:val="1"/>
      <w:marLeft w:val="0"/>
      <w:marRight w:val="0"/>
      <w:marTop w:val="0"/>
      <w:marBottom w:val="0"/>
      <w:divBdr>
        <w:top w:val="none" w:sz="0" w:space="0" w:color="auto"/>
        <w:left w:val="none" w:sz="0" w:space="0" w:color="auto"/>
        <w:bottom w:val="none" w:sz="0" w:space="0" w:color="auto"/>
        <w:right w:val="none" w:sz="0" w:space="0" w:color="auto"/>
      </w:divBdr>
    </w:div>
    <w:div w:id="551773823">
      <w:bodyDiv w:val="1"/>
      <w:marLeft w:val="0"/>
      <w:marRight w:val="0"/>
      <w:marTop w:val="0"/>
      <w:marBottom w:val="0"/>
      <w:divBdr>
        <w:top w:val="none" w:sz="0" w:space="0" w:color="auto"/>
        <w:left w:val="none" w:sz="0" w:space="0" w:color="auto"/>
        <w:bottom w:val="none" w:sz="0" w:space="0" w:color="auto"/>
        <w:right w:val="none" w:sz="0" w:space="0" w:color="auto"/>
      </w:divBdr>
    </w:div>
    <w:div w:id="573928352">
      <w:bodyDiv w:val="1"/>
      <w:marLeft w:val="0"/>
      <w:marRight w:val="0"/>
      <w:marTop w:val="0"/>
      <w:marBottom w:val="0"/>
      <w:divBdr>
        <w:top w:val="none" w:sz="0" w:space="0" w:color="auto"/>
        <w:left w:val="none" w:sz="0" w:space="0" w:color="auto"/>
        <w:bottom w:val="none" w:sz="0" w:space="0" w:color="auto"/>
        <w:right w:val="none" w:sz="0" w:space="0" w:color="auto"/>
      </w:divBdr>
    </w:div>
    <w:div w:id="632638517">
      <w:bodyDiv w:val="1"/>
      <w:marLeft w:val="0"/>
      <w:marRight w:val="0"/>
      <w:marTop w:val="0"/>
      <w:marBottom w:val="0"/>
      <w:divBdr>
        <w:top w:val="none" w:sz="0" w:space="0" w:color="auto"/>
        <w:left w:val="none" w:sz="0" w:space="0" w:color="auto"/>
        <w:bottom w:val="none" w:sz="0" w:space="0" w:color="auto"/>
        <w:right w:val="none" w:sz="0" w:space="0" w:color="auto"/>
      </w:divBdr>
    </w:div>
    <w:div w:id="662902805">
      <w:bodyDiv w:val="1"/>
      <w:marLeft w:val="0"/>
      <w:marRight w:val="0"/>
      <w:marTop w:val="0"/>
      <w:marBottom w:val="0"/>
      <w:divBdr>
        <w:top w:val="none" w:sz="0" w:space="0" w:color="auto"/>
        <w:left w:val="none" w:sz="0" w:space="0" w:color="auto"/>
        <w:bottom w:val="none" w:sz="0" w:space="0" w:color="auto"/>
        <w:right w:val="none" w:sz="0" w:space="0" w:color="auto"/>
      </w:divBdr>
    </w:div>
    <w:div w:id="774666120">
      <w:bodyDiv w:val="1"/>
      <w:marLeft w:val="0"/>
      <w:marRight w:val="0"/>
      <w:marTop w:val="0"/>
      <w:marBottom w:val="0"/>
      <w:divBdr>
        <w:top w:val="none" w:sz="0" w:space="0" w:color="auto"/>
        <w:left w:val="none" w:sz="0" w:space="0" w:color="auto"/>
        <w:bottom w:val="none" w:sz="0" w:space="0" w:color="auto"/>
        <w:right w:val="none" w:sz="0" w:space="0" w:color="auto"/>
      </w:divBdr>
    </w:div>
    <w:div w:id="818502290">
      <w:bodyDiv w:val="1"/>
      <w:marLeft w:val="0"/>
      <w:marRight w:val="0"/>
      <w:marTop w:val="0"/>
      <w:marBottom w:val="0"/>
      <w:divBdr>
        <w:top w:val="none" w:sz="0" w:space="0" w:color="auto"/>
        <w:left w:val="none" w:sz="0" w:space="0" w:color="auto"/>
        <w:bottom w:val="none" w:sz="0" w:space="0" w:color="auto"/>
        <w:right w:val="none" w:sz="0" w:space="0" w:color="auto"/>
      </w:divBdr>
    </w:div>
    <w:div w:id="862205050">
      <w:bodyDiv w:val="1"/>
      <w:marLeft w:val="0"/>
      <w:marRight w:val="0"/>
      <w:marTop w:val="0"/>
      <w:marBottom w:val="0"/>
      <w:divBdr>
        <w:top w:val="none" w:sz="0" w:space="0" w:color="auto"/>
        <w:left w:val="none" w:sz="0" w:space="0" w:color="auto"/>
        <w:bottom w:val="none" w:sz="0" w:space="0" w:color="auto"/>
        <w:right w:val="none" w:sz="0" w:space="0" w:color="auto"/>
      </w:divBdr>
    </w:div>
    <w:div w:id="953711130">
      <w:bodyDiv w:val="1"/>
      <w:marLeft w:val="0"/>
      <w:marRight w:val="0"/>
      <w:marTop w:val="0"/>
      <w:marBottom w:val="0"/>
      <w:divBdr>
        <w:top w:val="none" w:sz="0" w:space="0" w:color="auto"/>
        <w:left w:val="none" w:sz="0" w:space="0" w:color="auto"/>
        <w:bottom w:val="none" w:sz="0" w:space="0" w:color="auto"/>
        <w:right w:val="none" w:sz="0" w:space="0" w:color="auto"/>
      </w:divBdr>
    </w:div>
    <w:div w:id="982924579">
      <w:bodyDiv w:val="1"/>
      <w:marLeft w:val="0"/>
      <w:marRight w:val="0"/>
      <w:marTop w:val="0"/>
      <w:marBottom w:val="0"/>
      <w:divBdr>
        <w:top w:val="none" w:sz="0" w:space="0" w:color="auto"/>
        <w:left w:val="none" w:sz="0" w:space="0" w:color="auto"/>
        <w:bottom w:val="none" w:sz="0" w:space="0" w:color="auto"/>
        <w:right w:val="none" w:sz="0" w:space="0" w:color="auto"/>
      </w:divBdr>
    </w:div>
    <w:div w:id="990989038">
      <w:bodyDiv w:val="1"/>
      <w:marLeft w:val="0"/>
      <w:marRight w:val="0"/>
      <w:marTop w:val="0"/>
      <w:marBottom w:val="0"/>
      <w:divBdr>
        <w:top w:val="none" w:sz="0" w:space="0" w:color="auto"/>
        <w:left w:val="none" w:sz="0" w:space="0" w:color="auto"/>
        <w:bottom w:val="none" w:sz="0" w:space="0" w:color="auto"/>
        <w:right w:val="none" w:sz="0" w:space="0" w:color="auto"/>
      </w:divBdr>
    </w:div>
    <w:div w:id="1001742675">
      <w:bodyDiv w:val="1"/>
      <w:marLeft w:val="0"/>
      <w:marRight w:val="0"/>
      <w:marTop w:val="0"/>
      <w:marBottom w:val="0"/>
      <w:divBdr>
        <w:top w:val="none" w:sz="0" w:space="0" w:color="auto"/>
        <w:left w:val="none" w:sz="0" w:space="0" w:color="auto"/>
        <w:bottom w:val="none" w:sz="0" w:space="0" w:color="auto"/>
        <w:right w:val="none" w:sz="0" w:space="0" w:color="auto"/>
      </w:divBdr>
    </w:div>
    <w:div w:id="1058552190">
      <w:bodyDiv w:val="1"/>
      <w:marLeft w:val="0"/>
      <w:marRight w:val="0"/>
      <w:marTop w:val="0"/>
      <w:marBottom w:val="0"/>
      <w:divBdr>
        <w:top w:val="none" w:sz="0" w:space="0" w:color="auto"/>
        <w:left w:val="none" w:sz="0" w:space="0" w:color="auto"/>
        <w:bottom w:val="none" w:sz="0" w:space="0" w:color="auto"/>
        <w:right w:val="none" w:sz="0" w:space="0" w:color="auto"/>
      </w:divBdr>
    </w:div>
    <w:div w:id="1062875414">
      <w:bodyDiv w:val="1"/>
      <w:marLeft w:val="0"/>
      <w:marRight w:val="0"/>
      <w:marTop w:val="0"/>
      <w:marBottom w:val="0"/>
      <w:divBdr>
        <w:top w:val="none" w:sz="0" w:space="0" w:color="auto"/>
        <w:left w:val="none" w:sz="0" w:space="0" w:color="auto"/>
        <w:bottom w:val="none" w:sz="0" w:space="0" w:color="auto"/>
        <w:right w:val="none" w:sz="0" w:space="0" w:color="auto"/>
      </w:divBdr>
    </w:div>
    <w:div w:id="1158227677">
      <w:bodyDiv w:val="1"/>
      <w:marLeft w:val="0"/>
      <w:marRight w:val="0"/>
      <w:marTop w:val="0"/>
      <w:marBottom w:val="0"/>
      <w:divBdr>
        <w:top w:val="none" w:sz="0" w:space="0" w:color="auto"/>
        <w:left w:val="none" w:sz="0" w:space="0" w:color="auto"/>
        <w:bottom w:val="none" w:sz="0" w:space="0" w:color="auto"/>
        <w:right w:val="none" w:sz="0" w:space="0" w:color="auto"/>
      </w:divBdr>
    </w:div>
    <w:div w:id="1187866880">
      <w:bodyDiv w:val="1"/>
      <w:marLeft w:val="0"/>
      <w:marRight w:val="0"/>
      <w:marTop w:val="0"/>
      <w:marBottom w:val="0"/>
      <w:divBdr>
        <w:top w:val="none" w:sz="0" w:space="0" w:color="auto"/>
        <w:left w:val="none" w:sz="0" w:space="0" w:color="auto"/>
        <w:bottom w:val="none" w:sz="0" w:space="0" w:color="auto"/>
        <w:right w:val="none" w:sz="0" w:space="0" w:color="auto"/>
      </w:divBdr>
    </w:div>
    <w:div w:id="1332297301">
      <w:bodyDiv w:val="1"/>
      <w:marLeft w:val="0"/>
      <w:marRight w:val="0"/>
      <w:marTop w:val="0"/>
      <w:marBottom w:val="0"/>
      <w:divBdr>
        <w:top w:val="none" w:sz="0" w:space="0" w:color="auto"/>
        <w:left w:val="none" w:sz="0" w:space="0" w:color="auto"/>
        <w:bottom w:val="none" w:sz="0" w:space="0" w:color="auto"/>
        <w:right w:val="none" w:sz="0" w:space="0" w:color="auto"/>
      </w:divBdr>
    </w:div>
    <w:div w:id="1373992556">
      <w:bodyDiv w:val="1"/>
      <w:marLeft w:val="0"/>
      <w:marRight w:val="0"/>
      <w:marTop w:val="0"/>
      <w:marBottom w:val="0"/>
      <w:divBdr>
        <w:top w:val="none" w:sz="0" w:space="0" w:color="auto"/>
        <w:left w:val="none" w:sz="0" w:space="0" w:color="auto"/>
        <w:bottom w:val="none" w:sz="0" w:space="0" w:color="auto"/>
        <w:right w:val="none" w:sz="0" w:space="0" w:color="auto"/>
      </w:divBdr>
    </w:div>
    <w:div w:id="1392387260">
      <w:bodyDiv w:val="1"/>
      <w:marLeft w:val="0"/>
      <w:marRight w:val="0"/>
      <w:marTop w:val="0"/>
      <w:marBottom w:val="0"/>
      <w:divBdr>
        <w:top w:val="none" w:sz="0" w:space="0" w:color="auto"/>
        <w:left w:val="none" w:sz="0" w:space="0" w:color="auto"/>
        <w:bottom w:val="none" w:sz="0" w:space="0" w:color="auto"/>
        <w:right w:val="none" w:sz="0" w:space="0" w:color="auto"/>
      </w:divBdr>
    </w:div>
    <w:div w:id="1463770326">
      <w:bodyDiv w:val="1"/>
      <w:marLeft w:val="0"/>
      <w:marRight w:val="0"/>
      <w:marTop w:val="0"/>
      <w:marBottom w:val="0"/>
      <w:divBdr>
        <w:top w:val="none" w:sz="0" w:space="0" w:color="auto"/>
        <w:left w:val="none" w:sz="0" w:space="0" w:color="auto"/>
        <w:bottom w:val="none" w:sz="0" w:space="0" w:color="auto"/>
        <w:right w:val="none" w:sz="0" w:space="0" w:color="auto"/>
      </w:divBdr>
    </w:div>
    <w:div w:id="1519662838">
      <w:bodyDiv w:val="1"/>
      <w:marLeft w:val="0"/>
      <w:marRight w:val="0"/>
      <w:marTop w:val="0"/>
      <w:marBottom w:val="0"/>
      <w:divBdr>
        <w:top w:val="none" w:sz="0" w:space="0" w:color="auto"/>
        <w:left w:val="none" w:sz="0" w:space="0" w:color="auto"/>
        <w:bottom w:val="none" w:sz="0" w:space="0" w:color="auto"/>
        <w:right w:val="none" w:sz="0" w:space="0" w:color="auto"/>
      </w:divBdr>
    </w:div>
    <w:div w:id="1526408510">
      <w:bodyDiv w:val="1"/>
      <w:marLeft w:val="0"/>
      <w:marRight w:val="0"/>
      <w:marTop w:val="0"/>
      <w:marBottom w:val="0"/>
      <w:divBdr>
        <w:top w:val="none" w:sz="0" w:space="0" w:color="auto"/>
        <w:left w:val="none" w:sz="0" w:space="0" w:color="auto"/>
        <w:bottom w:val="none" w:sz="0" w:space="0" w:color="auto"/>
        <w:right w:val="none" w:sz="0" w:space="0" w:color="auto"/>
      </w:divBdr>
    </w:div>
    <w:div w:id="1545828763">
      <w:bodyDiv w:val="1"/>
      <w:marLeft w:val="0"/>
      <w:marRight w:val="0"/>
      <w:marTop w:val="0"/>
      <w:marBottom w:val="0"/>
      <w:divBdr>
        <w:top w:val="none" w:sz="0" w:space="0" w:color="auto"/>
        <w:left w:val="none" w:sz="0" w:space="0" w:color="auto"/>
        <w:bottom w:val="none" w:sz="0" w:space="0" w:color="auto"/>
        <w:right w:val="none" w:sz="0" w:space="0" w:color="auto"/>
      </w:divBdr>
    </w:div>
    <w:div w:id="1555045871">
      <w:bodyDiv w:val="1"/>
      <w:marLeft w:val="0"/>
      <w:marRight w:val="0"/>
      <w:marTop w:val="0"/>
      <w:marBottom w:val="0"/>
      <w:divBdr>
        <w:top w:val="none" w:sz="0" w:space="0" w:color="auto"/>
        <w:left w:val="none" w:sz="0" w:space="0" w:color="auto"/>
        <w:bottom w:val="none" w:sz="0" w:space="0" w:color="auto"/>
        <w:right w:val="none" w:sz="0" w:space="0" w:color="auto"/>
      </w:divBdr>
    </w:div>
    <w:div w:id="1591235307">
      <w:bodyDiv w:val="1"/>
      <w:marLeft w:val="0"/>
      <w:marRight w:val="0"/>
      <w:marTop w:val="0"/>
      <w:marBottom w:val="0"/>
      <w:divBdr>
        <w:top w:val="none" w:sz="0" w:space="0" w:color="auto"/>
        <w:left w:val="none" w:sz="0" w:space="0" w:color="auto"/>
        <w:bottom w:val="none" w:sz="0" w:space="0" w:color="auto"/>
        <w:right w:val="none" w:sz="0" w:space="0" w:color="auto"/>
      </w:divBdr>
    </w:div>
    <w:div w:id="1619994841">
      <w:bodyDiv w:val="1"/>
      <w:marLeft w:val="0"/>
      <w:marRight w:val="0"/>
      <w:marTop w:val="0"/>
      <w:marBottom w:val="0"/>
      <w:divBdr>
        <w:top w:val="none" w:sz="0" w:space="0" w:color="auto"/>
        <w:left w:val="none" w:sz="0" w:space="0" w:color="auto"/>
        <w:bottom w:val="none" w:sz="0" w:space="0" w:color="auto"/>
        <w:right w:val="none" w:sz="0" w:space="0" w:color="auto"/>
      </w:divBdr>
    </w:div>
    <w:div w:id="1669675051">
      <w:bodyDiv w:val="1"/>
      <w:marLeft w:val="0"/>
      <w:marRight w:val="0"/>
      <w:marTop w:val="0"/>
      <w:marBottom w:val="0"/>
      <w:divBdr>
        <w:top w:val="none" w:sz="0" w:space="0" w:color="auto"/>
        <w:left w:val="none" w:sz="0" w:space="0" w:color="auto"/>
        <w:bottom w:val="none" w:sz="0" w:space="0" w:color="auto"/>
        <w:right w:val="none" w:sz="0" w:space="0" w:color="auto"/>
      </w:divBdr>
    </w:div>
    <w:div w:id="1697998188">
      <w:bodyDiv w:val="1"/>
      <w:marLeft w:val="0"/>
      <w:marRight w:val="0"/>
      <w:marTop w:val="0"/>
      <w:marBottom w:val="0"/>
      <w:divBdr>
        <w:top w:val="none" w:sz="0" w:space="0" w:color="auto"/>
        <w:left w:val="none" w:sz="0" w:space="0" w:color="auto"/>
        <w:bottom w:val="none" w:sz="0" w:space="0" w:color="auto"/>
        <w:right w:val="none" w:sz="0" w:space="0" w:color="auto"/>
      </w:divBdr>
    </w:div>
    <w:div w:id="1742942117">
      <w:bodyDiv w:val="1"/>
      <w:marLeft w:val="0"/>
      <w:marRight w:val="0"/>
      <w:marTop w:val="0"/>
      <w:marBottom w:val="0"/>
      <w:divBdr>
        <w:top w:val="none" w:sz="0" w:space="0" w:color="auto"/>
        <w:left w:val="none" w:sz="0" w:space="0" w:color="auto"/>
        <w:bottom w:val="none" w:sz="0" w:space="0" w:color="auto"/>
        <w:right w:val="none" w:sz="0" w:space="0" w:color="auto"/>
      </w:divBdr>
    </w:div>
    <w:div w:id="1850869416">
      <w:bodyDiv w:val="1"/>
      <w:marLeft w:val="0"/>
      <w:marRight w:val="0"/>
      <w:marTop w:val="0"/>
      <w:marBottom w:val="0"/>
      <w:divBdr>
        <w:top w:val="none" w:sz="0" w:space="0" w:color="auto"/>
        <w:left w:val="none" w:sz="0" w:space="0" w:color="auto"/>
        <w:bottom w:val="none" w:sz="0" w:space="0" w:color="auto"/>
        <w:right w:val="none" w:sz="0" w:space="0" w:color="auto"/>
      </w:divBdr>
    </w:div>
    <w:div w:id="1856841959">
      <w:bodyDiv w:val="1"/>
      <w:marLeft w:val="0"/>
      <w:marRight w:val="0"/>
      <w:marTop w:val="0"/>
      <w:marBottom w:val="0"/>
      <w:divBdr>
        <w:top w:val="none" w:sz="0" w:space="0" w:color="auto"/>
        <w:left w:val="none" w:sz="0" w:space="0" w:color="auto"/>
        <w:bottom w:val="none" w:sz="0" w:space="0" w:color="auto"/>
        <w:right w:val="none" w:sz="0" w:space="0" w:color="auto"/>
      </w:divBdr>
    </w:div>
    <w:div w:id="1869636972">
      <w:bodyDiv w:val="1"/>
      <w:marLeft w:val="0"/>
      <w:marRight w:val="0"/>
      <w:marTop w:val="0"/>
      <w:marBottom w:val="0"/>
      <w:divBdr>
        <w:top w:val="none" w:sz="0" w:space="0" w:color="auto"/>
        <w:left w:val="none" w:sz="0" w:space="0" w:color="auto"/>
        <w:bottom w:val="none" w:sz="0" w:space="0" w:color="auto"/>
        <w:right w:val="none" w:sz="0" w:space="0" w:color="auto"/>
      </w:divBdr>
    </w:div>
    <w:div w:id="1968393471">
      <w:bodyDiv w:val="1"/>
      <w:marLeft w:val="0"/>
      <w:marRight w:val="0"/>
      <w:marTop w:val="0"/>
      <w:marBottom w:val="0"/>
      <w:divBdr>
        <w:top w:val="none" w:sz="0" w:space="0" w:color="auto"/>
        <w:left w:val="none" w:sz="0" w:space="0" w:color="auto"/>
        <w:bottom w:val="none" w:sz="0" w:space="0" w:color="auto"/>
        <w:right w:val="none" w:sz="0" w:space="0" w:color="auto"/>
      </w:divBdr>
    </w:div>
    <w:div w:id="2010869081">
      <w:bodyDiv w:val="1"/>
      <w:marLeft w:val="0"/>
      <w:marRight w:val="0"/>
      <w:marTop w:val="0"/>
      <w:marBottom w:val="0"/>
      <w:divBdr>
        <w:top w:val="none" w:sz="0" w:space="0" w:color="auto"/>
        <w:left w:val="none" w:sz="0" w:space="0" w:color="auto"/>
        <w:bottom w:val="none" w:sz="0" w:space="0" w:color="auto"/>
        <w:right w:val="none" w:sz="0" w:space="0" w:color="auto"/>
      </w:divBdr>
    </w:div>
    <w:div w:id="2017490039">
      <w:bodyDiv w:val="1"/>
      <w:marLeft w:val="0"/>
      <w:marRight w:val="0"/>
      <w:marTop w:val="0"/>
      <w:marBottom w:val="0"/>
      <w:divBdr>
        <w:top w:val="none" w:sz="0" w:space="0" w:color="auto"/>
        <w:left w:val="none" w:sz="0" w:space="0" w:color="auto"/>
        <w:bottom w:val="none" w:sz="0" w:space="0" w:color="auto"/>
        <w:right w:val="none" w:sz="0" w:space="0" w:color="auto"/>
      </w:divBdr>
    </w:div>
    <w:div w:id="2020816860">
      <w:bodyDiv w:val="1"/>
      <w:marLeft w:val="0"/>
      <w:marRight w:val="0"/>
      <w:marTop w:val="0"/>
      <w:marBottom w:val="0"/>
      <w:divBdr>
        <w:top w:val="none" w:sz="0" w:space="0" w:color="auto"/>
        <w:left w:val="none" w:sz="0" w:space="0" w:color="auto"/>
        <w:bottom w:val="none" w:sz="0" w:space="0" w:color="auto"/>
        <w:right w:val="none" w:sz="0" w:space="0" w:color="auto"/>
      </w:divBdr>
    </w:div>
    <w:div w:id="2032145526">
      <w:bodyDiv w:val="1"/>
      <w:marLeft w:val="0"/>
      <w:marRight w:val="0"/>
      <w:marTop w:val="0"/>
      <w:marBottom w:val="0"/>
      <w:divBdr>
        <w:top w:val="none" w:sz="0" w:space="0" w:color="auto"/>
        <w:left w:val="none" w:sz="0" w:space="0" w:color="auto"/>
        <w:bottom w:val="none" w:sz="0" w:space="0" w:color="auto"/>
        <w:right w:val="none" w:sz="0" w:space="0" w:color="auto"/>
      </w:divBdr>
    </w:div>
    <w:div w:id="2092505973">
      <w:bodyDiv w:val="1"/>
      <w:marLeft w:val="0"/>
      <w:marRight w:val="0"/>
      <w:marTop w:val="0"/>
      <w:marBottom w:val="0"/>
      <w:divBdr>
        <w:top w:val="none" w:sz="0" w:space="0" w:color="auto"/>
        <w:left w:val="none" w:sz="0" w:space="0" w:color="auto"/>
        <w:bottom w:val="none" w:sz="0" w:space="0" w:color="auto"/>
        <w:right w:val="none" w:sz="0" w:space="0" w:color="auto"/>
      </w:divBdr>
    </w:div>
    <w:div w:id="21402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fpub.epa.gov/compliance/models/"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enforcement/guidance-prepayment-oversight-costs-and-special-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DA3E9-86B9-4B26-97C8-C57BC7C2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39</Pages>
  <Words>12958</Words>
  <Characters>73864</Characters>
  <Application>Microsoft Office Word</Application>
  <DocSecurity>4</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86649</CharactersWithSpaces>
  <SharedDoc>false</SharedDoc>
  <HLinks>
    <vt:vector size="18" baseType="variant">
      <vt:variant>
        <vt:i4>327698</vt:i4>
      </vt:variant>
      <vt:variant>
        <vt:i4>153</vt:i4>
      </vt:variant>
      <vt:variant>
        <vt:i4>0</vt:i4>
      </vt:variant>
      <vt:variant>
        <vt:i4>5</vt:i4>
      </vt:variant>
      <vt:variant>
        <vt:lpwstr>https://cfpub.epa.gov/compliance/models/</vt:lpwstr>
      </vt:variant>
      <vt:variant>
        <vt:lpwstr/>
      </vt:variant>
      <vt:variant>
        <vt:i4>3866720</vt:i4>
      </vt:variant>
      <vt:variant>
        <vt:i4>105</vt:i4>
      </vt:variant>
      <vt:variant>
        <vt:i4>0</vt:i4>
      </vt:variant>
      <vt:variant>
        <vt:i4>5</vt:i4>
      </vt:variant>
      <vt:variant>
        <vt:lpwstr>https://www.epa.gov/superfund/superfund-interest-rates</vt:lpwstr>
      </vt:variant>
      <vt:variant>
        <vt:lpwstr/>
      </vt:variant>
      <vt:variant>
        <vt:i4>3866659</vt:i4>
      </vt:variant>
      <vt:variant>
        <vt:i4>3</vt:i4>
      </vt:variant>
      <vt:variant>
        <vt:i4>0</vt:i4>
      </vt:variant>
      <vt:variant>
        <vt:i4>5</vt:i4>
      </vt:variant>
      <vt:variant>
        <vt:lpwstr>https://www.epa.gov/enforcement/guidance-issuing-superfund-104e2-information-requests-federal-agencies-privately-owned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Skaar, Christina</dc:creator>
  <cp:keywords/>
  <cp:lastModifiedBy>Norris, Munsel</cp:lastModifiedBy>
  <cp:revision>2</cp:revision>
  <dcterms:created xsi:type="dcterms:W3CDTF">2026-03-20T16:32:00Z</dcterms:created>
  <dcterms:modified xsi:type="dcterms:W3CDTF">2026-03-20T16:32:00Z</dcterms:modified>
</cp:coreProperties>
</file>