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B0B" w14:textId="687C77A1" w:rsidR="0023533A" w:rsidRDefault="0023533A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Model</w:t>
      </w:r>
    </w:p>
    <w:p w14:paraId="557FDC4E" w14:textId="005718A4" w:rsidR="0023533A" w:rsidRDefault="0023533A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Enforcement Discretion Language Inserts</w:t>
      </w:r>
    </w:p>
    <w:p w14:paraId="2D8BAE6B" w14:textId="76A883C8" w:rsidR="009B7926" w:rsidRDefault="00DB47DB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f</w:t>
      </w:r>
      <w:r w:rsidR="009B7926">
        <w:rPr>
          <w:rFonts w:eastAsia="Times New Roman" w:cs="Calibri"/>
          <w:b/>
          <w:bCs/>
          <w:kern w:val="0"/>
          <w:szCs w:val="24"/>
          <w14:ligatures w14:val="none"/>
        </w:rPr>
        <w:t>or Comfort/Status Letters</w:t>
      </w:r>
    </w:p>
    <w:p w14:paraId="1A85B9F9" w14:textId="75CF9C35" w:rsidR="00965A4D" w:rsidRDefault="008743EE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February 2026</w:t>
      </w:r>
    </w:p>
    <w:p w14:paraId="468AE878" w14:textId="77777777" w:rsidR="0023533A" w:rsidRDefault="0023533A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63B28BB0" w14:textId="25339293" w:rsidR="000F7B7D" w:rsidRPr="006D57B1" w:rsidRDefault="00200693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For parties concerned about lender liability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698FEB0B" w14:textId="77777777" w:rsidR="00501C2D" w:rsidRPr="006D57B1" w:rsidRDefault="00501C2D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740C6015" w14:textId="2669272D" w:rsidR="00200693" w:rsidRPr="006D57B1" w:rsidRDefault="00B82132" w:rsidP="00AC5565">
      <w:pPr>
        <w:spacing w:line="240" w:lineRule="auto"/>
        <w:textAlignment w:val="center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B75D9B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Because you expressed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your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difficulty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in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securing a loan on the Property in the past, you should know that a lender that holds a mortgage on a property as a secured creditor is </w:t>
      </w:r>
      <w:r w:rsidR="00645B69" w:rsidRPr="006D57B1">
        <w:rPr>
          <w:rFonts w:eastAsia="Times New Roman" w:cs="Calibri"/>
          <w:kern w:val="0"/>
          <w:szCs w:val="24"/>
          <w14:ligatures w14:val="none"/>
        </w:rPr>
        <w:t>exempt</w:t>
      </w:r>
      <w:r w:rsidR="00DD3880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from CERCLA liability if certain conditions are met.]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CERCLA §§ 101(20)(F)-(H) include </w:t>
      </w:r>
      <w:r w:rsidR="000D09F2" w:rsidRPr="006D57B1">
        <w:rPr>
          <w:rFonts w:eastAsia="Times New Roman" w:cs="Calibri"/>
          <w:kern w:val="0"/>
          <w:szCs w:val="24"/>
          <w14:ligatures w14:val="none"/>
        </w:rPr>
        <w:t xml:space="preserve">a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liability </w:t>
      </w:r>
      <w:r w:rsidR="000D09F2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specifically for secured creditors</w:t>
      </w:r>
      <w:r w:rsidR="00041E76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such as lenders</w:t>
      </w:r>
      <w:r w:rsidR="00041E76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that 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do</w:t>
      </w:r>
      <w:r w:rsidR="33BABC86" w:rsidRPr="006D57B1">
        <w:rPr>
          <w:rFonts w:eastAsia="Times New Roman" w:cs="Calibri"/>
          <w:szCs w:val="24"/>
        </w:rPr>
        <w:t xml:space="preserve"> 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n</w:t>
      </w:r>
      <w:r w:rsidR="33BABC86" w:rsidRPr="006D57B1">
        <w:rPr>
          <w:rFonts w:eastAsia="Times New Roman" w:cs="Calibri"/>
          <w:szCs w:val="24"/>
        </w:rPr>
        <w:t>o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t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participate in the management of a contaminated property but simply hold </w:t>
      </w:r>
      <w:r w:rsidR="00D4332F" w:rsidRPr="006D57B1">
        <w:rPr>
          <w:rFonts w:eastAsia="Times New Roman" w:cs="Calibri"/>
          <w:kern w:val="0"/>
          <w:szCs w:val="24"/>
          <w14:ligatures w14:val="none"/>
        </w:rPr>
        <w:t xml:space="preserve">ownership </w:t>
      </w:r>
      <w:r w:rsidR="00EF5051" w:rsidRPr="006D57B1">
        <w:rPr>
          <w:rFonts w:eastAsia="Times New Roman" w:cs="Calibri"/>
          <w:kern w:val="0"/>
          <w:szCs w:val="24"/>
          <w14:ligatures w14:val="none"/>
        </w:rPr>
        <w:t xml:space="preserve">in the property </w:t>
      </w:r>
      <w:r w:rsidR="00D4332F" w:rsidRPr="006D57B1">
        <w:rPr>
          <w:rFonts w:eastAsia="Times New Roman" w:cs="Calibri"/>
          <w:kern w:val="0"/>
          <w:szCs w:val="24"/>
          <w14:ligatures w14:val="none"/>
        </w:rPr>
        <w:t xml:space="preserve">to protect their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>security interest in it.</w:t>
      </w:r>
      <w:r w:rsidR="00343874" w:rsidRPr="006D57B1">
        <w:rPr>
          <w:rStyle w:val="FootnoteReference"/>
          <w:rFonts w:eastAsia="Times New Roman" w:cs="Calibri"/>
          <w:kern w:val="0"/>
          <w:szCs w:val="24"/>
          <w14:ligatures w14:val="none"/>
        </w:rPr>
        <w:footnoteReference w:id="1"/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For example, depending on the circumstances, a lender may foreclose on a contaminated property and then sell, re-lease, liquidate, maintain business activities, stop operations, or do the cleanup work and remain </w:t>
      </w:r>
      <w:r w:rsidR="00741E6E" w:rsidRPr="006D57B1">
        <w:rPr>
          <w:rFonts w:eastAsia="Times New Roman" w:cs="Calibri"/>
          <w:kern w:val="0"/>
          <w:szCs w:val="24"/>
          <w14:ligatures w14:val="none"/>
        </w:rPr>
        <w:t>exempt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from </w:t>
      </w:r>
      <w:r w:rsidR="00FB0DD8" w:rsidRPr="006D57B1">
        <w:rPr>
          <w:rFonts w:eastAsia="Times New Roman" w:cs="Calibri"/>
          <w:kern w:val="0"/>
          <w:szCs w:val="24"/>
          <w14:ligatures w14:val="none"/>
        </w:rPr>
        <w:t>CERCLA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liability even though it holds title to the property. This liability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complements the BFPP protection that can protect a purchaser’s ability to repay a lender. </w:t>
      </w:r>
      <w:r w:rsidR="00BB08AF"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BB08AF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Based </w:t>
      </w:r>
      <w:r w:rsidR="00A2595D" w:rsidRPr="006D57B1">
        <w:rPr>
          <w:rFonts w:eastAsia="Times New Roman" w:cs="Calibri"/>
          <w:kern w:val="0"/>
          <w:szCs w:val="24"/>
          <w14:ligatures w14:val="none"/>
        </w:rPr>
        <w:t>up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on </w:t>
      </w:r>
      <w:r w:rsidR="00841862" w:rsidRPr="006D57B1">
        <w:rPr>
          <w:rFonts w:eastAsia="Times New Roman" w:cs="Calibri"/>
          <w:kern w:val="0"/>
          <w:szCs w:val="24"/>
          <w14:ligatures w14:val="none"/>
        </w:rPr>
        <w:t xml:space="preserve">[the information you have shared with </w:t>
      </w:r>
      <w:r w:rsidR="006952B0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841862" w:rsidRPr="006D57B1">
        <w:rPr>
          <w:rFonts w:eastAsia="Times New Roman" w:cs="Calibri"/>
          <w:kern w:val="0"/>
          <w:szCs w:val="24"/>
          <w14:ligatures w14:val="none"/>
        </w:rPr>
        <w:t xml:space="preserve">EPA or information </w:t>
      </w:r>
      <w:r w:rsidR="006952B0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FA1A6E" w:rsidRPr="006D57B1">
        <w:rPr>
          <w:rFonts w:eastAsia="Times New Roman" w:cs="Calibri"/>
          <w:kern w:val="0"/>
          <w:szCs w:val="24"/>
          <w14:ligatures w14:val="none"/>
        </w:rPr>
        <w:t xml:space="preserve">EPA has </w:t>
      </w:r>
      <w:r w:rsidR="00A61681" w:rsidRPr="006D57B1">
        <w:rPr>
          <w:rFonts w:eastAsia="Times New Roman" w:cs="Calibri"/>
          <w:kern w:val="0"/>
          <w:szCs w:val="24"/>
          <w14:ligatures w14:val="none"/>
        </w:rPr>
        <w:t>independently verified</w:t>
      </w:r>
      <w:r w:rsidR="00E90E36" w:rsidRPr="006D57B1">
        <w:rPr>
          <w:rFonts w:eastAsia="Times New Roman" w:cs="Calibri"/>
          <w:kern w:val="0"/>
          <w:szCs w:val="24"/>
          <w14:ligatures w14:val="none"/>
        </w:rPr>
        <w:t>]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, the secured creditor </w:t>
      </w:r>
      <w:r w:rsidR="00BA3141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may apply</w:t>
      </w:r>
      <w:r w:rsidR="5869B723" w:rsidRPr="006D57B1">
        <w:rPr>
          <w:rFonts w:eastAsia="Times New Roman" w:cs="Calibri"/>
          <w:szCs w:val="24"/>
        </w:rPr>
        <w:t xml:space="preserve"> to your lender</w:t>
      </w:r>
      <w:r w:rsidR="3EE655E0" w:rsidRPr="006D57B1">
        <w:rPr>
          <w:rFonts w:eastAsia="Times New Roman" w:cs="Calibri"/>
          <w:kern w:val="0"/>
          <w:szCs w:val="24"/>
          <w14:ligatures w14:val="none"/>
        </w:rPr>
        <w:t>.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142056"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E05D5C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Note that a court, rather than the EPA, determines whether a lender who has foreclosed on a property meets the criteria for the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. Thus,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if you share this information with your lender,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the EPA recommends that you</w:t>
      </w:r>
      <w:r w:rsidR="002A5691" w:rsidRPr="006D57B1">
        <w:rPr>
          <w:rFonts w:eastAsia="Times New Roman" w:cs="Calibri"/>
          <w:kern w:val="0"/>
          <w:szCs w:val="24"/>
          <w14:ligatures w14:val="none"/>
        </w:rPr>
        <w:t>r lender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consult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>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with</w:t>
      </w:r>
      <w:r w:rsidR="001F354D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570536" w:rsidRPr="006D57B1">
        <w:rPr>
          <w:rFonts w:eastAsia="Times New Roman" w:cs="Calibri"/>
          <w:kern w:val="0"/>
          <w:szCs w:val="24"/>
          <w14:ligatures w14:val="none"/>
        </w:rPr>
        <w:t>it</w:t>
      </w:r>
      <w:r w:rsidR="001F354D" w:rsidRPr="006D57B1">
        <w:rPr>
          <w:rFonts w:eastAsia="Times New Roman" w:cs="Calibri"/>
          <w:kern w:val="0"/>
          <w:szCs w:val="24"/>
          <w14:ligatures w14:val="none"/>
        </w:rPr>
        <w:t>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legal counsel to assess whether </w:t>
      </w:r>
      <w:r w:rsidR="007D0BE2" w:rsidRPr="006D57B1">
        <w:rPr>
          <w:rFonts w:eastAsia="Times New Roman" w:cs="Calibri"/>
          <w:kern w:val="0"/>
          <w:szCs w:val="24"/>
          <w14:ligatures w14:val="none"/>
        </w:rPr>
        <w:t xml:space="preserve">it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satisf</w:t>
      </w:r>
      <w:r w:rsidR="007D0BE2" w:rsidRPr="006D57B1">
        <w:rPr>
          <w:rFonts w:eastAsia="Times New Roman" w:cs="Calibri"/>
          <w:kern w:val="0"/>
          <w:szCs w:val="24"/>
          <w14:ligatures w14:val="none"/>
        </w:rPr>
        <w:t>ies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the statutory requirements of the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.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>]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]</w:t>
      </w:r>
    </w:p>
    <w:p w14:paraId="19CEF6B3" w14:textId="77777777" w:rsidR="00200693" w:rsidRPr="006D57B1" w:rsidRDefault="00200693" w:rsidP="00200693">
      <w:pPr>
        <w:spacing w:after="0" w:line="240" w:lineRule="auto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 </w:t>
      </w:r>
    </w:p>
    <w:p w14:paraId="0EBC1C01" w14:textId="23FF9AB2" w:rsidR="00200693" w:rsidRPr="006D57B1" w:rsidRDefault="00200693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For parties concerned about </w:t>
      </w:r>
      <w:r w:rsidR="00570037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contaminated </w:t>
      </w: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groundwater migrat</w:t>
      </w:r>
      <w:r w:rsidR="00570037" w:rsidRPr="006D57B1">
        <w:rPr>
          <w:rFonts w:eastAsia="Times New Roman" w:cs="Calibri"/>
          <w:b/>
          <w:bCs/>
          <w:kern w:val="0"/>
          <w:szCs w:val="24"/>
          <w14:ligatures w14:val="none"/>
        </w:rPr>
        <w:t>ion</w:t>
      </w: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 under their property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3320F14A" w14:textId="77777777" w:rsidR="005B3C4E" w:rsidRPr="006D57B1" w:rsidRDefault="005B3C4E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33DAE840" w14:textId="37D18590" w:rsidR="00200693" w:rsidRPr="006D57B1" w:rsidRDefault="00200693" w:rsidP="76FF8627">
      <w:pPr>
        <w:spacing w:after="0" w:line="240" w:lineRule="auto"/>
        <w:textAlignment w:val="center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In 199</w:t>
      </w:r>
      <w:r w:rsidR="00832871" w:rsidRPr="006D57B1">
        <w:rPr>
          <w:rFonts w:eastAsia="Times New Roman" w:cs="Calibri"/>
          <w:kern w:val="0"/>
          <w:szCs w:val="24"/>
          <w14:ligatures w14:val="none"/>
        </w:rPr>
        <w:t>5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, </w:t>
      </w:r>
      <w:r w:rsidR="007F223B" w:rsidRPr="006D57B1">
        <w:rPr>
          <w:rFonts w:eastAsia="Times New Roman" w:cs="Calibri"/>
          <w:szCs w:val="24"/>
        </w:rPr>
        <w:t>the</w:t>
      </w:r>
      <w:r w:rsidRPr="006D57B1">
        <w:rPr>
          <w:rFonts w:eastAsia="Times New Roman" w:cs="Calibri"/>
          <w:szCs w:val="24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issued the </w:t>
      </w:r>
      <w:r w:rsidRPr="00AA53F4">
        <w:rPr>
          <w:rFonts w:eastAsia="Times New Roman" w:cs="Calibri"/>
          <w:i/>
          <w:iCs/>
          <w:kern w:val="0"/>
          <w:szCs w:val="24"/>
          <w14:ligatures w14:val="none"/>
        </w:rPr>
        <w:t>Final Policy Toward Owners of Property Containing Contaminated Aquifers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>(“Policy”)</w:t>
      </w:r>
      <w:r w:rsidR="003E7A71" w:rsidRPr="006D57B1">
        <w:rPr>
          <w:rStyle w:val="FootnoteReference"/>
          <w:rFonts w:eastAsia="Times New Roman" w:cs="Calibri"/>
          <w:kern w:val="0"/>
          <w:szCs w:val="24"/>
          <w14:ligatures w14:val="none"/>
        </w:rPr>
        <w:footnoteReference w:id="2"/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to address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CERCLA liability concerns of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an </w:t>
      </w:r>
      <w:r w:rsidRPr="006D57B1">
        <w:rPr>
          <w:rFonts w:eastAsia="Times New Roman" w:cs="Calibri"/>
          <w:kern w:val="0"/>
          <w:szCs w:val="24"/>
          <w14:ligatures w14:val="none"/>
        </w:rPr>
        <w:t>owner of propert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>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that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is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contaminated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as a result of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EE635D" w:rsidRPr="006D57B1">
        <w:rPr>
          <w:rFonts w:eastAsia="Times New Roman" w:cs="Calibri"/>
          <w:kern w:val="0"/>
          <w:szCs w:val="24"/>
          <w14:ligatures w14:val="none"/>
        </w:rPr>
        <w:t xml:space="preserve">groundwater </w:t>
      </w:r>
      <w:r w:rsidRPr="006D57B1">
        <w:rPr>
          <w:rFonts w:eastAsia="Times New Roman" w:cs="Calibri"/>
          <w:kern w:val="0"/>
          <w:szCs w:val="24"/>
          <w14:ligatures w14:val="none"/>
        </w:rPr>
        <w:t>migration from a source outside the property.</w:t>
      </w:r>
      <w:r w:rsidR="003E7A71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874DCA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olicy provides that </w:t>
      </w:r>
      <w:r w:rsidR="007F223B" w:rsidRPr="006D57B1">
        <w:rPr>
          <w:rFonts w:eastAsia="Times New Roman" w:cs="Calibri"/>
          <w:szCs w:val="24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would not require cleanup or payment of cleanup costs if </w:t>
      </w:r>
      <w:r w:rsidR="00E4173A" w:rsidRPr="006D57B1">
        <w:rPr>
          <w:rFonts w:eastAsia="Times New Roman" w:cs="Calibri"/>
          <w:kern w:val="0"/>
          <w:szCs w:val="24"/>
          <w14:ligatures w14:val="none"/>
        </w:rPr>
        <w:t xml:space="preserve">such a </w:t>
      </w:r>
      <w:r w:rsidR="0008366F" w:rsidRPr="006D57B1">
        <w:rPr>
          <w:rFonts w:eastAsia="Times New Roman" w:cs="Calibri"/>
          <w:kern w:val="0"/>
          <w:szCs w:val="24"/>
          <w14:ligatures w14:val="none"/>
        </w:rPr>
        <w:t xml:space="preserve">property owner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did not cause or contribute to the contamination. </w:t>
      </w:r>
      <w:r w:rsidR="00874DCA" w:rsidRPr="006D57B1">
        <w:rPr>
          <w:rFonts w:eastAsia="Times New Roman" w:cs="Calibri"/>
          <w:kern w:val="0"/>
          <w:szCs w:val="24"/>
          <w14:ligatures w14:val="none"/>
        </w:rPr>
        <w:t xml:space="preserve">The Policy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also provides that if a third party sued or threatened to sue </w:t>
      </w:r>
      <w:r w:rsidR="00E4173A" w:rsidRPr="006D57B1">
        <w:rPr>
          <w:rFonts w:eastAsia="Times New Roman" w:cs="Calibri"/>
          <w:kern w:val="0"/>
          <w:szCs w:val="24"/>
          <w14:ligatures w14:val="none"/>
        </w:rPr>
        <w:t>such a property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owner, </w:t>
      </w:r>
      <w:r w:rsidR="007F223B" w:rsidRPr="006D57B1">
        <w:rPr>
          <w:rFonts w:eastAsia="Times New Roman" w:cs="Calibri"/>
          <w:szCs w:val="24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would consider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entering into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a settlement with </w:t>
      </w:r>
      <w:r w:rsidR="00446A14" w:rsidRPr="006D57B1">
        <w:rPr>
          <w:rFonts w:eastAsia="Times New Roman" w:cs="Calibri"/>
          <w:kern w:val="0"/>
          <w:szCs w:val="24"/>
          <w14:ligatures w14:val="none"/>
        </w:rPr>
        <w:t>the p</w:t>
      </w:r>
      <w:r w:rsidR="002B3428" w:rsidRPr="006D57B1">
        <w:rPr>
          <w:rFonts w:eastAsia="Times New Roman" w:cs="Calibri"/>
          <w:kern w:val="0"/>
          <w:szCs w:val="24"/>
          <w14:ligatures w14:val="none"/>
        </w:rPr>
        <w:t xml:space="preserve">roperty </w:t>
      </w:r>
      <w:r w:rsidRPr="006D57B1">
        <w:rPr>
          <w:rFonts w:eastAsia="Times New Roman" w:cs="Calibri"/>
          <w:kern w:val="0"/>
          <w:szCs w:val="24"/>
          <w14:ligatures w14:val="none"/>
        </w:rPr>
        <w:t>owner to prevent third party damages from being awarded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. [</w:t>
      </w:r>
      <w:r w:rsidR="003D0145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3378E6" w:rsidRPr="006D57B1">
        <w:rPr>
          <w:rFonts w:eastAsia="Times New Roman" w:cs="Calibri"/>
          <w:kern w:val="0"/>
          <w:szCs w:val="24"/>
          <w14:ligatures w14:val="none"/>
        </w:rPr>
        <w:t xml:space="preserve">Based </w:t>
      </w:r>
      <w:r w:rsidR="003D0145" w:rsidRPr="006D57B1">
        <w:rPr>
          <w:rFonts w:eastAsia="Times New Roman" w:cs="Calibri"/>
          <w:kern w:val="0"/>
          <w:szCs w:val="24"/>
          <w14:ligatures w14:val="none"/>
        </w:rPr>
        <w:t>up</w:t>
      </w:r>
      <w:r w:rsidR="003378E6" w:rsidRPr="006D57B1">
        <w:rPr>
          <w:rFonts w:eastAsia="Times New Roman" w:cs="Calibri"/>
          <w:kern w:val="0"/>
          <w:szCs w:val="24"/>
          <w14:ligatures w14:val="none"/>
        </w:rPr>
        <w:t>on [the information you have shared with the EPA or information the EPA has independently verified]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, th</w:t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>e P</w:t>
      </w:r>
      <w:r w:rsidR="00AD393B" w:rsidRPr="006D57B1">
        <w:rPr>
          <w:rFonts w:eastAsia="Times New Roman" w:cs="Calibri"/>
          <w:kern w:val="0"/>
          <w:szCs w:val="24"/>
          <w14:ligatures w14:val="none"/>
        </w:rPr>
        <w:t xml:space="preserve">olicy 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may apply.]</w:t>
      </w:r>
    </w:p>
    <w:p w14:paraId="700CB411" w14:textId="77777777" w:rsidR="00200693" w:rsidRPr="006D57B1" w:rsidRDefault="00200693" w:rsidP="00200693">
      <w:pPr>
        <w:spacing w:after="0" w:line="240" w:lineRule="auto"/>
        <w:ind w:left="1080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 </w:t>
      </w:r>
    </w:p>
    <w:p w14:paraId="1C493F98" w14:textId="11D56D04" w:rsidR="00200693" w:rsidRPr="006D57B1" w:rsidRDefault="00200693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For parties concerned about liability for residents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4EF69A82" w14:textId="77777777" w:rsidR="005B3C4E" w:rsidRPr="006D57B1" w:rsidRDefault="005B3C4E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63332455" w14:textId="344547E1" w:rsidR="00200693" w:rsidRPr="006D57B1" w:rsidRDefault="00200693" w:rsidP="578B5973">
      <w:pPr>
        <w:spacing w:after="0" w:line="240" w:lineRule="auto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lastRenderedPageBreak/>
        <w:t>In 199</w:t>
      </w:r>
      <w:r w:rsidR="000D1C12">
        <w:rPr>
          <w:rFonts w:eastAsia="Times New Roman" w:cs="Calibri"/>
          <w:kern w:val="0"/>
          <w:szCs w:val="24"/>
          <w14:ligatures w14:val="none"/>
        </w:rPr>
        <w:t>1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, </w:t>
      </w:r>
      <w:r w:rsidR="007F223B" w:rsidRPr="006D57B1">
        <w:rPr>
          <w:rFonts w:eastAsia="Times New Roman" w:cs="Calibri"/>
          <w:kern w:val="0"/>
          <w:szCs w:val="24"/>
          <w14:ligatures w14:val="none"/>
        </w:rPr>
        <w:t>the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EPA issued the </w:t>
      </w:r>
      <w:r w:rsidRPr="00AA53F4">
        <w:rPr>
          <w:rFonts w:eastAsia="Times New Roman" w:cs="Calibri"/>
          <w:i/>
          <w:iCs/>
          <w:kern w:val="0"/>
          <w:szCs w:val="24"/>
          <w14:ligatures w14:val="none"/>
        </w:rPr>
        <w:t>Policy Towards Owners of Residential Property at Superfund Sites</w:t>
      </w:r>
      <w:r w:rsidR="00EF52D8" w:rsidRPr="006D57B1">
        <w:rPr>
          <w:rFonts w:eastAsia="Times New Roman" w:cs="Calibri"/>
          <w:kern w:val="0"/>
          <w:szCs w:val="24"/>
          <w14:ligatures w14:val="none"/>
        </w:rPr>
        <w:t xml:space="preserve"> (“Policy”)</w:t>
      </w:r>
      <w:r w:rsidR="008869A1" w:rsidRPr="006D57B1">
        <w:rPr>
          <w:rStyle w:val="FootnoteReference"/>
          <w:rFonts w:eastAsia="Times New Roman" w:cs="Calibri"/>
          <w:kern w:val="0"/>
          <w:szCs w:val="24"/>
          <w14:ligatures w14:val="none"/>
        </w:rPr>
        <w:footnoteReference w:id="3"/>
      </w:r>
      <w:r w:rsidR="00EF52D8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>to address the CERCLA liability concerns of</w:t>
      </w:r>
      <w:r w:rsidR="00132FB6">
        <w:rPr>
          <w:rFonts w:eastAsia="Times New Roman" w:cs="Calibri"/>
          <w:kern w:val="0"/>
          <w:szCs w:val="24"/>
          <w14:ligatures w14:val="none"/>
        </w:rPr>
        <w:t xml:space="preserve"> a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residential </w:t>
      </w:r>
      <w:r w:rsidR="002D0218" w:rsidRPr="006D57B1">
        <w:rPr>
          <w:rFonts w:eastAsia="Times New Roman" w:cs="Calibri"/>
          <w:kern w:val="0"/>
          <w:szCs w:val="24"/>
          <w14:ligatures w14:val="none"/>
        </w:rPr>
        <w:t xml:space="preserve">property </w:t>
      </w:r>
      <w:r w:rsidRPr="006D57B1">
        <w:rPr>
          <w:rFonts w:eastAsia="Times New Roman" w:cs="Calibri"/>
          <w:kern w:val="0"/>
          <w:szCs w:val="24"/>
          <w14:ligatures w14:val="none"/>
        </w:rPr>
        <w:t>owner who had not caused the contamination on their propert</w:t>
      </w:r>
      <w:r w:rsidR="00132FB6">
        <w:rPr>
          <w:rFonts w:eastAsia="Times New Roman" w:cs="Calibri"/>
          <w:kern w:val="0"/>
          <w:szCs w:val="24"/>
          <w14:ligatures w14:val="none"/>
        </w:rPr>
        <w:t>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. 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B873AE" w:rsidRPr="006D57B1">
        <w:rPr>
          <w:rFonts w:eastAsia="Times New Roman" w:cs="Calibri"/>
          <w:kern w:val="0"/>
          <w:szCs w:val="24"/>
          <w14:ligatures w14:val="none"/>
        </w:rPr>
        <w:t>P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 xml:space="preserve">olicy provides that </w:t>
      </w:r>
      <w:r w:rsidR="00630D05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 xml:space="preserve">EPA generally will not require cleanup or payment of cleanup costs if the residential </w:t>
      </w:r>
      <w:r w:rsidR="00EC206E" w:rsidRPr="006D57B1">
        <w:rPr>
          <w:rFonts w:eastAsia="Times New Roman" w:cs="Calibri"/>
          <w:kern w:val="0"/>
          <w:szCs w:val="24"/>
          <w14:ligatures w14:val="none"/>
        </w:rPr>
        <w:t xml:space="preserve">property 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>owner</w:t>
      </w:r>
      <w:r w:rsidR="007F223B" w:rsidRPr="006D57B1">
        <w:rPr>
          <w:rFonts w:eastAsia="Times New Roman" w:cs="Calibri"/>
          <w:kern w:val="0"/>
          <w:szCs w:val="24"/>
          <w14:ligatures w14:val="none"/>
        </w:rPr>
        <w:t>’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>s activities did not lead to a release or threat of release of hazardous substances</w:t>
      </w:r>
      <w:r w:rsidR="009051CB" w:rsidRPr="006D57B1">
        <w:rPr>
          <w:rFonts w:eastAsia="Times New Roman" w:cs="Calibri"/>
          <w:kern w:val="0"/>
          <w:szCs w:val="24"/>
          <w14:ligatures w14:val="none"/>
        </w:rPr>
        <w:t>, subject to certain conditions</w:t>
      </w:r>
      <w:r w:rsidR="00951612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9051CB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9051CB" w:rsidRPr="006D57B1">
        <w:rPr>
          <w:rFonts w:eastAsia="Times New Roman" w:cs="Calibri"/>
          <w:i/>
          <w:iCs/>
          <w:kern w:val="0"/>
          <w:szCs w:val="24"/>
          <w14:ligatures w14:val="none"/>
        </w:rPr>
        <w:t>e.g.</w:t>
      </w:r>
      <w:r w:rsidR="00951612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9051CB" w:rsidRPr="006D57B1">
        <w:rPr>
          <w:rFonts w:eastAsia="Times New Roman" w:cs="Calibri"/>
          <w:kern w:val="0"/>
          <w:szCs w:val="24"/>
          <w14:ligatures w14:val="none"/>
        </w:rPr>
        <w:t xml:space="preserve"> the owner cooperates with </w:t>
      </w:r>
      <w:r w:rsidR="00951612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9051CB" w:rsidRPr="006D57B1">
        <w:rPr>
          <w:rFonts w:eastAsia="Times New Roman" w:cs="Calibri"/>
          <w:kern w:val="0"/>
          <w:szCs w:val="24"/>
          <w14:ligatures w14:val="none"/>
        </w:rPr>
        <w:t>EPA’s response actions and other CERCLA obligations</w:t>
      </w:r>
      <w:r w:rsidR="00944213" w:rsidRPr="006D57B1">
        <w:rPr>
          <w:rFonts w:eastAsia="Times New Roman" w:cs="Calibri"/>
          <w:kern w:val="0"/>
          <w:szCs w:val="24"/>
          <w14:ligatures w14:val="none"/>
        </w:rPr>
        <w:t xml:space="preserve"> as described in the Policy</w:t>
      </w:r>
      <w:r w:rsidR="006815FE" w:rsidRPr="006D57B1">
        <w:rPr>
          <w:rFonts w:eastAsia="Times New Roman" w:cs="Calibri"/>
          <w:kern w:val="0"/>
          <w:szCs w:val="24"/>
          <w14:ligatures w14:val="none"/>
        </w:rPr>
        <w:t>.</w:t>
      </w:r>
      <w:r w:rsidR="00CE08E7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B873AE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>olicy defines residential property as single family residences of one</w:t>
      </w:r>
      <w:r w:rsidR="00C56477" w:rsidRPr="006D57B1">
        <w:rPr>
          <w:rFonts w:eastAsia="Times New Roman" w:cs="Calibri"/>
          <w:kern w:val="0"/>
          <w:szCs w:val="24"/>
          <w14:ligatures w14:val="none"/>
        </w:rPr>
        <w:t xml:space="preserve"> to </w:t>
      </w:r>
      <w:r w:rsidRPr="006D57B1">
        <w:rPr>
          <w:rFonts w:eastAsia="Times New Roman" w:cs="Calibri"/>
          <w:kern w:val="0"/>
          <w:szCs w:val="24"/>
          <w14:ligatures w14:val="none"/>
        </w:rPr>
        <w:t>four dwelling units</w:t>
      </w:r>
      <w:r w:rsidR="00A74D5C" w:rsidRPr="006D57B1">
        <w:rPr>
          <w:rFonts w:eastAsia="Times New Roman" w:cs="Calibri"/>
          <w:kern w:val="0"/>
          <w:szCs w:val="24"/>
          <w14:ligatures w14:val="none"/>
        </w:rPr>
        <w:t xml:space="preserve"> and explains that </w:t>
      </w:r>
      <w:r w:rsidR="00987905" w:rsidRPr="006D57B1">
        <w:rPr>
          <w:rFonts w:eastAsia="Times New Roman" w:cs="Calibri"/>
          <w:kern w:val="0"/>
          <w:szCs w:val="24"/>
          <w14:ligatures w14:val="none"/>
        </w:rPr>
        <w:t xml:space="preserve">application </w:t>
      </w:r>
      <w:r w:rsidR="00A74D5C" w:rsidRPr="006D57B1">
        <w:rPr>
          <w:rFonts w:eastAsia="Times New Roman" w:cs="Calibri"/>
          <w:kern w:val="0"/>
          <w:szCs w:val="24"/>
          <w14:ligatures w14:val="none"/>
        </w:rPr>
        <w:t xml:space="preserve">of the Policy does not depend on </w:t>
      </w:r>
      <w:r w:rsidR="00987905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A74D5C" w:rsidRPr="006D57B1">
        <w:rPr>
          <w:rFonts w:eastAsia="Times New Roman" w:cs="Calibri"/>
          <w:kern w:val="0"/>
          <w:szCs w:val="24"/>
          <w14:ligatures w14:val="none"/>
        </w:rPr>
        <w:t>resi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dential </w:t>
      </w:r>
      <w:r w:rsidR="004B2E30" w:rsidRPr="006D57B1">
        <w:rPr>
          <w:rFonts w:eastAsia="Times New Roman" w:cs="Calibri"/>
          <w:kern w:val="0"/>
          <w:szCs w:val="24"/>
          <w14:ligatures w14:val="none"/>
        </w:rPr>
        <w:t xml:space="preserve">property </w:t>
      </w:r>
      <w:r w:rsidRPr="006D57B1">
        <w:rPr>
          <w:rFonts w:eastAsia="Times New Roman" w:cs="Calibri"/>
          <w:kern w:val="0"/>
          <w:szCs w:val="24"/>
          <w14:ligatures w14:val="none"/>
        </w:rPr>
        <w:t>owner</w:t>
      </w:r>
      <w:r w:rsidR="00987905" w:rsidRPr="006D57B1">
        <w:rPr>
          <w:rFonts w:eastAsia="Times New Roman" w:cs="Calibri"/>
          <w:kern w:val="0"/>
          <w:szCs w:val="24"/>
          <w14:ligatures w14:val="none"/>
        </w:rPr>
        <w:t>’s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knowledge</w:t>
      </w:r>
      <w:r w:rsidR="00A74D5C" w:rsidRPr="006D57B1">
        <w:rPr>
          <w:rFonts w:eastAsia="Times New Roman" w:cs="Calibri"/>
          <w:kern w:val="0"/>
          <w:szCs w:val="24"/>
          <w14:ligatures w14:val="none"/>
        </w:rPr>
        <w:t>, or lack thereof,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of contamination. The </w:t>
      </w:r>
      <w:r w:rsidR="00B873AE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>olicy applies to resident</w:t>
      </w:r>
      <w:r w:rsidR="00CA0A27" w:rsidRPr="006D57B1">
        <w:rPr>
          <w:rFonts w:eastAsia="Times New Roman" w:cs="Calibri"/>
          <w:kern w:val="0"/>
          <w:szCs w:val="24"/>
          <w14:ligatures w14:val="none"/>
        </w:rPr>
        <w:t xml:space="preserve">ial </w:t>
      </w:r>
      <w:r w:rsidR="00DB5B8B" w:rsidRPr="006D57B1">
        <w:rPr>
          <w:rFonts w:eastAsia="Times New Roman" w:cs="Calibri"/>
          <w:kern w:val="0"/>
          <w:szCs w:val="24"/>
          <w14:ligatures w14:val="none"/>
        </w:rPr>
        <w:t xml:space="preserve">property </w:t>
      </w:r>
      <w:r w:rsidR="00723822" w:rsidRPr="006D57B1">
        <w:rPr>
          <w:rFonts w:eastAsia="Times New Roman" w:cs="Calibri"/>
          <w:kern w:val="0"/>
          <w:szCs w:val="24"/>
          <w14:ligatures w14:val="none"/>
        </w:rPr>
        <w:t>owners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as well as their lessees, so long as the activities the </w:t>
      </w:r>
      <w:r w:rsidR="00723822" w:rsidRPr="006D57B1">
        <w:rPr>
          <w:rFonts w:eastAsia="Times New Roman" w:cs="Calibri"/>
          <w:kern w:val="0"/>
          <w:szCs w:val="24"/>
          <w14:ligatures w14:val="none"/>
        </w:rPr>
        <w:t>lessees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723822" w:rsidRPr="006D57B1">
        <w:rPr>
          <w:rFonts w:eastAsia="Times New Roman" w:cs="Calibri"/>
          <w:kern w:val="0"/>
          <w:szCs w:val="24"/>
          <w14:ligatures w14:val="none"/>
        </w:rPr>
        <w:t>under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take on the property are consistent with the </w:t>
      </w:r>
      <w:r w:rsidR="006E41EF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olicy. The </w:t>
      </w:r>
      <w:r w:rsidR="00B873AE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olicy also applies to residential </w:t>
      </w:r>
      <w:r w:rsidR="00166CB0" w:rsidRPr="006D57B1">
        <w:rPr>
          <w:rFonts w:eastAsia="Times New Roman" w:cs="Calibri"/>
          <w:kern w:val="0"/>
          <w:szCs w:val="24"/>
          <w14:ligatures w14:val="none"/>
        </w:rPr>
        <w:t xml:space="preserve">property </w:t>
      </w:r>
      <w:r w:rsidRPr="006D57B1">
        <w:rPr>
          <w:rFonts w:eastAsia="Times New Roman" w:cs="Calibri"/>
          <w:kern w:val="0"/>
          <w:szCs w:val="24"/>
          <w14:ligatures w14:val="none"/>
        </w:rPr>
        <w:t>owners who acquire property through purchase, foreclosure, gift, inheritance, or other form</w:t>
      </w:r>
      <w:r w:rsidR="002D0218" w:rsidRPr="006D57B1">
        <w:rPr>
          <w:rFonts w:eastAsia="Times New Roman" w:cs="Calibri"/>
          <w:kern w:val="0"/>
          <w:szCs w:val="24"/>
          <w14:ligatures w14:val="none"/>
        </w:rPr>
        <w:t>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of acquisition,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as long as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the activities the resident undertakes on the property after acquisition are consistent with the </w:t>
      </w:r>
      <w:r w:rsidR="00A445F6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>olicy.</w:t>
      </w:r>
      <w:r w:rsidR="00EF52D8" w:rsidRPr="006D57B1">
        <w:rPr>
          <w:rFonts w:eastAsia="Times New Roman" w:cs="Calibri"/>
          <w:kern w:val="0"/>
          <w:szCs w:val="24"/>
          <w14:ligatures w14:val="none"/>
        </w:rPr>
        <w:t xml:space="preserve"> [</w:t>
      </w:r>
      <w:r w:rsidR="00B15057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630D05" w:rsidRPr="006D57B1">
        <w:rPr>
          <w:rFonts w:eastAsia="Times New Roman" w:cs="Calibri"/>
          <w:kern w:val="0"/>
          <w:szCs w:val="24"/>
          <w14:ligatures w14:val="none"/>
        </w:rPr>
        <w:t xml:space="preserve">Based </w:t>
      </w:r>
      <w:r w:rsidR="00B15057" w:rsidRPr="006D57B1">
        <w:rPr>
          <w:rFonts w:eastAsia="Times New Roman" w:cs="Calibri"/>
          <w:kern w:val="0"/>
          <w:szCs w:val="24"/>
          <w14:ligatures w14:val="none"/>
        </w:rPr>
        <w:t>up</w:t>
      </w:r>
      <w:r w:rsidR="00630D05" w:rsidRPr="006D57B1">
        <w:rPr>
          <w:rFonts w:eastAsia="Times New Roman" w:cs="Calibri"/>
          <w:kern w:val="0"/>
          <w:szCs w:val="24"/>
          <w14:ligatures w14:val="none"/>
        </w:rPr>
        <w:t>on [the information you have shared with the EPA or information the EPA has independently verified]</w:t>
      </w:r>
      <w:r w:rsidR="00EF52D8" w:rsidRPr="006D57B1">
        <w:rPr>
          <w:rFonts w:eastAsia="Times New Roman" w:cs="Calibri"/>
          <w:kern w:val="0"/>
          <w:szCs w:val="24"/>
          <w14:ligatures w14:val="none"/>
        </w:rPr>
        <w:t xml:space="preserve">, the Policy may apply.]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Residential property owners who purchase contaminated property also may be able to take advantage of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the BFPP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protection. CERCLA § 101(40)(B)(ii)(III) provides that a</w:t>
      </w:r>
      <w:r w:rsidR="003F4310" w:rsidRPr="006D57B1">
        <w:rPr>
          <w:rFonts w:eastAsia="Times New Roman" w:cs="Calibri"/>
          <w:kern w:val="0"/>
          <w:szCs w:val="24"/>
          <w14:ligatures w14:val="none"/>
        </w:rPr>
        <w:t xml:space="preserve"> facility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inspection and title search that reveal no basis for further investigation will satisfy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C13095" w:rsidRPr="006D57B1">
        <w:rPr>
          <w:rFonts w:eastAsia="Times New Roman" w:cs="Calibri"/>
          <w:kern w:val="0"/>
          <w:szCs w:val="24"/>
          <w14:ligatures w14:val="none"/>
        </w:rPr>
        <w:t>all</w:t>
      </w:r>
      <w:proofErr w:type="gramEnd"/>
      <w:r w:rsidR="00C13095" w:rsidRPr="006D57B1">
        <w:rPr>
          <w:rFonts w:eastAsia="Times New Roman" w:cs="Calibri"/>
          <w:kern w:val="0"/>
          <w:szCs w:val="24"/>
          <w14:ligatures w14:val="none"/>
        </w:rPr>
        <w:t xml:space="preserve"> appropriate inquiry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requirement of the BFPP protection for a</w:t>
      </w:r>
      <w:r w:rsidR="00144A26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EE6167">
        <w:rPr>
          <w:rFonts w:eastAsia="Times New Roman" w:cs="Calibri"/>
          <w:kern w:val="0"/>
          <w:szCs w:val="24"/>
          <w14:ligatures w14:val="none"/>
        </w:rPr>
        <w:t>property</w:t>
      </w:r>
      <w:r w:rsidR="00144A26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6D57B1" w:rsidRPr="006D57B1">
        <w:rPr>
          <w:rFonts w:eastAsia="Times New Roman" w:cs="Calibri"/>
          <w:kern w:val="0"/>
          <w:szCs w:val="24"/>
          <w14:ligatures w14:val="none"/>
        </w:rPr>
        <w:t>in residential or other similar use at the time of purchase by a nongovernmental or noncommercial entity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. </w:t>
      </w:r>
    </w:p>
    <w:p w14:paraId="04D8EE2B" w14:textId="77777777" w:rsidR="00570037" w:rsidRPr="00501C2D" w:rsidRDefault="00570037" w:rsidP="0020069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02ED88" w14:textId="2B000BD0" w:rsidR="168E9459" w:rsidRPr="00501C2D" w:rsidRDefault="168E9459">
      <w:pPr>
        <w:rPr>
          <w:rFonts w:ascii="Times New Roman" w:hAnsi="Times New Roman" w:cs="Times New Roman"/>
          <w:szCs w:val="24"/>
        </w:rPr>
      </w:pPr>
    </w:p>
    <w:sectPr w:rsidR="168E9459" w:rsidRPr="0050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8BDB" w14:textId="77777777" w:rsidR="003362BF" w:rsidRDefault="003362BF" w:rsidP="00343874">
      <w:pPr>
        <w:spacing w:after="0" w:line="240" w:lineRule="auto"/>
      </w:pPr>
      <w:r>
        <w:separator/>
      </w:r>
    </w:p>
  </w:endnote>
  <w:endnote w:type="continuationSeparator" w:id="0">
    <w:p w14:paraId="4172F00E" w14:textId="77777777" w:rsidR="003362BF" w:rsidRDefault="003362BF" w:rsidP="0034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CEF6" w14:textId="77777777" w:rsidR="003362BF" w:rsidRDefault="003362BF" w:rsidP="00343874">
      <w:pPr>
        <w:spacing w:after="0" w:line="240" w:lineRule="auto"/>
      </w:pPr>
      <w:r>
        <w:separator/>
      </w:r>
    </w:p>
  </w:footnote>
  <w:footnote w:type="continuationSeparator" w:id="0">
    <w:p w14:paraId="1E6BC108" w14:textId="77777777" w:rsidR="003362BF" w:rsidRDefault="003362BF" w:rsidP="00343874">
      <w:pPr>
        <w:spacing w:after="0" w:line="240" w:lineRule="auto"/>
      </w:pPr>
      <w:r>
        <w:continuationSeparator/>
      </w:r>
    </w:p>
  </w:footnote>
  <w:footnote w:id="1">
    <w:p w14:paraId="0975EB5A" w14:textId="710B45D9" w:rsidR="00343874" w:rsidRPr="00297088" w:rsidRDefault="00343874">
      <w:pPr>
        <w:pStyle w:val="FootnoteText"/>
        <w:rPr>
          <w:rFonts w:cs="Calibri"/>
        </w:rPr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For more information, </w:t>
      </w:r>
      <w:r w:rsidRPr="00297088">
        <w:rPr>
          <w:rFonts w:eastAsia="Times New Roman" w:cs="Calibri"/>
          <w:i/>
          <w:iCs/>
          <w:kern w:val="0"/>
          <w:szCs w:val="24"/>
          <w14:ligatures w14:val="none"/>
        </w:rPr>
        <w:t>see Fact Sheet</w:t>
      </w:r>
      <w:r w:rsidR="00AD7D48" w:rsidRPr="00297088">
        <w:rPr>
          <w:rFonts w:eastAsia="Times New Roman" w:cs="Calibri"/>
          <w:i/>
          <w:iCs/>
          <w:kern w:val="0"/>
          <w:szCs w:val="24"/>
          <w14:ligatures w14:val="none"/>
        </w:rPr>
        <w:t>:</w:t>
      </w:r>
      <w:r w:rsidRPr="00297088">
        <w:rPr>
          <w:rFonts w:eastAsia="Times New Roman" w:cs="Calibri"/>
          <w:i/>
          <w:iCs/>
          <w:kern w:val="0"/>
          <w:szCs w:val="24"/>
          <w14:ligatures w14:val="none"/>
        </w:rPr>
        <w:t xml:space="preserve"> Updated Questions and Answers on the CERCLA Lender Liability Exemption</w:t>
      </w:r>
      <w:r w:rsidR="00AD7D48" w:rsidRPr="00297088">
        <w:rPr>
          <w:rFonts w:eastAsia="Times New Roman" w:cs="Calibri"/>
          <w:kern w:val="0"/>
          <w:szCs w:val="24"/>
          <w14:ligatures w14:val="none"/>
        </w:rPr>
        <w:t xml:space="preserve"> (July 2007)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, available on the Agency’s website at </w:t>
      </w:r>
      <w:hyperlink r:id="rId1" w:history="1">
        <w:r w:rsidRPr="00297088">
          <w:rPr>
            <w:rStyle w:val="Hyperlink"/>
            <w:rFonts w:eastAsia="Times New Roman" w:cs="Calibri"/>
            <w:kern w:val="0"/>
            <w:szCs w:val="24"/>
            <w14:ligatures w14:val="none"/>
          </w:rPr>
          <w:t>https://www.epa.gov/enforcement/fact-sheet-updated-questions-and-answers-cercla-lender-liability-exemption</w:t>
        </w:r>
      </w:hyperlink>
      <w:r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  <w:footnote w:id="2">
    <w:p w14:paraId="58E6698F" w14:textId="202FD644" w:rsidR="003E7A71" w:rsidRPr="00297088" w:rsidRDefault="003E7A71">
      <w:pPr>
        <w:pStyle w:val="FootnoteText"/>
        <w:rPr>
          <w:rFonts w:cs="Calibri"/>
        </w:rPr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="008869A1" w:rsidRPr="00297088">
        <w:rPr>
          <w:rFonts w:eastAsia="Times New Roman" w:cs="Calibri"/>
          <w:kern w:val="0"/>
          <w:szCs w:val="24"/>
          <w14:ligatures w14:val="none"/>
        </w:rPr>
        <w:t>The Policy is available on the Agency’s website at</w:t>
      </w:r>
      <w:r w:rsidR="00C7502F" w:rsidRPr="00C7502F">
        <w:t xml:space="preserve"> </w:t>
      </w:r>
      <w:hyperlink r:id="rId2" w:history="1">
        <w:r w:rsidR="00756765" w:rsidRPr="003D6B93">
          <w:rPr>
            <w:rStyle w:val="Hyperlink"/>
          </w:rPr>
          <w:t>https://www.epa.gov/sites/default/files/2013-09/documents/contamin-aqui-rpt.pdf</w:t>
        </w:r>
      </w:hyperlink>
      <w:r w:rsidR="008869A1"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  <w:footnote w:id="3">
    <w:p w14:paraId="742D97A2" w14:textId="21741BF2" w:rsidR="008869A1" w:rsidRDefault="008869A1">
      <w:pPr>
        <w:pStyle w:val="FootnoteText"/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The Policy is available on the Agency’s website at </w:t>
      </w:r>
      <w:hyperlink r:id="rId3" w:history="1">
        <w:r w:rsidRPr="00297088">
          <w:rPr>
            <w:rStyle w:val="Hyperlink"/>
            <w:rFonts w:eastAsia="Times New Roman" w:cs="Calibri"/>
            <w:kern w:val="0"/>
            <w:szCs w:val="24"/>
            <w14:ligatures w14:val="none"/>
          </w:rPr>
          <w:t>https://www.epa.gov/enforcement/guidance-owners-residential-property-superfund-sites</w:t>
        </w:r>
      </w:hyperlink>
      <w:r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991"/>
    <w:multiLevelType w:val="multilevel"/>
    <w:tmpl w:val="C97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06215"/>
    <w:multiLevelType w:val="multilevel"/>
    <w:tmpl w:val="2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13452"/>
    <w:multiLevelType w:val="multilevel"/>
    <w:tmpl w:val="B66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A81D6F"/>
    <w:multiLevelType w:val="multilevel"/>
    <w:tmpl w:val="CB30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068025">
    <w:abstractNumId w:val="2"/>
  </w:num>
  <w:num w:numId="2" w16cid:durableId="1991396239">
    <w:abstractNumId w:val="0"/>
  </w:num>
  <w:num w:numId="3" w16cid:durableId="468476565">
    <w:abstractNumId w:val="3"/>
  </w:num>
  <w:num w:numId="4" w16cid:durableId="92977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3"/>
    <w:rsid w:val="00033469"/>
    <w:rsid w:val="00035697"/>
    <w:rsid w:val="00035D6A"/>
    <w:rsid w:val="00041E76"/>
    <w:rsid w:val="0004414B"/>
    <w:rsid w:val="000533A1"/>
    <w:rsid w:val="00063B95"/>
    <w:rsid w:val="00082086"/>
    <w:rsid w:val="0008366F"/>
    <w:rsid w:val="0009214F"/>
    <w:rsid w:val="000B6810"/>
    <w:rsid w:val="000D09F2"/>
    <w:rsid w:val="000D1C12"/>
    <w:rsid w:val="000D5DFF"/>
    <w:rsid w:val="000E06E4"/>
    <w:rsid w:val="000F0427"/>
    <w:rsid w:val="000F7B7D"/>
    <w:rsid w:val="00123172"/>
    <w:rsid w:val="00126552"/>
    <w:rsid w:val="0013265C"/>
    <w:rsid w:val="00132FB6"/>
    <w:rsid w:val="00142056"/>
    <w:rsid w:val="001430CD"/>
    <w:rsid w:val="00144A26"/>
    <w:rsid w:val="00145DC2"/>
    <w:rsid w:val="00166CB0"/>
    <w:rsid w:val="001753A3"/>
    <w:rsid w:val="001C147A"/>
    <w:rsid w:val="001C5F22"/>
    <w:rsid w:val="001D1177"/>
    <w:rsid w:val="001F19F8"/>
    <w:rsid w:val="001F354D"/>
    <w:rsid w:val="00200693"/>
    <w:rsid w:val="002150A4"/>
    <w:rsid w:val="002219CB"/>
    <w:rsid w:val="002221F6"/>
    <w:rsid w:val="0023533A"/>
    <w:rsid w:val="002445E3"/>
    <w:rsid w:val="00264580"/>
    <w:rsid w:val="00271055"/>
    <w:rsid w:val="0027553A"/>
    <w:rsid w:val="00292969"/>
    <w:rsid w:val="00297088"/>
    <w:rsid w:val="002A5691"/>
    <w:rsid w:val="002B3428"/>
    <w:rsid w:val="002C45AB"/>
    <w:rsid w:val="002C6E5E"/>
    <w:rsid w:val="002C703C"/>
    <w:rsid w:val="002D0218"/>
    <w:rsid w:val="002F5A15"/>
    <w:rsid w:val="00306E1B"/>
    <w:rsid w:val="00307855"/>
    <w:rsid w:val="00311B31"/>
    <w:rsid w:val="003161F2"/>
    <w:rsid w:val="00320D81"/>
    <w:rsid w:val="003362BF"/>
    <w:rsid w:val="003378E6"/>
    <w:rsid w:val="00343874"/>
    <w:rsid w:val="003454B7"/>
    <w:rsid w:val="00381CF1"/>
    <w:rsid w:val="00384F4E"/>
    <w:rsid w:val="003863A2"/>
    <w:rsid w:val="00391149"/>
    <w:rsid w:val="003A0784"/>
    <w:rsid w:val="003D0145"/>
    <w:rsid w:val="003E2F77"/>
    <w:rsid w:val="003E7A71"/>
    <w:rsid w:val="003F29D0"/>
    <w:rsid w:val="003F4310"/>
    <w:rsid w:val="00407A0F"/>
    <w:rsid w:val="004361D0"/>
    <w:rsid w:val="00436410"/>
    <w:rsid w:val="00446A14"/>
    <w:rsid w:val="004707F6"/>
    <w:rsid w:val="00475EAC"/>
    <w:rsid w:val="00491E36"/>
    <w:rsid w:val="00495923"/>
    <w:rsid w:val="004B2E30"/>
    <w:rsid w:val="004D7E9F"/>
    <w:rsid w:val="00501C2D"/>
    <w:rsid w:val="00502586"/>
    <w:rsid w:val="005138CC"/>
    <w:rsid w:val="005251B3"/>
    <w:rsid w:val="005320E7"/>
    <w:rsid w:val="00535F6D"/>
    <w:rsid w:val="005414D7"/>
    <w:rsid w:val="00565149"/>
    <w:rsid w:val="00570037"/>
    <w:rsid w:val="00570536"/>
    <w:rsid w:val="005741ED"/>
    <w:rsid w:val="00576329"/>
    <w:rsid w:val="00576993"/>
    <w:rsid w:val="00577D7B"/>
    <w:rsid w:val="00591559"/>
    <w:rsid w:val="005A5FF6"/>
    <w:rsid w:val="005A7A85"/>
    <w:rsid w:val="005B3C4E"/>
    <w:rsid w:val="005B5D84"/>
    <w:rsid w:val="005D3C43"/>
    <w:rsid w:val="005E6CFF"/>
    <w:rsid w:val="005F4F37"/>
    <w:rsid w:val="00626EBC"/>
    <w:rsid w:val="00630891"/>
    <w:rsid w:val="00630D05"/>
    <w:rsid w:val="00645B69"/>
    <w:rsid w:val="00655389"/>
    <w:rsid w:val="006554E6"/>
    <w:rsid w:val="00661D27"/>
    <w:rsid w:val="00667C77"/>
    <w:rsid w:val="00671507"/>
    <w:rsid w:val="006815FE"/>
    <w:rsid w:val="006952B0"/>
    <w:rsid w:val="006D57B1"/>
    <w:rsid w:val="006D6C3E"/>
    <w:rsid w:val="006E2050"/>
    <w:rsid w:val="006E41EF"/>
    <w:rsid w:val="006F244F"/>
    <w:rsid w:val="006F6A29"/>
    <w:rsid w:val="00721D1E"/>
    <w:rsid w:val="00723822"/>
    <w:rsid w:val="007249FA"/>
    <w:rsid w:val="00732C43"/>
    <w:rsid w:val="00737DAA"/>
    <w:rsid w:val="00741E6E"/>
    <w:rsid w:val="00756765"/>
    <w:rsid w:val="0077205D"/>
    <w:rsid w:val="00784C24"/>
    <w:rsid w:val="007861B3"/>
    <w:rsid w:val="007948CC"/>
    <w:rsid w:val="007A07B1"/>
    <w:rsid w:val="007D0BE2"/>
    <w:rsid w:val="007E4A57"/>
    <w:rsid w:val="007F0B38"/>
    <w:rsid w:val="007F223B"/>
    <w:rsid w:val="008077D4"/>
    <w:rsid w:val="00831193"/>
    <w:rsid w:val="00832871"/>
    <w:rsid w:val="00835315"/>
    <w:rsid w:val="008373C0"/>
    <w:rsid w:val="00841862"/>
    <w:rsid w:val="00872A2A"/>
    <w:rsid w:val="008743EE"/>
    <w:rsid w:val="00874DCA"/>
    <w:rsid w:val="008869A1"/>
    <w:rsid w:val="00891535"/>
    <w:rsid w:val="0089612F"/>
    <w:rsid w:val="008B3001"/>
    <w:rsid w:val="008B76A9"/>
    <w:rsid w:val="008D66FE"/>
    <w:rsid w:val="008F17F9"/>
    <w:rsid w:val="009051CB"/>
    <w:rsid w:val="009166BD"/>
    <w:rsid w:val="0092509E"/>
    <w:rsid w:val="00930174"/>
    <w:rsid w:val="00931A5D"/>
    <w:rsid w:val="00944213"/>
    <w:rsid w:val="00951612"/>
    <w:rsid w:val="00965A4D"/>
    <w:rsid w:val="00970379"/>
    <w:rsid w:val="0097176B"/>
    <w:rsid w:val="00981A1B"/>
    <w:rsid w:val="00987905"/>
    <w:rsid w:val="00997401"/>
    <w:rsid w:val="009B1287"/>
    <w:rsid w:val="009B22F9"/>
    <w:rsid w:val="009B4867"/>
    <w:rsid w:val="009B7926"/>
    <w:rsid w:val="009D2437"/>
    <w:rsid w:val="009D355D"/>
    <w:rsid w:val="00A02282"/>
    <w:rsid w:val="00A03EEC"/>
    <w:rsid w:val="00A2595D"/>
    <w:rsid w:val="00A41AF7"/>
    <w:rsid w:val="00A445F6"/>
    <w:rsid w:val="00A479B6"/>
    <w:rsid w:val="00A61681"/>
    <w:rsid w:val="00A74D5C"/>
    <w:rsid w:val="00A83C68"/>
    <w:rsid w:val="00A86079"/>
    <w:rsid w:val="00A91725"/>
    <w:rsid w:val="00A91FF8"/>
    <w:rsid w:val="00AA53F4"/>
    <w:rsid w:val="00AB2200"/>
    <w:rsid w:val="00AB64E0"/>
    <w:rsid w:val="00AC5565"/>
    <w:rsid w:val="00AD393B"/>
    <w:rsid w:val="00AD4D4A"/>
    <w:rsid w:val="00AD7D48"/>
    <w:rsid w:val="00AE6F5B"/>
    <w:rsid w:val="00AF051F"/>
    <w:rsid w:val="00B12877"/>
    <w:rsid w:val="00B15057"/>
    <w:rsid w:val="00B15EBF"/>
    <w:rsid w:val="00B32300"/>
    <w:rsid w:val="00B51964"/>
    <w:rsid w:val="00B57F6D"/>
    <w:rsid w:val="00B75D9B"/>
    <w:rsid w:val="00B82132"/>
    <w:rsid w:val="00B85294"/>
    <w:rsid w:val="00B86971"/>
    <w:rsid w:val="00B86D48"/>
    <w:rsid w:val="00B873AE"/>
    <w:rsid w:val="00BA3141"/>
    <w:rsid w:val="00BB08AF"/>
    <w:rsid w:val="00BB3CC5"/>
    <w:rsid w:val="00BC701C"/>
    <w:rsid w:val="00BD385B"/>
    <w:rsid w:val="00BF5816"/>
    <w:rsid w:val="00C125D1"/>
    <w:rsid w:val="00C13095"/>
    <w:rsid w:val="00C550C4"/>
    <w:rsid w:val="00C56477"/>
    <w:rsid w:val="00C7502F"/>
    <w:rsid w:val="00C87E12"/>
    <w:rsid w:val="00C92A26"/>
    <w:rsid w:val="00CA0A27"/>
    <w:rsid w:val="00CA28A9"/>
    <w:rsid w:val="00CB79DC"/>
    <w:rsid w:val="00CC196F"/>
    <w:rsid w:val="00CD66A7"/>
    <w:rsid w:val="00CE08E7"/>
    <w:rsid w:val="00D314B1"/>
    <w:rsid w:val="00D4332F"/>
    <w:rsid w:val="00D928E7"/>
    <w:rsid w:val="00DB47DB"/>
    <w:rsid w:val="00DB5B8B"/>
    <w:rsid w:val="00DD3880"/>
    <w:rsid w:val="00DE53B0"/>
    <w:rsid w:val="00DF5FDB"/>
    <w:rsid w:val="00E05D5C"/>
    <w:rsid w:val="00E12B91"/>
    <w:rsid w:val="00E4173A"/>
    <w:rsid w:val="00E574CD"/>
    <w:rsid w:val="00E63780"/>
    <w:rsid w:val="00E7430E"/>
    <w:rsid w:val="00E83D43"/>
    <w:rsid w:val="00E8442A"/>
    <w:rsid w:val="00E90E36"/>
    <w:rsid w:val="00E9171A"/>
    <w:rsid w:val="00E97FB4"/>
    <w:rsid w:val="00EC206E"/>
    <w:rsid w:val="00ED31C9"/>
    <w:rsid w:val="00EE6167"/>
    <w:rsid w:val="00EE635D"/>
    <w:rsid w:val="00EF5051"/>
    <w:rsid w:val="00EF52D8"/>
    <w:rsid w:val="00F149EC"/>
    <w:rsid w:val="00F20DB8"/>
    <w:rsid w:val="00F44449"/>
    <w:rsid w:val="00F46AC3"/>
    <w:rsid w:val="00FA0C6E"/>
    <w:rsid w:val="00FA1A6E"/>
    <w:rsid w:val="00FA1D7E"/>
    <w:rsid w:val="00FB0DD8"/>
    <w:rsid w:val="00FB35DE"/>
    <w:rsid w:val="00FB47C2"/>
    <w:rsid w:val="00FC2B07"/>
    <w:rsid w:val="00FD2317"/>
    <w:rsid w:val="0778E303"/>
    <w:rsid w:val="0D369B49"/>
    <w:rsid w:val="168E9459"/>
    <w:rsid w:val="1D5BA6EC"/>
    <w:rsid w:val="1DC148E3"/>
    <w:rsid w:val="21401620"/>
    <w:rsid w:val="230572A1"/>
    <w:rsid w:val="2648AD3A"/>
    <w:rsid w:val="289FC112"/>
    <w:rsid w:val="2C75701D"/>
    <w:rsid w:val="2EB31ABE"/>
    <w:rsid w:val="3283363D"/>
    <w:rsid w:val="33BABC86"/>
    <w:rsid w:val="35BFD762"/>
    <w:rsid w:val="391F817A"/>
    <w:rsid w:val="39EBD731"/>
    <w:rsid w:val="3EE655E0"/>
    <w:rsid w:val="46A1B28A"/>
    <w:rsid w:val="4744F87A"/>
    <w:rsid w:val="4B5E020E"/>
    <w:rsid w:val="4C1E35B2"/>
    <w:rsid w:val="4D5BF410"/>
    <w:rsid w:val="4DC6B920"/>
    <w:rsid w:val="50B1BAD8"/>
    <w:rsid w:val="578B5973"/>
    <w:rsid w:val="5869B723"/>
    <w:rsid w:val="5AB03E29"/>
    <w:rsid w:val="64FA7B0F"/>
    <w:rsid w:val="661D967E"/>
    <w:rsid w:val="67858D53"/>
    <w:rsid w:val="69A6C32E"/>
    <w:rsid w:val="6D6C1400"/>
    <w:rsid w:val="76FF8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EAFA2"/>
  <w15:chartTrackingRefBased/>
  <w15:docId w15:val="{8D55E6FF-B664-4437-9C31-B480EA5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6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6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6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6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6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6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6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6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69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D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565"/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5D3C4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38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8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8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7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1C"/>
  </w:style>
  <w:style w:type="paragraph" w:styleId="Footer">
    <w:name w:val="footer"/>
    <w:basedOn w:val="Normal"/>
    <w:link w:val="FooterChar"/>
    <w:uiPriority w:val="99"/>
    <w:unhideWhenUsed/>
    <w:rsid w:val="00B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pa.gov/enforcement/guidance-owners-residential-property-superfund-sites" TargetMode="External"/><Relationship Id="rId2" Type="http://schemas.openxmlformats.org/officeDocument/2006/relationships/hyperlink" Target="https://www.epa.gov/sites/default/files/2013-09/documents/contamin-aqui-rpt.pdf" TargetMode="External"/><Relationship Id="rId1" Type="http://schemas.openxmlformats.org/officeDocument/2006/relationships/hyperlink" Target="https://www.epa.gov/enforcement/fact-sheet-updated-questions-and-answers-cercla-lender-liability-exem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9C3E-C221-4E5E-B424-BAAE409D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Links>
    <vt:vector size="18" baseType="variant">
      <vt:variant>
        <vt:i4>1048580</vt:i4>
      </vt:variant>
      <vt:variant>
        <vt:i4>6</vt:i4>
      </vt:variant>
      <vt:variant>
        <vt:i4>0</vt:i4>
      </vt:variant>
      <vt:variant>
        <vt:i4>5</vt:i4>
      </vt:variant>
      <vt:variant>
        <vt:lpwstr>https://www.epa.gov/enforcement/guidance-owners-residential-property-superfund-sites</vt:lpwstr>
      </vt:variant>
      <vt:variant>
        <vt:lpwstr/>
      </vt:variant>
      <vt:variant>
        <vt:i4>1835038</vt:i4>
      </vt:variant>
      <vt:variant>
        <vt:i4>3</vt:i4>
      </vt:variant>
      <vt:variant>
        <vt:i4>0</vt:i4>
      </vt:variant>
      <vt:variant>
        <vt:i4>5</vt:i4>
      </vt:variant>
      <vt:variant>
        <vt:lpwstr>https://www.epa.gov/enforcement/guidance-owners-property-containing-contaminated-aquifers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https://www.epa.gov/enforcement/fact-sheet-updated-questions-and-answers-cercla-lender-liability-exemption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Morgan, Christina</cp:lastModifiedBy>
  <cp:revision>2</cp:revision>
  <dcterms:created xsi:type="dcterms:W3CDTF">2026-02-18T14:56:00Z</dcterms:created>
  <dcterms:modified xsi:type="dcterms:W3CDTF">2026-02-18T15:35:00Z</dcterms:modified>
</cp:coreProperties>
</file>