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EB09" w14:textId="77777777" w:rsidR="00B020FA" w:rsidRPr="0052404F" w:rsidRDefault="00EE715C" w:rsidP="00B020FA">
      <w:pPr>
        <w:pStyle w:val="Title"/>
      </w:pPr>
      <w:r w:rsidRPr="0052404F">
        <w:t>INJECTION WELL PLUGGING PLAN</w:t>
      </w:r>
    </w:p>
    <w:p w14:paraId="5663B3B9" w14:textId="418EF104" w:rsidR="00B9541C" w:rsidRPr="0052404F" w:rsidRDefault="001B1E5E" w:rsidP="00B020FA">
      <w:pPr>
        <w:pStyle w:val="Title"/>
      </w:pPr>
      <w:r w:rsidRPr="0052404F">
        <w:t>40 CFR 146.92(b</w:t>
      </w:r>
      <w:r w:rsidR="00B9541C" w:rsidRPr="0052404F">
        <w:t>)</w:t>
      </w:r>
    </w:p>
    <w:p w14:paraId="7511B3F8" w14:textId="77777777" w:rsidR="0033752A" w:rsidRPr="0052404F" w:rsidRDefault="0033752A" w:rsidP="00B020FA">
      <w:pPr>
        <w:pStyle w:val="Title"/>
      </w:pPr>
      <w:r w:rsidRPr="0052404F">
        <w:rPr>
          <w:highlight w:val="yellow"/>
        </w:rPr>
        <w:t>INSERT PROJECT NAME</w:t>
      </w:r>
    </w:p>
    <w:tbl>
      <w:tblPr>
        <w:tblStyle w:val="TableGrid"/>
        <w:tblW w:w="9360" w:type="dxa"/>
        <w:jc w:val="center"/>
        <w:tblBorders>
          <w:top w:val="thinThickSmallGap" w:sz="12" w:space="0" w:color="0070C0"/>
          <w:left w:val="thinThickSmallGap" w:sz="12" w:space="0" w:color="0070C0"/>
          <w:bottom w:val="thinThickSmallGap" w:sz="12" w:space="0" w:color="0070C0"/>
          <w:right w:val="thinThickSmallGap" w:sz="12" w:space="0" w:color="0070C0"/>
          <w:insideH w:val="thinThickSmallGap" w:sz="12" w:space="0" w:color="0070C0"/>
          <w:insideV w:val="thinThickSmallGap" w:sz="12" w:space="0" w:color="0070C0"/>
        </w:tblBorders>
        <w:tblCellMar>
          <w:top w:w="144" w:type="dxa"/>
          <w:left w:w="144" w:type="dxa"/>
          <w:bottom w:w="144" w:type="dxa"/>
          <w:right w:w="144" w:type="dxa"/>
        </w:tblCellMar>
        <w:tblLook w:val="04A0" w:firstRow="1" w:lastRow="0" w:firstColumn="1" w:lastColumn="0" w:noHBand="0" w:noVBand="1"/>
      </w:tblPr>
      <w:tblGrid>
        <w:gridCol w:w="9360"/>
      </w:tblGrid>
      <w:tr w:rsidR="0033752A" w:rsidRPr="0052404F" w14:paraId="19416D9E" w14:textId="77777777" w:rsidTr="6E2169BC">
        <w:trPr>
          <w:jc w:val="center"/>
        </w:trPr>
        <w:tc>
          <w:tcPr>
            <w:tcW w:w="9360" w:type="dxa"/>
          </w:tcPr>
          <w:p w14:paraId="43323651" w14:textId="77777777" w:rsidR="0033752A" w:rsidRPr="0052404F" w:rsidRDefault="0033752A" w:rsidP="00697793">
            <w:pPr>
              <w:pStyle w:val="InstructionsTitle"/>
            </w:pPr>
            <w:r w:rsidRPr="0052404F">
              <w:t>INSTRUCTIONS</w:t>
            </w:r>
          </w:p>
          <w:p w14:paraId="0F929932" w14:textId="52BE19C8" w:rsidR="00A4083B" w:rsidRPr="0052404F" w:rsidRDefault="0033752A" w:rsidP="00B020FA">
            <w:pPr>
              <w:pStyle w:val="BodyTextSingle"/>
            </w:pPr>
            <w:r>
              <w:t>This template provides a</w:t>
            </w:r>
            <w:r w:rsidR="00A4083B">
              <w:t xml:space="preserve"> suggested</w:t>
            </w:r>
            <w:r>
              <w:t xml:space="preserve"> outline and recommendations for the Injection Well Plugging Plan. </w:t>
            </w:r>
            <w:r w:rsidR="008233F8">
              <w:t>While p</w:t>
            </w:r>
            <w:r w:rsidR="00A4083B">
              <w:t xml:space="preserve">ermit applicants </w:t>
            </w:r>
            <w:r w:rsidR="008233F8">
              <w:t xml:space="preserve">must submit a proposed </w:t>
            </w:r>
            <w:r w:rsidR="00D56459">
              <w:t xml:space="preserve">Injection Well Plugging Plan, </w:t>
            </w:r>
            <w:r w:rsidR="008233F8">
              <w:t>and the plan must comply with 40 CFR 146.9</w:t>
            </w:r>
            <w:r w:rsidR="00D56459">
              <w:t>2</w:t>
            </w:r>
            <w:r w:rsidR="008233F8">
              <w:t xml:space="preserve">, permit applicants </w:t>
            </w:r>
            <w:r w:rsidR="00A4083B">
              <w:t xml:space="preserve">are not required to use this template. This </w:t>
            </w:r>
            <w:r w:rsidR="00787238">
              <w:t>template</w:t>
            </w:r>
            <w:r w:rsidR="00A4083B">
              <w:t xml:space="preserve"> does not substitute for promulgated provisions or regulations, nor is it a regulation itself, and it does not impose legally</w:t>
            </w:r>
            <w:r w:rsidR="002B577E">
              <w:t xml:space="preserve"> </w:t>
            </w:r>
            <w:r w:rsidR="00A4083B">
              <w:t>binding requirements on the U.S. Environmental Protection Agency (EPA), states, or the regulated community.</w:t>
            </w:r>
          </w:p>
          <w:p w14:paraId="060BCE36" w14:textId="3D3903A4" w:rsidR="00A4083B" w:rsidRPr="0052404F" w:rsidRDefault="00A4083B" w:rsidP="00B020FA">
            <w:pPr>
              <w:pStyle w:val="BodyTextSingle"/>
            </w:pPr>
            <w:r w:rsidRPr="0052404F">
              <w:t xml:space="preserve">Note that references to EPA’s Class VI Rule in the </w:t>
            </w:r>
            <w:r w:rsidR="00A8037D" w:rsidRPr="0052404F">
              <w:t>C</w:t>
            </w:r>
            <w:r w:rsidRPr="0052404F">
              <w:t xml:space="preserve">ode of </w:t>
            </w:r>
            <w:r w:rsidR="00A8037D" w:rsidRPr="0052404F">
              <w:t>F</w:t>
            </w:r>
            <w:r w:rsidRPr="0052404F">
              <w:t xml:space="preserve">ederal </w:t>
            </w:r>
            <w:r w:rsidR="00A8037D" w:rsidRPr="0052404F">
              <w:t>R</w:t>
            </w:r>
            <w:r w:rsidRPr="0052404F">
              <w:t>egulations (CFR) are provided in this template. States with Class VI primacy have requirements that are at least as stringent as EPA’s. If your Class VI well is in a primacy state, consult your permitting authority about any additional requirements for what must be included in the plan.</w:t>
            </w:r>
          </w:p>
          <w:p w14:paraId="30DE5E99" w14:textId="400C272E" w:rsidR="00A4083B" w:rsidRPr="0052404F" w:rsidRDefault="00A4083B" w:rsidP="00B020FA">
            <w:pPr>
              <w:pStyle w:val="BodyTextSingle"/>
            </w:pPr>
            <w:r w:rsidRPr="0052404F">
              <w:t xml:space="preserve">In this template, </w:t>
            </w:r>
            <w:r w:rsidR="006D6C6A" w:rsidRPr="0052404F">
              <w:t xml:space="preserve">recommendations </w:t>
            </w:r>
            <w:r w:rsidRPr="0052404F">
              <w:t xml:space="preserve">appear in </w:t>
            </w:r>
            <w:r w:rsidR="003B6ACD" w:rsidRPr="0052404F">
              <w:rPr>
                <w:rStyle w:val="IntenseQuoteChar"/>
                <w:rFonts w:cstheme="minorHAnsi"/>
              </w:rPr>
              <w:t>red</w:t>
            </w:r>
            <w:r w:rsidRPr="0052404F">
              <w:rPr>
                <w:rStyle w:val="IntenseQuoteChar"/>
                <w:rFonts w:cstheme="minorHAnsi"/>
              </w:rPr>
              <w:t xml:space="preserve"> text</w:t>
            </w:r>
            <w:r w:rsidR="00483999" w:rsidRPr="0052404F">
              <w:t xml:space="preserve">. </w:t>
            </w:r>
            <w:r w:rsidRPr="0052404F">
              <w:t>These are provided to assist with site- and project-specific plan development. These recommendations are not required elements of the federal Class VI Rule.</w:t>
            </w:r>
            <w:r w:rsidR="00483999" w:rsidRPr="0052404F">
              <w:t xml:space="preserve"> Suggested text appears in </w:t>
            </w:r>
            <w:r w:rsidR="00483999" w:rsidRPr="003B6668">
              <w:rPr>
                <w:rStyle w:val="IntenseEmphasis"/>
                <w:b w:val="0"/>
                <w:i w:val="0"/>
                <w:iCs w:val="0"/>
                <w:color w:val="244061" w:themeColor="accent1" w:themeShade="80"/>
              </w:rPr>
              <w:t>blue</w:t>
            </w:r>
            <w:r w:rsidR="00483999" w:rsidRPr="0052404F">
              <w:t>. It should be modified for each site and project as appropriate.</w:t>
            </w:r>
            <w:r w:rsidR="005660ED">
              <w:t xml:space="preserve"> </w:t>
            </w:r>
            <w:r w:rsidRPr="0052404F">
              <w:t xml:space="preserve">Please delete the </w:t>
            </w:r>
            <w:r w:rsidR="003B6ACD" w:rsidRPr="0052404F">
              <w:rPr>
                <w:rStyle w:val="IntenseQuoteChar"/>
                <w:rFonts w:cstheme="minorHAnsi"/>
              </w:rPr>
              <w:t>red</w:t>
            </w:r>
            <w:r w:rsidRPr="0052404F">
              <w:rPr>
                <w:rStyle w:val="IntenseQuoteChar"/>
                <w:rFonts w:cstheme="minorHAnsi"/>
              </w:rPr>
              <w:t xml:space="preserve"> text</w:t>
            </w:r>
            <w:r w:rsidR="00055CCE">
              <w:rPr>
                <w:rFonts w:eastAsiaTheme="minorHAnsi"/>
              </w:rPr>
              <w:t xml:space="preserve"> and</w:t>
            </w:r>
            <w:r w:rsidR="00763E84" w:rsidRPr="0052404F">
              <w:rPr>
                <w:rStyle w:val="IntenseQuoteChar"/>
                <w:rFonts w:cstheme="minorHAnsi"/>
              </w:rPr>
              <w:t xml:space="preserve"> </w:t>
            </w:r>
            <w:r w:rsidR="00763E84" w:rsidRPr="005467F1">
              <w:rPr>
                <w:rStyle w:val="IntenseQuoteChar"/>
                <w:rFonts w:cstheme="minorHAnsi"/>
                <w:b w:val="0"/>
                <w:i w:val="0"/>
                <w:color w:val="auto"/>
              </w:rPr>
              <w:t>modify the</w:t>
            </w:r>
            <w:r w:rsidR="00763E84" w:rsidRPr="003B6668">
              <w:rPr>
                <w:rStyle w:val="IntenseQuoteChar"/>
                <w:rFonts w:cstheme="minorHAnsi"/>
                <w:b w:val="0"/>
                <w:bCs/>
                <w:i w:val="0"/>
                <w:iCs w:val="0"/>
                <w:color w:val="244061" w:themeColor="accent1" w:themeShade="80"/>
              </w:rPr>
              <w:t xml:space="preserve"> blue </w:t>
            </w:r>
            <w:r w:rsidR="0019556B" w:rsidRPr="003B6668">
              <w:rPr>
                <w:rStyle w:val="IntenseQuoteChar"/>
                <w:rFonts w:cstheme="minorHAnsi"/>
                <w:b w:val="0"/>
                <w:bCs/>
                <w:i w:val="0"/>
                <w:iCs w:val="0"/>
                <w:color w:val="244061" w:themeColor="accent1" w:themeShade="80"/>
              </w:rPr>
              <w:t>suggested</w:t>
            </w:r>
            <w:r w:rsidR="0019556B" w:rsidRPr="003B6668">
              <w:rPr>
                <w:rStyle w:val="IntenseQuoteChar"/>
                <w:rFonts w:cstheme="minorHAnsi"/>
                <w:bCs/>
                <w:color w:val="244061" w:themeColor="accent1" w:themeShade="80"/>
              </w:rPr>
              <w:t xml:space="preserve"> </w:t>
            </w:r>
            <w:r w:rsidR="00763E84" w:rsidRPr="003B6668">
              <w:rPr>
                <w:rStyle w:val="IntenseQuoteChar"/>
                <w:rFonts w:cstheme="minorHAnsi"/>
                <w:b w:val="0"/>
                <w:bCs/>
                <w:i w:val="0"/>
                <w:iCs w:val="0"/>
                <w:color w:val="244061" w:themeColor="accent1" w:themeShade="80"/>
              </w:rPr>
              <w:t>text</w:t>
            </w:r>
            <w:r w:rsidR="00055CCE" w:rsidRPr="003B6668">
              <w:rPr>
                <w:rStyle w:val="IntenseQuoteChar"/>
                <w:rFonts w:cstheme="minorHAnsi"/>
                <w:b w:val="0"/>
                <w:bCs/>
                <w:i w:val="0"/>
                <w:iCs w:val="0"/>
                <w:color w:val="244061" w:themeColor="accent1" w:themeShade="80"/>
              </w:rPr>
              <w:t>.</w:t>
            </w:r>
            <w:r w:rsidR="00055CCE" w:rsidRPr="003B6668">
              <w:rPr>
                <w:rStyle w:val="IntenseQuoteChar"/>
                <w:rFonts w:cstheme="minorHAnsi"/>
                <w:bCs/>
                <w:color w:val="244061" w:themeColor="accent1" w:themeShade="80"/>
              </w:rPr>
              <w:t xml:space="preserve"> </w:t>
            </w:r>
            <w:r w:rsidR="00055CCE" w:rsidRPr="003B6668">
              <w:rPr>
                <w:color w:val="244061" w:themeColor="accent1" w:themeShade="80"/>
              </w:rPr>
              <w:t xml:space="preserve">Blue suggested text </w:t>
            </w:r>
            <w:r w:rsidR="00055CCE">
              <w:t xml:space="preserve">provides example language that should be tailored to each project. Where noted, the </w:t>
            </w:r>
            <w:r w:rsidR="00055CCE" w:rsidRPr="003B6668">
              <w:rPr>
                <w:color w:val="244061" w:themeColor="accent1" w:themeShade="80"/>
              </w:rPr>
              <w:t xml:space="preserve">blue suggested text </w:t>
            </w:r>
            <w:r w:rsidR="00055CCE">
              <w:t>must be modified to meet a regulatory requirement. Remember to</w:t>
            </w:r>
            <w:r w:rsidR="00041870" w:rsidRPr="0052404F">
              <w:t xml:space="preserve"> replace the</w:t>
            </w:r>
            <w:r w:rsidR="00055CCE">
              <w:t xml:space="preserve"> required</w:t>
            </w:r>
            <w:r w:rsidR="00041870" w:rsidRPr="0052404F">
              <w:t xml:space="preserve"> </w:t>
            </w:r>
            <w:r w:rsidR="00041870" w:rsidRPr="0052404F">
              <w:rPr>
                <w:highlight w:val="yellow"/>
              </w:rPr>
              <w:t>yellow highlighted text</w:t>
            </w:r>
            <w:r w:rsidR="00041870" w:rsidRPr="0052404F">
              <w:t xml:space="preserve"> before submitting your document. </w:t>
            </w:r>
            <w:r w:rsidRPr="0052404F">
              <w:t>Similarly, please adjust the example text and tables throughout as necessary (e.g., by adding or removing rows or columns). Appropriate figures, references, etc. should also be included to support the text of the plan.</w:t>
            </w:r>
          </w:p>
          <w:p w14:paraId="5DDFE148" w14:textId="369A81E8" w:rsidR="00A4083B" w:rsidRPr="0052404F" w:rsidRDefault="1B1D4BB6" w:rsidP="00B020FA">
            <w:pPr>
              <w:pStyle w:val="BodyTextSingle"/>
            </w:pPr>
            <w:r>
              <w:t xml:space="preserve">Remember </w:t>
            </w:r>
            <w:r w:rsidR="599B0020">
              <w:t>that</w:t>
            </w:r>
            <w:r>
              <w:t xml:space="preserve"> pursuant to 40 CFR 146.9</w:t>
            </w:r>
            <w:r w:rsidR="001AE36F">
              <w:t>2(b)</w:t>
            </w:r>
            <w:r>
              <w:t xml:space="preserve"> of the federal Class VI Rule, the requirement to maintain and implement an approved Injection Well Plugging Plan is directly enforceable regardless of whether the requirement is a condition of the permit. For more information, see EPA’s Class VI guidance documents at </w:t>
            </w:r>
            <w:hyperlink r:id="rId12">
              <w:r w:rsidRPr="5BBF97C9">
                <w:rPr>
                  <w:rStyle w:val="Hyperlink"/>
                </w:rPr>
                <w:t>https://www.epa.gov/uic/class-vi-guidance-documents</w:t>
              </w:r>
            </w:hyperlink>
            <w:r>
              <w:t xml:space="preserve">. It is the responsibility of the </w:t>
            </w:r>
            <w:r w:rsidR="007E7193" w:rsidRPr="00EB6D1A">
              <w:rPr>
                <w:highlight w:val="yellow"/>
              </w:rPr>
              <w:t>PERMITTEE</w:t>
            </w:r>
            <w:r>
              <w:t xml:space="preserve"> </w:t>
            </w:r>
            <w:r w:rsidR="000C5EE6" w:rsidRPr="000C5EE6">
              <w:t xml:space="preserve">(referred to throughout as “the </w:t>
            </w:r>
            <w:r w:rsidR="000C5EE6">
              <w:t>Permittee</w:t>
            </w:r>
            <w:r w:rsidR="000C5EE6" w:rsidRPr="000C5EE6">
              <w:t xml:space="preserve">”) </w:t>
            </w:r>
            <w:r>
              <w:t>to maintain records of previous revisions to this plan.</w:t>
            </w:r>
          </w:p>
          <w:p w14:paraId="605ADF9D" w14:textId="10826867" w:rsidR="00CC1337" w:rsidRPr="005467F1" w:rsidRDefault="000D2A4F" w:rsidP="00697793">
            <w:pPr>
              <w:pStyle w:val="BodyTextSingle"/>
              <w:spacing w:after="0"/>
              <w:rPr>
                <w:i/>
                <w:iCs/>
                <w:color w:val="FF0000"/>
                <w:sz w:val="22"/>
                <w:szCs w:val="22"/>
              </w:rPr>
            </w:pPr>
            <w:r w:rsidRPr="003B6668">
              <w:rPr>
                <w:b/>
                <w:bCs/>
                <w:i/>
                <w:iCs/>
                <w:color w:val="005E00"/>
              </w:rPr>
              <w:t>Administrative record not</w:t>
            </w:r>
            <w:r w:rsidR="00A96887" w:rsidRPr="003B6668">
              <w:rPr>
                <w:b/>
                <w:bCs/>
                <w:i/>
                <w:iCs/>
                <w:color w:val="005E00"/>
              </w:rPr>
              <w:t>e</w:t>
            </w:r>
            <w:r w:rsidRPr="003B6668">
              <w:rPr>
                <w:b/>
                <w:bCs/>
                <w:i/>
                <w:iCs/>
                <w:color w:val="005E00"/>
              </w:rPr>
              <w:t>:</w:t>
            </w:r>
            <w:r w:rsidRPr="003B6668">
              <w:rPr>
                <w:i/>
                <w:iCs/>
                <w:color w:val="005E00"/>
              </w:rPr>
              <w:t xml:space="preserve"> As you review the permit application and attachments, please </w:t>
            </w:r>
            <w:r w:rsidR="00901B37" w:rsidRPr="003B6668">
              <w:rPr>
                <w:i/>
                <w:iCs/>
                <w:color w:val="005E00"/>
              </w:rPr>
              <w:t>start compiling the administrative record</w:t>
            </w:r>
            <w:r w:rsidRPr="003B6668">
              <w:rPr>
                <w:i/>
                <w:iCs/>
                <w:color w:val="005E00"/>
              </w:rPr>
              <w:t xml:space="preserve"> using the administrative record template.</w:t>
            </w:r>
            <w:r w:rsidR="000C59A0" w:rsidRPr="003B6668">
              <w:rPr>
                <w:i/>
                <w:iCs/>
                <w:color w:val="005E00"/>
              </w:rPr>
              <w:t xml:space="preserve"> If a final permit is challenged before the E</w:t>
            </w:r>
            <w:r w:rsidR="00D758D2" w:rsidRPr="003B6668">
              <w:rPr>
                <w:i/>
                <w:iCs/>
                <w:color w:val="005E00"/>
              </w:rPr>
              <w:t xml:space="preserve">nvironmental </w:t>
            </w:r>
            <w:r w:rsidR="000C59A0" w:rsidRPr="003B6668">
              <w:rPr>
                <w:i/>
                <w:iCs/>
                <w:color w:val="005E00"/>
              </w:rPr>
              <w:t>A</w:t>
            </w:r>
            <w:r w:rsidR="00D758D2" w:rsidRPr="003B6668">
              <w:rPr>
                <w:i/>
                <w:iCs/>
                <w:color w:val="005E00"/>
              </w:rPr>
              <w:t xml:space="preserve">ppeals </w:t>
            </w:r>
            <w:r w:rsidR="000C59A0" w:rsidRPr="003B6668">
              <w:rPr>
                <w:i/>
                <w:iCs/>
                <w:color w:val="005E00"/>
              </w:rPr>
              <w:t>B</w:t>
            </w:r>
            <w:r w:rsidR="00D758D2" w:rsidRPr="003B6668">
              <w:rPr>
                <w:i/>
                <w:iCs/>
                <w:color w:val="005E00"/>
              </w:rPr>
              <w:t>oard (EAB)</w:t>
            </w:r>
            <w:r w:rsidR="000C59A0" w:rsidRPr="003B6668">
              <w:rPr>
                <w:i/>
                <w:iCs/>
                <w:color w:val="005E00"/>
              </w:rPr>
              <w:t xml:space="preserve">, the administrative record for the final permit (40 CFR 124.18), or a certified index thereof must be filed with the EAB </w:t>
            </w:r>
            <w:r w:rsidR="00D758D2" w:rsidRPr="003B6668">
              <w:rPr>
                <w:i/>
                <w:iCs/>
                <w:color w:val="005E00"/>
              </w:rPr>
              <w:t>(</w:t>
            </w:r>
            <w:r w:rsidR="000C59A0" w:rsidRPr="003B6668">
              <w:rPr>
                <w:i/>
                <w:iCs/>
                <w:color w:val="005E00"/>
              </w:rPr>
              <w:t>40 CFR 124.19(b)(2)</w:t>
            </w:r>
            <w:r w:rsidR="00D758D2" w:rsidRPr="003B6668">
              <w:rPr>
                <w:i/>
                <w:iCs/>
                <w:color w:val="005E00"/>
              </w:rPr>
              <w:t>)</w:t>
            </w:r>
            <w:r w:rsidR="000C59A0" w:rsidRPr="003B6668">
              <w:rPr>
                <w:i/>
                <w:iCs/>
                <w:color w:val="005E00"/>
              </w:rPr>
              <w:t xml:space="preserve">. The administrative record </w:t>
            </w:r>
            <w:r w:rsidR="00EA26DC" w:rsidRPr="003B6668">
              <w:rPr>
                <w:i/>
                <w:iCs/>
                <w:color w:val="005E00"/>
              </w:rPr>
              <w:t>close</w:t>
            </w:r>
            <w:r w:rsidR="000C59A0" w:rsidRPr="003B6668">
              <w:rPr>
                <w:i/>
                <w:iCs/>
                <w:color w:val="005E00"/>
              </w:rPr>
              <w:t xml:space="preserve">s when the permit is issued. Omit deliberative material. </w:t>
            </w:r>
            <w:r w:rsidRPr="003B6668">
              <w:rPr>
                <w:i/>
                <w:iCs/>
                <w:color w:val="005E00"/>
              </w:rPr>
              <w:t>Consult with ORC with questions.</w:t>
            </w:r>
          </w:p>
        </w:tc>
      </w:tr>
    </w:tbl>
    <w:p w14:paraId="7E3CE136" w14:textId="77777777" w:rsidR="000D2A4F" w:rsidRDefault="000D2A4F" w:rsidP="00697793">
      <w:pPr>
        <w:pStyle w:val="Heading1NONumber"/>
      </w:pPr>
    </w:p>
    <w:p w14:paraId="684641DF" w14:textId="198E2C0E" w:rsidR="00EE715C" w:rsidRPr="0052404F" w:rsidRDefault="00EE715C" w:rsidP="00697793">
      <w:pPr>
        <w:pStyle w:val="Heading1NONumber"/>
      </w:pPr>
      <w:r w:rsidRPr="0052404F">
        <w:t>Facility Information</w:t>
      </w:r>
    </w:p>
    <w:p w14:paraId="6A59E8D1" w14:textId="1C4222F6" w:rsidR="00EE715C" w:rsidRPr="0052404F" w:rsidRDefault="00EE715C" w:rsidP="001A5736">
      <w:pPr>
        <w:pStyle w:val="BodyText"/>
        <w:ind w:left="2160" w:hanging="2160"/>
      </w:pPr>
      <w:r w:rsidRPr="0052404F">
        <w:t xml:space="preserve">Facility name: </w:t>
      </w:r>
      <w:r w:rsidRPr="0052404F">
        <w:tab/>
      </w:r>
      <w:r w:rsidR="00CF18D8" w:rsidRPr="0052404F">
        <w:rPr>
          <w:highlight w:val="yellow"/>
        </w:rPr>
        <w:t xml:space="preserve">INSERT </w:t>
      </w:r>
      <w:r w:rsidRPr="0052404F">
        <w:rPr>
          <w:highlight w:val="yellow"/>
        </w:rPr>
        <w:t>FACILITY NAME</w:t>
      </w:r>
      <w:r w:rsidRPr="0052404F">
        <w:br/>
      </w:r>
      <w:r w:rsidR="00822B25" w:rsidRPr="0052404F">
        <w:rPr>
          <w:highlight w:val="yellow"/>
        </w:rPr>
        <w:t xml:space="preserve">INSERT </w:t>
      </w:r>
      <w:r w:rsidRPr="0052404F">
        <w:rPr>
          <w:highlight w:val="yellow"/>
        </w:rPr>
        <w:t>WELL NUMBER</w:t>
      </w:r>
    </w:p>
    <w:p w14:paraId="055F4AE0" w14:textId="37D77AAD" w:rsidR="00EE715C" w:rsidRPr="0052404F" w:rsidRDefault="00EE715C" w:rsidP="001A5736">
      <w:pPr>
        <w:pStyle w:val="BodyText"/>
        <w:ind w:left="2160" w:hanging="2160"/>
      </w:pPr>
      <w:r w:rsidRPr="0052404F">
        <w:t xml:space="preserve">Well location: </w:t>
      </w:r>
      <w:r w:rsidR="001A5736" w:rsidRPr="0052404F">
        <w:tab/>
      </w:r>
      <w:r w:rsidR="00822B25" w:rsidRPr="0052404F">
        <w:rPr>
          <w:highlight w:val="yellow"/>
        </w:rPr>
        <w:t xml:space="preserve">INSERT </w:t>
      </w:r>
      <w:r w:rsidRPr="0052404F">
        <w:rPr>
          <w:highlight w:val="yellow"/>
        </w:rPr>
        <w:t>CITY, COUNTY, STATE</w:t>
      </w:r>
      <w:r w:rsidRPr="0052404F">
        <w:t xml:space="preserve"> </w:t>
      </w:r>
      <w:r w:rsidRPr="0052404F">
        <w:br/>
      </w:r>
      <w:r w:rsidR="00822B25" w:rsidRPr="0052404F">
        <w:rPr>
          <w:highlight w:val="yellow"/>
        </w:rPr>
        <w:t xml:space="preserve">INSERT </w:t>
      </w:r>
      <w:r w:rsidRPr="0052404F">
        <w:rPr>
          <w:highlight w:val="yellow"/>
        </w:rPr>
        <w:t>LAT/LONG COORDINATES</w:t>
      </w:r>
    </w:p>
    <w:p w14:paraId="4DCFC894" w14:textId="79AACB5E" w:rsidR="00D255C7" w:rsidRPr="0052404F" w:rsidRDefault="000C5EE6" w:rsidP="001A5736">
      <w:pPr>
        <w:pStyle w:val="BodyText"/>
      </w:pPr>
      <w:r>
        <w:t>The Permittee’s</w:t>
      </w:r>
      <w:r w:rsidRPr="0052404F">
        <w:t xml:space="preserve"> </w:t>
      </w:r>
      <w:r w:rsidR="00E93C8E" w:rsidRPr="0052404F">
        <w:t xml:space="preserve">injection well plugging plan pursuant to 40 CFR 146.92 </w:t>
      </w:r>
      <w:r w:rsidR="001910B9" w:rsidRPr="0052404F">
        <w:t>describes the process, materials</w:t>
      </w:r>
      <w:r w:rsidR="00B24BF9" w:rsidRPr="0052404F">
        <w:t>,</w:t>
      </w:r>
      <w:r w:rsidR="001910B9" w:rsidRPr="0052404F">
        <w:t xml:space="preserve"> and methodology for </w:t>
      </w:r>
      <w:r w:rsidR="00A03B3C" w:rsidRPr="00EB6D1A">
        <w:rPr>
          <w:highlight w:val="yellow"/>
        </w:rPr>
        <w:t>INSERT INJECTION WELL NAME</w:t>
      </w:r>
      <w:r w:rsidR="001910B9" w:rsidRPr="0052404F">
        <w:t xml:space="preserve"> plugging.</w:t>
      </w:r>
    </w:p>
    <w:p w14:paraId="4DCFC896" w14:textId="770B976E" w:rsidR="00D255C7" w:rsidRPr="0052404F" w:rsidRDefault="00D255C7" w:rsidP="00B87376">
      <w:pPr>
        <w:pStyle w:val="Heading1"/>
      </w:pPr>
      <w:r w:rsidRPr="0052404F">
        <w:t>Planned Tests or Measures to Determine</w:t>
      </w:r>
      <w:r w:rsidR="0017414E" w:rsidRPr="0052404F">
        <w:t xml:space="preserve"> Bottom</w:t>
      </w:r>
      <w:r w:rsidR="00CC38F3">
        <w:t>h</w:t>
      </w:r>
      <w:r w:rsidRPr="0052404F">
        <w:t>ole Reservoir Pressure</w:t>
      </w:r>
    </w:p>
    <w:p w14:paraId="5217554A" w14:textId="348A991F" w:rsidR="003A5187" w:rsidRPr="0052404F" w:rsidRDefault="003A5187" w:rsidP="5BBF97C9">
      <w:pPr>
        <w:keepNext/>
        <w:spacing w:after="120"/>
        <w:rPr>
          <w:rFonts w:asciiTheme="minorHAnsi" w:hAnsiTheme="minorHAnsi" w:cstheme="minorBidi"/>
          <w:b/>
          <w:bCs/>
          <w:i/>
          <w:iCs/>
          <w:color w:val="C00000"/>
        </w:rPr>
      </w:pPr>
      <w:r w:rsidRPr="5BBF97C9">
        <w:rPr>
          <w:rFonts w:asciiTheme="minorHAnsi" w:hAnsiTheme="minorHAnsi" w:cstheme="minorBidi"/>
          <w:b/>
          <w:bCs/>
          <w:i/>
          <w:iCs/>
          <w:color w:val="C00000"/>
        </w:rPr>
        <w:t>[</w:t>
      </w:r>
      <w:r w:rsidRPr="5BBF97C9">
        <w:rPr>
          <w:rFonts w:asciiTheme="minorHAnsi" w:eastAsia="Calibri" w:hAnsiTheme="minorHAnsi" w:cstheme="minorBidi"/>
          <w:b/>
          <w:bCs/>
          <w:i/>
          <w:iCs/>
          <w:color w:val="C00000"/>
        </w:rPr>
        <w:t>Provide a list of steps or similar description to the text below.]</w:t>
      </w:r>
    </w:p>
    <w:p w14:paraId="1589FE51" w14:textId="339432C7" w:rsidR="00760ABC" w:rsidRPr="003B6668" w:rsidRDefault="00306E2C" w:rsidP="00760ABC">
      <w:pPr>
        <w:pStyle w:val="ListNumber"/>
        <w:numPr>
          <w:ilvl w:val="0"/>
          <w:numId w:val="0"/>
        </w:numPr>
        <w:ind w:left="360"/>
        <w:rPr>
          <w:rStyle w:val="LineNumber"/>
          <w:color w:val="244061" w:themeColor="accent1" w:themeShade="80"/>
        </w:rPr>
      </w:pPr>
      <w:r w:rsidRPr="003B6668">
        <w:rPr>
          <w:rStyle w:val="LineNumber"/>
          <w:color w:val="244061" w:themeColor="accent1" w:themeShade="80"/>
        </w:rPr>
        <w:t xml:space="preserve">All casing in </w:t>
      </w:r>
      <w:r w:rsidRPr="003B6668">
        <w:rPr>
          <w:rStyle w:val="LineNumber"/>
          <w:color w:val="244061" w:themeColor="accent1" w:themeShade="80"/>
          <w:highlight w:val="yellow"/>
        </w:rPr>
        <w:t>INSERT INJECTION WELL NAME</w:t>
      </w:r>
      <w:r w:rsidRPr="003B6668">
        <w:rPr>
          <w:rStyle w:val="LineNumber"/>
          <w:color w:val="244061" w:themeColor="accent1" w:themeShade="80"/>
        </w:rPr>
        <w:t xml:space="preserve"> will have been cemented to the surface at the time of construction and will not be retrievable upon abandonment. After injection has permanently ceased, the injection tubing and packer will be removed. </w:t>
      </w:r>
    </w:p>
    <w:p w14:paraId="45A3EC23" w14:textId="04F6BFF2" w:rsidR="003746CD" w:rsidRPr="003B6668" w:rsidRDefault="003746CD" w:rsidP="00EB6D1A">
      <w:pPr>
        <w:pStyle w:val="ListNumber"/>
        <w:numPr>
          <w:ilvl w:val="0"/>
          <w:numId w:val="0"/>
        </w:numPr>
        <w:ind w:left="360"/>
        <w:rPr>
          <w:color w:val="244061" w:themeColor="accent1" w:themeShade="80"/>
        </w:rPr>
      </w:pPr>
      <w:r w:rsidRPr="003B6668">
        <w:rPr>
          <w:color w:val="244061" w:themeColor="accent1" w:themeShade="80"/>
        </w:rPr>
        <w:t>Before beginning the plugging and abandonment process, the pressure used to squeeze the cement will be determined from the bottomhole pressure gauge</w:t>
      </w:r>
      <w:r w:rsidR="00BE7B15" w:rsidRPr="003B6668">
        <w:rPr>
          <w:color w:val="244061" w:themeColor="accent1" w:themeShade="80"/>
        </w:rPr>
        <w:t>. During plugging operations, the heavy-weighted cement slurry, as well a</w:t>
      </w:r>
      <w:r w:rsidR="00A03B3C" w:rsidRPr="003B6668">
        <w:rPr>
          <w:color w:val="244061" w:themeColor="accent1" w:themeShade="80"/>
        </w:rPr>
        <w:t xml:space="preserve">s </w:t>
      </w:r>
      <w:r w:rsidR="00BE7B15" w:rsidRPr="003B6668">
        <w:rPr>
          <w:color w:val="244061" w:themeColor="accent1" w:themeShade="80"/>
        </w:rPr>
        <w:t xml:space="preserve">weighted displacement fluids, will be over-balanced </w:t>
      </w:r>
      <w:r w:rsidR="00A03B3C" w:rsidRPr="003B6668">
        <w:rPr>
          <w:color w:val="244061" w:themeColor="accent1" w:themeShade="80"/>
        </w:rPr>
        <w:t xml:space="preserve">to </w:t>
      </w:r>
      <w:r w:rsidR="00BE7B15" w:rsidRPr="003B6668">
        <w:rPr>
          <w:color w:val="244061" w:themeColor="accent1" w:themeShade="80"/>
        </w:rPr>
        <w:t>ensur</w:t>
      </w:r>
      <w:r w:rsidR="00A03B3C" w:rsidRPr="003B6668">
        <w:rPr>
          <w:color w:val="244061" w:themeColor="accent1" w:themeShade="80"/>
        </w:rPr>
        <w:t>e</w:t>
      </w:r>
      <w:r w:rsidR="00BE7B15" w:rsidRPr="003B6668">
        <w:rPr>
          <w:color w:val="244061" w:themeColor="accent1" w:themeShade="80"/>
        </w:rPr>
        <w:t xml:space="preserve"> that no reservoir fluids will enter the wellbore during cementing operations.</w:t>
      </w:r>
    </w:p>
    <w:p w14:paraId="1BCB05F8" w14:textId="2848C7F1" w:rsidR="005541EE" w:rsidRPr="003B6668" w:rsidRDefault="00EE5A69">
      <w:pPr>
        <w:pStyle w:val="ListNumber"/>
        <w:rPr>
          <w:rStyle w:val="LineNumber"/>
          <w:color w:val="244061" w:themeColor="accent1" w:themeShade="80"/>
        </w:rPr>
      </w:pPr>
      <w:r w:rsidRPr="003B6668">
        <w:rPr>
          <w:rStyle w:val="LineNumber"/>
          <w:color w:val="244061" w:themeColor="accent1" w:themeShade="80"/>
        </w:rPr>
        <w:t>T</w:t>
      </w:r>
      <w:r w:rsidR="005541EE" w:rsidRPr="003B6668">
        <w:rPr>
          <w:rStyle w:val="LineNumber"/>
          <w:color w:val="244061" w:themeColor="accent1" w:themeShade="80"/>
        </w:rPr>
        <w:t xml:space="preserve">he </w:t>
      </w:r>
      <w:r w:rsidR="00A03B3C" w:rsidRPr="003B6668">
        <w:rPr>
          <w:rStyle w:val="LineNumber"/>
          <w:color w:val="244061" w:themeColor="accent1" w:themeShade="80"/>
          <w:highlight w:val="yellow"/>
        </w:rPr>
        <w:t>INSERT INJECTION WELL NAME</w:t>
      </w:r>
      <w:r w:rsidR="00A03B3C" w:rsidRPr="003B6668">
        <w:rPr>
          <w:rStyle w:val="LineNumber"/>
          <w:color w:val="244061" w:themeColor="accent1" w:themeShade="80"/>
        </w:rPr>
        <w:t xml:space="preserve"> </w:t>
      </w:r>
      <w:r w:rsidR="005541EE" w:rsidRPr="003B6668">
        <w:rPr>
          <w:rStyle w:val="LineNumber"/>
          <w:color w:val="244061" w:themeColor="accent1" w:themeShade="80"/>
        </w:rPr>
        <w:t xml:space="preserve">will be flushed with kill fluid. </w:t>
      </w:r>
      <w:r w:rsidR="00760ABC" w:rsidRPr="003B6668">
        <w:rPr>
          <w:rStyle w:val="LineNumber"/>
          <w:color w:val="244061" w:themeColor="accent1" w:themeShade="80"/>
        </w:rPr>
        <w:t xml:space="preserve">Kill fluids that will be pumped will be 10 ppg NaCl brine. </w:t>
      </w:r>
      <w:r w:rsidR="00C36804" w:rsidRPr="00D86CD5">
        <w:rPr>
          <w:rStyle w:val="LineNumber"/>
          <w:b/>
          <w:bCs/>
          <w:i/>
          <w:iCs/>
          <w:color w:val="C00000"/>
        </w:rPr>
        <w:t>[If a different kill fluid is proposed, specify ingredients and c</w:t>
      </w:r>
      <w:r w:rsidR="00D86CD5" w:rsidRPr="00D86CD5">
        <w:rPr>
          <w:rStyle w:val="LineNumber"/>
          <w:b/>
          <w:bCs/>
          <w:i/>
          <w:iCs/>
          <w:color w:val="C00000"/>
        </w:rPr>
        <w:t>o</w:t>
      </w:r>
      <w:r w:rsidR="00C36804" w:rsidRPr="00D86CD5">
        <w:rPr>
          <w:rStyle w:val="LineNumber"/>
          <w:b/>
          <w:bCs/>
          <w:i/>
          <w:iCs/>
          <w:color w:val="C00000"/>
        </w:rPr>
        <w:t>ncentrations].</w:t>
      </w:r>
      <w:r w:rsidR="00C36804" w:rsidRPr="00B84173">
        <w:rPr>
          <w:rStyle w:val="LineNumber"/>
          <w:i/>
          <w:iCs/>
          <w:color w:val="C00000"/>
        </w:rPr>
        <w:t xml:space="preserve"> </w:t>
      </w:r>
      <w:r w:rsidR="005541EE" w:rsidRPr="003B6668">
        <w:rPr>
          <w:rStyle w:val="LineNumber"/>
          <w:color w:val="244061" w:themeColor="accent1" w:themeShade="80"/>
        </w:rPr>
        <w:t xml:space="preserve">A minimum of three tubing volumes will be injected without exceeding the fracture pressure. </w:t>
      </w:r>
    </w:p>
    <w:p w14:paraId="56B0BC0E" w14:textId="1171781D" w:rsidR="005541EE" w:rsidRPr="003B6668" w:rsidRDefault="005541EE" w:rsidP="00B70202">
      <w:pPr>
        <w:pStyle w:val="ListNumber"/>
        <w:rPr>
          <w:rStyle w:val="LineNumber"/>
          <w:color w:val="244061" w:themeColor="accent1" w:themeShade="80"/>
        </w:rPr>
      </w:pPr>
      <w:r w:rsidRPr="003B6668">
        <w:rPr>
          <w:rStyle w:val="LineNumber"/>
          <w:color w:val="244061" w:themeColor="accent1" w:themeShade="80"/>
        </w:rPr>
        <w:t>Bottomhole pressure measurements will be taken using the installed downhole gauges. In the</w:t>
      </w:r>
      <w:r w:rsidR="00EB0DC9" w:rsidRPr="003B6668">
        <w:rPr>
          <w:rStyle w:val="LineNumber"/>
          <w:color w:val="244061" w:themeColor="accent1" w:themeShade="80"/>
        </w:rPr>
        <w:t xml:space="preserve"> event</w:t>
      </w:r>
      <w:r w:rsidRPr="003B6668">
        <w:rPr>
          <w:rStyle w:val="LineNumber"/>
          <w:color w:val="244061" w:themeColor="accent1" w:themeShade="80"/>
        </w:rPr>
        <w:t xml:space="preserve"> gauges are not functioning properly, the </w:t>
      </w:r>
      <w:r w:rsidR="000C5EE6" w:rsidRPr="003B6668">
        <w:rPr>
          <w:rStyle w:val="LineNumber"/>
          <w:color w:val="244061" w:themeColor="accent1" w:themeShade="80"/>
        </w:rPr>
        <w:t xml:space="preserve">Permittee </w:t>
      </w:r>
      <w:r w:rsidRPr="003B6668">
        <w:rPr>
          <w:rStyle w:val="LineNumber"/>
          <w:color w:val="244061" w:themeColor="accent1" w:themeShade="80"/>
        </w:rPr>
        <w:t xml:space="preserve">will run a pressure gauge during the </w:t>
      </w:r>
      <w:r w:rsidR="00BC3A5B" w:rsidRPr="003B6668">
        <w:rPr>
          <w:rStyle w:val="LineNumber"/>
          <w:color w:val="244061" w:themeColor="accent1" w:themeShade="80"/>
        </w:rPr>
        <w:t xml:space="preserve">plugging and abandonment </w:t>
      </w:r>
      <w:r w:rsidRPr="003B6668">
        <w:rPr>
          <w:rStyle w:val="LineNumber"/>
          <w:color w:val="244061" w:themeColor="accent1" w:themeShade="80"/>
        </w:rPr>
        <w:t xml:space="preserve">process of </w:t>
      </w:r>
      <w:r w:rsidR="00A03B3C" w:rsidRPr="003B6668">
        <w:rPr>
          <w:rStyle w:val="LineNumber"/>
          <w:color w:val="244061" w:themeColor="accent1" w:themeShade="80"/>
          <w:highlight w:val="yellow"/>
        </w:rPr>
        <w:t>INSERT INJ</w:t>
      </w:r>
      <w:r w:rsidR="00705385" w:rsidRPr="003B6668">
        <w:rPr>
          <w:rStyle w:val="LineNumber"/>
          <w:color w:val="244061" w:themeColor="accent1" w:themeShade="80"/>
          <w:highlight w:val="yellow"/>
        </w:rPr>
        <w:t>E</w:t>
      </w:r>
      <w:r w:rsidR="00A03B3C" w:rsidRPr="003B6668">
        <w:rPr>
          <w:rStyle w:val="LineNumber"/>
          <w:color w:val="244061" w:themeColor="accent1" w:themeShade="80"/>
          <w:highlight w:val="yellow"/>
        </w:rPr>
        <w:t>CTION WELL NAME</w:t>
      </w:r>
      <w:r w:rsidRPr="003B6668">
        <w:rPr>
          <w:rStyle w:val="LineNumber"/>
          <w:color w:val="244061" w:themeColor="accent1" w:themeShade="80"/>
        </w:rPr>
        <w:t>.</w:t>
      </w:r>
    </w:p>
    <w:p w14:paraId="552B516E" w14:textId="6BCCD999" w:rsidR="005541EE" w:rsidRPr="003B6668" w:rsidRDefault="00A836E5" w:rsidP="00B70202">
      <w:pPr>
        <w:pStyle w:val="ListNumber"/>
        <w:rPr>
          <w:rStyle w:val="LineNumber"/>
          <w:color w:val="244061" w:themeColor="accent1" w:themeShade="80"/>
        </w:rPr>
      </w:pPr>
      <w:r w:rsidRPr="5BBF97C9">
        <w:rPr>
          <w:rStyle w:val="LineNumber"/>
          <w:b/>
          <w:bCs/>
          <w:i/>
          <w:iCs/>
          <w:color w:val="C00000"/>
        </w:rPr>
        <w:t>[Insert</w:t>
      </w:r>
      <w:r w:rsidR="005541EE" w:rsidRPr="5BBF97C9">
        <w:rPr>
          <w:rStyle w:val="LineNumber"/>
          <w:b/>
          <w:bCs/>
          <w:i/>
          <w:iCs/>
          <w:color w:val="C00000"/>
        </w:rPr>
        <w:t xml:space="preserve"> log</w:t>
      </w:r>
      <w:r w:rsidR="2D59F5F9" w:rsidRPr="5BBF97C9">
        <w:rPr>
          <w:rStyle w:val="LineNumber"/>
          <w:b/>
          <w:bCs/>
          <w:i/>
          <w:iCs/>
          <w:color w:val="C00000"/>
        </w:rPr>
        <w:t xml:space="preserve"> type(s)]</w:t>
      </w:r>
      <w:r w:rsidR="005541EE" w:rsidRPr="003B6668">
        <w:rPr>
          <w:rStyle w:val="LineNumber"/>
          <w:color w:val="244061" w:themeColor="accent1" w:themeShade="80"/>
        </w:rPr>
        <w:t xml:space="preserve"> will be run and </w:t>
      </w:r>
      <w:r w:rsidR="0091264F" w:rsidRPr="003B6668">
        <w:rPr>
          <w:rStyle w:val="LineNumber"/>
          <w:color w:val="244061" w:themeColor="accent1" w:themeShade="80"/>
          <w:highlight w:val="yellow"/>
        </w:rPr>
        <w:t>INSERT INJECTION WELL NAME</w:t>
      </w:r>
      <w:r w:rsidR="005541EE" w:rsidRPr="003B6668">
        <w:rPr>
          <w:rStyle w:val="LineNumber"/>
          <w:color w:val="244061" w:themeColor="accent1" w:themeShade="80"/>
        </w:rPr>
        <w:t xml:space="preserve"> will be pressure tested to ensure</w:t>
      </w:r>
      <w:r w:rsidR="001330CD" w:rsidRPr="003B6668">
        <w:rPr>
          <w:rStyle w:val="LineNumber"/>
          <w:color w:val="244061" w:themeColor="accent1" w:themeShade="80"/>
        </w:rPr>
        <w:t xml:space="preserve"> mechanical</w:t>
      </w:r>
      <w:r w:rsidR="005541EE" w:rsidRPr="003B6668">
        <w:rPr>
          <w:rStyle w:val="LineNumber"/>
          <w:color w:val="244061" w:themeColor="accent1" w:themeShade="80"/>
        </w:rPr>
        <w:t xml:space="preserve"> integrity </w:t>
      </w:r>
      <w:r w:rsidR="001330CD" w:rsidRPr="003B6668">
        <w:rPr>
          <w:rStyle w:val="LineNumber"/>
          <w:color w:val="244061" w:themeColor="accent1" w:themeShade="80"/>
        </w:rPr>
        <w:t>of</w:t>
      </w:r>
      <w:r w:rsidR="005541EE" w:rsidRPr="003B6668">
        <w:rPr>
          <w:rStyle w:val="LineNumber"/>
          <w:color w:val="244061" w:themeColor="accent1" w:themeShade="80"/>
        </w:rPr>
        <w:t xml:space="preserve"> the casing before plugging. </w:t>
      </w:r>
    </w:p>
    <w:p w14:paraId="79DFDBD3" w14:textId="134C0C87" w:rsidR="005541EE" w:rsidRPr="003B6668" w:rsidRDefault="005541EE" w:rsidP="00B70202">
      <w:pPr>
        <w:pStyle w:val="ListNumber"/>
        <w:rPr>
          <w:rStyle w:val="LineNumber"/>
          <w:color w:val="244061" w:themeColor="accent1" w:themeShade="80"/>
        </w:rPr>
      </w:pPr>
      <w:r w:rsidRPr="003B6668">
        <w:rPr>
          <w:rStyle w:val="LineNumber"/>
          <w:color w:val="244061" w:themeColor="accent1" w:themeShade="80"/>
        </w:rPr>
        <w:t xml:space="preserve">If a loss of mechanical integrity is discovered, </w:t>
      </w:r>
      <w:r w:rsidR="0091264F" w:rsidRPr="003B6668">
        <w:rPr>
          <w:rStyle w:val="LineNumber"/>
          <w:color w:val="244061" w:themeColor="accent1" w:themeShade="80"/>
          <w:highlight w:val="yellow"/>
        </w:rPr>
        <w:t>INSERT INJECTION WELL NAME</w:t>
      </w:r>
      <w:r w:rsidR="0091264F" w:rsidRPr="003B6668">
        <w:rPr>
          <w:rStyle w:val="LineNumber"/>
          <w:color w:val="244061" w:themeColor="accent1" w:themeShade="80"/>
        </w:rPr>
        <w:t xml:space="preserve"> </w:t>
      </w:r>
      <w:r w:rsidRPr="003B6668">
        <w:rPr>
          <w:rStyle w:val="LineNumber"/>
          <w:color w:val="244061" w:themeColor="accent1" w:themeShade="80"/>
        </w:rPr>
        <w:t>will be repaired before proceeding further with plugging operations.</w:t>
      </w:r>
    </w:p>
    <w:p w14:paraId="0043D555" w14:textId="174B36D9" w:rsidR="005541EE" w:rsidRPr="003B6668" w:rsidRDefault="005541EE" w:rsidP="00B70202">
      <w:pPr>
        <w:pStyle w:val="ListNumber"/>
        <w:rPr>
          <w:rStyle w:val="LineNumber"/>
          <w:color w:val="244061" w:themeColor="accent1" w:themeShade="80"/>
        </w:rPr>
      </w:pPr>
      <w:r w:rsidRPr="003B6668">
        <w:rPr>
          <w:rStyle w:val="LineNumber"/>
          <w:color w:val="244061" w:themeColor="accent1" w:themeShade="80"/>
        </w:rPr>
        <w:t xml:space="preserve">The balanced-plug placement method will be used to plug </w:t>
      </w:r>
      <w:r w:rsidR="0091264F" w:rsidRPr="003B6668">
        <w:rPr>
          <w:rStyle w:val="LineNumber"/>
          <w:color w:val="244061" w:themeColor="accent1" w:themeShade="80"/>
          <w:highlight w:val="yellow"/>
        </w:rPr>
        <w:t>INSERT INJECTION WELL NAME</w:t>
      </w:r>
      <w:r w:rsidRPr="003B6668">
        <w:rPr>
          <w:rStyle w:val="LineNumber"/>
          <w:color w:val="244061" w:themeColor="accent1" w:themeShade="80"/>
        </w:rPr>
        <w:t>. A cement retainer will be used to isolate the perforated section and prevent flowback of formation fluids that could contaminate the plug.</w:t>
      </w:r>
    </w:p>
    <w:p w14:paraId="455BD075" w14:textId="27929A83" w:rsidR="005541EE" w:rsidRPr="003B6668" w:rsidRDefault="00071E55" w:rsidP="00B70202">
      <w:pPr>
        <w:pStyle w:val="ListNumber"/>
        <w:rPr>
          <w:rStyle w:val="LineNumber"/>
          <w:color w:val="244061" w:themeColor="accent1" w:themeShade="80"/>
        </w:rPr>
      </w:pPr>
      <w:r w:rsidRPr="003B6668">
        <w:rPr>
          <w:rStyle w:val="LineNumber"/>
          <w:color w:val="244061" w:themeColor="accent1" w:themeShade="80"/>
        </w:rPr>
        <w:t>All</w:t>
      </w:r>
      <w:r w:rsidR="005541EE" w:rsidRPr="003B6668">
        <w:rPr>
          <w:rStyle w:val="LineNumber"/>
          <w:color w:val="244061" w:themeColor="accent1" w:themeShade="80"/>
        </w:rPr>
        <w:t xml:space="preserve"> the casing strings will be cut off at least 5 f</w:t>
      </w:r>
      <w:r w:rsidR="004E275B" w:rsidRPr="003B6668">
        <w:rPr>
          <w:rStyle w:val="LineNumber"/>
          <w:color w:val="244061" w:themeColor="accent1" w:themeShade="80"/>
        </w:rPr>
        <w:t>ee</w:t>
      </w:r>
      <w:r w:rsidR="005541EE" w:rsidRPr="003B6668">
        <w:rPr>
          <w:rStyle w:val="LineNumber"/>
          <w:color w:val="244061" w:themeColor="accent1" w:themeShade="80"/>
        </w:rPr>
        <w:t xml:space="preserve">t below </w:t>
      </w:r>
      <w:r w:rsidR="006D6009" w:rsidRPr="003B6668">
        <w:rPr>
          <w:rStyle w:val="LineNumber"/>
          <w:color w:val="244061" w:themeColor="accent1" w:themeShade="80"/>
        </w:rPr>
        <w:t>land</w:t>
      </w:r>
      <w:r w:rsidR="005541EE" w:rsidRPr="003B6668">
        <w:rPr>
          <w:rStyle w:val="LineNumber"/>
          <w:color w:val="244061" w:themeColor="accent1" w:themeShade="80"/>
        </w:rPr>
        <w:t xml:space="preserve"> surface. </w:t>
      </w:r>
    </w:p>
    <w:p w14:paraId="191C8F31" w14:textId="766FC663" w:rsidR="005541EE" w:rsidRPr="003B6668" w:rsidRDefault="005541EE" w:rsidP="00B70202">
      <w:pPr>
        <w:pStyle w:val="ListNumber"/>
        <w:spacing w:after="200"/>
        <w:rPr>
          <w:rStyle w:val="LineNumber"/>
          <w:color w:val="244061" w:themeColor="accent1" w:themeShade="80"/>
        </w:rPr>
      </w:pPr>
      <w:r w:rsidRPr="003B6668">
        <w:rPr>
          <w:rStyle w:val="LineNumber"/>
          <w:color w:val="244061" w:themeColor="accent1" w:themeShade="80"/>
        </w:rPr>
        <w:t xml:space="preserve">A plate with the required </w:t>
      </w:r>
      <w:r w:rsidR="00760ABC" w:rsidRPr="003B6668">
        <w:rPr>
          <w:rStyle w:val="LineNumber"/>
          <w:color w:val="244061" w:themeColor="accent1" w:themeShade="80"/>
        </w:rPr>
        <w:t>P</w:t>
      </w:r>
      <w:r w:rsidRPr="003B6668">
        <w:rPr>
          <w:rStyle w:val="LineNumber"/>
          <w:color w:val="244061" w:themeColor="accent1" w:themeShade="80"/>
        </w:rPr>
        <w:t>ermit information will be welded on top of the cutoff casing.</w:t>
      </w:r>
    </w:p>
    <w:p w14:paraId="4DCFC89A" w14:textId="391AC225" w:rsidR="001D30A1" w:rsidRPr="0052404F" w:rsidRDefault="00D255C7" w:rsidP="00B87376">
      <w:pPr>
        <w:pStyle w:val="Heading1"/>
      </w:pPr>
      <w:r w:rsidRPr="0052404F">
        <w:lastRenderedPageBreak/>
        <w:t>Planned Mechanical Integrity Test(s)</w:t>
      </w:r>
    </w:p>
    <w:p w14:paraId="1C41C6B5" w14:textId="6322C912" w:rsidR="0017414E" w:rsidRPr="0052404F" w:rsidRDefault="000C5EE6" w:rsidP="00D42749">
      <w:pPr>
        <w:pStyle w:val="BodyText"/>
      </w:pPr>
      <w:r>
        <w:t xml:space="preserve">The Permittee </w:t>
      </w:r>
      <w:r w:rsidR="001D30A1">
        <w:t xml:space="preserve">will conduct </w:t>
      </w:r>
      <w:r w:rsidR="688EB1E3">
        <w:t>a final</w:t>
      </w:r>
      <w:r w:rsidR="001D30A1">
        <w:t xml:space="preserve"> </w:t>
      </w:r>
      <w:r w:rsidR="00E1044E">
        <w:t xml:space="preserve">external mechanical integrity test </w:t>
      </w:r>
      <w:r w:rsidR="00080698">
        <w:t>prio</w:t>
      </w:r>
      <w:r w:rsidR="009A3A77">
        <w:t>r to plugging</w:t>
      </w:r>
      <w:r w:rsidR="006711B5">
        <w:t xml:space="preserve"> (see Testing and Monitoring Plan – Attachment C of this Permit)</w:t>
      </w:r>
      <w:r w:rsidR="00167669">
        <w:t>,</w:t>
      </w:r>
      <w:r w:rsidR="009A3A77">
        <w:t xml:space="preserve"> as required by 40 CFR 146.92(a). </w:t>
      </w:r>
      <w:r w:rsidR="2CD8BCBB" w:rsidRPr="5BBF97C9">
        <w:rPr>
          <w:b/>
          <w:bCs/>
          <w:i/>
          <w:iCs/>
          <w:color w:val="C00000"/>
        </w:rPr>
        <w:t>[Insert log type(s)]</w:t>
      </w:r>
      <w:r w:rsidR="00FD3507">
        <w:t xml:space="preserve"> </w:t>
      </w:r>
      <w:r w:rsidR="009A3A77">
        <w:t>or other approved external MIT</w:t>
      </w:r>
      <w:r w:rsidR="006D6009">
        <w:t xml:space="preserve"> logs</w:t>
      </w:r>
      <w:r w:rsidR="009A3A77">
        <w:t xml:space="preserve"> </w:t>
      </w:r>
      <w:r w:rsidR="00D8567D">
        <w:t>(</w:t>
      </w:r>
      <w:r w:rsidR="00B47F2B">
        <w:fldChar w:fldCharType="begin"/>
      </w:r>
      <w:r w:rsidR="00B47F2B">
        <w:instrText xml:space="preserve"> REF _Ref382056123 \h  \* MERGEFORMAT </w:instrText>
      </w:r>
      <w:r w:rsidR="00B47F2B">
        <w:fldChar w:fldCharType="separate"/>
      </w:r>
      <w:r w:rsidR="00803225">
        <w:t>Table 1</w:t>
      </w:r>
      <w:r w:rsidR="00B47F2B">
        <w:fldChar w:fldCharType="end"/>
      </w:r>
      <w:r w:rsidR="00D8567D">
        <w:t xml:space="preserve">) </w:t>
      </w:r>
      <w:r w:rsidR="009A3A77">
        <w:t>will be run over the entire depth</w:t>
      </w:r>
      <w:r w:rsidR="00D8567D">
        <w:t>.</w:t>
      </w:r>
      <w:r w:rsidR="006B59CB">
        <w:t xml:space="preserve"> The procedure will be EPA-approved</w:t>
      </w:r>
      <w:r w:rsidR="003D4C1F">
        <w:t xml:space="preserve"> (</w:t>
      </w:r>
      <w:r w:rsidR="00063A9F">
        <w:t xml:space="preserve">40 CFR </w:t>
      </w:r>
      <w:r w:rsidR="003D4C1F">
        <w:t>146.92(b)</w:t>
      </w:r>
      <w:r w:rsidR="00B80653">
        <w:t>)</w:t>
      </w:r>
      <w:r w:rsidR="006B59CB">
        <w:t>.</w:t>
      </w:r>
      <w:r w:rsidR="00FE3802">
        <w:t xml:space="preserve"> </w:t>
      </w:r>
    </w:p>
    <w:p w14:paraId="765DF6A7" w14:textId="0918EF00" w:rsidR="00900A3F" w:rsidRPr="0052404F" w:rsidRDefault="00C32C25" w:rsidP="00D42749">
      <w:pPr>
        <w:pStyle w:val="BodyText"/>
        <w:rPr>
          <w:rStyle w:val="IntenseEmphasis"/>
        </w:rPr>
      </w:pPr>
      <w:r w:rsidRPr="0052404F">
        <w:rPr>
          <w:rStyle w:val="IntenseEmphasis"/>
        </w:rPr>
        <w:t>[</w:t>
      </w:r>
      <w:r w:rsidR="008625D2" w:rsidRPr="0052404F">
        <w:rPr>
          <w:rStyle w:val="IntenseEmphasis"/>
        </w:rPr>
        <w:t>Provide</w:t>
      </w:r>
      <w:r w:rsidR="00900A3F" w:rsidRPr="0052404F">
        <w:rPr>
          <w:rStyle w:val="IntenseEmphasis"/>
        </w:rPr>
        <w:t xml:space="preserve"> the specific procedures that will be followed for each type of test</w:t>
      </w:r>
      <w:r w:rsidR="00C63216">
        <w:rPr>
          <w:rStyle w:val="IntenseEmphasis"/>
        </w:rPr>
        <w:t>.</w:t>
      </w:r>
      <w:r w:rsidR="00900A3F" w:rsidRPr="0052404F">
        <w:rPr>
          <w:rStyle w:val="IntenseEmphasis"/>
        </w:rPr>
        <w:t xml:space="preserve"> </w:t>
      </w:r>
      <w:r w:rsidR="00A67B98" w:rsidRPr="0052404F">
        <w:rPr>
          <w:rStyle w:val="IntenseEmphasis"/>
        </w:rPr>
        <w:t>Explain w</w:t>
      </w:r>
      <w:r w:rsidR="00900A3F" w:rsidRPr="0052404F">
        <w:rPr>
          <w:rStyle w:val="IntenseEmphasis"/>
        </w:rPr>
        <w:t>hat will constitute a “pass” or “fail” for each test</w:t>
      </w:r>
      <w:r w:rsidR="00A67B98" w:rsidRPr="0052404F">
        <w:rPr>
          <w:rStyle w:val="IntenseEmphasis"/>
        </w:rPr>
        <w:t xml:space="preserve">. </w:t>
      </w:r>
      <w:r w:rsidR="006E66B2" w:rsidRPr="0052404F">
        <w:rPr>
          <w:rStyle w:val="IntenseEmphasis"/>
        </w:rPr>
        <w:t>Modify Table 1</w:t>
      </w:r>
      <w:r w:rsidR="00BB7026" w:rsidRPr="0052404F">
        <w:rPr>
          <w:rStyle w:val="IntenseEmphasis"/>
        </w:rPr>
        <w:t xml:space="preserve"> and associated text</w:t>
      </w:r>
      <w:r w:rsidR="006E66B2" w:rsidRPr="0052404F">
        <w:rPr>
          <w:rStyle w:val="IntenseEmphasis"/>
        </w:rPr>
        <w:t xml:space="preserve"> as appropriate</w:t>
      </w:r>
      <w:r w:rsidR="00A67B98" w:rsidRPr="0052404F">
        <w:rPr>
          <w:rStyle w:val="IntenseEmphasis"/>
        </w:rPr>
        <w:t>.</w:t>
      </w:r>
      <w:r w:rsidRPr="0052404F">
        <w:rPr>
          <w:rStyle w:val="IntenseEmphasis"/>
        </w:rPr>
        <w:t>]</w:t>
      </w:r>
    </w:p>
    <w:p w14:paraId="10D01946" w14:textId="044D4237" w:rsidR="00900A3F" w:rsidRPr="0052404F" w:rsidRDefault="0044153A" w:rsidP="2DE22EE3">
      <w:pPr>
        <w:pStyle w:val="Caption"/>
        <w:spacing w:before="200" w:after="120"/>
        <w:rPr>
          <w:rFonts w:asciiTheme="minorHAnsi" w:hAnsiTheme="minorHAnsi" w:cstheme="minorBidi"/>
        </w:rPr>
      </w:pPr>
      <w:bookmarkStart w:id="0" w:name="_Ref382056123"/>
      <w:r w:rsidRPr="2DE22EE3">
        <w:rPr>
          <w:rFonts w:asciiTheme="minorHAnsi" w:hAnsiTheme="minorHAnsi" w:cstheme="minorBidi"/>
        </w:rPr>
        <w:t xml:space="preserve">Table </w:t>
      </w:r>
      <w:r w:rsidRPr="2DE22EE3">
        <w:rPr>
          <w:rFonts w:asciiTheme="minorHAnsi" w:hAnsiTheme="minorHAnsi" w:cstheme="minorBidi"/>
        </w:rPr>
        <w:fldChar w:fldCharType="begin"/>
      </w:r>
      <w:r w:rsidRPr="2DE22EE3">
        <w:rPr>
          <w:rFonts w:asciiTheme="minorHAnsi" w:hAnsiTheme="minorHAnsi" w:cstheme="minorBidi"/>
        </w:rPr>
        <w:instrText xml:space="preserve"> SEQ Table \* ARABIC </w:instrText>
      </w:r>
      <w:r w:rsidRPr="2DE22EE3">
        <w:rPr>
          <w:rFonts w:asciiTheme="minorHAnsi" w:hAnsiTheme="minorHAnsi" w:cstheme="minorBidi"/>
        </w:rPr>
        <w:fldChar w:fldCharType="separate"/>
      </w:r>
      <w:r w:rsidRPr="2DE22EE3">
        <w:rPr>
          <w:rFonts w:asciiTheme="minorHAnsi" w:hAnsiTheme="minorHAnsi" w:cstheme="minorBidi"/>
        </w:rPr>
        <w:t>1</w:t>
      </w:r>
      <w:r w:rsidRPr="2DE22EE3">
        <w:rPr>
          <w:rFonts w:asciiTheme="minorHAnsi" w:hAnsiTheme="minorHAnsi" w:cstheme="minorBidi"/>
        </w:rPr>
        <w:fldChar w:fldCharType="end"/>
      </w:r>
      <w:bookmarkEnd w:id="0"/>
      <w:r w:rsidRPr="2DE22EE3">
        <w:rPr>
          <w:rFonts w:asciiTheme="minorHAnsi" w:hAnsiTheme="minorHAnsi" w:cstheme="minorBidi"/>
        </w:rPr>
        <w:t xml:space="preserve">. </w:t>
      </w:r>
      <w:r w:rsidR="00B6565F" w:rsidRPr="2DE22EE3">
        <w:rPr>
          <w:rFonts w:asciiTheme="minorHAnsi" w:hAnsiTheme="minorHAnsi" w:cstheme="minorBidi"/>
        </w:rPr>
        <w:t>Planned Mechanical Integrity Tests</w:t>
      </w:r>
      <w:r w:rsidR="00900A3F" w:rsidRPr="2DE22EE3">
        <w:rPr>
          <w:rFonts w:asciiTheme="minorHAnsi" w:hAnsiTheme="minorHAnsi" w:cstheme="minorBidi"/>
        </w:rPr>
        <w:t>.</w:t>
      </w:r>
      <w:r w:rsidR="006E66B2" w:rsidRPr="2DE22EE3">
        <w:rPr>
          <w:rFonts w:asciiTheme="minorHAnsi" w:hAnsiTheme="minorHAnsi" w:cstheme="minorBidi"/>
        </w:rPr>
        <w:t xml:space="preserve"> </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Caption w:val="Table 1. Planned MITs."/>
        <w:tblDescription w:val="This table consists of the test descriptions and their locations."/>
      </w:tblPr>
      <w:tblGrid>
        <w:gridCol w:w="5827"/>
        <w:gridCol w:w="3487"/>
      </w:tblGrid>
      <w:tr w:rsidR="0017414E" w:rsidRPr="0052404F" w14:paraId="2810D680" w14:textId="77777777" w:rsidTr="2DE22EE3">
        <w:trPr>
          <w:jc w:val="center"/>
        </w:trPr>
        <w:tc>
          <w:tcPr>
            <w:tcW w:w="5827" w:type="dxa"/>
            <w:shd w:val="clear" w:color="auto" w:fill="F2F2F2" w:themeFill="background1" w:themeFillShade="F2"/>
            <w:vAlign w:val="center"/>
          </w:tcPr>
          <w:p w14:paraId="2DD74D13" w14:textId="77777777" w:rsidR="0017414E" w:rsidRPr="0052404F" w:rsidRDefault="0017414E" w:rsidP="00803225">
            <w:pPr>
              <w:pStyle w:val="TableHeadrow"/>
            </w:pPr>
            <w:r w:rsidRPr="0052404F">
              <w:t>Test Description</w:t>
            </w:r>
          </w:p>
        </w:tc>
        <w:tc>
          <w:tcPr>
            <w:tcW w:w="3487" w:type="dxa"/>
            <w:shd w:val="clear" w:color="auto" w:fill="F2F2F2" w:themeFill="background1" w:themeFillShade="F2"/>
            <w:vAlign w:val="center"/>
          </w:tcPr>
          <w:p w14:paraId="37B4A453" w14:textId="77777777" w:rsidR="0017414E" w:rsidRPr="0052404F" w:rsidRDefault="0017414E" w:rsidP="00803225">
            <w:pPr>
              <w:pStyle w:val="TableHeadrow"/>
            </w:pPr>
            <w:r w:rsidRPr="0052404F">
              <w:t>Location</w:t>
            </w:r>
          </w:p>
        </w:tc>
      </w:tr>
      <w:tr w:rsidR="0017414E" w:rsidRPr="0052404F" w14:paraId="627AAD48" w14:textId="77777777" w:rsidTr="2DE22EE3">
        <w:trPr>
          <w:trHeight w:val="245"/>
          <w:jc w:val="center"/>
        </w:trPr>
        <w:tc>
          <w:tcPr>
            <w:tcW w:w="5827" w:type="dxa"/>
            <w:shd w:val="clear" w:color="auto" w:fill="FFFFFF" w:themeFill="background1"/>
            <w:vAlign w:val="center"/>
            <w:hideMark/>
          </w:tcPr>
          <w:p w14:paraId="2901B7E1" w14:textId="69102135" w:rsidR="0017414E" w:rsidRPr="003B6668" w:rsidRDefault="5DA8CB37" w:rsidP="00803225">
            <w:pPr>
              <w:pStyle w:val="TableParagraph"/>
              <w:rPr>
                <w:color w:val="244061" w:themeColor="accent1" w:themeShade="80"/>
              </w:rPr>
            </w:pPr>
            <w:r w:rsidRPr="003B6668">
              <w:rPr>
                <w:color w:val="244061" w:themeColor="accent1" w:themeShade="80"/>
              </w:rPr>
              <w:t>Temperature log (</w:t>
            </w:r>
            <w:r w:rsidR="748B7725" w:rsidRPr="003B6668">
              <w:rPr>
                <w:color w:val="244061" w:themeColor="accent1" w:themeShade="80"/>
              </w:rPr>
              <w:t>e</w:t>
            </w:r>
            <w:r w:rsidRPr="003B6668">
              <w:rPr>
                <w:color w:val="244061" w:themeColor="accent1" w:themeShade="80"/>
              </w:rPr>
              <w:t>xternal MIT)</w:t>
            </w:r>
          </w:p>
        </w:tc>
        <w:tc>
          <w:tcPr>
            <w:tcW w:w="3487" w:type="dxa"/>
            <w:shd w:val="clear" w:color="auto" w:fill="FFFFFF" w:themeFill="background1"/>
            <w:vAlign w:val="center"/>
          </w:tcPr>
          <w:p w14:paraId="41F8023D" w14:textId="25A0F4AF" w:rsidR="0017414E" w:rsidRPr="003B6668" w:rsidRDefault="00DD5E50" w:rsidP="00E061A1">
            <w:pPr>
              <w:pStyle w:val="TableParagraph"/>
              <w:jc w:val="center"/>
              <w:rPr>
                <w:color w:val="244061" w:themeColor="accent1" w:themeShade="80"/>
              </w:rPr>
            </w:pPr>
            <w:r w:rsidRPr="003B6668">
              <w:rPr>
                <w:color w:val="244061" w:themeColor="accent1" w:themeShade="80"/>
              </w:rPr>
              <w:t xml:space="preserve">Injection </w:t>
            </w:r>
            <w:r w:rsidRPr="003B6668">
              <w:rPr>
                <w:color w:val="244061" w:themeColor="accent1" w:themeShade="80"/>
                <w:szCs w:val="20"/>
              </w:rPr>
              <w:t>well</w:t>
            </w:r>
            <w:r w:rsidR="00C63216" w:rsidRPr="003B6668">
              <w:rPr>
                <w:color w:val="244061" w:themeColor="accent1" w:themeShade="80"/>
                <w:szCs w:val="20"/>
              </w:rPr>
              <w:t>(</w:t>
            </w:r>
            <w:r w:rsidRPr="003B6668">
              <w:rPr>
                <w:color w:val="244061" w:themeColor="accent1" w:themeShade="80"/>
                <w:szCs w:val="20"/>
              </w:rPr>
              <w:t>s</w:t>
            </w:r>
            <w:r w:rsidR="00C63216" w:rsidRPr="003B6668">
              <w:rPr>
                <w:color w:val="244061" w:themeColor="accent1" w:themeShade="80"/>
                <w:szCs w:val="20"/>
              </w:rPr>
              <w:t>)</w:t>
            </w:r>
          </w:p>
        </w:tc>
      </w:tr>
      <w:tr w:rsidR="0017414E" w:rsidRPr="0052404F" w14:paraId="72B2069A" w14:textId="77777777" w:rsidTr="2DE22EE3">
        <w:trPr>
          <w:jc w:val="center"/>
        </w:trPr>
        <w:tc>
          <w:tcPr>
            <w:tcW w:w="5827" w:type="dxa"/>
            <w:shd w:val="clear" w:color="auto" w:fill="FFFFFF" w:themeFill="background1"/>
            <w:vAlign w:val="center"/>
            <w:hideMark/>
          </w:tcPr>
          <w:p w14:paraId="17569C2B" w14:textId="06CF8B0A" w:rsidR="0017414E" w:rsidRPr="003B6668" w:rsidRDefault="00E03199" w:rsidP="00803225">
            <w:pPr>
              <w:pStyle w:val="TableParagraph"/>
              <w:rPr>
                <w:color w:val="244061" w:themeColor="accent1" w:themeShade="80"/>
              </w:rPr>
            </w:pPr>
            <w:r w:rsidRPr="003B6668">
              <w:rPr>
                <w:color w:val="244061" w:themeColor="accent1" w:themeShade="80"/>
              </w:rPr>
              <w:t>Pulse neutron log (</w:t>
            </w:r>
            <w:r w:rsidR="00150129" w:rsidRPr="003B6668">
              <w:rPr>
                <w:color w:val="244061" w:themeColor="accent1" w:themeShade="80"/>
              </w:rPr>
              <w:t>e</w:t>
            </w:r>
            <w:r w:rsidRPr="003B6668">
              <w:rPr>
                <w:color w:val="244061" w:themeColor="accent1" w:themeShade="80"/>
              </w:rPr>
              <w:t>xternal MIT)</w:t>
            </w:r>
          </w:p>
        </w:tc>
        <w:tc>
          <w:tcPr>
            <w:tcW w:w="3487" w:type="dxa"/>
            <w:shd w:val="clear" w:color="auto" w:fill="FFFFFF" w:themeFill="background1"/>
            <w:vAlign w:val="center"/>
          </w:tcPr>
          <w:p w14:paraId="70B1DE82" w14:textId="4BEF4D46" w:rsidR="0017414E" w:rsidRPr="003B6668" w:rsidRDefault="00C63216" w:rsidP="00E061A1">
            <w:pPr>
              <w:pStyle w:val="TableParagraph"/>
              <w:jc w:val="center"/>
              <w:rPr>
                <w:color w:val="244061" w:themeColor="accent1" w:themeShade="80"/>
              </w:rPr>
            </w:pPr>
            <w:r w:rsidRPr="003B6668">
              <w:rPr>
                <w:color w:val="244061" w:themeColor="accent1" w:themeShade="80"/>
              </w:rPr>
              <w:t xml:space="preserve">Injection </w:t>
            </w:r>
            <w:r w:rsidRPr="003B6668">
              <w:rPr>
                <w:color w:val="244061" w:themeColor="accent1" w:themeShade="80"/>
                <w:szCs w:val="20"/>
              </w:rPr>
              <w:t>well(s)</w:t>
            </w:r>
          </w:p>
        </w:tc>
      </w:tr>
      <w:tr w:rsidR="00C63216" w:rsidRPr="0052404F" w14:paraId="4500F3EB" w14:textId="77777777" w:rsidTr="2DE22EE3">
        <w:trPr>
          <w:jc w:val="center"/>
        </w:trPr>
        <w:tc>
          <w:tcPr>
            <w:tcW w:w="5827" w:type="dxa"/>
            <w:shd w:val="clear" w:color="auto" w:fill="FFFFFF" w:themeFill="background1"/>
            <w:vAlign w:val="center"/>
          </w:tcPr>
          <w:p w14:paraId="32B43902" w14:textId="28BC6A76" w:rsidR="00C63216" w:rsidRPr="003B6668" w:rsidRDefault="00C63216" w:rsidP="00C63216">
            <w:pPr>
              <w:pStyle w:val="TableParagraph"/>
              <w:rPr>
                <w:color w:val="244061" w:themeColor="accent1" w:themeShade="80"/>
              </w:rPr>
            </w:pPr>
            <w:r w:rsidRPr="003B6668">
              <w:rPr>
                <w:color w:val="244061" w:themeColor="accent1" w:themeShade="80"/>
              </w:rPr>
              <w:t>Noise log (external MIT)</w:t>
            </w:r>
          </w:p>
        </w:tc>
        <w:tc>
          <w:tcPr>
            <w:tcW w:w="3487" w:type="dxa"/>
            <w:shd w:val="clear" w:color="auto" w:fill="FFFFFF" w:themeFill="background1"/>
          </w:tcPr>
          <w:p w14:paraId="46FBCD54" w14:textId="1C8931FD" w:rsidR="00C63216" w:rsidRPr="003B6668" w:rsidRDefault="00C63216" w:rsidP="00C63216">
            <w:pPr>
              <w:pStyle w:val="TableParagraph"/>
              <w:jc w:val="center"/>
              <w:rPr>
                <w:color w:val="244061" w:themeColor="accent1" w:themeShade="80"/>
              </w:rPr>
            </w:pPr>
            <w:r w:rsidRPr="003B6668">
              <w:rPr>
                <w:color w:val="244061" w:themeColor="accent1" w:themeShade="80"/>
              </w:rPr>
              <w:t xml:space="preserve">Injection </w:t>
            </w:r>
            <w:r w:rsidRPr="003B6668">
              <w:rPr>
                <w:color w:val="244061" w:themeColor="accent1" w:themeShade="80"/>
                <w:szCs w:val="20"/>
              </w:rPr>
              <w:t>well(s)</w:t>
            </w:r>
          </w:p>
        </w:tc>
      </w:tr>
      <w:tr w:rsidR="00C63216" w:rsidRPr="0052404F" w14:paraId="4D00326A" w14:textId="77777777" w:rsidTr="2DE22EE3">
        <w:trPr>
          <w:jc w:val="center"/>
        </w:trPr>
        <w:tc>
          <w:tcPr>
            <w:tcW w:w="5827" w:type="dxa"/>
            <w:shd w:val="clear" w:color="auto" w:fill="FFFFFF" w:themeFill="background1"/>
            <w:vAlign w:val="center"/>
          </w:tcPr>
          <w:p w14:paraId="6ADD9287" w14:textId="1BE88687" w:rsidR="00C63216" w:rsidRPr="003B6668" w:rsidRDefault="00C63216" w:rsidP="00C63216">
            <w:pPr>
              <w:pStyle w:val="TableParagraph"/>
              <w:rPr>
                <w:iCs/>
                <w:color w:val="244061" w:themeColor="accent1" w:themeShade="80"/>
              </w:rPr>
            </w:pPr>
            <w:r w:rsidRPr="003B6668">
              <w:rPr>
                <w:iCs/>
                <w:color w:val="244061" w:themeColor="accent1" w:themeShade="80"/>
              </w:rPr>
              <w:t>Annulus pressure test (internal MIT)</w:t>
            </w:r>
          </w:p>
        </w:tc>
        <w:tc>
          <w:tcPr>
            <w:tcW w:w="3487" w:type="dxa"/>
            <w:shd w:val="clear" w:color="auto" w:fill="FFFFFF" w:themeFill="background1"/>
          </w:tcPr>
          <w:p w14:paraId="514B3369" w14:textId="437F9DCC" w:rsidR="00C63216" w:rsidRPr="003B6668" w:rsidRDefault="00C63216" w:rsidP="00C63216">
            <w:pPr>
              <w:pStyle w:val="TableParagraph"/>
              <w:jc w:val="center"/>
              <w:rPr>
                <w:color w:val="244061" w:themeColor="accent1" w:themeShade="80"/>
              </w:rPr>
            </w:pPr>
            <w:r w:rsidRPr="003B6668">
              <w:rPr>
                <w:color w:val="244061" w:themeColor="accent1" w:themeShade="80"/>
              </w:rPr>
              <w:t xml:space="preserve">Injection </w:t>
            </w:r>
            <w:r w:rsidRPr="003B6668">
              <w:rPr>
                <w:color w:val="244061" w:themeColor="accent1" w:themeShade="80"/>
                <w:szCs w:val="20"/>
              </w:rPr>
              <w:t>well(s)</w:t>
            </w:r>
          </w:p>
        </w:tc>
      </w:tr>
    </w:tbl>
    <w:p w14:paraId="25967C41" w14:textId="2F789E1B" w:rsidR="00EB6663" w:rsidRPr="0052404F" w:rsidRDefault="00EB6663" w:rsidP="00C7751E">
      <w:pPr>
        <w:pStyle w:val="BodyText"/>
      </w:pPr>
      <w:r>
        <w:t xml:space="preserve">If a failure in the long string casing is identified, the </w:t>
      </w:r>
      <w:r w:rsidR="000C5EE6">
        <w:t xml:space="preserve">Permittee </w:t>
      </w:r>
      <w:r>
        <w:t xml:space="preserve">will prepare a plan to repair the </w:t>
      </w:r>
      <w:r w:rsidRPr="00145C9B">
        <w:t>well before plugging and abandonment</w:t>
      </w:r>
      <w:r w:rsidR="009135E3">
        <w:t xml:space="preserve"> for Director review and approval</w:t>
      </w:r>
      <w:r w:rsidR="00F61AB5" w:rsidRPr="00145C9B">
        <w:t>.</w:t>
      </w:r>
    </w:p>
    <w:p w14:paraId="4DCFC8AC" w14:textId="53314E52" w:rsidR="001D30A1" w:rsidRPr="0052404F" w:rsidRDefault="00D255C7" w:rsidP="00B87376">
      <w:pPr>
        <w:pStyle w:val="Heading1"/>
      </w:pPr>
      <w:r w:rsidRPr="0052404F">
        <w:t>Information on Plugs</w:t>
      </w:r>
    </w:p>
    <w:p w14:paraId="0B411674" w14:textId="6A88E061" w:rsidR="00B90795" w:rsidRPr="0052404F" w:rsidRDefault="00640A55" w:rsidP="000A7AC8">
      <w:pPr>
        <w:pStyle w:val="BodyText"/>
        <w:rPr>
          <w:rStyle w:val="IntenseEmphasis"/>
        </w:rPr>
      </w:pPr>
      <w:r w:rsidRPr="0052404F">
        <w:rPr>
          <w:rStyle w:val="IntenseEmphasis"/>
        </w:rPr>
        <w:t>[Modify as appropriate.]</w:t>
      </w:r>
    </w:p>
    <w:p w14:paraId="4DCFC8AE" w14:textId="1CDABE93" w:rsidR="00D77162" w:rsidRPr="0052404F" w:rsidRDefault="000C5EE6" w:rsidP="00C7751E">
      <w:pPr>
        <w:pStyle w:val="BodyText"/>
      </w:pPr>
      <w:r w:rsidRPr="00EB6B2A">
        <w:t xml:space="preserve">The Permittee </w:t>
      </w:r>
      <w:r w:rsidR="00900A3F">
        <w:t xml:space="preserve">will </w:t>
      </w:r>
      <w:r w:rsidR="00730AEE">
        <w:t xml:space="preserve">use the materials and methods noted in </w:t>
      </w:r>
      <w:r w:rsidR="00760ABC">
        <w:t>Sections 1 and 2 of this Plan</w:t>
      </w:r>
      <w:r w:rsidR="00F474E5">
        <w:t xml:space="preserve"> to plug </w:t>
      </w:r>
      <w:r w:rsidR="00760ABC" w:rsidRPr="217855E5">
        <w:rPr>
          <w:highlight w:val="yellow"/>
        </w:rPr>
        <w:t>INSERT INJECTION WELL NAME</w:t>
      </w:r>
      <w:r w:rsidR="00730AEE">
        <w:t xml:space="preserve">. </w:t>
      </w:r>
      <w:r w:rsidR="001D30A1">
        <w:t>The volume and depth of the plug</w:t>
      </w:r>
      <w:r w:rsidR="00760ABC">
        <w:t>(s)</w:t>
      </w:r>
      <w:r w:rsidR="001D30A1">
        <w:t xml:space="preserve"> will depend on the final geology and downhole conditions of </w:t>
      </w:r>
      <w:bookmarkStart w:id="1" w:name="_Hlk195178552"/>
      <w:r w:rsidR="00760ABC" w:rsidRPr="217855E5">
        <w:rPr>
          <w:highlight w:val="yellow"/>
        </w:rPr>
        <w:t>INSERT INJECTION WELL NAME</w:t>
      </w:r>
      <w:bookmarkEnd w:id="1"/>
      <w:r w:rsidR="001D30A1">
        <w:t>.</w:t>
      </w:r>
      <w:r w:rsidR="00900A3F">
        <w:t xml:space="preserve"> </w:t>
      </w:r>
      <w:r w:rsidR="00FC382F">
        <w:t xml:space="preserve">The cement(s) formulated for plugging will be compatible with the </w:t>
      </w:r>
      <w:r w:rsidR="00DE2F01">
        <w:t>CO</w:t>
      </w:r>
      <w:r w:rsidR="00DE2F01" w:rsidRPr="217855E5">
        <w:rPr>
          <w:vertAlign w:val="subscript"/>
        </w:rPr>
        <w:t>2</w:t>
      </w:r>
      <w:r w:rsidR="00FC382F">
        <w:t xml:space="preserve"> stream.</w:t>
      </w:r>
      <w:r w:rsidR="00900A3F">
        <w:t xml:space="preserve"> </w:t>
      </w:r>
      <w:r w:rsidR="00FC382F">
        <w:t>The cement formulation</w:t>
      </w:r>
      <w:r w:rsidR="000E2612">
        <w:t>, i</w:t>
      </w:r>
      <w:r w:rsidR="000E2612" w:rsidRPr="000E2612">
        <w:t>nclud</w:t>
      </w:r>
      <w:r w:rsidR="000E2612">
        <w:t>ing</w:t>
      </w:r>
      <w:r w:rsidR="000E2612" w:rsidRPr="000E2612">
        <w:t xml:space="preserve"> details of </w:t>
      </w:r>
      <w:r w:rsidR="000E2612">
        <w:t>all</w:t>
      </w:r>
      <w:r w:rsidR="000E2612" w:rsidRPr="000E2612">
        <w:t xml:space="preserve"> proposed additives and their quantities (%, wt-wt, wt-vol, etc.)</w:t>
      </w:r>
      <w:r w:rsidR="000E2612">
        <w:t>,</w:t>
      </w:r>
      <w:r w:rsidR="00FC382F">
        <w:t xml:space="preserve"> and required certification documents will be submitted to the </w:t>
      </w:r>
      <w:r w:rsidR="00A2008F">
        <w:t>Director</w:t>
      </w:r>
      <w:r w:rsidR="00FC382F">
        <w:t xml:space="preserve"> with the </w:t>
      </w:r>
      <w:r w:rsidR="00760ABC">
        <w:t>Injection W</w:t>
      </w:r>
      <w:r w:rsidR="005A5C36">
        <w:t xml:space="preserve">ell </w:t>
      </w:r>
      <w:r w:rsidR="00760ABC">
        <w:t>P</w:t>
      </w:r>
      <w:r w:rsidR="00FC382F">
        <w:t xml:space="preserve">lugging </w:t>
      </w:r>
      <w:r w:rsidR="00760ABC">
        <w:t>P</w:t>
      </w:r>
      <w:r w:rsidR="00FC382F">
        <w:t>lan.</w:t>
      </w:r>
      <w:r w:rsidR="00900A3F">
        <w:t xml:space="preserve"> </w:t>
      </w:r>
      <w:r w:rsidR="00FC382F">
        <w:t xml:space="preserve">The </w:t>
      </w:r>
      <w:r>
        <w:t xml:space="preserve">Permittee </w:t>
      </w:r>
      <w:r w:rsidR="00FC382F">
        <w:t>will report the wet density and will retain duplicate samples of the cement used for each plug.</w:t>
      </w:r>
    </w:p>
    <w:p w14:paraId="119E8C01" w14:textId="52326169" w:rsidR="00157EBE" w:rsidRPr="0052404F" w:rsidRDefault="00157EBE" w:rsidP="00C7751E">
      <w:pPr>
        <w:pStyle w:val="BodyText"/>
      </w:pPr>
      <w:r>
        <w:t xml:space="preserve">In plugging procedures, curing time for </w:t>
      </w:r>
      <w:r w:rsidR="001D6B43">
        <w:t>CO</w:t>
      </w:r>
      <w:r w:rsidR="001D6B43" w:rsidRPr="04D6FA45">
        <w:rPr>
          <w:vertAlign w:val="subscript"/>
        </w:rPr>
        <w:t>2</w:t>
      </w:r>
      <w:r w:rsidR="001D6B43">
        <w:t>-</w:t>
      </w:r>
      <w:r>
        <w:t>resistant cement</w:t>
      </w:r>
      <w:r w:rsidR="00AF443A">
        <w:t xml:space="preserve"> is assumed</w:t>
      </w:r>
      <w:r>
        <w:t xml:space="preserve"> to be </w:t>
      </w:r>
      <w:r w:rsidR="001970B1" w:rsidRPr="00EB6D1A">
        <w:rPr>
          <w:highlight w:val="yellow"/>
        </w:rPr>
        <w:t>XX</w:t>
      </w:r>
      <w:r>
        <w:t xml:space="preserve"> hours. The curing time for the </w:t>
      </w:r>
      <w:r w:rsidR="000024F8">
        <w:t>CO</w:t>
      </w:r>
      <w:r w:rsidR="000024F8" w:rsidRPr="04D6FA45">
        <w:rPr>
          <w:vertAlign w:val="subscript"/>
        </w:rPr>
        <w:t>2</w:t>
      </w:r>
      <w:r w:rsidR="000024F8">
        <w:t>-</w:t>
      </w:r>
      <w:r>
        <w:t xml:space="preserve">resistant plugs will be determined at time of operation via laboratory testing in compliance with API 10B2 (Testing of Oilwell Cements). </w:t>
      </w:r>
      <w:r w:rsidR="000C5EE6" w:rsidRPr="003B6668">
        <w:rPr>
          <w:color w:val="244061" w:themeColor="accent1" w:themeShade="80"/>
        </w:rPr>
        <w:t xml:space="preserve">The Permittee </w:t>
      </w:r>
      <w:r w:rsidRPr="003B6668">
        <w:rPr>
          <w:color w:val="244061" w:themeColor="accent1" w:themeShade="80"/>
        </w:rPr>
        <w:t xml:space="preserve">utilizes </w:t>
      </w:r>
      <w:r w:rsidR="006A6466" w:rsidRPr="003B6668">
        <w:rPr>
          <w:color w:val="244061" w:themeColor="accent1" w:themeShade="80"/>
        </w:rPr>
        <w:t>industry-</w:t>
      </w:r>
      <w:r w:rsidRPr="003B6668">
        <w:rPr>
          <w:color w:val="244061" w:themeColor="accent1" w:themeShade="80"/>
        </w:rPr>
        <w:t>recognized thresholds of 50</w:t>
      </w:r>
      <w:r w:rsidR="00D076E8" w:rsidRPr="003B6668">
        <w:rPr>
          <w:color w:val="244061" w:themeColor="accent1" w:themeShade="80"/>
        </w:rPr>
        <w:t>-</w:t>
      </w:r>
      <w:r w:rsidRPr="003B6668">
        <w:rPr>
          <w:color w:val="244061" w:themeColor="accent1" w:themeShade="80"/>
        </w:rPr>
        <w:t xml:space="preserve">psi compressive strength to pressure test and </w:t>
      </w:r>
      <w:r w:rsidR="00913B10" w:rsidRPr="003B6668">
        <w:rPr>
          <w:color w:val="244061" w:themeColor="accent1" w:themeShade="80"/>
        </w:rPr>
        <w:t>500-</w:t>
      </w:r>
      <w:r w:rsidRPr="003B6668">
        <w:rPr>
          <w:color w:val="244061" w:themeColor="accent1" w:themeShade="80"/>
        </w:rPr>
        <w:t xml:space="preserve">psi compressive strength for physically tagging. </w:t>
      </w:r>
      <w:r w:rsidR="00AA5D0B" w:rsidRPr="003B6668">
        <w:rPr>
          <w:color w:val="244061" w:themeColor="accent1" w:themeShade="80"/>
        </w:rPr>
        <w:t xml:space="preserve">Compressive strength of </w:t>
      </w:r>
      <w:r w:rsidRPr="003B6668">
        <w:rPr>
          <w:color w:val="244061" w:themeColor="accent1" w:themeShade="80"/>
        </w:rPr>
        <w:t>500 psi (or greater) will be achieved for abandonment slurries and will be reached in &lt;48 hours after placement. All plug mud will be 10 ppg NaCl brine with lime added at 1.0 ppb (pound</w:t>
      </w:r>
      <w:r w:rsidR="006E53F6" w:rsidRPr="003B6668">
        <w:rPr>
          <w:color w:val="244061" w:themeColor="accent1" w:themeShade="80"/>
        </w:rPr>
        <w:t>s</w:t>
      </w:r>
      <w:r w:rsidRPr="003B6668">
        <w:rPr>
          <w:color w:val="244061" w:themeColor="accent1" w:themeShade="80"/>
        </w:rPr>
        <w:t xml:space="preserve"> per barrel) to raise the </w:t>
      </w:r>
      <w:r w:rsidR="00515D2C" w:rsidRPr="003B6668">
        <w:rPr>
          <w:color w:val="244061" w:themeColor="accent1" w:themeShade="80"/>
        </w:rPr>
        <w:t>p</w:t>
      </w:r>
      <w:r w:rsidRPr="003B6668">
        <w:rPr>
          <w:color w:val="244061" w:themeColor="accent1" w:themeShade="80"/>
        </w:rPr>
        <w:t>H to &gt;10.5 to combat corrosion, H</w:t>
      </w:r>
      <w:r w:rsidRPr="003B6668">
        <w:rPr>
          <w:color w:val="244061" w:themeColor="accent1" w:themeShade="80"/>
          <w:vertAlign w:val="subscript"/>
        </w:rPr>
        <w:t>2</w:t>
      </w:r>
      <w:r w:rsidRPr="003B6668">
        <w:rPr>
          <w:color w:val="244061" w:themeColor="accent1" w:themeShade="80"/>
        </w:rPr>
        <w:t>S</w:t>
      </w:r>
      <w:r w:rsidR="00515D2C" w:rsidRPr="003B6668">
        <w:rPr>
          <w:color w:val="244061" w:themeColor="accent1" w:themeShade="80"/>
        </w:rPr>
        <w:t>,</w:t>
      </w:r>
      <w:r w:rsidRPr="003B6668">
        <w:rPr>
          <w:color w:val="244061" w:themeColor="accent1" w:themeShade="80"/>
        </w:rPr>
        <w:t xml:space="preserve"> and CO</w:t>
      </w:r>
      <w:r w:rsidRPr="003B6668">
        <w:rPr>
          <w:color w:val="244061" w:themeColor="accent1" w:themeShade="80"/>
          <w:vertAlign w:val="subscript"/>
        </w:rPr>
        <w:t>2</w:t>
      </w:r>
      <w:r w:rsidRPr="003B6668">
        <w:rPr>
          <w:color w:val="244061" w:themeColor="accent1" w:themeShade="80"/>
        </w:rPr>
        <w:t xml:space="preserve"> contamination. Xanthan gel will be added to the mud so that the viscosity is &gt;50 sec/qt.</w:t>
      </w:r>
    </w:p>
    <w:p w14:paraId="42F695C2" w14:textId="416C70D5" w:rsidR="00E00C9C" w:rsidRPr="0052404F" w:rsidRDefault="00DF4D58" w:rsidP="00C7751E">
      <w:pPr>
        <w:pStyle w:val="BodyText"/>
      </w:pPr>
      <w:r w:rsidRPr="003B6668">
        <w:rPr>
          <w:color w:val="244061" w:themeColor="accent1" w:themeShade="80"/>
        </w:rPr>
        <w:t>A standard Portland cement blend will be designed with a minimum 1,000</w:t>
      </w:r>
      <w:r w:rsidR="00FD71E6" w:rsidRPr="003B6668">
        <w:rPr>
          <w:color w:val="244061" w:themeColor="accent1" w:themeShade="80"/>
        </w:rPr>
        <w:t>-</w:t>
      </w:r>
      <w:r w:rsidRPr="003B6668">
        <w:rPr>
          <w:color w:val="244061" w:themeColor="accent1" w:themeShade="80"/>
        </w:rPr>
        <w:t>psi compressive strength and a maximum liquid permeability of 0.1 mD</w:t>
      </w:r>
      <w:r w:rsidRPr="00D571D6">
        <w:t>.</w:t>
      </w:r>
      <w:r w:rsidRPr="00996DE5">
        <w:t xml:space="preserve"> </w:t>
      </w:r>
      <w:r w:rsidRPr="0052404F">
        <w:t xml:space="preserve">The properties of this cement blend will be at least equivalent to the properties of Class G Portland cement, and the cement plug will </w:t>
      </w:r>
      <w:r w:rsidRPr="0052404F">
        <w:lastRenderedPageBreak/>
        <w:t>provide an effective, long-term barrier to prevent migration of CO</w:t>
      </w:r>
      <w:r w:rsidRPr="005467F1">
        <w:rPr>
          <w:vertAlign w:val="subscript"/>
        </w:rPr>
        <w:t>2</w:t>
      </w:r>
      <w:r w:rsidRPr="0052404F">
        <w:t xml:space="preserve"> into and within the wellbore. The </w:t>
      </w:r>
      <w:r w:rsidR="00B940AF" w:rsidRPr="00EB6D1A">
        <w:rPr>
          <w:highlight w:val="yellow"/>
        </w:rPr>
        <w:t xml:space="preserve">INSERT INJECTION </w:t>
      </w:r>
      <w:r w:rsidR="00244A38" w:rsidRPr="00EB6D1A">
        <w:rPr>
          <w:highlight w:val="yellow"/>
        </w:rPr>
        <w:t>WELL NAME</w:t>
      </w:r>
      <w:r w:rsidR="00B940AF" w:rsidRPr="0052404F">
        <w:t xml:space="preserve"> </w:t>
      </w:r>
      <w:r w:rsidRPr="0052404F">
        <w:t xml:space="preserve">will have this cement placed as detailed in </w:t>
      </w:r>
      <w:r w:rsidR="002C44C6" w:rsidRPr="0052404F">
        <w:fldChar w:fldCharType="begin"/>
      </w:r>
      <w:r w:rsidR="002C44C6" w:rsidRPr="0052404F">
        <w:instrText xml:space="preserve"> REF _Ref179547398 \h </w:instrText>
      </w:r>
      <w:r w:rsidR="0052404F" w:rsidRPr="0052404F">
        <w:instrText xml:space="preserve"> \* MERGEFORMAT </w:instrText>
      </w:r>
      <w:r w:rsidR="002C44C6" w:rsidRPr="0052404F">
        <w:fldChar w:fldCharType="separate"/>
      </w:r>
      <w:r w:rsidR="002C44C6" w:rsidRPr="0052404F">
        <w:rPr>
          <w:rFonts w:cstheme="minorHAnsi"/>
          <w:szCs w:val="24"/>
        </w:rPr>
        <w:t xml:space="preserve">Table </w:t>
      </w:r>
      <w:r w:rsidR="002C44C6" w:rsidRPr="005467F1">
        <w:rPr>
          <w:rFonts w:cstheme="minorHAnsi"/>
          <w:szCs w:val="24"/>
        </w:rPr>
        <w:t>2</w:t>
      </w:r>
      <w:r w:rsidR="002C44C6" w:rsidRPr="0052404F">
        <w:fldChar w:fldCharType="end"/>
      </w:r>
      <w:r w:rsidRPr="0052404F">
        <w:t xml:space="preserve">, and all portions of the wellbore that are not plugged with cement will be filled with sufficiently weighted abandonment mud. </w:t>
      </w:r>
    </w:p>
    <w:p w14:paraId="1C90A79E" w14:textId="5B452FF4" w:rsidR="00900A3F" w:rsidRPr="000345E8" w:rsidRDefault="0044153A" w:rsidP="000345E8">
      <w:pPr>
        <w:pStyle w:val="BodyText"/>
        <w:rPr>
          <w:i/>
          <w:color w:val="C00000"/>
        </w:rPr>
      </w:pPr>
      <w:bookmarkStart w:id="2" w:name="_Ref179547398"/>
      <w:r w:rsidRPr="0052404F">
        <w:rPr>
          <w:rFonts w:cstheme="minorHAnsi"/>
          <w:szCs w:val="24"/>
        </w:rPr>
        <w:t xml:space="preserve">Table </w:t>
      </w:r>
      <w:r w:rsidR="0023762F" w:rsidRPr="005467F1">
        <w:rPr>
          <w:rFonts w:cstheme="minorHAnsi"/>
          <w:szCs w:val="24"/>
        </w:rPr>
        <w:fldChar w:fldCharType="begin"/>
      </w:r>
      <w:r w:rsidR="0023762F" w:rsidRPr="0052404F">
        <w:rPr>
          <w:rFonts w:cstheme="minorHAnsi"/>
          <w:szCs w:val="24"/>
        </w:rPr>
        <w:instrText xml:space="preserve"> SEQ Table \* ARABIC </w:instrText>
      </w:r>
      <w:r w:rsidR="0023762F" w:rsidRPr="005467F1">
        <w:rPr>
          <w:rFonts w:cstheme="minorHAnsi"/>
          <w:szCs w:val="24"/>
        </w:rPr>
        <w:fldChar w:fldCharType="separate"/>
      </w:r>
      <w:r w:rsidRPr="005467F1">
        <w:rPr>
          <w:rFonts w:cstheme="minorHAnsi"/>
          <w:szCs w:val="24"/>
        </w:rPr>
        <w:t>2</w:t>
      </w:r>
      <w:r w:rsidR="0023762F" w:rsidRPr="005467F1">
        <w:rPr>
          <w:rFonts w:cstheme="minorHAnsi"/>
          <w:szCs w:val="24"/>
        </w:rPr>
        <w:fldChar w:fldCharType="end"/>
      </w:r>
      <w:bookmarkEnd w:id="2"/>
      <w:r w:rsidRPr="0052404F">
        <w:rPr>
          <w:rFonts w:cstheme="minorHAnsi"/>
          <w:szCs w:val="24"/>
        </w:rPr>
        <w:t xml:space="preserve">. </w:t>
      </w:r>
      <w:r w:rsidR="00900A3F" w:rsidRPr="0052404F">
        <w:rPr>
          <w:rFonts w:cstheme="minorHAnsi"/>
          <w:szCs w:val="24"/>
        </w:rPr>
        <w:t xml:space="preserve">Plugging </w:t>
      </w:r>
      <w:r w:rsidR="00515D2C" w:rsidRPr="0052404F">
        <w:rPr>
          <w:rFonts w:cstheme="minorHAnsi"/>
          <w:szCs w:val="24"/>
        </w:rPr>
        <w:t>D</w:t>
      </w:r>
      <w:r w:rsidR="00900A3F" w:rsidRPr="0052404F">
        <w:rPr>
          <w:rFonts w:cstheme="minorHAnsi"/>
          <w:szCs w:val="24"/>
        </w:rPr>
        <w:t>etails</w:t>
      </w:r>
      <w:r w:rsidR="00E72E49" w:rsidRPr="0052404F">
        <w:rPr>
          <w:rFonts w:cstheme="minorHAnsi"/>
          <w:szCs w:val="24"/>
        </w:rPr>
        <w:t>.</w:t>
      </w:r>
      <w:r w:rsidR="00650B81">
        <w:rPr>
          <w:rFonts w:cstheme="minorHAnsi"/>
          <w:szCs w:val="24"/>
        </w:rPr>
        <w:t xml:space="preserve"> </w:t>
      </w:r>
      <w:r w:rsidR="00650B81" w:rsidRPr="0052404F">
        <w:rPr>
          <w:rStyle w:val="IntenseEmphasis"/>
        </w:rPr>
        <w:t>[Modify as appropriate.]</w:t>
      </w: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29" w:type="dxa"/>
          <w:left w:w="58" w:type="dxa"/>
          <w:bottom w:w="29" w:type="dxa"/>
          <w:right w:w="58" w:type="dxa"/>
        </w:tblCellMar>
        <w:tblLook w:val="01E0" w:firstRow="1" w:lastRow="1" w:firstColumn="1" w:lastColumn="1" w:noHBand="0" w:noVBand="0"/>
        <w:tblCaption w:val="Table 2. Plugging Details"/>
        <w:tblDescription w:val="This table contains Plug Information and empty columns to enter corresponding information for each plug."/>
      </w:tblPr>
      <w:tblGrid>
        <w:gridCol w:w="2595"/>
        <w:gridCol w:w="960"/>
        <w:gridCol w:w="961"/>
        <w:gridCol w:w="959"/>
        <w:gridCol w:w="960"/>
        <w:gridCol w:w="959"/>
        <w:gridCol w:w="960"/>
        <w:gridCol w:w="960"/>
      </w:tblGrid>
      <w:tr w:rsidR="00793279" w:rsidRPr="0052404F" w14:paraId="4DCFC8B7" w14:textId="77777777" w:rsidTr="000A7AC8">
        <w:trPr>
          <w:tblHeader/>
          <w:jc w:val="center"/>
        </w:trPr>
        <w:tc>
          <w:tcPr>
            <w:tcW w:w="2608" w:type="dxa"/>
            <w:shd w:val="clear" w:color="auto" w:fill="F2F2F2" w:themeFill="background1" w:themeFillShade="F2"/>
            <w:tcMar>
              <w:top w:w="58" w:type="dxa"/>
              <w:left w:w="58" w:type="dxa"/>
              <w:bottom w:w="58" w:type="dxa"/>
              <w:right w:w="58" w:type="dxa"/>
            </w:tcMar>
          </w:tcPr>
          <w:p w14:paraId="4DCFC8AF" w14:textId="662C41AE" w:rsidR="00D255C7" w:rsidRPr="0052404F" w:rsidRDefault="00900A3F" w:rsidP="002C44C6">
            <w:pPr>
              <w:pStyle w:val="TableHeadrow"/>
            </w:pPr>
            <w:r w:rsidRPr="0052404F">
              <w:t>Plug Information</w:t>
            </w:r>
          </w:p>
        </w:tc>
        <w:tc>
          <w:tcPr>
            <w:tcW w:w="964" w:type="dxa"/>
            <w:shd w:val="clear" w:color="auto" w:fill="F2F2F2" w:themeFill="background1" w:themeFillShade="F2"/>
            <w:tcMar>
              <w:top w:w="58" w:type="dxa"/>
              <w:left w:w="58" w:type="dxa"/>
              <w:bottom w:w="58" w:type="dxa"/>
              <w:right w:w="58" w:type="dxa"/>
            </w:tcMar>
          </w:tcPr>
          <w:p w14:paraId="4DCFC8B0" w14:textId="77777777" w:rsidR="00D255C7" w:rsidRPr="0052404F" w:rsidRDefault="00D255C7" w:rsidP="002C44C6">
            <w:pPr>
              <w:pStyle w:val="TableHeadrow"/>
            </w:pPr>
            <w:r w:rsidRPr="0052404F">
              <w:t>Plug #1</w:t>
            </w:r>
          </w:p>
        </w:tc>
        <w:tc>
          <w:tcPr>
            <w:tcW w:w="965" w:type="dxa"/>
            <w:shd w:val="clear" w:color="auto" w:fill="F2F2F2" w:themeFill="background1" w:themeFillShade="F2"/>
            <w:tcMar>
              <w:top w:w="58" w:type="dxa"/>
              <w:left w:w="58" w:type="dxa"/>
              <w:bottom w:w="58" w:type="dxa"/>
              <w:right w:w="58" w:type="dxa"/>
            </w:tcMar>
          </w:tcPr>
          <w:p w14:paraId="4DCFC8B1" w14:textId="77777777" w:rsidR="00D255C7" w:rsidRPr="0052404F" w:rsidRDefault="00D255C7" w:rsidP="002C44C6">
            <w:pPr>
              <w:pStyle w:val="TableHeadrow"/>
            </w:pPr>
            <w:r w:rsidRPr="0052404F">
              <w:t>Plug #2</w:t>
            </w:r>
          </w:p>
        </w:tc>
        <w:tc>
          <w:tcPr>
            <w:tcW w:w="964" w:type="dxa"/>
            <w:shd w:val="clear" w:color="auto" w:fill="F2F2F2" w:themeFill="background1" w:themeFillShade="F2"/>
            <w:tcMar>
              <w:top w:w="58" w:type="dxa"/>
              <w:left w:w="58" w:type="dxa"/>
              <w:bottom w:w="58" w:type="dxa"/>
              <w:right w:w="58" w:type="dxa"/>
            </w:tcMar>
          </w:tcPr>
          <w:p w14:paraId="4DCFC8B2" w14:textId="77777777" w:rsidR="00D255C7" w:rsidRPr="0052404F" w:rsidRDefault="00D255C7" w:rsidP="002C44C6">
            <w:pPr>
              <w:pStyle w:val="TableHeadrow"/>
            </w:pPr>
            <w:r w:rsidRPr="0052404F">
              <w:t>Plug #3</w:t>
            </w:r>
          </w:p>
        </w:tc>
        <w:tc>
          <w:tcPr>
            <w:tcW w:w="965" w:type="dxa"/>
            <w:shd w:val="clear" w:color="auto" w:fill="F2F2F2" w:themeFill="background1" w:themeFillShade="F2"/>
            <w:tcMar>
              <w:top w:w="58" w:type="dxa"/>
              <w:left w:w="58" w:type="dxa"/>
              <w:bottom w:w="58" w:type="dxa"/>
              <w:right w:w="58" w:type="dxa"/>
            </w:tcMar>
          </w:tcPr>
          <w:p w14:paraId="4DCFC8B3" w14:textId="77777777" w:rsidR="00D255C7" w:rsidRPr="0052404F" w:rsidRDefault="00D255C7" w:rsidP="002C44C6">
            <w:pPr>
              <w:pStyle w:val="TableHeadrow"/>
            </w:pPr>
            <w:r w:rsidRPr="0052404F">
              <w:t>Plug #4</w:t>
            </w:r>
          </w:p>
        </w:tc>
        <w:tc>
          <w:tcPr>
            <w:tcW w:w="964" w:type="dxa"/>
            <w:shd w:val="clear" w:color="auto" w:fill="F2F2F2" w:themeFill="background1" w:themeFillShade="F2"/>
            <w:tcMar>
              <w:top w:w="58" w:type="dxa"/>
              <w:left w:w="58" w:type="dxa"/>
              <w:bottom w:w="58" w:type="dxa"/>
              <w:right w:w="58" w:type="dxa"/>
            </w:tcMar>
          </w:tcPr>
          <w:p w14:paraId="4DCFC8B4" w14:textId="77777777" w:rsidR="00D255C7" w:rsidRPr="0052404F" w:rsidRDefault="00D255C7" w:rsidP="002C44C6">
            <w:pPr>
              <w:pStyle w:val="TableHeadrow"/>
            </w:pPr>
            <w:r w:rsidRPr="0052404F">
              <w:t>Plug #5</w:t>
            </w:r>
          </w:p>
        </w:tc>
        <w:tc>
          <w:tcPr>
            <w:tcW w:w="965" w:type="dxa"/>
            <w:shd w:val="clear" w:color="auto" w:fill="F2F2F2" w:themeFill="background1" w:themeFillShade="F2"/>
            <w:tcMar>
              <w:top w:w="58" w:type="dxa"/>
              <w:left w:w="58" w:type="dxa"/>
              <w:bottom w:w="58" w:type="dxa"/>
              <w:right w:w="58" w:type="dxa"/>
            </w:tcMar>
          </w:tcPr>
          <w:p w14:paraId="4DCFC8B5" w14:textId="77777777" w:rsidR="00D255C7" w:rsidRPr="0052404F" w:rsidRDefault="00D255C7" w:rsidP="002C44C6">
            <w:pPr>
              <w:pStyle w:val="TableHeadrow"/>
            </w:pPr>
            <w:r w:rsidRPr="0052404F">
              <w:t>Plug #6</w:t>
            </w:r>
          </w:p>
        </w:tc>
        <w:tc>
          <w:tcPr>
            <w:tcW w:w="965" w:type="dxa"/>
            <w:shd w:val="clear" w:color="auto" w:fill="F2F2F2" w:themeFill="background1" w:themeFillShade="F2"/>
            <w:tcMar>
              <w:top w:w="58" w:type="dxa"/>
              <w:left w:w="58" w:type="dxa"/>
              <w:bottom w:w="58" w:type="dxa"/>
              <w:right w:w="58" w:type="dxa"/>
            </w:tcMar>
          </w:tcPr>
          <w:p w14:paraId="4DCFC8B6" w14:textId="77777777" w:rsidR="00D255C7" w:rsidRPr="0052404F" w:rsidRDefault="00D255C7" w:rsidP="002C44C6">
            <w:pPr>
              <w:pStyle w:val="TableHeadrow"/>
            </w:pPr>
            <w:r w:rsidRPr="0052404F">
              <w:t>Plug #7</w:t>
            </w:r>
          </w:p>
        </w:tc>
      </w:tr>
      <w:tr w:rsidR="00793279" w:rsidRPr="0052404F" w14:paraId="4DCFC8C0" w14:textId="77777777" w:rsidTr="000A7AC8">
        <w:trPr>
          <w:jc w:val="center"/>
        </w:trPr>
        <w:tc>
          <w:tcPr>
            <w:tcW w:w="2608" w:type="dxa"/>
            <w:tcMar>
              <w:top w:w="58" w:type="dxa"/>
              <w:left w:w="58" w:type="dxa"/>
              <w:bottom w:w="58" w:type="dxa"/>
              <w:right w:w="58" w:type="dxa"/>
            </w:tcMar>
          </w:tcPr>
          <w:p w14:paraId="4DCFC8B8" w14:textId="64CAEE28" w:rsidR="00D255C7" w:rsidRPr="0052404F" w:rsidRDefault="00D255C7" w:rsidP="002C44C6">
            <w:pPr>
              <w:pStyle w:val="TableParagraph"/>
            </w:pPr>
            <w:r w:rsidRPr="0052404F">
              <w:t xml:space="preserve">Diameter of </w:t>
            </w:r>
            <w:r w:rsidR="00900A3F" w:rsidRPr="0052404F">
              <w:t>bor</w:t>
            </w:r>
            <w:r w:rsidR="003302CC">
              <w:t>e</w:t>
            </w:r>
            <w:r w:rsidR="00900A3F" w:rsidRPr="0052404F">
              <w:t xml:space="preserve"> in which plug will be placed </w:t>
            </w:r>
            <w:r w:rsidR="00150664" w:rsidRPr="0052404F">
              <w:t>(</w:t>
            </w:r>
            <w:r w:rsidR="00284531" w:rsidRPr="0052404F">
              <w:t>inches</w:t>
            </w:r>
            <w:r w:rsidR="00150664" w:rsidRPr="0052404F">
              <w:t>)</w:t>
            </w:r>
          </w:p>
        </w:tc>
        <w:tc>
          <w:tcPr>
            <w:tcW w:w="964" w:type="dxa"/>
            <w:tcMar>
              <w:top w:w="58" w:type="dxa"/>
              <w:left w:w="58" w:type="dxa"/>
              <w:bottom w:w="58" w:type="dxa"/>
              <w:right w:w="58" w:type="dxa"/>
            </w:tcMar>
          </w:tcPr>
          <w:p w14:paraId="4DCFC8B9" w14:textId="77777777" w:rsidR="00D255C7" w:rsidRPr="0052404F" w:rsidRDefault="00D255C7" w:rsidP="002C44C6">
            <w:pPr>
              <w:pStyle w:val="TableParagraph"/>
            </w:pPr>
          </w:p>
        </w:tc>
        <w:tc>
          <w:tcPr>
            <w:tcW w:w="965" w:type="dxa"/>
            <w:tcMar>
              <w:top w:w="58" w:type="dxa"/>
              <w:left w:w="58" w:type="dxa"/>
              <w:bottom w:w="58" w:type="dxa"/>
              <w:right w:w="58" w:type="dxa"/>
            </w:tcMar>
          </w:tcPr>
          <w:p w14:paraId="4DCFC8BA" w14:textId="77777777" w:rsidR="00D255C7" w:rsidRPr="0052404F" w:rsidRDefault="00D255C7" w:rsidP="002C44C6">
            <w:pPr>
              <w:pStyle w:val="TableParagraph"/>
            </w:pPr>
          </w:p>
        </w:tc>
        <w:tc>
          <w:tcPr>
            <w:tcW w:w="964" w:type="dxa"/>
            <w:tcMar>
              <w:top w:w="58" w:type="dxa"/>
              <w:left w:w="58" w:type="dxa"/>
              <w:bottom w:w="58" w:type="dxa"/>
              <w:right w:w="58" w:type="dxa"/>
            </w:tcMar>
          </w:tcPr>
          <w:p w14:paraId="4DCFC8BB" w14:textId="77777777" w:rsidR="00D255C7" w:rsidRPr="0052404F" w:rsidRDefault="00D255C7" w:rsidP="002C44C6">
            <w:pPr>
              <w:pStyle w:val="TableParagraph"/>
            </w:pPr>
          </w:p>
        </w:tc>
        <w:tc>
          <w:tcPr>
            <w:tcW w:w="965" w:type="dxa"/>
            <w:tcMar>
              <w:top w:w="58" w:type="dxa"/>
              <w:left w:w="58" w:type="dxa"/>
              <w:bottom w:w="58" w:type="dxa"/>
              <w:right w:w="58" w:type="dxa"/>
            </w:tcMar>
          </w:tcPr>
          <w:p w14:paraId="4DCFC8BC" w14:textId="77777777" w:rsidR="00D255C7" w:rsidRPr="0052404F" w:rsidRDefault="00D255C7" w:rsidP="002C44C6">
            <w:pPr>
              <w:pStyle w:val="TableParagraph"/>
            </w:pPr>
          </w:p>
        </w:tc>
        <w:tc>
          <w:tcPr>
            <w:tcW w:w="964" w:type="dxa"/>
            <w:tcMar>
              <w:top w:w="58" w:type="dxa"/>
              <w:left w:w="58" w:type="dxa"/>
              <w:bottom w:w="58" w:type="dxa"/>
              <w:right w:w="58" w:type="dxa"/>
            </w:tcMar>
          </w:tcPr>
          <w:p w14:paraId="4DCFC8BD" w14:textId="77777777" w:rsidR="00D255C7" w:rsidRPr="0052404F" w:rsidRDefault="00D255C7" w:rsidP="002C44C6">
            <w:pPr>
              <w:pStyle w:val="TableParagraph"/>
            </w:pPr>
          </w:p>
        </w:tc>
        <w:tc>
          <w:tcPr>
            <w:tcW w:w="965" w:type="dxa"/>
            <w:tcMar>
              <w:top w:w="58" w:type="dxa"/>
              <w:left w:w="58" w:type="dxa"/>
              <w:bottom w:w="58" w:type="dxa"/>
              <w:right w:w="58" w:type="dxa"/>
            </w:tcMar>
          </w:tcPr>
          <w:p w14:paraId="4DCFC8BE" w14:textId="77777777" w:rsidR="00D255C7" w:rsidRPr="0052404F" w:rsidRDefault="00D255C7" w:rsidP="002C44C6">
            <w:pPr>
              <w:pStyle w:val="TableParagraph"/>
            </w:pPr>
          </w:p>
        </w:tc>
        <w:tc>
          <w:tcPr>
            <w:tcW w:w="965" w:type="dxa"/>
            <w:tcMar>
              <w:top w:w="58" w:type="dxa"/>
              <w:left w:w="58" w:type="dxa"/>
              <w:bottom w:w="58" w:type="dxa"/>
              <w:right w:w="58" w:type="dxa"/>
            </w:tcMar>
          </w:tcPr>
          <w:p w14:paraId="4DCFC8BF" w14:textId="77777777" w:rsidR="00D255C7" w:rsidRPr="0052404F" w:rsidRDefault="00D255C7" w:rsidP="002C44C6">
            <w:pPr>
              <w:pStyle w:val="TableParagraph"/>
            </w:pPr>
          </w:p>
        </w:tc>
      </w:tr>
      <w:tr w:rsidR="00793279" w:rsidRPr="0052404F" w14:paraId="4DCFC8C9" w14:textId="77777777" w:rsidTr="000A7AC8">
        <w:trPr>
          <w:jc w:val="center"/>
        </w:trPr>
        <w:tc>
          <w:tcPr>
            <w:tcW w:w="2608" w:type="dxa"/>
            <w:tcMar>
              <w:top w:w="58" w:type="dxa"/>
              <w:left w:w="58" w:type="dxa"/>
              <w:bottom w:w="58" w:type="dxa"/>
              <w:right w:w="58" w:type="dxa"/>
            </w:tcMar>
          </w:tcPr>
          <w:p w14:paraId="4DCFC8C1" w14:textId="4B5A3B55" w:rsidR="00D255C7" w:rsidRPr="0052404F" w:rsidRDefault="00D255C7" w:rsidP="002C44C6">
            <w:pPr>
              <w:pStyle w:val="TableParagraph"/>
            </w:pPr>
            <w:r w:rsidRPr="0052404F">
              <w:t xml:space="preserve">Depth to </w:t>
            </w:r>
            <w:r w:rsidR="00900A3F" w:rsidRPr="0052404F">
              <w:t>bottom of tubing or drill pipe</w:t>
            </w:r>
            <w:r w:rsidRPr="0052404F">
              <w:t xml:space="preserve"> </w:t>
            </w:r>
            <w:r w:rsidR="00150664" w:rsidRPr="0052404F">
              <w:t>(</w:t>
            </w:r>
            <w:r w:rsidR="00284531" w:rsidRPr="0052404F">
              <w:t>ft</w:t>
            </w:r>
            <w:r w:rsidR="00150664" w:rsidRPr="0052404F">
              <w:t>)</w:t>
            </w:r>
          </w:p>
        </w:tc>
        <w:tc>
          <w:tcPr>
            <w:tcW w:w="964" w:type="dxa"/>
            <w:tcMar>
              <w:top w:w="58" w:type="dxa"/>
              <w:left w:w="58" w:type="dxa"/>
              <w:bottom w:w="58" w:type="dxa"/>
              <w:right w:w="58" w:type="dxa"/>
            </w:tcMar>
          </w:tcPr>
          <w:p w14:paraId="4DCFC8C2" w14:textId="77777777" w:rsidR="00D255C7" w:rsidRPr="0052404F" w:rsidRDefault="00D255C7" w:rsidP="002C44C6">
            <w:pPr>
              <w:pStyle w:val="TableParagraph"/>
            </w:pPr>
          </w:p>
        </w:tc>
        <w:tc>
          <w:tcPr>
            <w:tcW w:w="965" w:type="dxa"/>
            <w:tcMar>
              <w:top w:w="58" w:type="dxa"/>
              <w:left w:w="58" w:type="dxa"/>
              <w:bottom w:w="58" w:type="dxa"/>
              <w:right w:w="58" w:type="dxa"/>
            </w:tcMar>
          </w:tcPr>
          <w:p w14:paraId="4DCFC8C3" w14:textId="77777777" w:rsidR="00D255C7" w:rsidRPr="0052404F" w:rsidRDefault="00D255C7" w:rsidP="002C44C6">
            <w:pPr>
              <w:pStyle w:val="TableParagraph"/>
            </w:pPr>
          </w:p>
        </w:tc>
        <w:tc>
          <w:tcPr>
            <w:tcW w:w="964" w:type="dxa"/>
            <w:tcMar>
              <w:top w:w="58" w:type="dxa"/>
              <w:left w:w="58" w:type="dxa"/>
              <w:bottom w:w="58" w:type="dxa"/>
              <w:right w:w="58" w:type="dxa"/>
            </w:tcMar>
          </w:tcPr>
          <w:p w14:paraId="4DCFC8C4" w14:textId="77777777" w:rsidR="00D255C7" w:rsidRPr="0052404F" w:rsidRDefault="00D255C7" w:rsidP="002C44C6">
            <w:pPr>
              <w:pStyle w:val="TableParagraph"/>
            </w:pPr>
          </w:p>
        </w:tc>
        <w:tc>
          <w:tcPr>
            <w:tcW w:w="965" w:type="dxa"/>
            <w:tcMar>
              <w:top w:w="58" w:type="dxa"/>
              <w:left w:w="58" w:type="dxa"/>
              <w:bottom w:w="58" w:type="dxa"/>
              <w:right w:w="58" w:type="dxa"/>
            </w:tcMar>
          </w:tcPr>
          <w:p w14:paraId="4DCFC8C5" w14:textId="77777777" w:rsidR="00D255C7" w:rsidRPr="0052404F" w:rsidRDefault="00D255C7" w:rsidP="002C44C6">
            <w:pPr>
              <w:pStyle w:val="TableParagraph"/>
            </w:pPr>
          </w:p>
        </w:tc>
        <w:tc>
          <w:tcPr>
            <w:tcW w:w="964" w:type="dxa"/>
            <w:tcMar>
              <w:top w:w="58" w:type="dxa"/>
              <w:left w:w="58" w:type="dxa"/>
              <w:bottom w:w="58" w:type="dxa"/>
              <w:right w:w="58" w:type="dxa"/>
            </w:tcMar>
          </w:tcPr>
          <w:p w14:paraId="4DCFC8C6" w14:textId="77777777" w:rsidR="00D255C7" w:rsidRPr="0052404F" w:rsidRDefault="00D255C7" w:rsidP="002C44C6">
            <w:pPr>
              <w:pStyle w:val="TableParagraph"/>
            </w:pPr>
          </w:p>
        </w:tc>
        <w:tc>
          <w:tcPr>
            <w:tcW w:w="965" w:type="dxa"/>
            <w:tcMar>
              <w:top w:w="58" w:type="dxa"/>
              <w:left w:w="58" w:type="dxa"/>
              <w:bottom w:w="58" w:type="dxa"/>
              <w:right w:w="58" w:type="dxa"/>
            </w:tcMar>
          </w:tcPr>
          <w:p w14:paraId="4DCFC8C7" w14:textId="77777777" w:rsidR="00D255C7" w:rsidRPr="0052404F" w:rsidRDefault="00D255C7" w:rsidP="002C44C6">
            <w:pPr>
              <w:pStyle w:val="TableParagraph"/>
            </w:pPr>
          </w:p>
        </w:tc>
        <w:tc>
          <w:tcPr>
            <w:tcW w:w="965" w:type="dxa"/>
            <w:tcMar>
              <w:top w:w="58" w:type="dxa"/>
              <w:left w:w="58" w:type="dxa"/>
              <w:bottom w:w="58" w:type="dxa"/>
              <w:right w:w="58" w:type="dxa"/>
            </w:tcMar>
          </w:tcPr>
          <w:p w14:paraId="4DCFC8C8" w14:textId="77777777" w:rsidR="00D255C7" w:rsidRPr="0052404F" w:rsidRDefault="00D255C7" w:rsidP="002C44C6">
            <w:pPr>
              <w:pStyle w:val="TableParagraph"/>
            </w:pPr>
          </w:p>
        </w:tc>
      </w:tr>
      <w:tr w:rsidR="00793279" w:rsidRPr="0052404F" w14:paraId="4DCFC8D2" w14:textId="77777777" w:rsidTr="000A7AC8">
        <w:trPr>
          <w:jc w:val="center"/>
        </w:trPr>
        <w:tc>
          <w:tcPr>
            <w:tcW w:w="2608" w:type="dxa"/>
            <w:tcMar>
              <w:top w:w="58" w:type="dxa"/>
              <w:left w:w="58" w:type="dxa"/>
              <w:bottom w:w="58" w:type="dxa"/>
              <w:right w:w="58" w:type="dxa"/>
            </w:tcMar>
          </w:tcPr>
          <w:p w14:paraId="4DCFC8CA" w14:textId="78C71B67" w:rsidR="00D255C7" w:rsidRPr="0052404F" w:rsidRDefault="00D255C7" w:rsidP="002C44C6">
            <w:pPr>
              <w:pStyle w:val="TableParagraph"/>
            </w:pPr>
            <w:r w:rsidRPr="0052404F">
              <w:t xml:space="preserve">Sacks of </w:t>
            </w:r>
            <w:r w:rsidR="00900A3F" w:rsidRPr="0052404F">
              <w:t>cement to be used</w:t>
            </w:r>
            <w:r w:rsidR="00F124AC" w:rsidRPr="0052404F">
              <w:t xml:space="preserve"> (each plug)</w:t>
            </w:r>
          </w:p>
        </w:tc>
        <w:tc>
          <w:tcPr>
            <w:tcW w:w="964" w:type="dxa"/>
            <w:tcMar>
              <w:top w:w="58" w:type="dxa"/>
              <w:left w:w="58" w:type="dxa"/>
              <w:bottom w:w="58" w:type="dxa"/>
              <w:right w:w="58" w:type="dxa"/>
            </w:tcMar>
          </w:tcPr>
          <w:p w14:paraId="4DCFC8CB" w14:textId="77777777" w:rsidR="00D255C7" w:rsidRPr="0052404F" w:rsidRDefault="00D255C7" w:rsidP="002C44C6">
            <w:pPr>
              <w:pStyle w:val="TableParagraph"/>
            </w:pPr>
          </w:p>
        </w:tc>
        <w:tc>
          <w:tcPr>
            <w:tcW w:w="965" w:type="dxa"/>
            <w:tcMar>
              <w:top w:w="58" w:type="dxa"/>
              <w:left w:w="58" w:type="dxa"/>
              <w:bottom w:w="58" w:type="dxa"/>
              <w:right w:w="58" w:type="dxa"/>
            </w:tcMar>
          </w:tcPr>
          <w:p w14:paraId="4DCFC8CC" w14:textId="77777777" w:rsidR="00D255C7" w:rsidRPr="0052404F" w:rsidRDefault="00D255C7" w:rsidP="002C44C6">
            <w:pPr>
              <w:pStyle w:val="TableParagraph"/>
            </w:pPr>
          </w:p>
        </w:tc>
        <w:tc>
          <w:tcPr>
            <w:tcW w:w="964" w:type="dxa"/>
            <w:tcMar>
              <w:top w:w="58" w:type="dxa"/>
              <w:left w:w="58" w:type="dxa"/>
              <w:bottom w:w="58" w:type="dxa"/>
              <w:right w:w="58" w:type="dxa"/>
            </w:tcMar>
          </w:tcPr>
          <w:p w14:paraId="4DCFC8CD" w14:textId="77777777" w:rsidR="00D255C7" w:rsidRPr="0052404F" w:rsidRDefault="00D255C7" w:rsidP="002C44C6">
            <w:pPr>
              <w:pStyle w:val="TableParagraph"/>
            </w:pPr>
          </w:p>
        </w:tc>
        <w:tc>
          <w:tcPr>
            <w:tcW w:w="965" w:type="dxa"/>
            <w:tcMar>
              <w:top w:w="58" w:type="dxa"/>
              <w:left w:w="58" w:type="dxa"/>
              <w:bottom w:w="58" w:type="dxa"/>
              <w:right w:w="58" w:type="dxa"/>
            </w:tcMar>
          </w:tcPr>
          <w:p w14:paraId="4DCFC8CE" w14:textId="77777777" w:rsidR="00D255C7" w:rsidRPr="0052404F" w:rsidRDefault="00D255C7" w:rsidP="002C44C6">
            <w:pPr>
              <w:pStyle w:val="TableParagraph"/>
            </w:pPr>
          </w:p>
        </w:tc>
        <w:tc>
          <w:tcPr>
            <w:tcW w:w="964" w:type="dxa"/>
            <w:tcMar>
              <w:top w:w="58" w:type="dxa"/>
              <w:left w:w="58" w:type="dxa"/>
              <w:bottom w:w="58" w:type="dxa"/>
              <w:right w:w="58" w:type="dxa"/>
            </w:tcMar>
          </w:tcPr>
          <w:p w14:paraId="4DCFC8CF" w14:textId="77777777" w:rsidR="00D255C7" w:rsidRPr="0052404F" w:rsidRDefault="00D255C7" w:rsidP="002C44C6">
            <w:pPr>
              <w:pStyle w:val="TableParagraph"/>
            </w:pPr>
          </w:p>
        </w:tc>
        <w:tc>
          <w:tcPr>
            <w:tcW w:w="965" w:type="dxa"/>
            <w:tcMar>
              <w:top w:w="58" w:type="dxa"/>
              <w:left w:w="58" w:type="dxa"/>
              <w:bottom w:w="58" w:type="dxa"/>
              <w:right w:w="58" w:type="dxa"/>
            </w:tcMar>
          </w:tcPr>
          <w:p w14:paraId="4DCFC8D0" w14:textId="77777777" w:rsidR="00D255C7" w:rsidRPr="0052404F" w:rsidRDefault="00D255C7" w:rsidP="002C44C6">
            <w:pPr>
              <w:pStyle w:val="TableParagraph"/>
            </w:pPr>
          </w:p>
        </w:tc>
        <w:tc>
          <w:tcPr>
            <w:tcW w:w="965" w:type="dxa"/>
            <w:tcMar>
              <w:top w:w="58" w:type="dxa"/>
              <w:left w:w="58" w:type="dxa"/>
              <w:bottom w:w="58" w:type="dxa"/>
              <w:right w:w="58" w:type="dxa"/>
            </w:tcMar>
          </w:tcPr>
          <w:p w14:paraId="4DCFC8D1" w14:textId="77777777" w:rsidR="00D255C7" w:rsidRPr="0052404F" w:rsidRDefault="00D255C7" w:rsidP="002C44C6">
            <w:pPr>
              <w:pStyle w:val="TableParagraph"/>
            </w:pPr>
          </w:p>
        </w:tc>
      </w:tr>
      <w:tr w:rsidR="00793279" w:rsidRPr="0052404F" w14:paraId="4DCFC8DB" w14:textId="77777777" w:rsidTr="000A7AC8">
        <w:trPr>
          <w:jc w:val="center"/>
        </w:trPr>
        <w:tc>
          <w:tcPr>
            <w:tcW w:w="2608" w:type="dxa"/>
            <w:tcMar>
              <w:top w:w="58" w:type="dxa"/>
              <w:left w:w="58" w:type="dxa"/>
              <w:bottom w:w="58" w:type="dxa"/>
              <w:right w:w="58" w:type="dxa"/>
            </w:tcMar>
          </w:tcPr>
          <w:p w14:paraId="4DCFC8D3" w14:textId="4F493D1C" w:rsidR="00D255C7" w:rsidRPr="0052404F" w:rsidRDefault="00D255C7" w:rsidP="002C44C6">
            <w:pPr>
              <w:pStyle w:val="TableParagraph"/>
            </w:pPr>
            <w:r w:rsidRPr="0052404F">
              <w:t xml:space="preserve">Slurry </w:t>
            </w:r>
            <w:r w:rsidR="00900A3F" w:rsidRPr="0052404F">
              <w:t>volume to be pumped</w:t>
            </w:r>
            <w:r w:rsidR="0044153A" w:rsidRPr="0052404F">
              <w:t xml:space="preserve"> </w:t>
            </w:r>
            <w:r w:rsidR="00150664" w:rsidRPr="0052404F">
              <w:t>(</w:t>
            </w:r>
            <w:r w:rsidR="00284531" w:rsidRPr="0052404F">
              <w:t>bbl</w:t>
            </w:r>
            <w:r w:rsidR="00150664" w:rsidRPr="0052404F">
              <w:t>)</w:t>
            </w:r>
          </w:p>
        </w:tc>
        <w:tc>
          <w:tcPr>
            <w:tcW w:w="964" w:type="dxa"/>
            <w:tcMar>
              <w:top w:w="58" w:type="dxa"/>
              <w:left w:w="58" w:type="dxa"/>
              <w:bottom w:w="58" w:type="dxa"/>
              <w:right w:w="58" w:type="dxa"/>
            </w:tcMar>
          </w:tcPr>
          <w:p w14:paraId="4DCFC8D4" w14:textId="77777777" w:rsidR="00D255C7" w:rsidRPr="0052404F" w:rsidRDefault="00D255C7" w:rsidP="002C44C6">
            <w:pPr>
              <w:pStyle w:val="TableParagraph"/>
            </w:pPr>
          </w:p>
        </w:tc>
        <w:tc>
          <w:tcPr>
            <w:tcW w:w="965" w:type="dxa"/>
            <w:tcMar>
              <w:top w:w="58" w:type="dxa"/>
              <w:left w:w="58" w:type="dxa"/>
              <w:bottom w:w="58" w:type="dxa"/>
              <w:right w:w="58" w:type="dxa"/>
            </w:tcMar>
          </w:tcPr>
          <w:p w14:paraId="4DCFC8D5" w14:textId="77777777" w:rsidR="00D255C7" w:rsidRPr="0052404F" w:rsidRDefault="00D255C7" w:rsidP="002C44C6">
            <w:pPr>
              <w:pStyle w:val="TableParagraph"/>
            </w:pPr>
          </w:p>
        </w:tc>
        <w:tc>
          <w:tcPr>
            <w:tcW w:w="964" w:type="dxa"/>
            <w:tcMar>
              <w:top w:w="58" w:type="dxa"/>
              <w:left w:w="58" w:type="dxa"/>
              <w:bottom w:w="58" w:type="dxa"/>
              <w:right w:w="58" w:type="dxa"/>
            </w:tcMar>
          </w:tcPr>
          <w:p w14:paraId="4DCFC8D6" w14:textId="77777777" w:rsidR="00D255C7" w:rsidRPr="0052404F" w:rsidRDefault="00D255C7" w:rsidP="002C44C6">
            <w:pPr>
              <w:pStyle w:val="TableParagraph"/>
            </w:pPr>
          </w:p>
        </w:tc>
        <w:tc>
          <w:tcPr>
            <w:tcW w:w="965" w:type="dxa"/>
            <w:tcMar>
              <w:top w:w="58" w:type="dxa"/>
              <w:left w:w="58" w:type="dxa"/>
              <w:bottom w:w="58" w:type="dxa"/>
              <w:right w:w="58" w:type="dxa"/>
            </w:tcMar>
          </w:tcPr>
          <w:p w14:paraId="4DCFC8D7" w14:textId="77777777" w:rsidR="00D255C7" w:rsidRPr="0052404F" w:rsidRDefault="00D255C7" w:rsidP="002C44C6">
            <w:pPr>
              <w:pStyle w:val="TableParagraph"/>
            </w:pPr>
          </w:p>
        </w:tc>
        <w:tc>
          <w:tcPr>
            <w:tcW w:w="964" w:type="dxa"/>
            <w:tcMar>
              <w:top w:w="58" w:type="dxa"/>
              <w:left w:w="58" w:type="dxa"/>
              <w:bottom w:w="58" w:type="dxa"/>
              <w:right w:w="58" w:type="dxa"/>
            </w:tcMar>
          </w:tcPr>
          <w:p w14:paraId="4DCFC8D8" w14:textId="77777777" w:rsidR="00D255C7" w:rsidRPr="0052404F" w:rsidRDefault="00D255C7" w:rsidP="002C44C6">
            <w:pPr>
              <w:pStyle w:val="TableParagraph"/>
            </w:pPr>
          </w:p>
        </w:tc>
        <w:tc>
          <w:tcPr>
            <w:tcW w:w="965" w:type="dxa"/>
            <w:tcMar>
              <w:top w:w="58" w:type="dxa"/>
              <w:left w:w="58" w:type="dxa"/>
              <w:bottom w:w="58" w:type="dxa"/>
              <w:right w:w="58" w:type="dxa"/>
            </w:tcMar>
          </w:tcPr>
          <w:p w14:paraId="4DCFC8D9" w14:textId="77777777" w:rsidR="00D255C7" w:rsidRPr="0052404F" w:rsidRDefault="00D255C7" w:rsidP="002C44C6">
            <w:pPr>
              <w:pStyle w:val="TableParagraph"/>
            </w:pPr>
          </w:p>
        </w:tc>
        <w:tc>
          <w:tcPr>
            <w:tcW w:w="965" w:type="dxa"/>
            <w:tcMar>
              <w:top w:w="58" w:type="dxa"/>
              <w:left w:w="58" w:type="dxa"/>
              <w:bottom w:w="58" w:type="dxa"/>
              <w:right w:w="58" w:type="dxa"/>
            </w:tcMar>
          </w:tcPr>
          <w:p w14:paraId="4DCFC8DA" w14:textId="77777777" w:rsidR="00D255C7" w:rsidRPr="0052404F" w:rsidRDefault="00D255C7" w:rsidP="002C44C6">
            <w:pPr>
              <w:pStyle w:val="TableParagraph"/>
            </w:pPr>
          </w:p>
        </w:tc>
      </w:tr>
      <w:tr w:rsidR="00793279" w:rsidRPr="0052404F" w14:paraId="4DCFC8E4" w14:textId="77777777" w:rsidTr="000A7AC8">
        <w:trPr>
          <w:jc w:val="center"/>
        </w:trPr>
        <w:tc>
          <w:tcPr>
            <w:tcW w:w="2608" w:type="dxa"/>
            <w:tcMar>
              <w:top w:w="58" w:type="dxa"/>
              <w:left w:w="58" w:type="dxa"/>
              <w:bottom w:w="58" w:type="dxa"/>
              <w:right w:w="58" w:type="dxa"/>
            </w:tcMar>
          </w:tcPr>
          <w:p w14:paraId="4DCFC8DC" w14:textId="2318E184" w:rsidR="00D255C7" w:rsidRPr="0052404F" w:rsidRDefault="00D255C7" w:rsidP="002C44C6">
            <w:pPr>
              <w:pStyle w:val="TableParagraph"/>
            </w:pPr>
            <w:r w:rsidRPr="0052404F">
              <w:t xml:space="preserve">Slurry </w:t>
            </w:r>
            <w:r w:rsidR="00900A3F" w:rsidRPr="0052404F">
              <w:t xml:space="preserve">weight </w:t>
            </w:r>
            <w:r w:rsidRPr="0052404F">
              <w:t>(</w:t>
            </w:r>
            <w:r w:rsidR="007C2DC4" w:rsidRPr="0052404F">
              <w:t>lb.</w:t>
            </w:r>
            <w:r w:rsidRPr="0052404F">
              <w:t>/gal)</w:t>
            </w:r>
          </w:p>
        </w:tc>
        <w:tc>
          <w:tcPr>
            <w:tcW w:w="964" w:type="dxa"/>
            <w:tcMar>
              <w:top w:w="58" w:type="dxa"/>
              <w:left w:w="58" w:type="dxa"/>
              <w:bottom w:w="58" w:type="dxa"/>
              <w:right w:w="58" w:type="dxa"/>
            </w:tcMar>
          </w:tcPr>
          <w:p w14:paraId="4DCFC8DD" w14:textId="77777777" w:rsidR="00D255C7" w:rsidRPr="0052404F" w:rsidRDefault="00D255C7" w:rsidP="002C44C6">
            <w:pPr>
              <w:pStyle w:val="TableParagraph"/>
            </w:pPr>
          </w:p>
        </w:tc>
        <w:tc>
          <w:tcPr>
            <w:tcW w:w="965" w:type="dxa"/>
            <w:tcMar>
              <w:top w:w="58" w:type="dxa"/>
              <w:left w:w="58" w:type="dxa"/>
              <w:bottom w:w="58" w:type="dxa"/>
              <w:right w:w="58" w:type="dxa"/>
            </w:tcMar>
          </w:tcPr>
          <w:p w14:paraId="4DCFC8DE" w14:textId="77777777" w:rsidR="00D255C7" w:rsidRPr="0052404F" w:rsidRDefault="00D255C7" w:rsidP="002C44C6">
            <w:pPr>
              <w:pStyle w:val="TableParagraph"/>
            </w:pPr>
          </w:p>
        </w:tc>
        <w:tc>
          <w:tcPr>
            <w:tcW w:w="964" w:type="dxa"/>
            <w:tcMar>
              <w:top w:w="58" w:type="dxa"/>
              <w:left w:w="58" w:type="dxa"/>
              <w:bottom w:w="58" w:type="dxa"/>
              <w:right w:w="58" w:type="dxa"/>
            </w:tcMar>
          </w:tcPr>
          <w:p w14:paraId="4DCFC8DF" w14:textId="77777777" w:rsidR="00D255C7" w:rsidRPr="0052404F" w:rsidRDefault="00D255C7" w:rsidP="002C44C6">
            <w:pPr>
              <w:pStyle w:val="TableParagraph"/>
            </w:pPr>
          </w:p>
        </w:tc>
        <w:tc>
          <w:tcPr>
            <w:tcW w:w="965" w:type="dxa"/>
            <w:tcMar>
              <w:top w:w="58" w:type="dxa"/>
              <w:left w:w="58" w:type="dxa"/>
              <w:bottom w:w="58" w:type="dxa"/>
              <w:right w:w="58" w:type="dxa"/>
            </w:tcMar>
          </w:tcPr>
          <w:p w14:paraId="4DCFC8E0" w14:textId="77777777" w:rsidR="00D255C7" w:rsidRPr="0052404F" w:rsidRDefault="00D255C7" w:rsidP="002C44C6">
            <w:pPr>
              <w:pStyle w:val="TableParagraph"/>
            </w:pPr>
          </w:p>
        </w:tc>
        <w:tc>
          <w:tcPr>
            <w:tcW w:w="964" w:type="dxa"/>
            <w:tcMar>
              <w:top w:w="58" w:type="dxa"/>
              <w:left w:w="58" w:type="dxa"/>
              <w:bottom w:w="58" w:type="dxa"/>
              <w:right w:w="58" w:type="dxa"/>
            </w:tcMar>
          </w:tcPr>
          <w:p w14:paraId="4DCFC8E1" w14:textId="77777777" w:rsidR="00D255C7" w:rsidRPr="0052404F" w:rsidRDefault="00D255C7" w:rsidP="002C44C6">
            <w:pPr>
              <w:pStyle w:val="TableParagraph"/>
            </w:pPr>
          </w:p>
        </w:tc>
        <w:tc>
          <w:tcPr>
            <w:tcW w:w="965" w:type="dxa"/>
            <w:tcMar>
              <w:top w:w="58" w:type="dxa"/>
              <w:left w:w="58" w:type="dxa"/>
              <w:bottom w:w="58" w:type="dxa"/>
              <w:right w:w="58" w:type="dxa"/>
            </w:tcMar>
          </w:tcPr>
          <w:p w14:paraId="4DCFC8E2" w14:textId="77777777" w:rsidR="00D255C7" w:rsidRPr="0052404F" w:rsidRDefault="00D255C7" w:rsidP="002C44C6">
            <w:pPr>
              <w:pStyle w:val="TableParagraph"/>
            </w:pPr>
          </w:p>
        </w:tc>
        <w:tc>
          <w:tcPr>
            <w:tcW w:w="965" w:type="dxa"/>
            <w:tcMar>
              <w:top w:w="58" w:type="dxa"/>
              <w:left w:w="58" w:type="dxa"/>
              <w:bottom w:w="58" w:type="dxa"/>
              <w:right w:w="58" w:type="dxa"/>
            </w:tcMar>
          </w:tcPr>
          <w:p w14:paraId="4DCFC8E3" w14:textId="77777777" w:rsidR="00D255C7" w:rsidRPr="0052404F" w:rsidRDefault="00D255C7" w:rsidP="002C44C6">
            <w:pPr>
              <w:pStyle w:val="TableParagraph"/>
            </w:pPr>
          </w:p>
        </w:tc>
      </w:tr>
      <w:tr w:rsidR="00793279" w:rsidRPr="0052404F" w14:paraId="4DCFC8ED" w14:textId="77777777" w:rsidTr="000A7AC8">
        <w:trPr>
          <w:jc w:val="center"/>
        </w:trPr>
        <w:tc>
          <w:tcPr>
            <w:tcW w:w="2608" w:type="dxa"/>
            <w:tcMar>
              <w:top w:w="58" w:type="dxa"/>
              <w:left w:w="58" w:type="dxa"/>
              <w:bottom w:w="58" w:type="dxa"/>
              <w:right w:w="58" w:type="dxa"/>
            </w:tcMar>
          </w:tcPr>
          <w:p w14:paraId="4DCFC8E5" w14:textId="2E3093BC" w:rsidR="00D255C7" w:rsidRPr="0052404F" w:rsidRDefault="00D255C7" w:rsidP="002C44C6">
            <w:pPr>
              <w:pStyle w:val="TableParagraph"/>
            </w:pPr>
            <w:r w:rsidRPr="0052404F">
              <w:t xml:space="preserve">Calculated </w:t>
            </w:r>
            <w:r w:rsidR="00900A3F" w:rsidRPr="0052404F">
              <w:t>top of plug</w:t>
            </w:r>
            <w:r w:rsidRPr="0052404F">
              <w:t xml:space="preserve"> </w:t>
            </w:r>
            <w:r w:rsidR="00150664" w:rsidRPr="0052404F">
              <w:t>(</w:t>
            </w:r>
            <w:r w:rsidR="00284531" w:rsidRPr="0052404F">
              <w:t>ft</w:t>
            </w:r>
            <w:r w:rsidR="00150664" w:rsidRPr="0052404F">
              <w:t>)</w:t>
            </w:r>
          </w:p>
        </w:tc>
        <w:tc>
          <w:tcPr>
            <w:tcW w:w="964" w:type="dxa"/>
            <w:tcMar>
              <w:top w:w="58" w:type="dxa"/>
              <w:left w:w="58" w:type="dxa"/>
              <w:bottom w:w="58" w:type="dxa"/>
              <w:right w:w="58" w:type="dxa"/>
            </w:tcMar>
          </w:tcPr>
          <w:p w14:paraId="4DCFC8E6" w14:textId="77777777" w:rsidR="00D255C7" w:rsidRPr="0052404F" w:rsidRDefault="00D255C7" w:rsidP="002C44C6">
            <w:pPr>
              <w:pStyle w:val="TableParagraph"/>
            </w:pPr>
          </w:p>
        </w:tc>
        <w:tc>
          <w:tcPr>
            <w:tcW w:w="965" w:type="dxa"/>
            <w:tcMar>
              <w:top w:w="58" w:type="dxa"/>
              <w:left w:w="58" w:type="dxa"/>
              <w:bottom w:w="58" w:type="dxa"/>
              <w:right w:w="58" w:type="dxa"/>
            </w:tcMar>
          </w:tcPr>
          <w:p w14:paraId="4DCFC8E7" w14:textId="77777777" w:rsidR="00D255C7" w:rsidRPr="0052404F" w:rsidRDefault="00D255C7" w:rsidP="002C44C6">
            <w:pPr>
              <w:pStyle w:val="TableParagraph"/>
            </w:pPr>
          </w:p>
        </w:tc>
        <w:tc>
          <w:tcPr>
            <w:tcW w:w="964" w:type="dxa"/>
            <w:tcMar>
              <w:top w:w="58" w:type="dxa"/>
              <w:left w:w="58" w:type="dxa"/>
              <w:bottom w:w="58" w:type="dxa"/>
              <w:right w:w="58" w:type="dxa"/>
            </w:tcMar>
          </w:tcPr>
          <w:p w14:paraId="4DCFC8E8" w14:textId="77777777" w:rsidR="00D255C7" w:rsidRPr="0052404F" w:rsidRDefault="00D255C7" w:rsidP="002C44C6">
            <w:pPr>
              <w:pStyle w:val="TableParagraph"/>
            </w:pPr>
          </w:p>
        </w:tc>
        <w:tc>
          <w:tcPr>
            <w:tcW w:w="965" w:type="dxa"/>
            <w:tcMar>
              <w:top w:w="58" w:type="dxa"/>
              <w:left w:w="58" w:type="dxa"/>
              <w:bottom w:w="58" w:type="dxa"/>
              <w:right w:w="58" w:type="dxa"/>
            </w:tcMar>
          </w:tcPr>
          <w:p w14:paraId="4DCFC8E9" w14:textId="77777777" w:rsidR="00D255C7" w:rsidRPr="0052404F" w:rsidRDefault="00D255C7" w:rsidP="002C44C6">
            <w:pPr>
              <w:pStyle w:val="TableParagraph"/>
            </w:pPr>
          </w:p>
        </w:tc>
        <w:tc>
          <w:tcPr>
            <w:tcW w:w="964" w:type="dxa"/>
            <w:tcMar>
              <w:top w:w="58" w:type="dxa"/>
              <w:left w:w="58" w:type="dxa"/>
              <w:bottom w:w="58" w:type="dxa"/>
              <w:right w:w="58" w:type="dxa"/>
            </w:tcMar>
          </w:tcPr>
          <w:p w14:paraId="4DCFC8EA" w14:textId="77777777" w:rsidR="00D255C7" w:rsidRPr="0052404F" w:rsidRDefault="00D255C7" w:rsidP="002C44C6">
            <w:pPr>
              <w:pStyle w:val="TableParagraph"/>
            </w:pPr>
          </w:p>
        </w:tc>
        <w:tc>
          <w:tcPr>
            <w:tcW w:w="965" w:type="dxa"/>
            <w:tcMar>
              <w:top w:w="58" w:type="dxa"/>
              <w:left w:w="58" w:type="dxa"/>
              <w:bottom w:w="58" w:type="dxa"/>
              <w:right w:w="58" w:type="dxa"/>
            </w:tcMar>
          </w:tcPr>
          <w:p w14:paraId="4DCFC8EB" w14:textId="77777777" w:rsidR="00D255C7" w:rsidRPr="0052404F" w:rsidRDefault="00D255C7" w:rsidP="002C44C6">
            <w:pPr>
              <w:pStyle w:val="TableParagraph"/>
            </w:pPr>
          </w:p>
        </w:tc>
        <w:tc>
          <w:tcPr>
            <w:tcW w:w="965" w:type="dxa"/>
            <w:tcMar>
              <w:top w:w="58" w:type="dxa"/>
              <w:left w:w="58" w:type="dxa"/>
              <w:bottom w:w="58" w:type="dxa"/>
              <w:right w:w="58" w:type="dxa"/>
            </w:tcMar>
          </w:tcPr>
          <w:p w14:paraId="4DCFC8EC" w14:textId="77777777" w:rsidR="00D255C7" w:rsidRPr="0052404F" w:rsidRDefault="00D255C7" w:rsidP="002C44C6">
            <w:pPr>
              <w:pStyle w:val="TableParagraph"/>
            </w:pPr>
          </w:p>
        </w:tc>
      </w:tr>
      <w:tr w:rsidR="00793279" w:rsidRPr="0052404F" w14:paraId="4DCFC8F6" w14:textId="77777777" w:rsidTr="000A7AC8">
        <w:trPr>
          <w:jc w:val="center"/>
        </w:trPr>
        <w:tc>
          <w:tcPr>
            <w:tcW w:w="2608" w:type="dxa"/>
            <w:tcMar>
              <w:top w:w="58" w:type="dxa"/>
              <w:left w:w="58" w:type="dxa"/>
              <w:bottom w:w="58" w:type="dxa"/>
              <w:right w:w="58" w:type="dxa"/>
            </w:tcMar>
          </w:tcPr>
          <w:p w14:paraId="4DCFC8EE" w14:textId="1C5B5C1B" w:rsidR="00D255C7" w:rsidRPr="0052404F" w:rsidRDefault="00900A3F" w:rsidP="002C44C6">
            <w:pPr>
              <w:pStyle w:val="TableParagraph"/>
            </w:pPr>
            <w:r w:rsidRPr="0052404F">
              <w:t>Bottom of p</w:t>
            </w:r>
            <w:r w:rsidR="00D255C7" w:rsidRPr="0052404F">
              <w:t>lug</w:t>
            </w:r>
            <w:r w:rsidR="00006C12" w:rsidRPr="0052404F">
              <w:t xml:space="preserve"> </w:t>
            </w:r>
            <w:r w:rsidR="00150664" w:rsidRPr="0052404F">
              <w:t>(</w:t>
            </w:r>
            <w:r w:rsidR="00284531" w:rsidRPr="0052404F">
              <w:t>ft</w:t>
            </w:r>
            <w:r w:rsidR="00150664" w:rsidRPr="0052404F">
              <w:t>)</w:t>
            </w:r>
          </w:p>
        </w:tc>
        <w:tc>
          <w:tcPr>
            <w:tcW w:w="964" w:type="dxa"/>
            <w:tcMar>
              <w:top w:w="58" w:type="dxa"/>
              <w:left w:w="58" w:type="dxa"/>
              <w:bottom w:w="58" w:type="dxa"/>
              <w:right w:w="58" w:type="dxa"/>
            </w:tcMar>
          </w:tcPr>
          <w:p w14:paraId="4DCFC8EF" w14:textId="77777777" w:rsidR="00D255C7" w:rsidRPr="0052404F" w:rsidRDefault="00D255C7" w:rsidP="002C44C6">
            <w:pPr>
              <w:pStyle w:val="TableParagraph"/>
            </w:pPr>
          </w:p>
        </w:tc>
        <w:tc>
          <w:tcPr>
            <w:tcW w:w="965" w:type="dxa"/>
            <w:tcMar>
              <w:top w:w="58" w:type="dxa"/>
              <w:left w:w="58" w:type="dxa"/>
              <w:bottom w:w="58" w:type="dxa"/>
              <w:right w:w="58" w:type="dxa"/>
            </w:tcMar>
          </w:tcPr>
          <w:p w14:paraId="4DCFC8F0" w14:textId="77777777" w:rsidR="00D255C7" w:rsidRPr="0052404F" w:rsidRDefault="00D255C7" w:rsidP="002C44C6">
            <w:pPr>
              <w:pStyle w:val="TableParagraph"/>
            </w:pPr>
          </w:p>
        </w:tc>
        <w:tc>
          <w:tcPr>
            <w:tcW w:w="964" w:type="dxa"/>
            <w:tcMar>
              <w:top w:w="58" w:type="dxa"/>
              <w:left w:w="58" w:type="dxa"/>
              <w:bottom w:w="58" w:type="dxa"/>
              <w:right w:w="58" w:type="dxa"/>
            </w:tcMar>
          </w:tcPr>
          <w:p w14:paraId="4DCFC8F1" w14:textId="77777777" w:rsidR="00D255C7" w:rsidRPr="0052404F" w:rsidRDefault="00D255C7" w:rsidP="002C44C6">
            <w:pPr>
              <w:pStyle w:val="TableParagraph"/>
            </w:pPr>
          </w:p>
        </w:tc>
        <w:tc>
          <w:tcPr>
            <w:tcW w:w="965" w:type="dxa"/>
            <w:tcMar>
              <w:top w:w="58" w:type="dxa"/>
              <w:left w:w="58" w:type="dxa"/>
              <w:bottom w:w="58" w:type="dxa"/>
              <w:right w:w="58" w:type="dxa"/>
            </w:tcMar>
          </w:tcPr>
          <w:p w14:paraId="4DCFC8F2" w14:textId="77777777" w:rsidR="00D255C7" w:rsidRPr="0052404F" w:rsidRDefault="00D255C7" w:rsidP="002C44C6">
            <w:pPr>
              <w:pStyle w:val="TableParagraph"/>
            </w:pPr>
          </w:p>
        </w:tc>
        <w:tc>
          <w:tcPr>
            <w:tcW w:w="964" w:type="dxa"/>
            <w:tcMar>
              <w:top w:w="58" w:type="dxa"/>
              <w:left w:w="58" w:type="dxa"/>
              <w:bottom w:w="58" w:type="dxa"/>
              <w:right w:w="58" w:type="dxa"/>
            </w:tcMar>
          </w:tcPr>
          <w:p w14:paraId="4DCFC8F3" w14:textId="77777777" w:rsidR="00D255C7" w:rsidRPr="0052404F" w:rsidRDefault="00D255C7" w:rsidP="002C44C6">
            <w:pPr>
              <w:pStyle w:val="TableParagraph"/>
            </w:pPr>
          </w:p>
        </w:tc>
        <w:tc>
          <w:tcPr>
            <w:tcW w:w="965" w:type="dxa"/>
            <w:tcMar>
              <w:top w:w="58" w:type="dxa"/>
              <w:left w:w="58" w:type="dxa"/>
              <w:bottom w:w="58" w:type="dxa"/>
              <w:right w:w="58" w:type="dxa"/>
            </w:tcMar>
          </w:tcPr>
          <w:p w14:paraId="4DCFC8F4" w14:textId="77777777" w:rsidR="00D255C7" w:rsidRPr="0052404F" w:rsidRDefault="00D255C7" w:rsidP="002C44C6">
            <w:pPr>
              <w:pStyle w:val="TableParagraph"/>
            </w:pPr>
          </w:p>
        </w:tc>
        <w:tc>
          <w:tcPr>
            <w:tcW w:w="965" w:type="dxa"/>
            <w:tcMar>
              <w:top w:w="58" w:type="dxa"/>
              <w:left w:w="58" w:type="dxa"/>
              <w:bottom w:w="58" w:type="dxa"/>
              <w:right w:w="58" w:type="dxa"/>
            </w:tcMar>
          </w:tcPr>
          <w:p w14:paraId="4DCFC8F5" w14:textId="77777777" w:rsidR="00D255C7" w:rsidRPr="0052404F" w:rsidRDefault="00D255C7" w:rsidP="002C44C6">
            <w:pPr>
              <w:pStyle w:val="TableParagraph"/>
            </w:pPr>
          </w:p>
        </w:tc>
      </w:tr>
      <w:tr w:rsidR="00793279" w:rsidRPr="0052404F" w14:paraId="4DCFC8FF" w14:textId="77777777" w:rsidTr="000A7AC8">
        <w:trPr>
          <w:jc w:val="center"/>
        </w:trPr>
        <w:tc>
          <w:tcPr>
            <w:tcW w:w="2608" w:type="dxa"/>
            <w:tcMar>
              <w:top w:w="58" w:type="dxa"/>
              <w:left w:w="58" w:type="dxa"/>
              <w:bottom w:w="58" w:type="dxa"/>
              <w:right w:w="58" w:type="dxa"/>
            </w:tcMar>
          </w:tcPr>
          <w:p w14:paraId="4DCFC8F7" w14:textId="4249890B" w:rsidR="00D255C7" w:rsidRPr="0052404F" w:rsidRDefault="00D255C7" w:rsidP="002C44C6">
            <w:pPr>
              <w:pStyle w:val="TableParagraph"/>
            </w:pPr>
            <w:r w:rsidRPr="0052404F">
              <w:t xml:space="preserve">Type of </w:t>
            </w:r>
            <w:r w:rsidR="00900A3F" w:rsidRPr="0052404F">
              <w:t xml:space="preserve">cement </w:t>
            </w:r>
            <w:r w:rsidR="00AB19E7">
              <w:t>and</w:t>
            </w:r>
            <w:r w:rsidR="00900A3F" w:rsidRPr="0052404F">
              <w:t xml:space="preserve"> other material</w:t>
            </w:r>
            <w:r w:rsidRPr="0052404F">
              <w:t xml:space="preserve"> </w:t>
            </w:r>
          </w:p>
        </w:tc>
        <w:tc>
          <w:tcPr>
            <w:tcW w:w="964" w:type="dxa"/>
            <w:tcMar>
              <w:top w:w="58" w:type="dxa"/>
              <w:left w:w="58" w:type="dxa"/>
              <w:bottom w:w="58" w:type="dxa"/>
              <w:right w:w="58" w:type="dxa"/>
            </w:tcMar>
          </w:tcPr>
          <w:p w14:paraId="4DCFC8F8" w14:textId="77777777" w:rsidR="00D255C7" w:rsidRPr="0052404F" w:rsidRDefault="00D255C7" w:rsidP="002C44C6">
            <w:pPr>
              <w:pStyle w:val="TableParagraph"/>
            </w:pPr>
          </w:p>
        </w:tc>
        <w:tc>
          <w:tcPr>
            <w:tcW w:w="965" w:type="dxa"/>
            <w:tcMar>
              <w:top w:w="58" w:type="dxa"/>
              <w:left w:w="58" w:type="dxa"/>
              <w:bottom w:w="58" w:type="dxa"/>
              <w:right w:w="58" w:type="dxa"/>
            </w:tcMar>
          </w:tcPr>
          <w:p w14:paraId="4DCFC8F9" w14:textId="77777777" w:rsidR="00D255C7" w:rsidRPr="0052404F" w:rsidRDefault="00D255C7" w:rsidP="002C44C6">
            <w:pPr>
              <w:pStyle w:val="TableParagraph"/>
            </w:pPr>
          </w:p>
        </w:tc>
        <w:tc>
          <w:tcPr>
            <w:tcW w:w="964" w:type="dxa"/>
            <w:tcMar>
              <w:top w:w="58" w:type="dxa"/>
              <w:left w:w="58" w:type="dxa"/>
              <w:bottom w:w="58" w:type="dxa"/>
              <w:right w:w="58" w:type="dxa"/>
            </w:tcMar>
          </w:tcPr>
          <w:p w14:paraId="4DCFC8FA" w14:textId="77777777" w:rsidR="00D255C7" w:rsidRPr="0052404F" w:rsidRDefault="00D255C7" w:rsidP="002C44C6">
            <w:pPr>
              <w:pStyle w:val="TableParagraph"/>
            </w:pPr>
          </w:p>
        </w:tc>
        <w:tc>
          <w:tcPr>
            <w:tcW w:w="965" w:type="dxa"/>
            <w:tcMar>
              <w:top w:w="58" w:type="dxa"/>
              <w:left w:w="58" w:type="dxa"/>
              <w:bottom w:w="58" w:type="dxa"/>
              <w:right w:w="58" w:type="dxa"/>
            </w:tcMar>
          </w:tcPr>
          <w:p w14:paraId="4DCFC8FB" w14:textId="77777777" w:rsidR="00D255C7" w:rsidRPr="0052404F" w:rsidRDefault="00D255C7" w:rsidP="002C44C6">
            <w:pPr>
              <w:pStyle w:val="TableParagraph"/>
            </w:pPr>
          </w:p>
        </w:tc>
        <w:tc>
          <w:tcPr>
            <w:tcW w:w="964" w:type="dxa"/>
            <w:tcMar>
              <w:top w:w="58" w:type="dxa"/>
              <w:left w:w="58" w:type="dxa"/>
              <w:bottom w:w="58" w:type="dxa"/>
              <w:right w:w="58" w:type="dxa"/>
            </w:tcMar>
          </w:tcPr>
          <w:p w14:paraId="4DCFC8FC" w14:textId="77777777" w:rsidR="00D255C7" w:rsidRPr="0052404F" w:rsidRDefault="00D255C7" w:rsidP="002C44C6">
            <w:pPr>
              <w:pStyle w:val="TableParagraph"/>
            </w:pPr>
          </w:p>
        </w:tc>
        <w:tc>
          <w:tcPr>
            <w:tcW w:w="965" w:type="dxa"/>
            <w:tcMar>
              <w:top w:w="58" w:type="dxa"/>
              <w:left w:w="58" w:type="dxa"/>
              <w:bottom w:w="58" w:type="dxa"/>
              <w:right w:w="58" w:type="dxa"/>
            </w:tcMar>
          </w:tcPr>
          <w:p w14:paraId="4DCFC8FD" w14:textId="77777777" w:rsidR="00D255C7" w:rsidRPr="0052404F" w:rsidRDefault="00D255C7" w:rsidP="002C44C6">
            <w:pPr>
              <w:pStyle w:val="TableParagraph"/>
            </w:pPr>
          </w:p>
        </w:tc>
        <w:tc>
          <w:tcPr>
            <w:tcW w:w="965" w:type="dxa"/>
            <w:tcMar>
              <w:top w:w="58" w:type="dxa"/>
              <w:left w:w="58" w:type="dxa"/>
              <w:bottom w:w="58" w:type="dxa"/>
              <w:right w:w="58" w:type="dxa"/>
            </w:tcMar>
          </w:tcPr>
          <w:p w14:paraId="4DCFC8FE" w14:textId="77777777" w:rsidR="00D255C7" w:rsidRPr="0052404F" w:rsidRDefault="00D255C7" w:rsidP="002C44C6">
            <w:pPr>
              <w:pStyle w:val="TableParagraph"/>
            </w:pPr>
          </w:p>
        </w:tc>
      </w:tr>
      <w:tr w:rsidR="00CA59C6" w:rsidRPr="0052404F" w14:paraId="4DCFC902" w14:textId="77777777" w:rsidTr="000A7AC8">
        <w:trPr>
          <w:jc w:val="center"/>
        </w:trPr>
        <w:tc>
          <w:tcPr>
            <w:tcW w:w="2608" w:type="dxa"/>
            <w:tcMar>
              <w:top w:w="58" w:type="dxa"/>
              <w:left w:w="58" w:type="dxa"/>
              <w:bottom w:w="58" w:type="dxa"/>
              <w:right w:w="58" w:type="dxa"/>
            </w:tcMar>
          </w:tcPr>
          <w:p w14:paraId="6CEC9063" w14:textId="77777777" w:rsidR="00CA59C6" w:rsidRPr="0052404F" w:rsidRDefault="00CA59C6" w:rsidP="002C44C6">
            <w:pPr>
              <w:pStyle w:val="TableParagraph"/>
            </w:pPr>
            <w:r w:rsidRPr="0052404F">
              <w:t>Method of emplacement (e.g., balance method, retainer method, or two-plug method)</w:t>
            </w:r>
          </w:p>
        </w:tc>
        <w:tc>
          <w:tcPr>
            <w:tcW w:w="964" w:type="dxa"/>
          </w:tcPr>
          <w:p w14:paraId="4A6C0B7E" w14:textId="77777777" w:rsidR="00CA59C6" w:rsidRPr="0052404F" w:rsidRDefault="00CA59C6" w:rsidP="002C44C6">
            <w:pPr>
              <w:pStyle w:val="TableParagraph"/>
            </w:pPr>
          </w:p>
        </w:tc>
        <w:tc>
          <w:tcPr>
            <w:tcW w:w="965" w:type="dxa"/>
          </w:tcPr>
          <w:p w14:paraId="2E01BF69" w14:textId="77777777" w:rsidR="00CA59C6" w:rsidRPr="0052404F" w:rsidRDefault="00CA59C6" w:rsidP="002C44C6">
            <w:pPr>
              <w:pStyle w:val="TableParagraph"/>
            </w:pPr>
          </w:p>
        </w:tc>
        <w:tc>
          <w:tcPr>
            <w:tcW w:w="964" w:type="dxa"/>
          </w:tcPr>
          <w:p w14:paraId="1418E26F" w14:textId="77777777" w:rsidR="00CA59C6" w:rsidRPr="0052404F" w:rsidRDefault="00CA59C6" w:rsidP="002C44C6">
            <w:pPr>
              <w:pStyle w:val="TableParagraph"/>
            </w:pPr>
          </w:p>
        </w:tc>
        <w:tc>
          <w:tcPr>
            <w:tcW w:w="965" w:type="dxa"/>
          </w:tcPr>
          <w:p w14:paraId="19B37426" w14:textId="77777777" w:rsidR="00CA59C6" w:rsidRPr="0052404F" w:rsidRDefault="00CA59C6" w:rsidP="002C44C6">
            <w:pPr>
              <w:pStyle w:val="TableParagraph"/>
            </w:pPr>
          </w:p>
        </w:tc>
        <w:tc>
          <w:tcPr>
            <w:tcW w:w="964" w:type="dxa"/>
          </w:tcPr>
          <w:p w14:paraId="4DCFC900" w14:textId="70D3157F" w:rsidR="00CA59C6" w:rsidRPr="0052404F" w:rsidRDefault="00CA59C6" w:rsidP="002C44C6">
            <w:pPr>
              <w:pStyle w:val="TableParagraph"/>
            </w:pPr>
          </w:p>
        </w:tc>
        <w:tc>
          <w:tcPr>
            <w:tcW w:w="965" w:type="dxa"/>
            <w:tcMar>
              <w:top w:w="58" w:type="dxa"/>
              <w:left w:w="58" w:type="dxa"/>
              <w:bottom w:w="58" w:type="dxa"/>
              <w:right w:w="58" w:type="dxa"/>
            </w:tcMar>
          </w:tcPr>
          <w:p w14:paraId="16BC45C5" w14:textId="77777777" w:rsidR="00CA59C6" w:rsidRPr="0052404F" w:rsidRDefault="00CA59C6" w:rsidP="002C44C6">
            <w:pPr>
              <w:pStyle w:val="TableParagraph"/>
            </w:pPr>
          </w:p>
        </w:tc>
        <w:tc>
          <w:tcPr>
            <w:tcW w:w="965" w:type="dxa"/>
          </w:tcPr>
          <w:p w14:paraId="4DCFC901" w14:textId="215A0D48" w:rsidR="00CA59C6" w:rsidRPr="0052404F" w:rsidRDefault="00CA59C6" w:rsidP="002C44C6">
            <w:pPr>
              <w:pStyle w:val="TableParagraph"/>
            </w:pPr>
          </w:p>
        </w:tc>
      </w:tr>
    </w:tbl>
    <w:p w14:paraId="5195FD32" w14:textId="78317DD5" w:rsidR="000C57A0" w:rsidRPr="0052404F" w:rsidRDefault="00827B31" w:rsidP="005079AF">
      <w:pPr>
        <w:pStyle w:val="Tablenote"/>
        <w:rPr>
          <w:b/>
          <w:bCs/>
        </w:rPr>
      </w:pPr>
      <w:r>
        <w:t xml:space="preserve">Note: All plug depths will be adjusted after </w:t>
      </w:r>
      <w:r w:rsidR="00244A38" w:rsidRPr="00EB6D1A">
        <w:rPr>
          <w:highlight w:val="yellow"/>
        </w:rPr>
        <w:t>INSERT INJECTION WELL NAME</w:t>
      </w:r>
      <w:r>
        <w:t xml:space="preserve"> is drilled and completed.</w:t>
      </w:r>
      <w:r w:rsidR="00521C5E">
        <w:t xml:space="preserve"> Formation tops will be adjusted </w:t>
      </w:r>
      <w:r w:rsidR="00FC56E1">
        <w:t>based on geophysical logs. The plugging procedure will be updated as required by EPA</w:t>
      </w:r>
      <w:r w:rsidR="00980CE3">
        <w:t xml:space="preserve"> </w:t>
      </w:r>
      <w:r w:rsidR="007E363F">
        <w:t>(</w:t>
      </w:r>
      <w:r w:rsidR="00063A9F">
        <w:t xml:space="preserve">40 CFR </w:t>
      </w:r>
      <w:r w:rsidR="007E363F">
        <w:t>146.92(b)</w:t>
      </w:r>
      <w:r w:rsidR="00FC56E1">
        <w:t>.</w:t>
      </w:r>
    </w:p>
    <w:p w14:paraId="17F10423" w14:textId="2A6067C4" w:rsidR="003559DC" w:rsidRPr="0052404F" w:rsidRDefault="003559DC" w:rsidP="000A7AC8">
      <w:pPr>
        <w:pStyle w:val="BodyText"/>
        <w:rPr>
          <w:rStyle w:val="IntenseEmphasis"/>
        </w:rPr>
      </w:pPr>
      <w:r w:rsidRPr="0052404F">
        <w:rPr>
          <w:rStyle w:val="IntenseEmphasis"/>
        </w:rPr>
        <w:t>[Include</w:t>
      </w:r>
      <w:r w:rsidR="00420951" w:rsidRPr="0052404F">
        <w:rPr>
          <w:rStyle w:val="IntenseEmphasis"/>
        </w:rPr>
        <w:t xml:space="preserve"> a figure showing the proposed well </w:t>
      </w:r>
      <w:r w:rsidRPr="0052404F">
        <w:rPr>
          <w:rStyle w:val="IntenseEmphasis"/>
        </w:rPr>
        <w:t>plugging schematic</w:t>
      </w:r>
      <w:r w:rsidR="000B0C31" w:rsidRPr="0052404F">
        <w:rPr>
          <w:rStyle w:val="IntenseEmphasis"/>
        </w:rPr>
        <w:t>(</w:t>
      </w:r>
      <w:r w:rsidR="00420951" w:rsidRPr="0052404F">
        <w:rPr>
          <w:rStyle w:val="IntenseEmphasis"/>
        </w:rPr>
        <w:t>s</w:t>
      </w:r>
      <w:r w:rsidR="000B0C31" w:rsidRPr="0052404F">
        <w:rPr>
          <w:rStyle w:val="IntenseEmphasis"/>
        </w:rPr>
        <w:t>)</w:t>
      </w:r>
      <w:r w:rsidR="00C473A6">
        <w:rPr>
          <w:rStyle w:val="IntenseEmphasis"/>
        </w:rPr>
        <w:t xml:space="preserve">. If multiple injection wells are to be plugged, provide schematics that are </w:t>
      </w:r>
      <w:r w:rsidR="004D65CF">
        <w:rPr>
          <w:rStyle w:val="IntenseEmphasis"/>
        </w:rPr>
        <w:t xml:space="preserve">specific to each well </w:t>
      </w:r>
      <w:r w:rsidR="00005D1C">
        <w:rPr>
          <w:rStyle w:val="IntenseEmphasis"/>
        </w:rPr>
        <w:t xml:space="preserve">(i.e., </w:t>
      </w:r>
      <w:r w:rsidR="00A83F47">
        <w:rPr>
          <w:rStyle w:val="IntenseEmphasis"/>
        </w:rPr>
        <w:t>do not provide a generalized schematic applicable to all injection wells</w:t>
      </w:r>
      <w:r w:rsidR="009214EE">
        <w:rPr>
          <w:rStyle w:val="IntenseEmphasis"/>
        </w:rPr>
        <w:t>)</w:t>
      </w:r>
      <w:r w:rsidR="00AB19E7">
        <w:rPr>
          <w:rStyle w:val="IntenseEmphasis"/>
        </w:rPr>
        <w:t>.</w:t>
      </w:r>
      <w:r w:rsidR="00D26C10" w:rsidRPr="0052404F">
        <w:rPr>
          <w:rStyle w:val="IntenseEmphasis"/>
        </w:rPr>
        <w:t>]</w:t>
      </w:r>
    </w:p>
    <w:p w14:paraId="4DCFC904" w14:textId="2228A017" w:rsidR="00D255C7" w:rsidRPr="0052404F" w:rsidRDefault="00D255C7" w:rsidP="00B87376">
      <w:pPr>
        <w:pStyle w:val="Heading1"/>
      </w:pPr>
      <w:r w:rsidRPr="0052404F">
        <w:t>Narrative Description of Plugging Procedures</w:t>
      </w:r>
    </w:p>
    <w:p w14:paraId="4DCFC906" w14:textId="77777777" w:rsidR="00D255C7" w:rsidRPr="0052404F" w:rsidRDefault="00D255C7" w:rsidP="000A7AC8">
      <w:pPr>
        <w:pStyle w:val="Heading2"/>
      </w:pPr>
      <w:r w:rsidRPr="0052404F">
        <w:t xml:space="preserve">Notifications, Permits, and Inspections </w:t>
      </w:r>
    </w:p>
    <w:p w14:paraId="4DCFC90A" w14:textId="4C53E56D" w:rsidR="00D255C7" w:rsidRPr="0052404F" w:rsidRDefault="00B00284" w:rsidP="00335DCC">
      <w:pPr>
        <w:pStyle w:val="BodyText"/>
      </w:pPr>
      <w:r>
        <w:t xml:space="preserve">In compliance with 40 CFR 146.92(c), </w:t>
      </w:r>
      <w:r w:rsidR="00B600BF">
        <w:t xml:space="preserve">the Permittee </w:t>
      </w:r>
      <w:r w:rsidR="00C85153">
        <w:t xml:space="preserve">will notify </w:t>
      </w:r>
      <w:r w:rsidR="001D30A1">
        <w:t xml:space="preserve">the </w:t>
      </w:r>
      <w:r w:rsidR="004D3733">
        <w:t>Director</w:t>
      </w:r>
      <w:r w:rsidR="001D30A1">
        <w:t xml:space="preserve"> </w:t>
      </w:r>
      <w:r w:rsidR="1AFD8178">
        <w:t xml:space="preserve">in writing </w:t>
      </w:r>
      <w:r w:rsidR="001D30A1">
        <w:t xml:space="preserve">at least 60 days before </w:t>
      </w:r>
      <w:r w:rsidR="00FB3120">
        <w:t xml:space="preserve">plugging </w:t>
      </w:r>
      <w:r w:rsidR="004D3733" w:rsidRPr="00EB6D1A">
        <w:rPr>
          <w:highlight w:val="yellow"/>
        </w:rPr>
        <w:t>INSERT INJECTION WELL NAME</w:t>
      </w:r>
      <w:r w:rsidR="00FB3120">
        <w:t xml:space="preserve"> </w:t>
      </w:r>
      <w:r w:rsidR="001D30A1">
        <w:t xml:space="preserve">and provide </w:t>
      </w:r>
      <w:r w:rsidR="00A8135C">
        <w:t>a</w:t>
      </w:r>
      <w:r w:rsidR="451F4B59">
        <w:t xml:space="preserve"> revised</w:t>
      </w:r>
      <w:r w:rsidR="001D30A1">
        <w:t xml:space="preserve"> </w:t>
      </w:r>
      <w:r w:rsidR="00C85153">
        <w:t>Injection Well Plugging Plan</w:t>
      </w:r>
      <w:r w:rsidR="001D30A1">
        <w:t>, if applicable.</w:t>
      </w:r>
      <w:r w:rsidR="00D91259">
        <w:t xml:space="preserve"> Once plugging is completed, PERMITTEE will submit </w:t>
      </w:r>
      <w:r w:rsidR="007359D8">
        <w:t xml:space="preserve">to the Director </w:t>
      </w:r>
      <w:r w:rsidR="00BB20E9">
        <w:t>a final plugging report for each well plugged</w:t>
      </w:r>
      <w:r w:rsidR="00DE4BE8">
        <w:t xml:space="preserve"> and retain the report for 10 years following site closure (40 CFR 145.92(d)).</w:t>
      </w:r>
    </w:p>
    <w:p w14:paraId="04C046ED" w14:textId="6C37B10F" w:rsidR="00900A3F" w:rsidRPr="0052404F" w:rsidRDefault="002F2C38" w:rsidP="000A7AC8">
      <w:pPr>
        <w:pStyle w:val="BodyText"/>
        <w:rPr>
          <w:rStyle w:val="IntenseEmphasis"/>
        </w:rPr>
      </w:pPr>
      <w:r w:rsidRPr="0052404F">
        <w:rPr>
          <w:rStyle w:val="IntenseEmphasis"/>
        </w:rPr>
        <w:t>[</w:t>
      </w:r>
      <w:r w:rsidR="00511FA5" w:rsidRPr="0052404F">
        <w:rPr>
          <w:rStyle w:val="IntenseEmphasis"/>
        </w:rPr>
        <w:t>Note if</w:t>
      </w:r>
      <w:r w:rsidR="00F474E5" w:rsidRPr="0052404F">
        <w:rPr>
          <w:rStyle w:val="IntenseEmphasis"/>
        </w:rPr>
        <w:t xml:space="preserve"> any other notifications, permits, or inspections </w:t>
      </w:r>
      <w:r w:rsidR="00511FA5" w:rsidRPr="0052404F">
        <w:rPr>
          <w:rStyle w:val="IntenseEmphasis"/>
        </w:rPr>
        <w:t xml:space="preserve">will </w:t>
      </w:r>
      <w:r w:rsidR="00F474E5" w:rsidRPr="0052404F">
        <w:rPr>
          <w:rStyle w:val="IntenseEmphasis"/>
        </w:rPr>
        <w:t>be needed</w:t>
      </w:r>
      <w:r w:rsidR="00511FA5" w:rsidRPr="0052404F">
        <w:rPr>
          <w:rStyle w:val="IntenseEmphasis"/>
        </w:rPr>
        <w:t>.</w:t>
      </w:r>
      <w:r w:rsidR="0023762F" w:rsidRPr="0052404F">
        <w:rPr>
          <w:rStyle w:val="IntenseEmphasis"/>
        </w:rPr>
        <w:t>]</w:t>
      </w:r>
    </w:p>
    <w:p w14:paraId="244C57DF" w14:textId="73665FF8" w:rsidR="00900A3F" w:rsidRPr="0052404F" w:rsidRDefault="00900A3F" w:rsidP="000A7AC8">
      <w:pPr>
        <w:pStyle w:val="Heading2"/>
      </w:pPr>
      <w:r w:rsidRPr="0052404F">
        <w:lastRenderedPageBreak/>
        <w:t>Plugging Procedures</w:t>
      </w:r>
    </w:p>
    <w:p w14:paraId="30237C65" w14:textId="2525204C" w:rsidR="007A5AE1" w:rsidRPr="0052404F" w:rsidRDefault="00175706" w:rsidP="000A7AC8">
      <w:pPr>
        <w:pStyle w:val="BodyText"/>
        <w:rPr>
          <w:rStyle w:val="IntenseEmphasis"/>
        </w:rPr>
      </w:pPr>
      <w:r w:rsidRPr="2DE22EE3">
        <w:rPr>
          <w:rStyle w:val="IntenseEmphasis"/>
        </w:rPr>
        <w:t>[</w:t>
      </w:r>
      <w:r w:rsidR="00431A21" w:rsidRPr="2DE22EE3">
        <w:rPr>
          <w:rStyle w:val="IntenseEmphasis"/>
        </w:rPr>
        <w:t>Some suggested text is b</w:t>
      </w:r>
      <w:r w:rsidR="00FA18A1" w:rsidRPr="2DE22EE3">
        <w:rPr>
          <w:rStyle w:val="IntenseEmphasis"/>
        </w:rPr>
        <w:t>elow</w:t>
      </w:r>
      <w:r w:rsidR="00397620" w:rsidRPr="2DE22EE3">
        <w:rPr>
          <w:rStyle w:val="IntenseEmphasis"/>
        </w:rPr>
        <w:t>. Modify as needed.</w:t>
      </w:r>
      <w:r w:rsidRPr="2DE22EE3">
        <w:rPr>
          <w:rStyle w:val="IntenseEmphasis"/>
        </w:rPr>
        <w:t>]</w:t>
      </w:r>
    </w:p>
    <w:p w14:paraId="3D2EDB0F" w14:textId="3E17817D" w:rsidR="00D54A26" w:rsidRPr="003B6668" w:rsidRDefault="00D54A26" w:rsidP="00335DCC">
      <w:pPr>
        <w:pStyle w:val="BodyText"/>
        <w:rPr>
          <w:color w:val="244061" w:themeColor="accent1" w:themeShade="80"/>
        </w:rPr>
      </w:pPr>
      <w:r w:rsidRPr="00EB6D1A">
        <w:t xml:space="preserve">The following plugging procedures are </w:t>
      </w:r>
      <w:r w:rsidRPr="003B6668">
        <w:rPr>
          <w:color w:val="244061" w:themeColor="accent1" w:themeShade="80"/>
        </w:rPr>
        <w:t>planned</w:t>
      </w:r>
      <w:r w:rsidR="00940D37" w:rsidRPr="003B6668">
        <w:rPr>
          <w:color w:val="244061" w:themeColor="accent1" w:themeShade="80"/>
        </w:rPr>
        <w:t>,</w:t>
      </w:r>
      <w:r w:rsidRPr="003B6668">
        <w:rPr>
          <w:color w:val="244061" w:themeColor="accent1" w:themeShade="80"/>
        </w:rPr>
        <w:t xml:space="preserve"> assuming a coiled tubing unit (CTU) is utilized</w:t>
      </w:r>
      <w:r w:rsidR="00335DCC" w:rsidRPr="003B6668">
        <w:rPr>
          <w:color w:val="244061" w:themeColor="accent1" w:themeShade="80"/>
        </w:rPr>
        <w:t xml:space="preserve"> </w:t>
      </w:r>
      <w:r w:rsidRPr="003B6668">
        <w:rPr>
          <w:color w:val="244061" w:themeColor="accent1" w:themeShade="80"/>
        </w:rPr>
        <w:t xml:space="preserve">for cement plug placement after all equipment is removed. The </w:t>
      </w:r>
      <w:r w:rsidR="00C83F85" w:rsidRPr="003B6668">
        <w:rPr>
          <w:color w:val="244061" w:themeColor="accent1" w:themeShade="80"/>
        </w:rPr>
        <w:t xml:space="preserve">plug </w:t>
      </w:r>
      <w:r w:rsidRPr="003B6668">
        <w:rPr>
          <w:color w:val="244061" w:themeColor="accent1" w:themeShade="80"/>
        </w:rPr>
        <w:t>placement method</w:t>
      </w:r>
      <w:r w:rsidR="00335DCC" w:rsidRPr="003B6668">
        <w:rPr>
          <w:color w:val="244061" w:themeColor="accent1" w:themeShade="80"/>
        </w:rPr>
        <w:t xml:space="preserve"> </w:t>
      </w:r>
      <w:r w:rsidRPr="003B6668">
        <w:rPr>
          <w:color w:val="244061" w:themeColor="accent1" w:themeShade="80"/>
        </w:rPr>
        <w:t>may vary depending on the type of service equipment used.</w:t>
      </w:r>
    </w:p>
    <w:p w14:paraId="3072F6B5" w14:textId="0223CED5" w:rsidR="00D54A26" w:rsidRPr="003B6668" w:rsidRDefault="00D54A26" w:rsidP="009B1D58">
      <w:pPr>
        <w:pStyle w:val="ListNumber"/>
        <w:numPr>
          <w:ilvl w:val="0"/>
          <w:numId w:val="21"/>
        </w:numPr>
        <w:ind w:left="720" w:hanging="360"/>
        <w:rPr>
          <w:color w:val="244061" w:themeColor="accent1" w:themeShade="80"/>
        </w:rPr>
      </w:pPr>
      <w:r w:rsidRPr="003B6668">
        <w:rPr>
          <w:color w:val="244061" w:themeColor="accent1" w:themeShade="80"/>
        </w:rPr>
        <w:t>Bottomhole pressure from downhole pressure gauge is recorded and kill fluid density is calculated.</w:t>
      </w:r>
    </w:p>
    <w:p w14:paraId="32F0FE61" w14:textId="54DE733C" w:rsidR="00D54A26" w:rsidRPr="003B6668" w:rsidRDefault="00D54A26" w:rsidP="009B1D58">
      <w:pPr>
        <w:pStyle w:val="ListNumber"/>
        <w:rPr>
          <w:color w:val="244061" w:themeColor="accent1" w:themeShade="80"/>
        </w:rPr>
      </w:pPr>
      <w:r w:rsidRPr="003B6668">
        <w:rPr>
          <w:color w:val="244061" w:themeColor="accent1" w:themeShade="80"/>
        </w:rPr>
        <w:t xml:space="preserve">Kill fluid of appropriate density is bullheaded into the wellbore to prevent reservoir fluid inflow and acts as a buffer fluid to flush the wellbore. Wellbore </w:t>
      </w:r>
      <w:r w:rsidR="002B3254" w:rsidRPr="003B6668">
        <w:rPr>
          <w:color w:val="244061" w:themeColor="accent1" w:themeShade="80"/>
        </w:rPr>
        <w:t>b</w:t>
      </w:r>
      <w:r w:rsidRPr="003B6668">
        <w:rPr>
          <w:color w:val="244061" w:themeColor="accent1" w:themeShade="80"/>
        </w:rPr>
        <w:t>ullheading will be</w:t>
      </w:r>
      <w:r w:rsidR="00335DCC" w:rsidRPr="003B6668">
        <w:rPr>
          <w:color w:val="244061" w:themeColor="accent1" w:themeShade="80"/>
        </w:rPr>
        <w:t xml:space="preserve"> </w:t>
      </w:r>
      <w:r w:rsidRPr="003B6668">
        <w:rPr>
          <w:color w:val="244061" w:themeColor="accent1" w:themeShade="80"/>
        </w:rPr>
        <w:t xml:space="preserve">conducted at appropriate rates </w:t>
      </w:r>
      <w:r w:rsidR="00EF4B1F" w:rsidRPr="003B6668">
        <w:rPr>
          <w:color w:val="244061" w:themeColor="accent1" w:themeShade="80"/>
        </w:rPr>
        <w:t>to</w:t>
      </w:r>
      <w:r w:rsidRPr="003B6668">
        <w:rPr>
          <w:color w:val="244061" w:themeColor="accent1" w:themeShade="80"/>
        </w:rPr>
        <w:t xml:space="preserve"> ensure no fracturing of the surrounding formation occurs. After at least </w:t>
      </w:r>
      <w:r w:rsidR="00587577" w:rsidRPr="003B6668">
        <w:rPr>
          <w:color w:val="244061" w:themeColor="accent1" w:themeShade="80"/>
        </w:rPr>
        <w:t>three</w:t>
      </w:r>
      <w:r w:rsidRPr="003B6668">
        <w:rPr>
          <w:color w:val="244061" w:themeColor="accent1" w:themeShade="80"/>
        </w:rPr>
        <w:t xml:space="preserve"> wellbore volume</w:t>
      </w:r>
      <w:r w:rsidR="00587577" w:rsidRPr="003B6668">
        <w:rPr>
          <w:color w:val="244061" w:themeColor="accent1" w:themeShade="80"/>
        </w:rPr>
        <w:t>s</w:t>
      </w:r>
      <w:r w:rsidRPr="003B6668">
        <w:rPr>
          <w:color w:val="244061" w:themeColor="accent1" w:themeShade="80"/>
        </w:rPr>
        <w:t xml:space="preserve"> of fluid </w:t>
      </w:r>
      <w:r w:rsidR="00F2559E" w:rsidRPr="003B6668">
        <w:rPr>
          <w:color w:val="244061" w:themeColor="accent1" w:themeShade="80"/>
        </w:rPr>
        <w:t>are</w:t>
      </w:r>
      <w:r w:rsidRPr="003B6668">
        <w:rPr>
          <w:color w:val="244061" w:themeColor="accent1" w:themeShade="80"/>
        </w:rPr>
        <w:t xml:space="preserve"> pumped</w:t>
      </w:r>
      <w:r w:rsidR="00F2559E" w:rsidRPr="003B6668">
        <w:rPr>
          <w:color w:val="244061" w:themeColor="accent1" w:themeShade="80"/>
        </w:rPr>
        <w:t xml:space="preserve"> into the well</w:t>
      </w:r>
      <w:r w:rsidRPr="003B6668">
        <w:rPr>
          <w:color w:val="244061" w:themeColor="accent1" w:themeShade="80"/>
        </w:rPr>
        <w:t xml:space="preserve">, the well is observed to </w:t>
      </w:r>
      <w:r w:rsidR="00F2559E" w:rsidRPr="003B6668">
        <w:rPr>
          <w:color w:val="244061" w:themeColor="accent1" w:themeShade="80"/>
        </w:rPr>
        <w:t>verify that</w:t>
      </w:r>
      <w:r w:rsidRPr="003B6668">
        <w:rPr>
          <w:color w:val="244061" w:themeColor="accent1" w:themeShade="80"/>
        </w:rPr>
        <w:t xml:space="preserve"> static conditions</w:t>
      </w:r>
      <w:r w:rsidR="00385773" w:rsidRPr="003B6668">
        <w:rPr>
          <w:color w:val="244061" w:themeColor="accent1" w:themeShade="80"/>
        </w:rPr>
        <w:t xml:space="preserve"> have been reached. Static conditions</w:t>
      </w:r>
      <w:r w:rsidRPr="003B6668">
        <w:rPr>
          <w:color w:val="244061" w:themeColor="accent1" w:themeShade="80"/>
        </w:rPr>
        <w:t xml:space="preserve"> indicat</w:t>
      </w:r>
      <w:r w:rsidR="00675362" w:rsidRPr="003B6668">
        <w:rPr>
          <w:color w:val="244061" w:themeColor="accent1" w:themeShade="80"/>
        </w:rPr>
        <w:t>e</w:t>
      </w:r>
      <w:r w:rsidRPr="003B6668">
        <w:rPr>
          <w:color w:val="244061" w:themeColor="accent1" w:themeShade="80"/>
        </w:rPr>
        <w:t xml:space="preserve"> that the weighted fluid is preventing fluid migration into the wellbore and that there is no CO</w:t>
      </w:r>
      <w:r w:rsidRPr="003B6668">
        <w:rPr>
          <w:color w:val="244061" w:themeColor="accent1" w:themeShade="80"/>
          <w:vertAlign w:val="subscript"/>
        </w:rPr>
        <w:t>2</w:t>
      </w:r>
      <w:r w:rsidRPr="003B6668">
        <w:rPr>
          <w:color w:val="244061" w:themeColor="accent1" w:themeShade="80"/>
        </w:rPr>
        <w:t xml:space="preserve"> in the wellbore. </w:t>
      </w:r>
    </w:p>
    <w:p w14:paraId="737A9AF8" w14:textId="4BB2EE7E" w:rsidR="00D54A26" w:rsidRPr="003B6668" w:rsidRDefault="00D54A26" w:rsidP="009B1D58">
      <w:pPr>
        <w:pStyle w:val="ListNumber"/>
        <w:rPr>
          <w:color w:val="244061" w:themeColor="accent1" w:themeShade="80"/>
        </w:rPr>
      </w:pPr>
      <w:r w:rsidRPr="003B6668">
        <w:rPr>
          <w:color w:val="244061" w:themeColor="accent1" w:themeShade="80"/>
        </w:rPr>
        <w:t xml:space="preserve">Tubulars and downhole equipment are removed from the casing, and the well is cleaned out to </w:t>
      </w:r>
      <w:r w:rsidR="00EF59D6" w:rsidRPr="003B6668">
        <w:rPr>
          <w:color w:val="244061" w:themeColor="accent1" w:themeShade="80"/>
        </w:rPr>
        <w:t>total depth (</w:t>
      </w:r>
      <w:r w:rsidRPr="003B6668">
        <w:rPr>
          <w:color w:val="244061" w:themeColor="accent1" w:themeShade="80"/>
        </w:rPr>
        <w:t>TD</w:t>
      </w:r>
      <w:r w:rsidR="00EF59D6" w:rsidRPr="003B6668">
        <w:rPr>
          <w:color w:val="244061" w:themeColor="accent1" w:themeShade="80"/>
        </w:rPr>
        <w:t>)</w:t>
      </w:r>
      <w:r w:rsidRPr="003B6668">
        <w:rPr>
          <w:color w:val="244061" w:themeColor="accent1" w:themeShade="80"/>
        </w:rPr>
        <w:t xml:space="preserve"> during rig operations. Subsequent operations are carried out utilizing a CTU.</w:t>
      </w:r>
    </w:p>
    <w:p w14:paraId="71A61447" w14:textId="22B94417" w:rsidR="00D54A26" w:rsidRPr="003B6668" w:rsidRDefault="00D54A26" w:rsidP="009B1D58">
      <w:pPr>
        <w:pStyle w:val="ListNumber"/>
        <w:rPr>
          <w:color w:val="244061" w:themeColor="accent1" w:themeShade="80"/>
        </w:rPr>
      </w:pPr>
      <w:r w:rsidRPr="003B6668">
        <w:rPr>
          <w:color w:val="244061" w:themeColor="accent1" w:themeShade="80"/>
        </w:rPr>
        <w:t>The CTU runs in the hole to TD and begins placing cement in the casing. The coiled tubing is kept about 100</w:t>
      </w:r>
      <w:r w:rsidR="00E85059" w:rsidRPr="003B6668">
        <w:rPr>
          <w:color w:val="244061" w:themeColor="accent1" w:themeShade="80"/>
        </w:rPr>
        <w:t xml:space="preserve"> feet</w:t>
      </w:r>
      <w:r w:rsidRPr="003B6668">
        <w:rPr>
          <w:color w:val="244061" w:themeColor="accent1" w:themeShade="80"/>
        </w:rPr>
        <w:t xml:space="preserve"> inside of the cement plug and is pulled uphole while cementing operations continue.</w:t>
      </w:r>
    </w:p>
    <w:p w14:paraId="73C8C912" w14:textId="0AD50A2F" w:rsidR="00D54A26" w:rsidRPr="003B6668" w:rsidRDefault="00D54A26" w:rsidP="009B1D58">
      <w:pPr>
        <w:pStyle w:val="ListNumber"/>
        <w:rPr>
          <w:color w:val="244061" w:themeColor="accent1" w:themeShade="80"/>
        </w:rPr>
      </w:pPr>
      <w:r w:rsidRPr="003B6668">
        <w:rPr>
          <w:color w:val="244061" w:themeColor="accent1" w:themeShade="80"/>
        </w:rPr>
        <w:t xml:space="preserve">Once the full plug is placed, the coiled tubing is pulled above the </w:t>
      </w:r>
      <w:r w:rsidR="00A5300F" w:rsidRPr="003B6668">
        <w:rPr>
          <w:color w:val="244061" w:themeColor="accent1" w:themeShade="80"/>
        </w:rPr>
        <w:t>plug,</w:t>
      </w:r>
      <w:r w:rsidRPr="003B6668">
        <w:rPr>
          <w:color w:val="244061" w:themeColor="accent1" w:themeShade="80"/>
        </w:rPr>
        <w:t xml:space="preserve"> and the well is</w:t>
      </w:r>
      <w:r w:rsidR="00335DCC" w:rsidRPr="003B6668">
        <w:rPr>
          <w:color w:val="244061" w:themeColor="accent1" w:themeShade="80"/>
        </w:rPr>
        <w:t xml:space="preserve"> </w:t>
      </w:r>
      <w:r w:rsidRPr="003B6668">
        <w:rPr>
          <w:color w:val="244061" w:themeColor="accent1" w:themeShade="80"/>
        </w:rPr>
        <w:t xml:space="preserve">circulated to ensure the depth of the top of the plug. The tubing is then pulled uphole while operations are paused to wait on </w:t>
      </w:r>
      <w:r w:rsidR="00D33FFF" w:rsidRPr="003B6668">
        <w:rPr>
          <w:color w:val="244061" w:themeColor="accent1" w:themeShade="80"/>
        </w:rPr>
        <w:t xml:space="preserve">the </w:t>
      </w:r>
      <w:r w:rsidRPr="003B6668">
        <w:rPr>
          <w:color w:val="244061" w:themeColor="accent1" w:themeShade="80"/>
        </w:rPr>
        <w:t>cement</w:t>
      </w:r>
      <w:r w:rsidR="00D33FFF" w:rsidRPr="003B6668">
        <w:rPr>
          <w:color w:val="244061" w:themeColor="accent1" w:themeShade="80"/>
        </w:rPr>
        <w:t xml:space="preserve"> curing</w:t>
      </w:r>
      <w:r w:rsidRPr="003B6668">
        <w:rPr>
          <w:color w:val="244061" w:themeColor="accent1" w:themeShade="80"/>
        </w:rPr>
        <w:t>.</w:t>
      </w:r>
    </w:p>
    <w:p w14:paraId="5DB32408" w14:textId="474817A5" w:rsidR="00D54A26" w:rsidRPr="003B6668" w:rsidRDefault="00D54A26" w:rsidP="009B1D58">
      <w:pPr>
        <w:pStyle w:val="ListNumber"/>
        <w:rPr>
          <w:color w:val="244061" w:themeColor="accent1" w:themeShade="80"/>
        </w:rPr>
      </w:pPr>
      <w:r w:rsidRPr="003B6668">
        <w:rPr>
          <w:color w:val="244061" w:themeColor="accent1" w:themeShade="80"/>
        </w:rPr>
        <w:t xml:space="preserve">Once the cement has set, the coiled tubing is run back in the hole to </w:t>
      </w:r>
      <w:r w:rsidR="00104375" w:rsidRPr="003B6668">
        <w:rPr>
          <w:color w:val="244061" w:themeColor="accent1" w:themeShade="80"/>
        </w:rPr>
        <w:t>confirm</w:t>
      </w:r>
      <w:r w:rsidRPr="003B6668">
        <w:rPr>
          <w:color w:val="244061" w:themeColor="accent1" w:themeShade="80"/>
        </w:rPr>
        <w:t xml:space="preserve"> the depth and hardness of the plug </w:t>
      </w:r>
      <w:r w:rsidR="00104375" w:rsidRPr="003B6668">
        <w:rPr>
          <w:color w:val="244061" w:themeColor="accent1" w:themeShade="80"/>
        </w:rPr>
        <w:t>prior to</w:t>
      </w:r>
      <w:r w:rsidRPr="003B6668">
        <w:rPr>
          <w:color w:val="244061" w:themeColor="accent1" w:themeShade="80"/>
        </w:rPr>
        <w:t xml:space="preserve"> initiating the next cemented plug interval.</w:t>
      </w:r>
    </w:p>
    <w:p w14:paraId="360D3CA0" w14:textId="1F65CD32" w:rsidR="00D54A26" w:rsidRPr="003B6668" w:rsidRDefault="00D54A26" w:rsidP="009B1D58">
      <w:pPr>
        <w:pStyle w:val="ListNumber"/>
        <w:rPr>
          <w:color w:val="244061" w:themeColor="accent1" w:themeShade="80"/>
        </w:rPr>
      </w:pPr>
      <w:r w:rsidRPr="003B6668">
        <w:rPr>
          <w:color w:val="244061" w:themeColor="accent1" w:themeShade="80"/>
        </w:rPr>
        <w:t>Abandonment mud is placed between cement plugs while pulling the coiled tubing uphole to the base of the next plug.</w:t>
      </w:r>
    </w:p>
    <w:p w14:paraId="68AB975E" w14:textId="78E8D2B1" w:rsidR="00D54A26" w:rsidRPr="003B6668" w:rsidRDefault="00D54A26" w:rsidP="009B1D58">
      <w:pPr>
        <w:pStyle w:val="ListNumber"/>
        <w:rPr>
          <w:color w:val="244061" w:themeColor="accent1" w:themeShade="80"/>
        </w:rPr>
      </w:pPr>
      <w:r w:rsidRPr="003B6668">
        <w:rPr>
          <w:color w:val="244061" w:themeColor="accent1" w:themeShade="80"/>
        </w:rPr>
        <w:t xml:space="preserve">This process, beginning with step 4, is repeated for each cement plug until cement is placed to </w:t>
      </w:r>
      <w:r w:rsidR="00C31A70" w:rsidRPr="003B6668">
        <w:rPr>
          <w:color w:val="244061" w:themeColor="accent1" w:themeShade="80"/>
        </w:rPr>
        <w:t xml:space="preserve">the </w:t>
      </w:r>
      <w:r w:rsidRPr="003B6668">
        <w:rPr>
          <w:color w:val="244061" w:themeColor="accent1" w:themeShade="80"/>
        </w:rPr>
        <w:t>surface.</w:t>
      </w:r>
    </w:p>
    <w:p w14:paraId="63C12E05" w14:textId="764D58A5" w:rsidR="00D54A26" w:rsidRPr="003B6668" w:rsidRDefault="00D54A26" w:rsidP="009B1D58">
      <w:pPr>
        <w:pStyle w:val="ListNumber"/>
        <w:spacing w:after="200"/>
        <w:rPr>
          <w:color w:val="244061" w:themeColor="accent1" w:themeShade="80"/>
        </w:rPr>
      </w:pPr>
      <w:r w:rsidRPr="003B6668">
        <w:rPr>
          <w:color w:val="244061" w:themeColor="accent1" w:themeShade="80"/>
        </w:rPr>
        <w:t>Once the f</w:t>
      </w:r>
      <w:r w:rsidR="00230762" w:rsidRPr="003B6668">
        <w:rPr>
          <w:color w:val="244061" w:themeColor="accent1" w:themeShade="80"/>
        </w:rPr>
        <w:t>inal</w:t>
      </w:r>
      <w:r w:rsidRPr="003B6668">
        <w:rPr>
          <w:color w:val="244061" w:themeColor="accent1" w:themeShade="80"/>
        </w:rPr>
        <w:t xml:space="preserve"> cement plug is placed at surface</w:t>
      </w:r>
      <w:r w:rsidR="00C31A70" w:rsidRPr="003B6668">
        <w:rPr>
          <w:color w:val="244061" w:themeColor="accent1" w:themeShade="80"/>
        </w:rPr>
        <w:t xml:space="preserve"> level</w:t>
      </w:r>
      <w:r w:rsidRPr="003B6668">
        <w:rPr>
          <w:color w:val="244061" w:themeColor="accent1" w:themeShade="80"/>
        </w:rPr>
        <w:t>, casing will be cut 5</w:t>
      </w:r>
      <w:r w:rsidR="00C31A70" w:rsidRPr="003B6668">
        <w:rPr>
          <w:color w:val="244061" w:themeColor="accent1" w:themeShade="80"/>
        </w:rPr>
        <w:t xml:space="preserve"> feet</w:t>
      </w:r>
      <w:r w:rsidRPr="003B6668">
        <w:rPr>
          <w:color w:val="244061" w:themeColor="accent1" w:themeShade="80"/>
        </w:rPr>
        <w:t xml:space="preserve"> below ground level. A metal cap will be welded onto the top of the cut casing, stamped with the well name and API</w:t>
      </w:r>
      <w:r w:rsidR="00356530" w:rsidRPr="003B6668">
        <w:rPr>
          <w:color w:val="244061" w:themeColor="accent1" w:themeShade="80"/>
        </w:rPr>
        <w:t xml:space="preserve"> number</w:t>
      </w:r>
      <w:r w:rsidRPr="003B6668">
        <w:rPr>
          <w:color w:val="244061" w:themeColor="accent1" w:themeShade="80"/>
        </w:rPr>
        <w:t xml:space="preserve">. </w:t>
      </w:r>
      <w:r w:rsidR="00CE4976" w:rsidRPr="003B6668">
        <w:rPr>
          <w:color w:val="244061" w:themeColor="accent1" w:themeShade="80"/>
        </w:rPr>
        <w:t>The s</w:t>
      </w:r>
      <w:r w:rsidRPr="003B6668">
        <w:rPr>
          <w:color w:val="244061" w:themeColor="accent1" w:themeShade="80"/>
        </w:rPr>
        <w:t>urface location will then be backfilled and restored to pre-operation conditions.</w:t>
      </w:r>
    </w:p>
    <w:p w14:paraId="77CC2E62" w14:textId="4CC5A8B1" w:rsidR="00274E6A" w:rsidRPr="003B6668" w:rsidRDefault="003C3FE9" w:rsidP="00335DCC">
      <w:pPr>
        <w:pStyle w:val="BodyText"/>
        <w:rPr>
          <w:color w:val="244061" w:themeColor="accent1" w:themeShade="80"/>
        </w:rPr>
      </w:pPr>
      <w:r w:rsidRPr="00EB6D1A">
        <w:t>Standard p</w:t>
      </w:r>
      <w:r w:rsidR="00274E6A" w:rsidRPr="00EB6D1A">
        <w:t>lugging operations will include</w:t>
      </w:r>
      <w:r w:rsidR="00274E6A" w:rsidRPr="003B6668">
        <w:rPr>
          <w:color w:val="244061" w:themeColor="accent1" w:themeShade="80"/>
        </w:rPr>
        <w:t>:</w:t>
      </w:r>
    </w:p>
    <w:p w14:paraId="5813EB59" w14:textId="77777777" w:rsidR="00193AC0" w:rsidRPr="003B6668" w:rsidRDefault="003156DE" w:rsidP="001010AC">
      <w:pPr>
        <w:pStyle w:val="ListBullet"/>
        <w:rPr>
          <w:color w:val="244061" w:themeColor="accent1" w:themeShade="80"/>
        </w:rPr>
      </w:pPr>
      <w:r w:rsidRPr="003B6668">
        <w:rPr>
          <w:color w:val="244061" w:themeColor="accent1" w:themeShade="80"/>
        </w:rPr>
        <w:t xml:space="preserve">A </w:t>
      </w:r>
      <w:r w:rsidR="000A1A1A" w:rsidRPr="003B6668">
        <w:rPr>
          <w:color w:val="244061" w:themeColor="accent1" w:themeShade="80"/>
        </w:rPr>
        <w:t>b</w:t>
      </w:r>
      <w:r w:rsidR="00FD42C7" w:rsidRPr="003B6668">
        <w:rPr>
          <w:color w:val="244061" w:themeColor="accent1" w:themeShade="80"/>
        </w:rPr>
        <w:t>ottomhole plug</w:t>
      </w:r>
      <w:r w:rsidR="00193AC0" w:rsidRPr="003B6668">
        <w:rPr>
          <w:color w:val="244061" w:themeColor="accent1" w:themeShade="80"/>
        </w:rPr>
        <w:t>:</w:t>
      </w:r>
    </w:p>
    <w:p w14:paraId="44B4A9D0" w14:textId="23FDBBA2" w:rsidR="00FD42C7" w:rsidRPr="003B6668" w:rsidRDefault="00FD42C7" w:rsidP="00193AC0">
      <w:pPr>
        <w:pStyle w:val="ListBullet"/>
        <w:tabs>
          <w:tab w:val="clear" w:pos="360"/>
          <w:tab w:val="num" w:pos="720"/>
        </w:tabs>
        <w:ind w:left="1080"/>
        <w:rPr>
          <w:color w:val="244061" w:themeColor="accent1" w:themeShade="80"/>
        </w:rPr>
      </w:pPr>
      <w:r w:rsidRPr="003B6668">
        <w:rPr>
          <w:color w:val="244061" w:themeColor="accent1" w:themeShade="80"/>
        </w:rPr>
        <w:t xml:space="preserve"> All perforations shall be plugged with cement, and the plug shall extend</w:t>
      </w:r>
      <w:r w:rsidR="005B7D84" w:rsidRPr="003B6668">
        <w:rPr>
          <w:color w:val="244061" w:themeColor="accent1" w:themeShade="80"/>
        </w:rPr>
        <w:t xml:space="preserve"> </w:t>
      </w:r>
      <w:r w:rsidRPr="003B6668">
        <w:rPr>
          <w:color w:val="244061" w:themeColor="accent1" w:themeShade="80"/>
        </w:rPr>
        <w:t>at least 100 feet above the top of a landed liner, the uppermost perforations, the casing</w:t>
      </w:r>
      <w:r w:rsidR="005B7D84" w:rsidRPr="003B6668">
        <w:rPr>
          <w:color w:val="244061" w:themeColor="accent1" w:themeShade="80"/>
        </w:rPr>
        <w:t xml:space="preserve"> </w:t>
      </w:r>
      <w:r w:rsidRPr="003B6668">
        <w:rPr>
          <w:color w:val="244061" w:themeColor="accent1" w:themeShade="80"/>
        </w:rPr>
        <w:lastRenderedPageBreak/>
        <w:t>cementing point, the water shutoff holes, or the oil or gas zone, whichever is highest.</w:t>
      </w:r>
    </w:p>
    <w:p w14:paraId="0981C008" w14:textId="5D508AFB" w:rsidR="00500416" w:rsidRPr="003B6668" w:rsidRDefault="00F92F63" w:rsidP="00315326">
      <w:pPr>
        <w:pStyle w:val="ListBullet"/>
        <w:rPr>
          <w:color w:val="244061" w:themeColor="accent1" w:themeShade="80"/>
        </w:rPr>
      </w:pPr>
      <w:r w:rsidRPr="003B6668">
        <w:rPr>
          <w:color w:val="244061" w:themeColor="accent1" w:themeShade="80"/>
        </w:rPr>
        <w:t>The b</w:t>
      </w:r>
      <w:r w:rsidR="00500416" w:rsidRPr="003B6668">
        <w:rPr>
          <w:color w:val="244061" w:themeColor="accent1" w:themeShade="80"/>
        </w:rPr>
        <w:t xml:space="preserve">ase of </w:t>
      </w:r>
      <w:r w:rsidRPr="003B6668">
        <w:rPr>
          <w:color w:val="244061" w:themeColor="accent1" w:themeShade="80"/>
        </w:rPr>
        <w:t xml:space="preserve">the </w:t>
      </w:r>
      <w:r w:rsidR="00500416" w:rsidRPr="003B6668">
        <w:rPr>
          <w:color w:val="244061" w:themeColor="accent1" w:themeShade="80"/>
        </w:rPr>
        <w:t>USDW</w:t>
      </w:r>
      <w:r w:rsidR="00C92037" w:rsidRPr="003B6668">
        <w:rPr>
          <w:color w:val="244061" w:themeColor="accent1" w:themeShade="80"/>
        </w:rPr>
        <w:t xml:space="preserve"> </w:t>
      </w:r>
      <w:r w:rsidR="00A50C24" w:rsidRPr="003B6668">
        <w:rPr>
          <w:color w:val="244061" w:themeColor="accent1" w:themeShade="80"/>
        </w:rPr>
        <w:t>plug:</w:t>
      </w:r>
    </w:p>
    <w:p w14:paraId="18C5C3A5" w14:textId="70EAD30F" w:rsidR="005B7D84" w:rsidRPr="003B6668" w:rsidRDefault="005B7D84" w:rsidP="00F45EBE">
      <w:pPr>
        <w:pStyle w:val="ListBullet2"/>
        <w:numPr>
          <w:ilvl w:val="0"/>
          <w:numId w:val="30"/>
        </w:numPr>
        <w:rPr>
          <w:color w:val="244061" w:themeColor="accent1" w:themeShade="80"/>
        </w:rPr>
      </w:pPr>
      <w:r w:rsidRPr="003B6668">
        <w:rPr>
          <w:color w:val="244061" w:themeColor="accent1" w:themeShade="80"/>
        </w:rPr>
        <w:t xml:space="preserve">If there is cement behind the casing across the base of </w:t>
      </w:r>
      <w:r w:rsidR="00003F75" w:rsidRPr="003B6668">
        <w:rPr>
          <w:color w:val="244061" w:themeColor="accent1" w:themeShade="80"/>
        </w:rPr>
        <w:t xml:space="preserve">the </w:t>
      </w:r>
      <w:r w:rsidRPr="003B6668">
        <w:rPr>
          <w:color w:val="244061" w:themeColor="accent1" w:themeShade="80"/>
        </w:rPr>
        <w:t>USDW, a 100-foot cement plug shall be placed inside the casing across the</w:t>
      </w:r>
      <w:r w:rsidR="00356530" w:rsidRPr="003B6668">
        <w:rPr>
          <w:color w:val="244061" w:themeColor="accent1" w:themeShade="80"/>
        </w:rPr>
        <w:t xml:space="preserve"> USDW</w:t>
      </w:r>
      <w:r w:rsidRPr="003B6668">
        <w:rPr>
          <w:color w:val="244061" w:themeColor="accent1" w:themeShade="80"/>
        </w:rPr>
        <w:t xml:space="preserve"> interface.</w:t>
      </w:r>
    </w:p>
    <w:p w14:paraId="7AC3E4A3" w14:textId="481A222A" w:rsidR="005B7D84" w:rsidRPr="003B6668" w:rsidRDefault="005B7D84" w:rsidP="00F45EBE">
      <w:pPr>
        <w:pStyle w:val="ListBullet2"/>
        <w:numPr>
          <w:ilvl w:val="0"/>
          <w:numId w:val="30"/>
        </w:numPr>
        <w:rPr>
          <w:color w:val="244061" w:themeColor="accent1" w:themeShade="80"/>
        </w:rPr>
      </w:pPr>
      <w:r w:rsidRPr="003B6668">
        <w:rPr>
          <w:color w:val="244061" w:themeColor="accent1" w:themeShade="80"/>
        </w:rPr>
        <w:t>If the top of the cement behind the casing is below the base of the USDW, squeeze cementing shall be required through perforations to protect the freshwater deposits.</w:t>
      </w:r>
    </w:p>
    <w:p w14:paraId="1DE926A6" w14:textId="63A9A497" w:rsidR="00B80150" w:rsidRPr="003B6668" w:rsidRDefault="00B80150" w:rsidP="002557AA">
      <w:pPr>
        <w:pStyle w:val="ListBullet"/>
        <w:rPr>
          <w:color w:val="244061" w:themeColor="accent1" w:themeShade="80"/>
        </w:rPr>
      </w:pPr>
      <w:r w:rsidRPr="003B6668">
        <w:rPr>
          <w:color w:val="244061" w:themeColor="accent1" w:themeShade="80"/>
        </w:rPr>
        <w:t>Freshwater/saltwater interface plug:</w:t>
      </w:r>
    </w:p>
    <w:p w14:paraId="3E769D65" w14:textId="37574538" w:rsidR="00274E6A" w:rsidRPr="003B6668" w:rsidRDefault="00FE1D22" w:rsidP="00B80150">
      <w:pPr>
        <w:pStyle w:val="ListBullet"/>
        <w:tabs>
          <w:tab w:val="clear" w:pos="360"/>
          <w:tab w:val="num" w:pos="720"/>
        </w:tabs>
        <w:ind w:left="1080"/>
        <w:rPr>
          <w:color w:val="244061" w:themeColor="accent1" w:themeShade="80"/>
        </w:rPr>
      </w:pPr>
      <w:r w:rsidRPr="003B6668">
        <w:rPr>
          <w:color w:val="244061" w:themeColor="accent1" w:themeShade="80"/>
        </w:rPr>
        <w:t>A</w:t>
      </w:r>
      <w:r w:rsidR="005B7D84" w:rsidRPr="003B6668">
        <w:rPr>
          <w:color w:val="244061" w:themeColor="accent1" w:themeShade="80"/>
        </w:rPr>
        <w:t xml:space="preserve"> 100-foot cement plug shall be placed inside the casing across the fresh-saltwater interface.</w:t>
      </w:r>
    </w:p>
    <w:p w14:paraId="04A3E937" w14:textId="77777777" w:rsidR="00F45EBE" w:rsidRPr="003B6668" w:rsidRDefault="00F92F63" w:rsidP="001010AC">
      <w:pPr>
        <w:pStyle w:val="ListBulletLAST"/>
        <w:rPr>
          <w:rFonts w:eastAsia="Calibri"/>
          <w:color w:val="244061" w:themeColor="accent1" w:themeShade="80"/>
        </w:rPr>
      </w:pPr>
      <w:r w:rsidRPr="003B6668">
        <w:rPr>
          <w:color w:val="244061" w:themeColor="accent1" w:themeShade="80"/>
        </w:rPr>
        <w:t>A s</w:t>
      </w:r>
      <w:r w:rsidR="005B7D84" w:rsidRPr="003B6668">
        <w:rPr>
          <w:color w:val="244061" w:themeColor="accent1" w:themeShade="80"/>
        </w:rPr>
        <w:t xml:space="preserve">urface </w:t>
      </w:r>
      <w:r w:rsidRPr="003B6668">
        <w:rPr>
          <w:color w:val="244061" w:themeColor="accent1" w:themeShade="80"/>
        </w:rPr>
        <w:t>p</w:t>
      </w:r>
      <w:r w:rsidR="005B7D84" w:rsidRPr="003B6668">
        <w:rPr>
          <w:color w:val="244061" w:themeColor="accent1" w:themeShade="80"/>
        </w:rPr>
        <w:t>lug</w:t>
      </w:r>
      <w:r w:rsidR="00F45EBE" w:rsidRPr="003B6668">
        <w:rPr>
          <w:color w:val="244061" w:themeColor="accent1" w:themeShade="80"/>
        </w:rPr>
        <w:t>:</w:t>
      </w:r>
      <w:r w:rsidR="005B7D84" w:rsidRPr="003B6668">
        <w:rPr>
          <w:color w:val="244061" w:themeColor="accent1" w:themeShade="80"/>
        </w:rPr>
        <w:t xml:space="preserve"> </w:t>
      </w:r>
    </w:p>
    <w:p w14:paraId="199EF762" w14:textId="04B3E6A5" w:rsidR="005B7D84" w:rsidRPr="003B6668" w:rsidRDefault="005B7D84" w:rsidP="00F45EBE">
      <w:pPr>
        <w:pStyle w:val="ListBulletLAST"/>
        <w:tabs>
          <w:tab w:val="clear" w:pos="720"/>
          <w:tab w:val="num" w:pos="1080"/>
        </w:tabs>
        <w:ind w:left="1080"/>
        <w:rPr>
          <w:rFonts w:eastAsia="Calibri"/>
          <w:color w:val="244061" w:themeColor="accent1" w:themeShade="80"/>
        </w:rPr>
      </w:pPr>
      <w:r w:rsidRPr="003B6668">
        <w:rPr>
          <w:color w:val="244061" w:themeColor="accent1" w:themeShade="80"/>
        </w:rPr>
        <w:t>The casing and all annuli shall be plugged at the surface with at least a 25-foot cement plug.</w:t>
      </w:r>
    </w:p>
    <w:sectPr w:rsidR="005B7D84" w:rsidRPr="003B6668" w:rsidSect="007C2DC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2422C" w14:textId="77777777" w:rsidR="00990D7C" w:rsidRPr="000B7785" w:rsidRDefault="00990D7C">
      <w:r w:rsidRPr="000B7785">
        <w:separator/>
      </w:r>
    </w:p>
  </w:endnote>
  <w:endnote w:type="continuationSeparator" w:id="0">
    <w:p w14:paraId="19283654" w14:textId="77777777" w:rsidR="00990D7C" w:rsidRPr="000B7785" w:rsidRDefault="00990D7C">
      <w:r w:rsidRPr="000B7785">
        <w:continuationSeparator/>
      </w:r>
    </w:p>
  </w:endnote>
  <w:endnote w:type="continuationNotice" w:id="1">
    <w:p w14:paraId="71E4A7B2" w14:textId="77777777" w:rsidR="00990D7C" w:rsidRPr="000B7785" w:rsidRDefault="00990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Calibri">
    <w:altName w:val="Times New Roman"/>
    <w:panose1 w:val="00000000000000000000"/>
    <w:charset w:val="00"/>
    <w:family w:val="roman"/>
    <w:notTrueType/>
    <w:pitch w:val="default"/>
  </w:font>
  <w:font w:name="Calibri bold">
    <w:panose1 w:val="020F07020304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80A2" w14:textId="157D8B27" w:rsidR="00972D16" w:rsidRPr="000B7785" w:rsidRDefault="00972D16" w:rsidP="0033752A">
    <w:pPr>
      <w:pStyle w:val="Footer"/>
      <w:pBdr>
        <w:top w:val="single" w:sz="4" w:space="1" w:color="auto"/>
        <w:left w:val="single" w:sz="4" w:space="4" w:color="auto"/>
        <w:bottom w:val="single" w:sz="4" w:space="1" w:color="auto"/>
        <w:right w:val="single" w:sz="4" w:space="4"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2C488" w14:textId="3E9FCE8E" w:rsidR="00972D16" w:rsidRPr="000B7785" w:rsidRDefault="06A550E1" w:rsidP="06A550E1">
    <w:pPr>
      <w:pStyle w:val="Footer"/>
      <w:pBdr>
        <w:top w:val="single" w:sz="4" w:space="6" w:color="auto"/>
      </w:pBdr>
      <w:tabs>
        <w:tab w:val="clear" w:pos="4680"/>
      </w:tabs>
    </w:pPr>
    <w:r>
      <w:t xml:space="preserve">Injection Well Plugging Plan for </w:t>
    </w:r>
    <w:r w:rsidRPr="06A550E1">
      <w:rPr>
        <w:highlight w:val="yellow"/>
      </w:rPr>
      <w:t xml:space="preserve">INSERT FACILITY NAME </w:t>
    </w:r>
    <w:r w:rsidR="00972D16">
      <w:tab/>
    </w:r>
    <w:r>
      <w:t xml:space="preserve">Page </w:t>
    </w:r>
    <w:r w:rsidR="00972D16">
      <w:fldChar w:fldCharType="begin"/>
    </w:r>
    <w:r w:rsidR="00972D16">
      <w:instrText xml:space="preserve"> PAGE  \* Arabic  \* MERGEFORMAT </w:instrText>
    </w:r>
    <w:r w:rsidR="00972D16">
      <w:fldChar w:fldCharType="separate"/>
    </w:r>
    <w:r>
      <w:t>1</w:t>
    </w:r>
    <w:r w:rsidR="00972D16">
      <w:fldChar w:fldCharType="end"/>
    </w:r>
    <w:r>
      <w:t xml:space="preserve"> of </w:t>
    </w:r>
    <w:fldSimple w:instr="NUMPAGES  \* Arabic  \* MERGEFORMAT">
      <w:r>
        <w:t>4</w:t>
      </w:r>
    </w:fldSimple>
  </w:p>
  <w:p w14:paraId="4DCFC91C" w14:textId="727ABC5C" w:rsidR="00972D16" w:rsidRPr="000B7785" w:rsidRDefault="00972D16" w:rsidP="0033752A">
    <w:pPr>
      <w:pStyle w:val="Footer"/>
      <w:tabs>
        <w:tab w:val="clear" w:pos="4680"/>
        <w:tab w:val="left" w:pos="-3060"/>
      </w:tabs>
      <w:rPr>
        <w:i w:val="0"/>
      </w:rPr>
    </w:pPr>
    <w:r w:rsidRPr="000B7785">
      <w:t xml:space="preserve">Permit Number: </w:t>
    </w:r>
    <w:r w:rsidRPr="000B7785">
      <w:rPr>
        <w:highlight w:val="yellow"/>
      </w:rPr>
      <w:t>INSERT PERMIT NUMBER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87B10" w14:textId="72D39554" w:rsidR="00D42749" w:rsidRPr="000B7785" w:rsidRDefault="00D42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DD2C8" w14:textId="77777777" w:rsidR="00990D7C" w:rsidRPr="000B7785" w:rsidRDefault="00990D7C">
      <w:r w:rsidRPr="000B7785">
        <w:separator/>
      </w:r>
    </w:p>
  </w:footnote>
  <w:footnote w:type="continuationSeparator" w:id="0">
    <w:p w14:paraId="73989E09" w14:textId="77777777" w:rsidR="00990D7C" w:rsidRPr="000B7785" w:rsidRDefault="00990D7C">
      <w:r w:rsidRPr="000B7785">
        <w:continuationSeparator/>
      </w:r>
    </w:p>
  </w:footnote>
  <w:footnote w:type="continuationNotice" w:id="1">
    <w:p w14:paraId="5F0D08F2" w14:textId="77777777" w:rsidR="00990D7C" w:rsidRPr="000B7785" w:rsidRDefault="00990D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83637" w14:textId="7F597D47" w:rsidR="00D42749" w:rsidRPr="000B7785" w:rsidRDefault="00D42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8F1F" w14:textId="77872CE5" w:rsidR="00972D16" w:rsidRPr="000B7785" w:rsidRDefault="00972D16" w:rsidP="00B9541C">
    <w:pPr>
      <w:tabs>
        <w:tab w:val="right" w:pos="9360"/>
      </w:tabs>
      <w:rPr>
        <w:sz w:val="20"/>
      </w:rPr>
    </w:pPr>
    <w:r w:rsidRPr="000B7785">
      <w:rPr>
        <w:sz w:val="20"/>
      </w:rPr>
      <w:t xml:space="preserve">Plan revision number: </w:t>
    </w:r>
    <w:r w:rsidRPr="000B7785">
      <w:rPr>
        <w:sz w:val="20"/>
        <w:highlight w:val="yellow"/>
      </w:rPr>
      <w:t>INSERT</w:t>
    </w:r>
  </w:p>
  <w:p w14:paraId="26096584" w14:textId="037BF089" w:rsidR="00972D16" w:rsidRPr="000B7785" w:rsidRDefault="00972D16" w:rsidP="09997AED">
    <w:pPr>
      <w:tabs>
        <w:tab w:val="right" w:pos="9360"/>
      </w:tabs>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103B7" w14:textId="456B81E6" w:rsidR="00D42749" w:rsidRPr="000B7785" w:rsidRDefault="00D42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370FA8C"/>
    <w:lvl w:ilvl="0">
      <w:start w:val="1"/>
      <w:numFmt w:val="bullet"/>
      <w:pStyle w:val="ListBullet2"/>
      <w:lvlText w:val=""/>
      <w:lvlJc w:val="left"/>
      <w:pPr>
        <w:ind w:left="720" w:hanging="360"/>
      </w:pPr>
      <w:rPr>
        <w:rFonts w:ascii="Wingdings" w:hAnsi="Wingdings" w:hint="default"/>
        <w:sz w:val="12"/>
        <w:szCs w:val="12"/>
      </w:rPr>
    </w:lvl>
  </w:abstractNum>
  <w:abstractNum w:abstractNumId="1" w15:restartNumberingAfterBreak="0">
    <w:nsid w:val="FFFFFF88"/>
    <w:multiLevelType w:val="singleLevel"/>
    <w:tmpl w:val="7226B63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F55ECC5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8455EFD"/>
    <w:multiLevelType w:val="multilevel"/>
    <w:tmpl w:val="C58061E4"/>
    <w:lvl w:ilvl="0">
      <w:start w:val="4"/>
      <w:numFmt w:val="decimal"/>
      <w:lvlText w:val="%1.0"/>
      <w:lvlJc w:val="left"/>
      <w:pPr>
        <w:ind w:left="360" w:hanging="360"/>
      </w:pPr>
      <w:rPr>
        <w:rFonts w:hint="default"/>
        <w:u w:val="thick"/>
      </w:rPr>
    </w:lvl>
    <w:lvl w:ilvl="1">
      <w:start w:val="1"/>
      <w:numFmt w:val="decimal"/>
      <w:lvlText w:val="%1.%2"/>
      <w:lvlJc w:val="left"/>
      <w:pPr>
        <w:ind w:left="1080" w:hanging="360"/>
      </w:pPr>
      <w:rPr>
        <w:rFonts w:hint="default"/>
        <w:u w:val="thick"/>
      </w:rPr>
    </w:lvl>
    <w:lvl w:ilvl="2">
      <w:start w:val="1"/>
      <w:numFmt w:val="decimal"/>
      <w:lvlText w:val="%1.%2.%3"/>
      <w:lvlJc w:val="left"/>
      <w:pPr>
        <w:ind w:left="2160" w:hanging="720"/>
      </w:pPr>
      <w:rPr>
        <w:rFonts w:hint="default"/>
        <w:u w:val="thick"/>
      </w:rPr>
    </w:lvl>
    <w:lvl w:ilvl="3">
      <w:start w:val="1"/>
      <w:numFmt w:val="decimal"/>
      <w:lvlText w:val="%1.%2.%3.%4"/>
      <w:lvlJc w:val="left"/>
      <w:pPr>
        <w:ind w:left="2880" w:hanging="720"/>
      </w:pPr>
      <w:rPr>
        <w:rFonts w:hint="default"/>
        <w:u w:val="thick"/>
      </w:rPr>
    </w:lvl>
    <w:lvl w:ilvl="4">
      <w:start w:val="1"/>
      <w:numFmt w:val="decimal"/>
      <w:lvlText w:val="%1.%2.%3.%4.%5"/>
      <w:lvlJc w:val="left"/>
      <w:pPr>
        <w:ind w:left="3960" w:hanging="1080"/>
      </w:pPr>
      <w:rPr>
        <w:rFonts w:hint="default"/>
        <w:u w:val="thick"/>
      </w:rPr>
    </w:lvl>
    <w:lvl w:ilvl="5">
      <w:start w:val="1"/>
      <w:numFmt w:val="decimal"/>
      <w:lvlText w:val="%1.%2.%3.%4.%5.%6"/>
      <w:lvlJc w:val="left"/>
      <w:pPr>
        <w:ind w:left="4680" w:hanging="1080"/>
      </w:pPr>
      <w:rPr>
        <w:rFonts w:hint="default"/>
        <w:u w:val="thick"/>
      </w:rPr>
    </w:lvl>
    <w:lvl w:ilvl="6">
      <w:start w:val="1"/>
      <w:numFmt w:val="decimal"/>
      <w:lvlText w:val="%1.%2.%3.%4.%5.%6.%7"/>
      <w:lvlJc w:val="left"/>
      <w:pPr>
        <w:ind w:left="5760" w:hanging="1440"/>
      </w:pPr>
      <w:rPr>
        <w:rFonts w:hint="default"/>
        <w:u w:val="thick"/>
      </w:rPr>
    </w:lvl>
    <w:lvl w:ilvl="7">
      <w:start w:val="1"/>
      <w:numFmt w:val="decimal"/>
      <w:lvlText w:val="%1.%2.%3.%4.%5.%6.%7.%8"/>
      <w:lvlJc w:val="left"/>
      <w:pPr>
        <w:ind w:left="6480" w:hanging="1440"/>
      </w:pPr>
      <w:rPr>
        <w:rFonts w:hint="default"/>
        <w:u w:val="thick"/>
      </w:rPr>
    </w:lvl>
    <w:lvl w:ilvl="8">
      <w:start w:val="1"/>
      <w:numFmt w:val="decimal"/>
      <w:lvlText w:val="%1.%2.%3.%4.%5.%6.%7.%8.%9"/>
      <w:lvlJc w:val="left"/>
      <w:pPr>
        <w:ind w:left="7560" w:hanging="1800"/>
      </w:pPr>
      <w:rPr>
        <w:rFonts w:hint="default"/>
        <w:u w:val="thick"/>
      </w:rPr>
    </w:lvl>
  </w:abstractNum>
  <w:abstractNum w:abstractNumId="4" w15:restartNumberingAfterBreak="0">
    <w:nsid w:val="11006F67"/>
    <w:multiLevelType w:val="hybridMultilevel"/>
    <w:tmpl w:val="2FB4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73633"/>
    <w:multiLevelType w:val="hybridMultilevel"/>
    <w:tmpl w:val="CD34C3C6"/>
    <w:lvl w:ilvl="0" w:tplc="F96E72F6">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446F8D"/>
    <w:multiLevelType w:val="hybridMultilevel"/>
    <w:tmpl w:val="6CA095EC"/>
    <w:lvl w:ilvl="0" w:tplc="DFB6C5C4">
      <w:start w:val="300"/>
      <w:numFmt w:val="decimal"/>
      <w:lvlText w:val="%1"/>
      <w:lvlJc w:val="left"/>
      <w:pPr>
        <w:ind w:left="720" w:hanging="360"/>
      </w:pPr>
      <w:rPr>
        <w:rFonts w:ascii="TimesNewRomanPSMT,Calibri" w:eastAsia="TimesNewRomanPSMT,Calibri" w:hAnsi="TimesNewRomanPSMT,Calibri" w:cs="TimesNewRomanPSMT,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309CD"/>
    <w:multiLevelType w:val="hybridMultilevel"/>
    <w:tmpl w:val="94CE05D4"/>
    <w:lvl w:ilvl="0" w:tplc="DCEE25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509CA"/>
    <w:multiLevelType w:val="hybridMultilevel"/>
    <w:tmpl w:val="9AA0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900E0"/>
    <w:multiLevelType w:val="hybridMultilevel"/>
    <w:tmpl w:val="A0C4F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A250D"/>
    <w:multiLevelType w:val="multilevel"/>
    <w:tmpl w:val="0D52621A"/>
    <w:lvl w:ilvl="0">
      <w:start w:val="1"/>
      <w:numFmt w:val="decimal"/>
      <w:pStyle w:val="Heading1"/>
      <w:lvlText w:val="%1."/>
      <w:lvlJc w:val="left"/>
      <w:pPr>
        <w:ind w:left="432" w:hanging="432"/>
      </w:pPr>
      <w:rPr>
        <w:rFonts w:ascii="Calibri bold" w:hAnsi="Calibri bold" w:hint="default"/>
        <w:b/>
        <w:i w:val="0"/>
        <w:sz w:val="24"/>
        <w:u w:val="none"/>
      </w:rPr>
    </w:lvl>
    <w:lvl w:ilvl="1">
      <w:start w:val="1"/>
      <w:numFmt w:val="decimal"/>
      <w:pStyle w:val="Heading2"/>
      <w:lvlText w:val="%1.%2"/>
      <w:lvlJc w:val="left"/>
      <w:pPr>
        <w:ind w:left="576" w:hanging="576"/>
      </w:pPr>
      <w:rPr>
        <w:rFonts w:hint="default"/>
        <w:u w:val="none"/>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2F231CF9"/>
    <w:multiLevelType w:val="hybridMultilevel"/>
    <w:tmpl w:val="034849BE"/>
    <w:lvl w:ilvl="0" w:tplc="8736B79C">
      <w:start w:val="1"/>
      <w:numFmt w:val="decimal"/>
      <w:lvlText w:val="%1.0"/>
      <w:lvlJc w:val="left"/>
      <w:pPr>
        <w:ind w:left="480" w:hanging="360"/>
      </w:pPr>
      <w:rPr>
        <w:rFonts w:ascii="Calibri" w:eastAsia="Times New Roman" w:hAnsi="Calibri" w:cs="Calibri" w:hint="default"/>
        <w:b/>
        <w:bCs/>
        <w:i w:val="0"/>
        <w:iCs w:val="0"/>
        <w:spacing w:val="0"/>
        <w:w w:val="93"/>
        <w:sz w:val="24"/>
        <w:szCs w:val="24"/>
        <w:u w:val="thick" w:color="000000"/>
        <w:lang w:val="en-US" w:eastAsia="en-US" w:bidi="ar-SA"/>
      </w:rPr>
    </w:lvl>
    <w:lvl w:ilvl="1" w:tplc="51BE748A">
      <w:numFmt w:val="bullet"/>
      <w:lvlText w:val=""/>
      <w:lvlJc w:val="left"/>
      <w:pPr>
        <w:ind w:left="840" w:hanging="360"/>
      </w:pPr>
      <w:rPr>
        <w:rFonts w:ascii="Symbol" w:eastAsia="Symbol" w:hAnsi="Symbol" w:cs="Symbol" w:hint="default"/>
        <w:spacing w:val="0"/>
        <w:w w:val="100"/>
        <w:lang w:val="en-US" w:eastAsia="en-US" w:bidi="ar-SA"/>
      </w:rPr>
    </w:lvl>
    <w:lvl w:ilvl="2" w:tplc="6400C086">
      <w:numFmt w:val="bullet"/>
      <w:lvlText w:val="•"/>
      <w:lvlJc w:val="left"/>
      <w:pPr>
        <w:ind w:left="840" w:hanging="360"/>
      </w:pPr>
      <w:rPr>
        <w:rFonts w:hint="default"/>
        <w:lang w:val="en-US" w:eastAsia="en-US" w:bidi="ar-SA"/>
      </w:rPr>
    </w:lvl>
    <w:lvl w:ilvl="3" w:tplc="8EEC91EC">
      <w:numFmt w:val="bullet"/>
      <w:lvlText w:val="•"/>
      <w:lvlJc w:val="left"/>
      <w:pPr>
        <w:ind w:left="1935" w:hanging="360"/>
      </w:pPr>
      <w:rPr>
        <w:rFonts w:hint="default"/>
        <w:lang w:val="en-US" w:eastAsia="en-US" w:bidi="ar-SA"/>
      </w:rPr>
    </w:lvl>
    <w:lvl w:ilvl="4" w:tplc="AD1E006A">
      <w:numFmt w:val="bullet"/>
      <w:lvlText w:val="•"/>
      <w:lvlJc w:val="left"/>
      <w:pPr>
        <w:ind w:left="3030" w:hanging="360"/>
      </w:pPr>
      <w:rPr>
        <w:rFonts w:hint="default"/>
        <w:lang w:val="en-US" w:eastAsia="en-US" w:bidi="ar-SA"/>
      </w:rPr>
    </w:lvl>
    <w:lvl w:ilvl="5" w:tplc="21BC9590">
      <w:numFmt w:val="bullet"/>
      <w:lvlText w:val="•"/>
      <w:lvlJc w:val="left"/>
      <w:pPr>
        <w:ind w:left="4125" w:hanging="360"/>
      </w:pPr>
      <w:rPr>
        <w:rFonts w:hint="default"/>
        <w:lang w:val="en-US" w:eastAsia="en-US" w:bidi="ar-SA"/>
      </w:rPr>
    </w:lvl>
    <w:lvl w:ilvl="6" w:tplc="62D87422">
      <w:numFmt w:val="bullet"/>
      <w:lvlText w:val="•"/>
      <w:lvlJc w:val="left"/>
      <w:pPr>
        <w:ind w:left="5220" w:hanging="360"/>
      </w:pPr>
      <w:rPr>
        <w:rFonts w:hint="default"/>
        <w:lang w:val="en-US" w:eastAsia="en-US" w:bidi="ar-SA"/>
      </w:rPr>
    </w:lvl>
    <w:lvl w:ilvl="7" w:tplc="B88ED426">
      <w:numFmt w:val="bullet"/>
      <w:lvlText w:val="•"/>
      <w:lvlJc w:val="left"/>
      <w:pPr>
        <w:ind w:left="6315" w:hanging="360"/>
      </w:pPr>
      <w:rPr>
        <w:rFonts w:hint="default"/>
        <w:lang w:val="en-US" w:eastAsia="en-US" w:bidi="ar-SA"/>
      </w:rPr>
    </w:lvl>
    <w:lvl w:ilvl="8" w:tplc="583A34B4">
      <w:numFmt w:val="bullet"/>
      <w:lvlText w:val="•"/>
      <w:lvlJc w:val="left"/>
      <w:pPr>
        <w:ind w:left="7410" w:hanging="360"/>
      </w:pPr>
      <w:rPr>
        <w:rFonts w:hint="default"/>
        <w:lang w:val="en-US" w:eastAsia="en-US" w:bidi="ar-SA"/>
      </w:rPr>
    </w:lvl>
  </w:abstractNum>
  <w:abstractNum w:abstractNumId="12" w15:restartNumberingAfterBreak="0">
    <w:nsid w:val="2F8F4BAE"/>
    <w:multiLevelType w:val="hybridMultilevel"/>
    <w:tmpl w:val="49521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9B59DD"/>
    <w:multiLevelType w:val="hybridMultilevel"/>
    <w:tmpl w:val="0B369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6044DD"/>
    <w:multiLevelType w:val="hybridMultilevel"/>
    <w:tmpl w:val="2E9A3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8019D1"/>
    <w:multiLevelType w:val="multilevel"/>
    <w:tmpl w:val="5DCCCB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4C04F2B"/>
    <w:multiLevelType w:val="hybridMultilevel"/>
    <w:tmpl w:val="6E8A10BC"/>
    <w:lvl w:ilvl="0" w:tplc="0409000F">
      <w:start w:val="1"/>
      <w:numFmt w:val="decimal"/>
      <w:pStyle w:val="ListNumber"/>
      <w:lvlText w:val="%1."/>
      <w:lvlJc w:val="left"/>
      <w:pPr>
        <w:ind w:left="660" w:hanging="433"/>
      </w:pPr>
      <w:rPr>
        <w:rFonts w:hint="default"/>
        <w:b w:val="0"/>
        <w:bCs w:val="0"/>
        <w:i w:val="0"/>
        <w:iCs w:val="0"/>
        <w:spacing w:val="-1"/>
        <w:w w:val="100"/>
        <w:sz w:val="24"/>
        <w:szCs w:val="24"/>
        <w:lang w:val="en-US" w:eastAsia="en-US" w:bidi="ar-SA"/>
      </w:rPr>
    </w:lvl>
    <w:lvl w:ilvl="1" w:tplc="8BD015F2">
      <w:start w:val="1"/>
      <w:numFmt w:val="lowerLetter"/>
      <w:lvlText w:val="(%2)"/>
      <w:lvlJc w:val="left"/>
      <w:pPr>
        <w:ind w:left="1291" w:hanging="435"/>
      </w:pPr>
      <w:rPr>
        <w:rFonts w:ascii="Calibri" w:eastAsia="Times New Roman" w:hAnsi="Calibri" w:cs="Calibri" w:hint="default"/>
        <w:b w:val="0"/>
        <w:bCs w:val="0"/>
        <w:i w:val="0"/>
        <w:iCs w:val="0"/>
        <w:spacing w:val="-2"/>
        <w:w w:val="100"/>
        <w:sz w:val="24"/>
        <w:szCs w:val="24"/>
        <w:lang w:val="en-US" w:eastAsia="en-US" w:bidi="ar-SA"/>
      </w:rPr>
    </w:lvl>
    <w:lvl w:ilvl="2" w:tplc="F2A430F6">
      <w:numFmt w:val="bullet"/>
      <w:lvlText w:val="•"/>
      <w:lvlJc w:val="left"/>
      <w:pPr>
        <w:ind w:left="2222" w:hanging="435"/>
      </w:pPr>
      <w:rPr>
        <w:rFonts w:hint="default"/>
        <w:lang w:val="en-US" w:eastAsia="en-US" w:bidi="ar-SA"/>
      </w:rPr>
    </w:lvl>
    <w:lvl w:ilvl="3" w:tplc="A9A0F0CE">
      <w:numFmt w:val="bullet"/>
      <w:lvlText w:val="•"/>
      <w:lvlJc w:val="left"/>
      <w:pPr>
        <w:ind w:left="3144" w:hanging="435"/>
      </w:pPr>
      <w:rPr>
        <w:rFonts w:hint="default"/>
        <w:lang w:val="en-US" w:eastAsia="en-US" w:bidi="ar-SA"/>
      </w:rPr>
    </w:lvl>
    <w:lvl w:ilvl="4" w:tplc="CE60BDEA">
      <w:numFmt w:val="bullet"/>
      <w:lvlText w:val="•"/>
      <w:lvlJc w:val="left"/>
      <w:pPr>
        <w:ind w:left="4066" w:hanging="435"/>
      </w:pPr>
      <w:rPr>
        <w:rFonts w:hint="default"/>
        <w:lang w:val="en-US" w:eastAsia="en-US" w:bidi="ar-SA"/>
      </w:rPr>
    </w:lvl>
    <w:lvl w:ilvl="5" w:tplc="337216E6">
      <w:numFmt w:val="bullet"/>
      <w:lvlText w:val="•"/>
      <w:lvlJc w:val="left"/>
      <w:pPr>
        <w:ind w:left="4988" w:hanging="435"/>
      </w:pPr>
      <w:rPr>
        <w:rFonts w:hint="default"/>
        <w:lang w:val="en-US" w:eastAsia="en-US" w:bidi="ar-SA"/>
      </w:rPr>
    </w:lvl>
    <w:lvl w:ilvl="6" w:tplc="D95E69F0">
      <w:numFmt w:val="bullet"/>
      <w:lvlText w:val="•"/>
      <w:lvlJc w:val="left"/>
      <w:pPr>
        <w:ind w:left="5911" w:hanging="435"/>
      </w:pPr>
      <w:rPr>
        <w:rFonts w:hint="default"/>
        <w:lang w:val="en-US" w:eastAsia="en-US" w:bidi="ar-SA"/>
      </w:rPr>
    </w:lvl>
    <w:lvl w:ilvl="7" w:tplc="8FF8B816">
      <w:numFmt w:val="bullet"/>
      <w:lvlText w:val="•"/>
      <w:lvlJc w:val="left"/>
      <w:pPr>
        <w:ind w:left="6833" w:hanging="435"/>
      </w:pPr>
      <w:rPr>
        <w:rFonts w:hint="default"/>
        <w:lang w:val="en-US" w:eastAsia="en-US" w:bidi="ar-SA"/>
      </w:rPr>
    </w:lvl>
    <w:lvl w:ilvl="8" w:tplc="9C14546E">
      <w:numFmt w:val="bullet"/>
      <w:lvlText w:val="•"/>
      <w:lvlJc w:val="left"/>
      <w:pPr>
        <w:ind w:left="7755" w:hanging="435"/>
      </w:pPr>
      <w:rPr>
        <w:rFonts w:hint="default"/>
        <w:lang w:val="en-US" w:eastAsia="en-US" w:bidi="ar-SA"/>
      </w:rPr>
    </w:lvl>
  </w:abstractNum>
  <w:abstractNum w:abstractNumId="17" w15:restartNumberingAfterBreak="0">
    <w:nsid w:val="47873DF8"/>
    <w:multiLevelType w:val="hybridMultilevel"/>
    <w:tmpl w:val="AAB092AA"/>
    <w:lvl w:ilvl="0" w:tplc="7B48DC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296495"/>
    <w:multiLevelType w:val="hybridMultilevel"/>
    <w:tmpl w:val="F91AFE44"/>
    <w:lvl w:ilvl="0" w:tplc="3A9864F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515F2E"/>
    <w:multiLevelType w:val="multilevel"/>
    <w:tmpl w:val="82AEE94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3701A3F"/>
    <w:multiLevelType w:val="hybridMultilevel"/>
    <w:tmpl w:val="0F6AA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B074C17"/>
    <w:multiLevelType w:val="hybridMultilevel"/>
    <w:tmpl w:val="E9B4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D8144D"/>
    <w:multiLevelType w:val="hybridMultilevel"/>
    <w:tmpl w:val="62420FC8"/>
    <w:lvl w:ilvl="0" w:tplc="36A6E946">
      <w:start w:val="1"/>
      <w:numFmt w:val="lowerRoman"/>
      <w:lvlText w:val="%1."/>
      <w:lvlJc w:val="left"/>
      <w:pPr>
        <w:ind w:left="1080" w:hanging="720"/>
      </w:pPr>
      <w:rPr>
        <w:rFonts w:hint="default"/>
      </w:rPr>
    </w:lvl>
    <w:lvl w:ilvl="1" w:tplc="87A2BE5C">
      <w:start w:val="1"/>
      <w:numFmt w:val="decimal"/>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9429718">
    <w:abstractNumId w:val="22"/>
  </w:num>
  <w:num w:numId="2" w16cid:durableId="1036471493">
    <w:abstractNumId w:val="13"/>
  </w:num>
  <w:num w:numId="3" w16cid:durableId="838813086">
    <w:abstractNumId w:val="8"/>
  </w:num>
  <w:num w:numId="4" w16cid:durableId="118645541">
    <w:abstractNumId w:val="4"/>
  </w:num>
  <w:num w:numId="5" w16cid:durableId="314577953">
    <w:abstractNumId w:val="9"/>
  </w:num>
  <w:num w:numId="6" w16cid:durableId="1296716499">
    <w:abstractNumId w:val="18"/>
  </w:num>
  <w:num w:numId="7" w16cid:durableId="1003362816">
    <w:abstractNumId w:val="7"/>
  </w:num>
  <w:num w:numId="8" w16cid:durableId="1620793527">
    <w:abstractNumId w:val="21"/>
  </w:num>
  <w:num w:numId="9" w16cid:durableId="1100957028">
    <w:abstractNumId w:val="17"/>
  </w:num>
  <w:num w:numId="10" w16cid:durableId="22099099">
    <w:abstractNumId w:val="6"/>
  </w:num>
  <w:num w:numId="11" w16cid:durableId="512839001">
    <w:abstractNumId w:val="15"/>
  </w:num>
  <w:num w:numId="12" w16cid:durableId="420444557">
    <w:abstractNumId w:val="19"/>
  </w:num>
  <w:num w:numId="13" w16cid:durableId="1543978197">
    <w:abstractNumId w:val="11"/>
  </w:num>
  <w:num w:numId="14" w16cid:durableId="754715238">
    <w:abstractNumId w:val="12"/>
  </w:num>
  <w:num w:numId="15" w16cid:durableId="1950821183">
    <w:abstractNumId w:val="16"/>
  </w:num>
  <w:num w:numId="16" w16cid:durableId="2136679873">
    <w:abstractNumId w:val="3"/>
  </w:num>
  <w:num w:numId="17" w16cid:durableId="1674796866">
    <w:abstractNumId w:val="14"/>
  </w:num>
  <w:num w:numId="18" w16cid:durableId="330255481">
    <w:abstractNumId w:val="2"/>
  </w:num>
  <w:num w:numId="19" w16cid:durableId="352265379">
    <w:abstractNumId w:val="1"/>
  </w:num>
  <w:num w:numId="20" w16cid:durableId="1236087985">
    <w:abstractNumId w:val="10"/>
  </w:num>
  <w:num w:numId="21" w16cid:durableId="1872185229">
    <w:abstractNumId w:val="16"/>
    <w:lvlOverride w:ilvl="0">
      <w:startOverride w:val="1"/>
    </w:lvlOverride>
  </w:num>
  <w:num w:numId="22" w16cid:durableId="273054518">
    <w:abstractNumId w:val="0"/>
  </w:num>
  <w:num w:numId="23" w16cid:durableId="482506433">
    <w:abstractNumId w:val="5"/>
  </w:num>
  <w:num w:numId="24" w16cid:durableId="1892619568">
    <w:abstractNumId w:val="2"/>
  </w:num>
  <w:num w:numId="25" w16cid:durableId="243539921">
    <w:abstractNumId w:val="0"/>
  </w:num>
  <w:num w:numId="26" w16cid:durableId="1014842967">
    <w:abstractNumId w:val="2"/>
  </w:num>
  <w:num w:numId="27" w16cid:durableId="828717543">
    <w:abstractNumId w:val="2"/>
  </w:num>
  <w:num w:numId="28" w16cid:durableId="391775082">
    <w:abstractNumId w:val="0"/>
  </w:num>
  <w:num w:numId="29" w16cid:durableId="614287128">
    <w:abstractNumId w:val="2"/>
  </w:num>
  <w:num w:numId="30" w16cid:durableId="11218074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5C7"/>
    <w:rsid w:val="000024F8"/>
    <w:rsid w:val="00002DCD"/>
    <w:rsid w:val="00003F75"/>
    <w:rsid w:val="00005068"/>
    <w:rsid w:val="00005D1C"/>
    <w:rsid w:val="00006AB6"/>
    <w:rsid w:val="00006C12"/>
    <w:rsid w:val="00015AF9"/>
    <w:rsid w:val="00016554"/>
    <w:rsid w:val="000263D4"/>
    <w:rsid w:val="000345E8"/>
    <w:rsid w:val="0003550C"/>
    <w:rsid w:val="00041870"/>
    <w:rsid w:val="000455B7"/>
    <w:rsid w:val="00053D1C"/>
    <w:rsid w:val="00054BD2"/>
    <w:rsid w:val="00055CCE"/>
    <w:rsid w:val="00063A9F"/>
    <w:rsid w:val="00063B6B"/>
    <w:rsid w:val="00064BA6"/>
    <w:rsid w:val="00071D70"/>
    <w:rsid w:val="00071E55"/>
    <w:rsid w:val="00080698"/>
    <w:rsid w:val="000829F9"/>
    <w:rsid w:val="00083214"/>
    <w:rsid w:val="000913B8"/>
    <w:rsid w:val="00091FDF"/>
    <w:rsid w:val="000A0C5B"/>
    <w:rsid w:val="000A1A1A"/>
    <w:rsid w:val="000A7AC8"/>
    <w:rsid w:val="000B01CD"/>
    <w:rsid w:val="000B0C31"/>
    <w:rsid w:val="000B7785"/>
    <w:rsid w:val="000C4712"/>
    <w:rsid w:val="000C4A5C"/>
    <w:rsid w:val="000C57A0"/>
    <w:rsid w:val="000C59A0"/>
    <w:rsid w:val="000C5EE6"/>
    <w:rsid w:val="000D1490"/>
    <w:rsid w:val="000D2A4F"/>
    <w:rsid w:val="000D3A3B"/>
    <w:rsid w:val="000D4A42"/>
    <w:rsid w:val="000D6CFC"/>
    <w:rsid w:val="000E0B71"/>
    <w:rsid w:val="000E2612"/>
    <w:rsid w:val="000E2C55"/>
    <w:rsid w:val="000F0A44"/>
    <w:rsid w:val="000F3036"/>
    <w:rsid w:val="001010AC"/>
    <w:rsid w:val="00102FA2"/>
    <w:rsid w:val="00103C76"/>
    <w:rsid w:val="00104375"/>
    <w:rsid w:val="00110862"/>
    <w:rsid w:val="0011154B"/>
    <w:rsid w:val="00116513"/>
    <w:rsid w:val="00123383"/>
    <w:rsid w:val="00125EA7"/>
    <w:rsid w:val="00126774"/>
    <w:rsid w:val="00132552"/>
    <w:rsid w:val="001330CD"/>
    <w:rsid w:val="00140872"/>
    <w:rsid w:val="001415B9"/>
    <w:rsid w:val="00145C9B"/>
    <w:rsid w:val="00146F55"/>
    <w:rsid w:val="00150129"/>
    <w:rsid w:val="0015042C"/>
    <w:rsid w:val="00150664"/>
    <w:rsid w:val="00157EBE"/>
    <w:rsid w:val="0016178D"/>
    <w:rsid w:val="00167669"/>
    <w:rsid w:val="0017369C"/>
    <w:rsid w:val="00174048"/>
    <w:rsid w:val="0017414E"/>
    <w:rsid w:val="00175706"/>
    <w:rsid w:val="001820CF"/>
    <w:rsid w:val="001910B9"/>
    <w:rsid w:val="00191562"/>
    <w:rsid w:val="0019316E"/>
    <w:rsid w:val="00193AC0"/>
    <w:rsid w:val="0019556B"/>
    <w:rsid w:val="001970B1"/>
    <w:rsid w:val="001A1BF4"/>
    <w:rsid w:val="001A5736"/>
    <w:rsid w:val="001AE36F"/>
    <w:rsid w:val="001B1E5E"/>
    <w:rsid w:val="001B1ECF"/>
    <w:rsid w:val="001B2D00"/>
    <w:rsid w:val="001D30A1"/>
    <w:rsid w:val="001D6B43"/>
    <w:rsid w:val="001E23CD"/>
    <w:rsid w:val="001E578D"/>
    <w:rsid w:val="001F7D08"/>
    <w:rsid w:val="002209E5"/>
    <w:rsid w:val="00230762"/>
    <w:rsid w:val="00233876"/>
    <w:rsid w:val="00235E0B"/>
    <w:rsid w:val="0023762F"/>
    <w:rsid w:val="0024063C"/>
    <w:rsid w:val="00240C14"/>
    <w:rsid w:val="00244A38"/>
    <w:rsid w:val="00253800"/>
    <w:rsid w:val="002557AA"/>
    <w:rsid w:val="00266F28"/>
    <w:rsid w:val="00274E6A"/>
    <w:rsid w:val="002769D1"/>
    <w:rsid w:val="00284531"/>
    <w:rsid w:val="002865F9"/>
    <w:rsid w:val="00287858"/>
    <w:rsid w:val="002A4D9D"/>
    <w:rsid w:val="002B1383"/>
    <w:rsid w:val="002B23AC"/>
    <w:rsid w:val="002B2B0A"/>
    <w:rsid w:val="002B3254"/>
    <w:rsid w:val="002B577E"/>
    <w:rsid w:val="002B71C9"/>
    <w:rsid w:val="002B768F"/>
    <w:rsid w:val="002C08C4"/>
    <w:rsid w:val="002C44C6"/>
    <w:rsid w:val="002C74F2"/>
    <w:rsid w:val="002D08F8"/>
    <w:rsid w:val="002D5225"/>
    <w:rsid w:val="002E341F"/>
    <w:rsid w:val="002E5CED"/>
    <w:rsid w:val="002F076E"/>
    <w:rsid w:val="002F0A76"/>
    <w:rsid w:val="002F25F2"/>
    <w:rsid w:val="002F2C38"/>
    <w:rsid w:val="002F4D5C"/>
    <w:rsid w:val="00304212"/>
    <w:rsid w:val="00306E2C"/>
    <w:rsid w:val="003075F2"/>
    <w:rsid w:val="00307A85"/>
    <w:rsid w:val="00315326"/>
    <w:rsid w:val="003156DE"/>
    <w:rsid w:val="00321A9B"/>
    <w:rsid w:val="00324C57"/>
    <w:rsid w:val="003267FF"/>
    <w:rsid w:val="003302CC"/>
    <w:rsid w:val="0033324D"/>
    <w:rsid w:val="00333B00"/>
    <w:rsid w:val="00335DCC"/>
    <w:rsid w:val="0033752A"/>
    <w:rsid w:val="00341D36"/>
    <w:rsid w:val="00350EBA"/>
    <w:rsid w:val="0035161F"/>
    <w:rsid w:val="003559DC"/>
    <w:rsid w:val="00356530"/>
    <w:rsid w:val="00356930"/>
    <w:rsid w:val="0036657C"/>
    <w:rsid w:val="0036705D"/>
    <w:rsid w:val="00373C2A"/>
    <w:rsid w:val="003746CD"/>
    <w:rsid w:val="00385773"/>
    <w:rsid w:val="00385D34"/>
    <w:rsid w:val="00397620"/>
    <w:rsid w:val="003A245D"/>
    <w:rsid w:val="003A2B37"/>
    <w:rsid w:val="003A476A"/>
    <w:rsid w:val="003A5187"/>
    <w:rsid w:val="003A7AD7"/>
    <w:rsid w:val="003B59FA"/>
    <w:rsid w:val="003B6668"/>
    <w:rsid w:val="003B6ACD"/>
    <w:rsid w:val="003C0C24"/>
    <w:rsid w:val="003C3FE9"/>
    <w:rsid w:val="003C6194"/>
    <w:rsid w:val="003D44D5"/>
    <w:rsid w:val="003D4C1F"/>
    <w:rsid w:val="003E025B"/>
    <w:rsid w:val="003E0E34"/>
    <w:rsid w:val="003E157A"/>
    <w:rsid w:val="003E5393"/>
    <w:rsid w:val="003F4239"/>
    <w:rsid w:val="003F54AF"/>
    <w:rsid w:val="003F5C1D"/>
    <w:rsid w:val="00402225"/>
    <w:rsid w:val="00406BC0"/>
    <w:rsid w:val="00420951"/>
    <w:rsid w:val="004220FA"/>
    <w:rsid w:val="004237D9"/>
    <w:rsid w:val="00426184"/>
    <w:rsid w:val="0042623D"/>
    <w:rsid w:val="00426A11"/>
    <w:rsid w:val="00431A21"/>
    <w:rsid w:val="004344DF"/>
    <w:rsid w:val="00435298"/>
    <w:rsid w:val="0044153A"/>
    <w:rsid w:val="0044665B"/>
    <w:rsid w:val="0044714C"/>
    <w:rsid w:val="00447376"/>
    <w:rsid w:val="00450159"/>
    <w:rsid w:val="004536C6"/>
    <w:rsid w:val="00457548"/>
    <w:rsid w:val="00480D18"/>
    <w:rsid w:val="00482B21"/>
    <w:rsid w:val="00483999"/>
    <w:rsid w:val="00486225"/>
    <w:rsid w:val="0048644C"/>
    <w:rsid w:val="00487DED"/>
    <w:rsid w:val="0049210B"/>
    <w:rsid w:val="004A7C56"/>
    <w:rsid w:val="004B27CC"/>
    <w:rsid w:val="004B2ABC"/>
    <w:rsid w:val="004B544D"/>
    <w:rsid w:val="004B78F3"/>
    <w:rsid w:val="004C6836"/>
    <w:rsid w:val="004C750B"/>
    <w:rsid w:val="004D3733"/>
    <w:rsid w:val="004D59F6"/>
    <w:rsid w:val="004D65CF"/>
    <w:rsid w:val="004E275B"/>
    <w:rsid w:val="004F06EF"/>
    <w:rsid w:val="004F5C47"/>
    <w:rsid w:val="00500416"/>
    <w:rsid w:val="005008E4"/>
    <w:rsid w:val="005079AF"/>
    <w:rsid w:val="00511681"/>
    <w:rsid w:val="00511C9E"/>
    <w:rsid w:val="00511FA5"/>
    <w:rsid w:val="00515D2C"/>
    <w:rsid w:val="00516F61"/>
    <w:rsid w:val="005203B8"/>
    <w:rsid w:val="00521C5E"/>
    <w:rsid w:val="00521CB7"/>
    <w:rsid w:val="0052404F"/>
    <w:rsid w:val="00524CD1"/>
    <w:rsid w:val="00525DDE"/>
    <w:rsid w:val="00526282"/>
    <w:rsid w:val="00526478"/>
    <w:rsid w:val="005367B2"/>
    <w:rsid w:val="00537337"/>
    <w:rsid w:val="005467F1"/>
    <w:rsid w:val="00550DA5"/>
    <w:rsid w:val="0055311F"/>
    <w:rsid w:val="005541EE"/>
    <w:rsid w:val="00565104"/>
    <w:rsid w:val="005660ED"/>
    <w:rsid w:val="00571768"/>
    <w:rsid w:val="00571C7C"/>
    <w:rsid w:val="00572A96"/>
    <w:rsid w:val="00575FA4"/>
    <w:rsid w:val="005838DC"/>
    <w:rsid w:val="005853C9"/>
    <w:rsid w:val="00585B0B"/>
    <w:rsid w:val="00585D79"/>
    <w:rsid w:val="00587577"/>
    <w:rsid w:val="005A0D7B"/>
    <w:rsid w:val="005A204E"/>
    <w:rsid w:val="005A5C36"/>
    <w:rsid w:val="005B7D84"/>
    <w:rsid w:val="005C3957"/>
    <w:rsid w:val="005C6312"/>
    <w:rsid w:val="005C74A0"/>
    <w:rsid w:val="005D0C1B"/>
    <w:rsid w:val="005D20C8"/>
    <w:rsid w:val="005D3609"/>
    <w:rsid w:val="005E32ED"/>
    <w:rsid w:val="005E63B0"/>
    <w:rsid w:val="005F16EC"/>
    <w:rsid w:val="005F1D4D"/>
    <w:rsid w:val="005F2366"/>
    <w:rsid w:val="005F27D3"/>
    <w:rsid w:val="005F3BBE"/>
    <w:rsid w:val="0060038E"/>
    <w:rsid w:val="006140A3"/>
    <w:rsid w:val="00615AF5"/>
    <w:rsid w:val="00621AC6"/>
    <w:rsid w:val="00626910"/>
    <w:rsid w:val="00630F98"/>
    <w:rsid w:val="00633D91"/>
    <w:rsid w:val="00640A55"/>
    <w:rsid w:val="00643796"/>
    <w:rsid w:val="00650B81"/>
    <w:rsid w:val="00653014"/>
    <w:rsid w:val="006534FE"/>
    <w:rsid w:val="00655A83"/>
    <w:rsid w:val="006711B5"/>
    <w:rsid w:val="00675362"/>
    <w:rsid w:val="006804E3"/>
    <w:rsid w:val="00683310"/>
    <w:rsid w:val="00686A6E"/>
    <w:rsid w:val="00697793"/>
    <w:rsid w:val="006A63E7"/>
    <w:rsid w:val="006A6466"/>
    <w:rsid w:val="006B59CB"/>
    <w:rsid w:val="006C3890"/>
    <w:rsid w:val="006C72BB"/>
    <w:rsid w:val="006D337E"/>
    <w:rsid w:val="006D3EAA"/>
    <w:rsid w:val="006D6009"/>
    <w:rsid w:val="006D6C6A"/>
    <w:rsid w:val="006E1EB8"/>
    <w:rsid w:val="006E476C"/>
    <w:rsid w:val="006E53F6"/>
    <w:rsid w:val="006E5B87"/>
    <w:rsid w:val="006E5CA3"/>
    <w:rsid w:val="006E66B2"/>
    <w:rsid w:val="006F2FFA"/>
    <w:rsid w:val="006F432D"/>
    <w:rsid w:val="00705385"/>
    <w:rsid w:val="00705EC4"/>
    <w:rsid w:val="0071501D"/>
    <w:rsid w:val="00715A56"/>
    <w:rsid w:val="00715DC8"/>
    <w:rsid w:val="00730AEE"/>
    <w:rsid w:val="0073162B"/>
    <w:rsid w:val="0073488E"/>
    <w:rsid w:val="007359D8"/>
    <w:rsid w:val="00741D9B"/>
    <w:rsid w:val="00744656"/>
    <w:rsid w:val="00747156"/>
    <w:rsid w:val="00752A1A"/>
    <w:rsid w:val="00755EF6"/>
    <w:rsid w:val="00760ABC"/>
    <w:rsid w:val="00763E84"/>
    <w:rsid w:val="00764853"/>
    <w:rsid w:val="007778F9"/>
    <w:rsid w:val="00782C05"/>
    <w:rsid w:val="00787238"/>
    <w:rsid w:val="00787C60"/>
    <w:rsid w:val="00791CCD"/>
    <w:rsid w:val="00793279"/>
    <w:rsid w:val="007932DF"/>
    <w:rsid w:val="007A0F55"/>
    <w:rsid w:val="007A150C"/>
    <w:rsid w:val="007A20CA"/>
    <w:rsid w:val="007A5AE1"/>
    <w:rsid w:val="007A66DF"/>
    <w:rsid w:val="007B0E9B"/>
    <w:rsid w:val="007C11B6"/>
    <w:rsid w:val="007C2DC4"/>
    <w:rsid w:val="007C2F30"/>
    <w:rsid w:val="007C6DA3"/>
    <w:rsid w:val="007D3755"/>
    <w:rsid w:val="007D42DA"/>
    <w:rsid w:val="007E363F"/>
    <w:rsid w:val="007E3E79"/>
    <w:rsid w:val="007E7193"/>
    <w:rsid w:val="00803225"/>
    <w:rsid w:val="008053D6"/>
    <w:rsid w:val="0081725E"/>
    <w:rsid w:val="00821BAA"/>
    <w:rsid w:val="00822B25"/>
    <w:rsid w:val="008233F8"/>
    <w:rsid w:val="00824315"/>
    <w:rsid w:val="00827B31"/>
    <w:rsid w:val="00833FF2"/>
    <w:rsid w:val="00836BBD"/>
    <w:rsid w:val="00844D37"/>
    <w:rsid w:val="00861B8E"/>
    <w:rsid w:val="008625D2"/>
    <w:rsid w:val="00865F89"/>
    <w:rsid w:val="00866842"/>
    <w:rsid w:val="00872340"/>
    <w:rsid w:val="00873187"/>
    <w:rsid w:val="00876604"/>
    <w:rsid w:val="00876E5B"/>
    <w:rsid w:val="00877E43"/>
    <w:rsid w:val="0089783B"/>
    <w:rsid w:val="008A3F96"/>
    <w:rsid w:val="008B2E83"/>
    <w:rsid w:val="008B4C9C"/>
    <w:rsid w:val="008B6A71"/>
    <w:rsid w:val="008C540E"/>
    <w:rsid w:val="008D150F"/>
    <w:rsid w:val="008D28B2"/>
    <w:rsid w:val="008E29EA"/>
    <w:rsid w:val="008F3BD6"/>
    <w:rsid w:val="00900A3F"/>
    <w:rsid w:val="00901B37"/>
    <w:rsid w:val="00902186"/>
    <w:rsid w:val="0090249F"/>
    <w:rsid w:val="00904067"/>
    <w:rsid w:val="0091264F"/>
    <w:rsid w:val="009127BC"/>
    <w:rsid w:val="009135E3"/>
    <w:rsid w:val="00913B10"/>
    <w:rsid w:val="00915392"/>
    <w:rsid w:val="009168C6"/>
    <w:rsid w:val="009208A3"/>
    <w:rsid w:val="009214EE"/>
    <w:rsid w:val="009226D5"/>
    <w:rsid w:val="0092389B"/>
    <w:rsid w:val="00926580"/>
    <w:rsid w:val="0092751B"/>
    <w:rsid w:val="00932CC4"/>
    <w:rsid w:val="00940144"/>
    <w:rsid w:val="00940D37"/>
    <w:rsid w:val="00947F67"/>
    <w:rsid w:val="00951EF2"/>
    <w:rsid w:val="0095327B"/>
    <w:rsid w:val="00960104"/>
    <w:rsid w:val="00962AED"/>
    <w:rsid w:val="009679E6"/>
    <w:rsid w:val="009720EB"/>
    <w:rsid w:val="00972D16"/>
    <w:rsid w:val="00973EA4"/>
    <w:rsid w:val="00980CE3"/>
    <w:rsid w:val="0098534D"/>
    <w:rsid w:val="009865EF"/>
    <w:rsid w:val="00986B8F"/>
    <w:rsid w:val="00990D7C"/>
    <w:rsid w:val="0099366F"/>
    <w:rsid w:val="0099397D"/>
    <w:rsid w:val="00996C32"/>
    <w:rsid w:val="00996DE5"/>
    <w:rsid w:val="00997A65"/>
    <w:rsid w:val="009A3A77"/>
    <w:rsid w:val="009A6C4A"/>
    <w:rsid w:val="009B1D58"/>
    <w:rsid w:val="009C10FA"/>
    <w:rsid w:val="009C1A1D"/>
    <w:rsid w:val="009C365E"/>
    <w:rsid w:val="009C3681"/>
    <w:rsid w:val="009D6653"/>
    <w:rsid w:val="009E19B7"/>
    <w:rsid w:val="009E6223"/>
    <w:rsid w:val="009E70BC"/>
    <w:rsid w:val="009F15AF"/>
    <w:rsid w:val="009F3E30"/>
    <w:rsid w:val="00A02A73"/>
    <w:rsid w:val="00A03B3C"/>
    <w:rsid w:val="00A0572C"/>
    <w:rsid w:val="00A06EF7"/>
    <w:rsid w:val="00A07BFD"/>
    <w:rsid w:val="00A15208"/>
    <w:rsid w:val="00A2008F"/>
    <w:rsid w:val="00A24FFD"/>
    <w:rsid w:val="00A2562C"/>
    <w:rsid w:val="00A3617C"/>
    <w:rsid w:val="00A365A3"/>
    <w:rsid w:val="00A36E82"/>
    <w:rsid w:val="00A4083B"/>
    <w:rsid w:val="00A4144F"/>
    <w:rsid w:val="00A42FC1"/>
    <w:rsid w:val="00A46BA9"/>
    <w:rsid w:val="00A4722F"/>
    <w:rsid w:val="00A50C24"/>
    <w:rsid w:val="00A511C5"/>
    <w:rsid w:val="00A5300F"/>
    <w:rsid w:val="00A56C6E"/>
    <w:rsid w:val="00A6035C"/>
    <w:rsid w:val="00A641A4"/>
    <w:rsid w:val="00A67B98"/>
    <w:rsid w:val="00A749F6"/>
    <w:rsid w:val="00A75AF9"/>
    <w:rsid w:val="00A8037D"/>
    <w:rsid w:val="00A8135C"/>
    <w:rsid w:val="00A82E3F"/>
    <w:rsid w:val="00A836E5"/>
    <w:rsid w:val="00A83E2A"/>
    <w:rsid w:val="00A83F47"/>
    <w:rsid w:val="00A86748"/>
    <w:rsid w:val="00A87D55"/>
    <w:rsid w:val="00A92EB6"/>
    <w:rsid w:val="00A961D3"/>
    <w:rsid w:val="00A96887"/>
    <w:rsid w:val="00AA1DEC"/>
    <w:rsid w:val="00AA5D0B"/>
    <w:rsid w:val="00AB0B87"/>
    <w:rsid w:val="00AB19E7"/>
    <w:rsid w:val="00AC051F"/>
    <w:rsid w:val="00AE2635"/>
    <w:rsid w:val="00AE35B7"/>
    <w:rsid w:val="00AE4C7C"/>
    <w:rsid w:val="00AF443A"/>
    <w:rsid w:val="00B00284"/>
    <w:rsid w:val="00B020FA"/>
    <w:rsid w:val="00B03FDB"/>
    <w:rsid w:val="00B068F4"/>
    <w:rsid w:val="00B07E11"/>
    <w:rsid w:val="00B12AA7"/>
    <w:rsid w:val="00B13BD1"/>
    <w:rsid w:val="00B21799"/>
    <w:rsid w:val="00B22659"/>
    <w:rsid w:val="00B24BF9"/>
    <w:rsid w:val="00B2671B"/>
    <w:rsid w:val="00B324F9"/>
    <w:rsid w:val="00B424E6"/>
    <w:rsid w:val="00B43C2F"/>
    <w:rsid w:val="00B46F3E"/>
    <w:rsid w:val="00B47F2B"/>
    <w:rsid w:val="00B600BF"/>
    <w:rsid w:val="00B61FA2"/>
    <w:rsid w:val="00B63113"/>
    <w:rsid w:val="00B6565F"/>
    <w:rsid w:val="00B70202"/>
    <w:rsid w:val="00B71BCD"/>
    <w:rsid w:val="00B74C8C"/>
    <w:rsid w:val="00B80150"/>
    <w:rsid w:val="00B80653"/>
    <w:rsid w:val="00B80AF5"/>
    <w:rsid w:val="00B8230E"/>
    <w:rsid w:val="00B84173"/>
    <w:rsid w:val="00B87376"/>
    <w:rsid w:val="00B9003C"/>
    <w:rsid w:val="00B90795"/>
    <w:rsid w:val="00B940AF"/>
    <w:rsid w:val="00B9541C"/>
    <w:rsid w:val="00B956F0"/>
    <w:rsid w:val="00BA1364"/>
    <w:rsid w:val="00BA714E"/>
    <w:rsid w:val="00BB20E9"/>
    <w:rsid w:val="00BB7026"/>
    <w:rsid w:val="00BB79AB"/>
    <w:rsid w:val="00BC3A5B"/>
    <w:rsid w:val="00BC7997"/>
    <w:rsid w:val="00BC7BAA"/>
    <w:rsid w:val="00BE7B15"/>
    <w:rsid w:val="00BF376C"/>
    <w:rsid w:val="00C05206"/>
    <w:rsid w:val="00C07AC7"/>
    <w:rsid w:val="00C16DF2"/>
    <w:rsid w:val="00C2446B"/>
    <w:rsid w:val="00C24B33"/>
    <w:rsid w:val="00C31A70"/>
    <w:rsid w:val="00C32C25"/>
    <w:rsid w:val="00C33D08"/>
    <w:rsid w:val="00C36173"/>
    <w:rsid w:val="00C36804"/>
    <w:rsid w:val="00C368B5"/>
    <w:rsid w:val="00C4336F"/>
    <w:rsid w:val="00C473A6"/>
    <w:rsid w:val="00C51238"/>
    <w:rsid w:val="00C55D9F"/>
    <w:rsid w:val="00C63216"/>
    <w:rsid w:val="00C72FC1"/>
    <w:rsid w:val="00C77375"/>
    <w:rsid w:val="00C7751E"/>
    <w:rsid w:val="00C83192"/>
    <w:rsid w:val="00C83F85"/>
    <w:rsid w:val="00C85153"/>
    <w:rsid w:val="00C86763"/>
    <w:rsid w:val="00C87A76"/>
    <w:rsid w:val="00C92037"/>
    <w:rsid w:val="00C95D89"/>
    <w:rsid w:val="00CA4E10"/>
    <w:rsid w:val="00CA59C6"/>
    <w:rsid w:val="00CB75E2"/>
    <w:rsid w:val="00CC1337"/>
    <w:rsid w:val="00CC372B"/>
    <w:rsid w:val="00CC38F3"/>
    <w:rsid w:val="00CC6DD5"/>
    <w:rsid w:val="00CD2BF9"/>
    <w:rsid w:val="00CD37DD"/>
    <w:rsid w:val="00CD44D0"/>
    <w:rsid w:val="00CD6C25"/>
    <w:rsid w:val="00CE1879"/>
    <w:rsid w:val="00CE3440"/>
    <w:rsid w:val="00CE38A7"/>
    <w:rsid w:val="00CE4976"/>
    <w:rsid w:val="00CF18D8"/>
    <w:rsid w:val="00D06F16"/>
    <w:rsid w:val="00D0708E"/>
    <w:rsid w:val="00D076E8"/>
    <w:rsid w:val="00D105AE"/>
    <w:rsid w:val="00D15481"/>
    <w:rsid w:val="00D162A3"/>
    <w:rsid w:val="00D17B51"/>
    <w:rsid w:val="00D255C7"/>
    <w:rsid w:val="00D26C10"/>
    <w:rsid w:val="00D33745"/>
    <w:rsid w:val="00D33FFF"/>
    <w:rsid w:val="00D34144"/>
    <w:rsid w:val="00D3533A"/>
    <w:rsid w:val="00D417DE"/>
    <w:rsid w:val="00D42749"/>
    <w:rsid w:val="00D46B00"/>
    <w:rsid w:val="00D54575"/>
    <w:rsid w:val="00D54A26"/>
    <w:rsid w:val="00D56459"/>
    <w:rsid w:val="00D571D6"/>
    <w:rsid w:val="00D71242"/>
    <w:rsid w:val="00D758D2"/>
    <w:rsid w:val="00D763A2"/>
    <w:rsid w:val="00D77162"/>
    <w:rsid w:val="00D82907"/>
    <w:rsid w:val="00D8567D"/>
    <w:rsid w:val="00D863A8"/>
    <w:rsid w:val="00D869C4"/>
    <w:rsid w:val="00D86CD5"/>
    <w:rsid w:val="00D90198"/>
    <w:rsid w:val="00D91259"/>
    <w:rsid w:val="00D94982"/>
    <w:rsid w:val="00D9510B"/>
    <w:rsid w:val="00DB310E"/>
    <w:rsid w:val="00DB38E1"/>
    <w:rsid w:val="00DB3D35"/>
    <w:rsid w:val="00DC15A1"/>
    <w:rsid w:val="00DC1AF8"/>
    <w:rsid w:val="00DC2B4B"/>
    <w:rsid w:val="00DC4A51"/>
    <w:rsid w:val="00DC68C0"/>
    <w:rsid w:val="00DC6BEE"/>
    <w:rsid w:val="00DD06FD"/>
    <w:rsid w:val="00DD5E50"/>
    <w:rsid w:val="00DE1281"/>
    <w:rsid w:val="00DE26B6"/>
    <w:rsid w:val="00DE2F01"/>
    <w:rsid w:val="00DE30CD"/>
    <w:rsid w:val="00DE4BE8"/>
    <w:rsid w:val="00DF4D58"/>
    <w:rsid w:val="00DF628B"/>
    <w:rsid w:val="00E00C9C"/>
    <w:rsid w:val="00E03199"/>
    <w:rsid w:val="00E04877"/>
    <w:rsid w:val="00E0512D"/>
    <w:rsid w:val="00E061A1"/>
    <w:rsid w:val="00E1044E"/>
    <w:rsid w:val="00E118DE"/>
    <w:rsid w:val="00E2233F"/>
    <w:rsid w:val="00E3556E"/>
    <w:rsid w:val="00E409B8"/>
    <w:rsid w:val="00E50E9F"/>
    <w:rsid w:val="00E5696A"/>
    <w:rsid w:val="00E56BEC"/>
    <w:rsid w:val="00E6499E"/>
    <w:rsid w:val="00E65992"/>
    <w:rsid w:val="00E66ECA"/>
    <w:rsid w:val="00E7097E"/>
    <w:rsid w:val="00E72D68"/>
    <w:rsid w:val="00E72E49"/>
    <w:rsid w:val="00E80A9B"/>
    <w:rsid w:val="00E83A58"/>
    <w:rsid w:val="00E84070"/>
    <w:rsid w:val="00E85059"/>
    <w:rsid w:val="00E93C8E"/>
    <w:rsid w:val="00E94753"/>
    <w:rsid w:val="00E947DC"/>
    <w:rsid w:val="00EA1295"/>
    <w:rsid w:val="00EA26DC"/>
    <w:rsid w:val="00EA53AE"/>
    <w:rsid w:val="00EB0DC9"/>
    <w:rsid w:val="00EB1439"/>
    <w:rsid w:val="00EB49F7"/>
    <w:rsid w:val="00EB563A"/>
    <w:rsid w:val="00EB6663"/>
    <w:rsid w:val="00EB6B2A"/>
    <w:rsid w:val="00EB6D1A"/>
    <w:rsid w:val="00EC0BF5"/>
    <w:rsid w:val="00EC1CBD"/>
    <w:rsid w:val="00ED0213"/>
    <w:rsid w:val="00ED309D"/>
    <w:rsid w:val="00ED4783"/>
    <w:rsid w:val="00EE5A69"/>
    <w:rsid w:val="00EE715C"/>
    <w:rsid w:val="00EF0BBB"/>
    <w:rsid w:val="00EF4B1F"/>
    <w:rsid w:val="00EF59D6"/>
    <w:rsid w:val="00EF7739"/>
    <w:rsid w:val="00F0060F"/>
    <w:rsid w:val="00F01A34"/>
    <w:rsid w:val="00F10460"/>
    <w:rsid w:val="00F124AC"/>
    <w:rsid w:val="00F16D3E"/>
    <w:rsid w:val="00F22459"/>
    <w:rsid w:val="00F2559E"/>
    <w:rsid w:val="00F33E27"/>
    <w:rsid w:val="00F35828"/>
    <w:rsid w:val="00F35E03"/>
    <w:rsid w:val="00F40B79"/>
    <w:rsid w:val="00F4119C"/>
    <w:rsid w:val="00F425EC"/>
    <w:rsid w:val="00F45EBE"/>
    <w:rsid w:val="00F46785"/>
    <w:rsid w:val="00F474E5"/>
    <w:rsid w:val="00F51281"/>
    <w:rsid w:val="00F608A8"/>
    <w:rsid w:val="00F60B09"/>
    <w:rsid w:val="00F61AB5"/>
    <w:rsid w:val="00F63FBE"/>
    <w:rsid w:val="00F80FE8"/>
    <w:rsid w:val="00F8208E"/>
    <w:rsid w:val="00F92DDB"/>
    <w:rsid w:val="00F92F63"/>
    <w:rsid w:val="00F9524E"/>
    <w:rsid w:val="00FA18A1"/>
    <w:rsid w:val="00FB3120"/>
    <w:rsid w:val="00FB7E3F"/>
    <w:rsid w:val="00FC382F"/>
    <w:rsid w:val="00FC4DCC"/>
    <w:rsid w:val="00FC56E1"/>
    <w:rsid w:val="00FC754B"/>
    <w:rsid w:val="00FD07E1"/>
    <w:rsid w:val="00FD3507"/>
    <w:rsid w:val="00FD3B39"/>
    <w:rsid w:val="00FD42C7"/>
    <w:rsid w:val="00FD6B92"/>
    <w:rsid w:val="00FD70F2"/>
    <w:rsid w:val="00FD71E6"/>
    <w:rsid w:val="00FE1D22"/>
    <w:rsid w:val="00FE3802"/>
    <w:rsid w:val="00FE3C26"/>
    <w:rsid w:val="00FE5DB5"/>
    <w:rsid w:val="00FE6F3D"/>
    <w:rsid w:val="00FF0318"/>
    <w:rsid w:val="00FF1709"/>
    <w:rsid w:val="00FF3DF0"/>
    <w:rsid w:val="00FF4D2C"/>
    <w:rsid w:val="00FF6478"/>
    <w:rsid w:val="04A4DD41"/>
    <w:rsid w:val="04D6FA45"/>
    <w:rsid w:val="060E3243"/>
    <w:rsid w:val="06A550E1"/>
    <w:rsid w:val="09997AED"/>
    <w:rsid w:val="0A39FF31"/>
    <w:rsid w:val="0C224959"/>
    <w:rsid w:val="15FF406A"/>
    <w:rsid w:val="1AFD8178"/>
    <w:rsid w:val="1B1D4BB6"/>
    <w:rsid w:val="1D7BEE1A"/>
    <w:rsid w:val="20933F7A"/>
    <w:rsid w:val="214C5692"/>
    <w:rsid w:val="217855E5"/>
    <w:rsid w:val="2768455A"/>
    <w:rsid w:val="29A3A249"/>
    <w:rsid w:val="2CD8BCBB"/>
    <w:rsid w:val="2D036F69"/>
    <w:rsid w:val="2D1D198E"/>
    <w:rsid w:val="2D59F5F9"/>
    <w:rsid w:val="2DE22EE3"/>
    <w:rsid w:val="31533388"/>
    <w:rsid w:val="370532C4"/>
    <w:rsid w:val="3A53DC5E"/>
    <w:rsid w:val="451F4B59"/>
    <w:rsid w:val="45A0CFAE"/>
    <w:rsid w:val="4849BD2A"/>
    <w:rsid w:val="4A51462A"/>
    <w:rsid w:val="4A836373"/>
    <w:rsid w:val="4B65F66B"/>
    <w:rsid w:val="4C6162CA"/>
    <w:rsid w:val="58224FE8"/>
    <w:rsid w:val="599B0020"/>
    <w:rsid w:val="5BBF97C9"/>
    <w:rsid w:val="5DA8CB37"/>
    <w:rsid w:val="605E2325"/>
    <w:rsid w:val="60C74A50"/>
    <w:rsid w:val="677958A1"/>
    <w:rsid w:val="688EB1E3"/>
    <w:rsid w:val="6E2169BC"/>
    <w:rsid w:val="6E30A962"/>
    <w:rsid w:val="748B77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FC885"/>
  <w15:docId w15:val="{BFAC04FA-BD28-4ACD-BF2C-79EAF0226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0AC"/>
    <w:pPr>
      <w:spacing w:after="0" w:line="240" w:lineRule="auto"/>
    </w:pPr>
    <w:rPr>
      <w:rFonts w:ascii="Calibri" w:hAnsi="Calibri" w:cs="Times New Roman"/>
      <w:sz w:val="24"/>
      <w:szCs w:val="20"/>
    </w:rPr>
  </w:style>
  <w:style w:type="paragraph" w:styleId="Heading1">
    <w:name w:val="heading 1"/>
    <w:basedOn w:val="Normal"/>
    <w:next w:val="Normal"/>
    <w:link w:val="Heading1Char"/>
    <w:uiPriority w:val="9"/>
    <w:qFormat/>
    <w:rsid w:val="00904067"/>
    <w:pPr>
      <w:keepNext/>
      <w:numPr>
        <w:numId w:val="20"/>
      </w:numPr>
      <w:spacing w:before="200" w:after="200"/>
      <w:outlineLvl w:val="0"/>
    </w:pPr>
    <w:rPr>
      <w:b/>
      <w:u w:val="single"/>
    </w:rPr>
  </w:style>
  <w:style w:type="paragraph" w:styleId="Heading2">
    <w:name w:val="heading 2"/>
    <w:aliases w:val="Table Title"/>
    <w:basedOn w:val="Normal"/>
    <w:next w:val="Normal"/>
    <w:link w:val="Heading2Char"/>
    <w:uiPriority w:val="9"/>
    <w:unhideWhenUsed/>
    <w:qFormat/>
    <w:rsid w:val="00904067"/>
    <w:pPr>
      <w:keepNext/>
      <w:keepLines/>
      <w:numPr>
        <w:ilvl w:val="1"/>
        <w:numId w:val="20"/>
      </w:numPr>
      <w:spacing w:before="200" w:after="200"/>
      <w:outlineLvl w:val="1"/>
    </w:pPr>
    <w:rPr>
      <w:rFonts w:asciiTheme="minorHAnsi" w:eastAsiaTheme="majorEastAsia" w:hAnsiTheme="minorHAnsi" w:cstheme="majorBidi"/>
      <w:b/>
      <w:szCs w:val="26"/>
      <w:u w:val="single"/>
    </w:rPr>
  </w:style>
  <w:style w:type="paragraph" w:styleId="Heading3">
    <w:name w:val="heading 3"/>
    <w:basedOn w:val="Normal"/>
    <w:next w:val="Normal"/>
    <w:link w:val="Heading3Char"/>
    <w:rsid w:val="00B020FA"/>
    <w:pPr>
      <w:keepNext/>
      <w:numPr>
        <w:ilvl w:val="2"/>
        <w:numId w:val="20"/>
      </w:numPr>
      <w:outlineLvl w:val="2"/>
    </w:pPr>
    <w:rPr>
      <w:bCs/>
      <w:i/>
      <w:szCs w:val="26"/>
    </w:rPr>
  </w:style>
  <w:style w:type="paragraph" w:styleId="Heading4">
    <w:name w:val="heading 4"/>
    <w:basedOn w:val="Normal"/>
    <w:next w:val="Normal"/>
    <w:link w:val="Heading4Char"/>
    <w:uiPriority w:val="9"/>
    <w:semiHidden/>
    <w:unhideWhenUsed/>
    <w:rsid w:val="00B020FA"/>
    <w:pPr>
      <w:keepNext/>
      <w:keepLines/>
      <w:numPr>
        <w:ilvl w:val="3"/>
        <w:numId w:val="20"/>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020FA"/>
    <w:pPr>
      <w:keepNext/>
      <w:keepLines/>
      <w:numPr>
        <w:ilvl w:val="4"/>
        <w:numId w:val="20"/>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020FA"/>
    <w:pPr>
      <w:keepNext/>
      <w:keepLines/>
      <w:numPr>
        <w:ilvl w:val="5"/>
        <w:numId w:val="20"/>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020FA"/>
    <w:pPr>
      <w:keepNext/>
      <w:keepLines/>
      <w:numPr>
        <w:ilvl w:val="6"/>
        <w:numId w:val="20"/>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020FA"/>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020FA"/>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067"/>
    <w:rPr>
      <w:rFonts w:ascii="Calibri" w:hAnsi="Calibri" w:cs="Times New Roman"/>
      <w:b/>
      <w:sz w:val="24"/>
      <w:szCs w:val="20"/>
      <w:u w:val="single"/>
    </w:rPr>
  </w:style>
  <w:style w:type="character" w:customStyle="1" w:styleId="Heading2Char">
    <w:name w:val="Heading 2 Char"/>
    <w:aliases w:val="Table Title Char"/>
    <w:basedOn w:val="DefaultParagraphFont"/>
    <w:link w:val="Heading2"/>
    <w:uiPriority w:val="9"/>
    <w:rsid w:val="00904067"/>
    <w:rPr>
      <w:rFonts w:eastAsiaTheme="majorEastAsia" w:cstheme="majorBidi"/>
      <w:b/>
      <w:sz w:val="24"/>
      <w:szCs w:val="26"/>
      <w:u w:val="single"/>
    </w:rPr>
  </w:style>
  <w:style w:type="paragraph" w:styleId="Footer">
    <w:name w:val="footer"/>
    <w:basedOn w:val="Normal"/>
    <w:link w:val="FooterChar"/>
    <w:uiPriority w:val="99"/>
    <w:unhideWhenUsed/>
    <w:rsid w:val="00B020FA"/>
    <w:pPr>
      <w:tabs>
        <w:tab w:val="center" w:pos="4680"/>
        <w:tab w:val="right" w:pos="9360"/>
      </w:tabs>
    </w:pPr>
    <w:rPr>
      <w:i/>
      <w:sz w:val="20"/>
    </w:rPr>
  </w:style>
  <w:style w:type="character" w:customStyle="1" w:styleId="FooterChar">
    <w:name w:val="Footer Char"/>
    <w:basedOn w:val="DefaultParagraphFont"/>
    <w:link w:val="Footer"/>
    <w:uiPriority w:val="99"/>
    <w:rsid w:val="00B020FA"/>
    <w:rPr>
      <w:rFonts w:ascii="Calibri" w:hAnsi="Calibri" w:cs="Times New Roman"/>
      <w:i/>
      <w:sz w:val="20"/>
      <w:szCs w:val="20"/>
    </w:rPr>
  </w:style>
  <w:style w:type="paragraph" w:styleId="BalloonText">
    <w:name w:val="Balloon Text"/>
    <w:basedOn w:val="Normal"/>
    <w:link w:val="BalloonTextChar"/>
    <w:uiPriority w:val="99"/>
    <w:semiHidden/>
    <w:unhideWhenUsed/>
    <w:rsid w:val="00B020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0FA"/>
    <w:rPr>
      <w:rFonts w:ascii="Segoe UI" w:hAnsi="Segoe UI" w:cs="Segoe UI"/>
      <w:sz w:val="18"/>
      <w:szCs w:val="18"/>
    </w:rPr>
  </w:style>
  <w:style w:type="character" w:styleId="CommentReference">
    <w:name w:val="annotation reference"/>
    <w:basedOn w:val="DefaultParagraphFont"/>
    <w:uiPriority w:val="99"/>
    <w:semiHidden/>
    <w:unhideWhenUsed/>
    <w:rsid w:val="00B020FA"/>
    <w:rPr>
      <w:sz w:val="16"/>
      <w:szCs w:val="16"/>
    </w:rPr>
  </w:style>
  <w:style w:type="paragraph" w:styleId="CommentText">
    <w:name w:val="annotation text"/>
    <w:basedOn w:val="Normal"/>
    <w:link w:val="CommentTextChar"/>
    <w:uiPriority w:val="99"/>
    <w:unhideWhenUsed/>
    <w:rsid w:val="00B020FA"/>
    <w:rPr>
      <w:sz w:val="20"/>
    </w:rPr>
  </w:style>
  <w:style w:type="character" w:customStyle="1" w:styleId="CommentTextChar">
    <w:name w:val="Comment Text Char"/>
    <w:basedOn w:val="DefaultParagraphFont"/>
    <w:link w:val="CommentText"/>
    <w:uiPriority w:val="99"/>
    <w:rsid w:val="00B020F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020FA"/>
    <w:rPr>
      <w:b/>
      <w:bCs/>
    </w:rPr>
  </w:style>
  <w:style w:type="character" w:customStyle="1" w:styleId="CommentSubjectChar">
    <w:name w:val="Comment Subject Char"/>
    <w:basedOn w:val="CommentTextChar"/>
    <w:link w:val="CommentSubject"/>
    <w:uiPriority w:val="99"/>
    <w:semiHidden/>
    <w:rsid w:val="00B020FA"/>
    <w:rPr>
      <w:rFonts w:ascii="Calibri" w:hAnsi="Calibri" w:cs="Times New Roman"/>
      <w:b/>
      <w:bCs/>
      <w:sz w:val="20"/>
      <w:szCs w:val="20"/>
    </w:rPr>
  </w:style>
  <w:style w:type="paragraph" w:styleId="ListParagraph">
    <w:name w:val="List Paragraph"/>
    <w:basedOn w:val="Normal"/>
    <w:link w:val="ListParagraphChar"/>
    <w:uiPriority w:val="1"/>
    <w:qFormat/>
    <w:rsid w:val="00B020FA"/>
    <w:pPr>
      <w:ind w:left="720"/>
      <w:contextualSpacing/>
    </w:pPr>
  </w:style>
  <w:style w:type="character" w:styleId="Hyperlink">
    <w:name w:val="Hyperlink"/>
    <w:basedOn w:val="DefaultParagraphFont"/>
    <w:uiPriority w:val="99"/>
    <w:unhideWhenUsed/>
    <w:rsid w:val="00B020FA"/>
    <w:rPr>
      <w:color w:val="0000FF" w:themeColor="hyperlink"/>
      <w:u w:val="single"/>
    </w:rPr>
  </w:style>
  <w:style w:type="paragraph" w:styleId="Header">
    <w:name w:val="header"/>
    <w:basedOn w:val="Normal"/>
    <w:link w:val="HeaderChar"/>
    <w:uiPriority w:val="99"/>
    <w:unhideWhenUsed/>
    <w:rsid w:val="00B020FA"/>
    <w:pPr>
      <w:tabs>
        <w:tab w:val="center" w:pos="4680"/>
        <w:tab w:val="right" w:pos="9360"/>
      </w:tabs>
    </w:pPr>
  </w:style>
  <w:style w:type="character" w:customStyle="1" w:styleId="HeaderChar">
    <w:name w:val="Header Char"/>
    <w:basedOn w:val="DefaultParagraphFont"/>
    <w:link w:val="Header"/>
    <w:uiPriority w:val="99"/>
    <w:rsid w:val="00B020FA"/>
    <w:rPr>
      <w:rFonts w:ascii="Calibri" w:hAnsi="Calibri" w:cs="Times New Roman"/>
      <w:sz w:val="24"/>
      <w:szCs w:val="20"/>
    </w:rPr>
  </w:style>
  <w:style w:type="table" w:styleId="TableGrid">
    <w:name w:val="Table Grid"/>
    <w:basedOn w:val="TableNormal"/>
    <w:uiPriority w:val="59"/>
    <w:rsid w:val="00697793"/>
    <w:pPr>
      <w:widowControl w:val="0"/>
      <w:autoSpaceDE w:val="0"/>
      <w:autoSpaceDN w:val="0"/>
      <w:adjustRightInd w:val="0"/>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EE715C"/>
    <w:rPr>
      <w:sz w:val="20"/>
    </w:rPr>
  </w:style>
  <w:style w:type="paragraph" w:styleId="Caption">
    <w:name w:val="caption"/>
    <w:basedOn w:val="Normal"/>
    <w:next w:val="Normal"/>
    <w:uiPriority w:val="35"/>
    <w:unhideWhenUsed/>
    <w:qFormat/>
    <w:rsid w:val="00B020FA"/>
    <w:pPr>
      <w:keepNext/>
      <w:spacing w:after="60"/>
    </w:pPr>
    <w:rPr>
      <w:b/>
      <w:iCs/>
      <w:szCs w:val="18"/>
    </w:rPr>
  </w:style>
  <w:style w:type="character" w:customStyle="1" w:styleId="Heading3Char">
    <w:name w:val="Heading 3 Char"/>
    <w:basedOn w:val="DefaultParagraphFont"/>
    <w:link w:val="Heading3"/>
    <w:rsid w:val="00B020FA"/>
    <w:rPr>
      <w:rFonts w:ascii="Calibri" w:hAnsi="Calibri" w:cs="Times New Roman"/>
      <w:bCs/>
      <w:i/>
      <w:sz w:val="24"/>
      <w:szCs w:val="26"/>
    </w:rPr>
  </w:style>
  <w:style w:type="character" w:customStyle="1" w:styleId="ListParagraphChar">
    <w:name w:val="List Paragraph Char"/>
    <w:basedOn w:val="DefaultParagraphFont"/>
    <w:link w:val="ListParagraph"/>
    <w:uiPriority w:val="1"/>
    <w:locked/>
    <w:rsid w:val="00B020FA"/>
    <w:rPr>
      <w:rFonts w:ascii="Calibri" w:hAnsi="Calibri" w:cs="Times New Roman"/>
      <w:sz w:val="24"/>
      <w:szCs w:val="20"/>
    </w:rPr>
  </w:style>
  <w:style w:type="character" w:customStyle="1" w:styleId="FooterChar1">
    <w:name w:val="Footer Char1"/>
    <w:basedOn w:val="DefaultParagraphFont"/>
    <w:uiPriority w:val="99"/>
    <w:locked/>
    <w:rsid w:val="00C85153"/>
    <w:rPr>
      <w:rFonts w:eastAsia="Times New Roman"/>
    </w:rPr>
  </w:style>
  <w:style w:type="paragraph" w:styleId="Revision">
    <w:name w:val="Revision"/>
    <w:hidden/>
    <w:uiPriority w:val="99"/>
    <w:semiHidden/>
    <w:rsid w:val="00B020FA"/>
    <w:pPr>
      <w:spacing w:after="0" w:line="240" w:lineRule="auto"/>
    </w:pPr>
    <w:rPr>
      <w:rFonts w:ascii="Times New Roman" w:eastAsia="Times New Roman" w:hAnsi="Times New Roman" w:cs="Times New Roman"/>
      <w:sz w:val="24"/>
      <w:szCs w:val="24"/>
    </w:rPr>
  </w:style>
  <w:style w:type="paragraph" w:customStyle="1" w:styleId="Default">
    <w:name w:val="Default"/>
    <w:rsid w:val="005541EE"/>
    <w:pPr>
      <w:autoSpaceDE w:val="0"/>
      <w:autoSpaceDN w:val="0"/>
      <w:adjustRightInd w:val="0"/>
      <w:spacing w:after="0" w:line="240" w:lineRule="auto"/>
    </w:pPr>
    <w:rPr>
      <w:rFonts w:ascii="Times New Roman" w:hAnsi="Times New Roman" w:cs="Times New Roman"/>
      <w:color w:val="000000"/>
      <w:sz w:val="24"/>
      <w:szCs w:val="24"/>
    </w:rPr>
  </w:style>
  <w:style w:type="paragraph" w:styleId="IntenseQuote">
    <w:name w:val="Intense Quote"/>
    <w:basedOn w:val="Normal"/>
    <w:next w:val="Normal"/>
    <w:link w:val="IntenseQuoteChar"/>
    <w:autoRedefine/>
    <w:uiPriority w:val="30"/>
    <w:qFormat/>
    <w:rsid w:val="003B6ACD"/>
    <w:pPr>
      <w:pBdr>
        <w:top w:val="single" w:sz="4" w:space="10" w:color="4F81BD" w:themeColor="accent1"/>
        <w:bottom w:val="single" w:sz="4" w:space="10" w:color="4F81BD" w:themeColor="accent1"/>
      </w:pBdr>
      <w:spacing w:before="360" w:after="360"/>
      <w:ind w:left="864" w:right="864"/>
      <w:jc w:val="center"/>
    </w:pPr>
    <w:rPr>
      <w:rFonts w:asciiTheme="minorHAnsi" w:hAnsiTheme="minorHAnsi"/>
      <w:b/>
      <w:i/>
      <w:iCs/>
      <w:color w:val="C00000"/>
    </w:rPr>
  </w:style>
  <w:style w:type="character" w:customStyle="1" w:styleId="IntenseQuoteChar">
    <w:name w:val="Intense Quote Char"/>
    <w:basedOn w:val="DefaultParagraphFont"/>
    <w:link w:val="IntenseQuote"/>
    <w:uiPriority w:val="30"/>
    <w:rsid w:val="003B6ACD"/>
    <w:rPr>
      <w:rFonts w:eastAsia="Times New Roman" w:cs="Times New Roman"/>
      <w:b/>
      <w:i/>
      <w:iCs/>
      <w:color w:val="C00000"/>
      <w:sz w:val="24"/>
      <w:szCs w:val="24"/>
    </w:rPr>
  </w:style>
  <w:style w:type="character" w:customStyle="1" w:styleId="Heading4Char">
    <w:name w:val="Heading 4 Char"/>
    <w:basedOn w:val="DefaultParagraphFont"/>
    <w:link w:val="Heading4"/>
    <w:uiPriority w:val="9"/>
    <w:semiHidden/>
    <w:rsid w:val="00B020FA"/>
    <w:rPr>
      <w:rFonts w:asciiTheme="majorHAnsi" w:eastAsiaTheme="majorEastAsia" w:hAnsiTheme="majorHAnsi" w:cstheme="majorBidi"/>
      <w:i/>
      <w:iCs/>
      <w:color w:val="365F91" w:themeColor="accent1" w:themeShade="BF"/>
      <w:sz w:val="24"/>
      <w:szCs w:val="20"/>
    </w:rPr>
  </w:style>
  <w:style w:type="character" w:customStyle="1" w:styleId="Heading5Char">
    <w:name w:val="Heading 5 Char"/>
    <w:basedOn w:val="DefaultParagraphFont"/>
    <w:link w:val="Heading5"/>
    <w:uiPriority w:val="9"/>
    <w:semiHidden/>
    <w:rsid w:val="00B020FA"/>
    <w:rPr>
      <w:rFonts w:asciiTheme="majorHAnsi" w:eastAsiaTheme="majorEastAsia" w:hAnsiTheme="majorHAnsi" w:cstheme="majorBidi"/>
      <w:color w:val="365F91" w:themeColor="accent1" w:themeShade="BF"/>
      <w:sz w:val="24"/>
      <w:szCs w:val="20"/>
    </w:rPr>
  </w:style>
  <w:style w:type="character" w:customStyle="1" w:styleId="Heading6Char">
    <w:name w:val="Heading 6 Char"/>
    <w:basedOn w:val="DefaultParagraphFont"/>
    <w:link w:val="Heading6"/>
    <w:uiPriority w:val="9"/>
    <w:semiHidden/>
    <w:rsid w:val="00B020FA"/>
    <w:rPr>
      <w:rFonts w:asciiTheme="majorHAnsi" w:eastAsiaTheme="majorEastAsia" w:hAnsiTheme="majorHAnsi" w:cstheme="majorBidi"/>
      <w:color w:val="243F60" w:themeColor="accent1" w:themeShade="7F"/>
      <w:sz w:val="24"/>
      <w:szCs w:val="20"/>
    </w:rPr>
  </w:style>
  <w:style w:type="character" w:customStyle="1" w:styleId="Heading7Char">
    <w:name w:val="Heading 7 Char"/>
    <w:basedOn w:val="DefaultParagraphFont"/>
    <w:link w:val="Heading7"/>
    <w:uiPriority w:val="9"/>
    <w:semiHidden/>
    <w:rsid w:val="00B020FA"/>
    <w:rPr>
      <w:rFonts w:asciiTheme="majorHAnsi" w:eastAsiaTheme="majorEastAsia" w:hAnsiTheme="majorHAnsi" w:cstheme="majorBidi"/>
      <w:i/>
      <w:iCs/>
      <w:color w:val="243F60" w:themeColor="accent1" w:themeShade="7F"/>
      <w:sz w:val="24"/>
      <w:szCs w:val="20"/>
    </w:rPr>
  </w:style>
  <w:style w:type="character" w:customStyle="1" w:styleId="Heading8Char">
    <w:name w:val="Heading 8 Char"/>
    <w:basedOn w:val="DefaultParagraphFont"/>
    <w:link w:val="Heading8"/>
    <w:uiPriority w:val="9"/>
    <w:semiHidden/>
    <w:rsid w:val="00B020F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020FA"/>
    <w:rPr>
      <w:rFonts w:asciiTheme="majorHAnsi" w:eastAsiaTheme="majorEastAsia" w:hAnsiTheme="majorHAnsi" w:cstheme="majorBidi"/>
      <w:i/>
      <w:iCs/>
      <w:color w:val="272727" w:themeColor="text1" w:themeTint="D8"/>
      <w:sz w:val="21"/>
      <w:szCs w:val="21"/>
    </w:rPr>
  </w:style>
  <w:style w:type="table" w:styleId="TableGridLight">
    <w:name w:val="Grid Table Light"/>
    <w:basedOn w:val="TableNormal"/>
    <w:uiPriority w:val="40"/>
    <w:rsid w:val="00B020FA"/>
    <w:pPr>
      <w:spacing w:after="0" w:line="240" w:lineRule="auto"/>
    </w:pPr>
    <w:rPr>
      <w:rFonts w:ascii="Calibri" w:hAnsi="Calibri"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unhideWhenUsed/>
    <w:rsid w:val="00B020FA"/>
    <w:pPr>
      <w:spacing w:after="200"/>
    </w:pPr>
    <w:rPr>
      <w:rFonts w:asciiTheme="minorHAnsi" w:hAnsiTheme="minorHAnsi" w:cstheme="minorBidi"/>
      <w:szCs w:val="22"/>
    </w:rPr>
  </w:style>
  <w:style w:type="character" w:customStyle="1" w:styleId="BodyTextChar">
    <w:name w:val="Body Text Char"/>
    <w:basedOn w:val="DefaultParagraphFont"/>
    <w:link w:val="BodyText"/>
    <w:uiPriority w:val="1"/>
    <w:rsid w:val="00B020FA"/>
    <w:rPr>
      <w:sz w:val="24"/>
    </w:rPr>
  </w:style>
  <w:style w:type="paragraph" w:customStyle="1" w:styleId="TableParagraph">
    <w:name w:val="Table Paragraph"/>
    <w:basedOn w:val="Normal"/>
    <w:uiPriority w:val="1"/>
    <w:qFormat/>
    <w:rsid w:val="00B020FA"/>
    <w:pPr>
      <w:widowControl w:val="0"/>
      <w:autoSpaceDE w:val="0"/>
      <w:autoSpaceDN w:val="0"/>
    </w:pPr>
    <w:rPr>
      <w:rFonts w:asciiTheme="minorHAnsi" w:hAnsiTheme="minorHAnsi"/>
      <w:sz w:val="20"/>
      <w:szCs w:val="22"/>
    </w:rPr>
  </w:style>
  <w:style w:type="character" w:styleId="IntenseEmphasis">
    <w:name w:val="Intense Emphasis"/>
    <w:basedOn w:val="DefaultParagraphFont"/>
    <w:uiPriority w:val="21"/>
    <w:qFormat/>
    <w:rsid w:val="00B020FA"/>
    <w:rPr>
      <w:rFonts w:asciiTheme="minorHAnsi" w:hAnsiTheme="minorHAnsi"/>
      <w:b/>
      <w:i/>
      <w:iCs/>
      <w:color w:val="C00000"/>
      <w:sz w:val="24"/>
    </w:rPr>
  </w:style>
  <w:style w:type="paragraph" w:styleId="Title">
    <w:name w:val="Title"/>
    <w:basedOn w:val="Normal"/>
    <w:next w:val="Normal"/>
    <w:link w:val="TitleChar"/>
    <w:uiPriority w:val="10"/>
    <w:qFormat/>
    <w:rsid w:val="00D42749"/>
    <w:pPr>
      <w:spacing w:line="360" w:lineRule="auto"/>
      <w:contextualSpacing/>
      <w:jc w:val="center"/>
    </w:pPr>
    <w:rPr>
      <w:rFonts w:asciiTheme="minorHAnsi" w:eastAsiaTheme="majorEastAsia" w:hAnsiTheme="minorHAnsi" w:cstheme="majorBidi"/>
      <w:b/>
      <w:kern w:val="28"/>
      <w:szCs w:val="56"/>
    </w:rPr>
  </w:style>
  <w:style w:type="character" w:customStyle="1" w:styleId="TitleChar">
    <w:name w:val="Title Char"/>
    <w:basedOn w:val="DefaultParagraphFont"/>
    <w:link w:val="Title"/>
    <w:uiPriority w:val="10"/>
    <w:rsid w:val="00D42749"/>
    <w:rPr>
      <w:rFonts w:eastAsiaTheme="majorEastAsia" w:cstheme="majorBidi"/>
      <w:b/>
      <w:kern w:val="28"/>
      <w:sz w:val="24"/>
      <w:szCs w:val="56"/>
    </w:rPr>
  </w:style>
  <w:style w:type="paragraph" w:styleId="Subtitle">
    <w:name w:val="Subtitle"/>
    <w:aliases w:val="Table Column Title"/>
    <w:basedOn w:val="Normal"/>
    <w:next w:val="Normal"/>
    <w:link w:val="SubtitleChar"/>
    <w:uiPriority w:val="11"/>
    <w:rsid w:val="00B020FA"/>
    <w:pPr>
      <w:numPr>
        <w:ilvl w:val="1"/>
      </w:numPr>
      <w:spacing w:after="160"/>
      <w:jc w:val="center"/>
    </w:pPr>
    <w:rPr>
      <w:rFonts w:asciiTheme="minorHAnsi" w:eastAsiaTheme="minorEastAsia" w:hAnsiTheme="minorHAnsi" w:cstheme="minorBidi"/>
      <w:b/>
      <w:spacing w:val="15"/>
      <w:sz w:val="20"/>
      <w:szCs w:val="22"/>
    </w:rPr>
  </w:style>
  <w:style w:type="character" w:customStyle="1" w:styleId="SubtitleChar">
    <w:name w:val="Subtitle Char"/>
    <w:aliases w:val="Table Column Title Char"/>
    <w:basedOn w:val="DefaultParagraphFont"/>
    <w:link w:val="Subtitle"/>
    <w:uiPriority w:val="11"/>
    <w:rsid w:val="00B020FA"/>
    <w:rPr>
      <w:rFonts w:eastAsiaTheme="minorEastAsia"/>
      <w:b/>
      <w:spacing w:val="15"/>
      <w:sz w:val="20"/>
    </w:rPr>
  </w:style>
  <w:style w:type="paragraph" w:customStyle="1" w:styleId="BodyTextSingle">
    <w:name w:val="Body Text Single"/>
    <w:basedOn w:val="Normal"/>
    <w:qFormat/>
    <w:rsid w:val="00B020FA"/>
    <w:pPr>
      <w:widowControl w:val="0"/>
      <w:autoSpaceDE w:val="0"/>
      <w:autoSpaceDN w:val="0"/>
      <w:adjustRightInd w:val="0"/>
      <w:spacing w:after="120"/>
    </w:pPr>
    <w:rPr>
      <w:rFonts w:asciiTheme="minorHAnsi" w:hAnsiTheme="minorHAnsi" w:cstheme="minorHAnsi"/>
    </w:rPr>
  </w:style>
  <w:style w:type="paragraph" w:customStyle="1" w:styleId="TableHeadrow">
    <w:name w:val="Table Head row"/>
    <w:basedOn w:val="Normal"/>
    <w:qFormat/>
    <w:rsid w:val="00B020FA"/>
    <w:pPr>
      <w:keepNext/>
      <w:keepLines/>
      <w:widowControl w:val="0"/>
      <w:autoSpaceDE w:val="0"/>
      <w:autoSpaceDN w:val="0"/>
      <w:adjustRightInd w:val="0"/>
      <w:jc w:val="center"/>
    </w:pPr>
    <w:rPr>
      <w:rFonts w:asciiTheme="minorHAnsi" w:hAnsiTheme="minorHAnsi" w:cstheme="minorHAnsi"/>
      <w:b/>
      <w:sz w:val="20"/>
    </w:rPr>
  </w:style>
  <w:style w:type="paragraph" w:customStyle="1" w:styleId="Tablenote">
    <w:name w:val="Table note"/>
    <w:basedOn w:val="Normal"/>
    <w:qFormat/>
    <w:rsid w:val="00B020FA"/>
    <w:pPr>
      <w:spacing w:before="60" w:after="200"/>
      <w:contextualSpacing/>
    </w:pPr>
    <w:rPr>
      <w:rFonts w:asciiTheme="minorHAnsi" w:hAnsiTheme="minorHAnsi" w:cstheme="minorHAnsi"/>
      <w:sz w:val="20"/>
    </w:rPr>
  </w:style>
  <w:style w:type="paragraph" w:styleId="ListBullet">
    <w:name w:val="List Bullet"/>
    <w:basedOn w:val="Normal"/>
    <w:uiPriority w:val="99"/>
    <w:unhideWhenUsed/>
    <w:rsid w:val="009B1D58"/>
    <w:pPr>
      <w:numPr>
        <w:numId w:val="29"/>
      </w:numPr>
      <w:spacing w:after="100"/>
      <w:ind w:left="720"/>
    </w:pPr>
    <w:rPr>
      <w:rFonts w:eastAsia="Times New Roman"/>
      <w:szCs w:val="24"/>
    </w:rPr>
  </w:style>
  <w:style w:type="paragraph" w:customStyle="1" w:styleId="ListBulletLAST">
    <w:name w:val="List Bullet LAST"/>
    <w:basedOn w:val="ListBullet"/>
    <w:qFormat/>
    <w:rsid w:val="00EF7739"/>
    <w:pPr>
      <w:tabs>
        <w:tab w:val="clear" w:pos="360"/>
        <w:tab w:val="num" w:pos="720"/>
      </w:tabs>
      <w:spacing w:after="200"/>
    </w:pPr>
  </w:style>
  <w:style w:type="paragraph" w:styleId="ListNumber">
    <w:name w:val="List Number"/>
    <w:basedOn w:val="ListParagraph"/>
    <w:uiPriority w:val="99"/>
    <w:unhideWhenUsed/>
    <w:rsid w:val="009B1D58"/>
    <w:pPr>
      <w:numPr>
        <w:numId w:val="15"/>
      </w:numPr>
      <w:autoSpaceDE w:val="0"/>
      <w:autoSpaceDN w:val="0"/>
      <w:spacing w:after="100"/>
      <w:ind w:left="720" w:hanging="360"/>
      <w:contextualSpacing w:val="0"/>
    </w:pPr>
    <w:rPr>
      <w:rFonts w:asciiTheme="minorHAnsi" w:hAnsiTheme="minorHAnsi" w:cstheme="minorHAnsi"/>
    </w:rPr>
  </w:style>
  <w:style w:type="paragraph" w:customStyle="1" w:styleId="Heading1NONumber">
    <w:name w:val="Heading 1 NO Number"/>
    <w:qFormat/>
    <w:rsid w:val="00697793"/>
    <w:pPr>
      <w:keepNext/>
      <w:spacing w:before="200" w:line="240" w:lineRule="auto"/>
      <w:outlineLvl w:val="0"/>
    </w:pPr>
    <w:rPr>
      <w:rFonts w:ascii="Calibri" w:eastAsia="Times New Roman" w:hAnsi="Calibri" w:cs="Times New Roman"/>
      <w:b/>
      <w:sz w:val="24"/>
      <w:szCs w:val="24"/>
      <w:u w:val="single"/>
    </w:rPr>
  </w:style>
  <w:style w:type="paragraph" w:customStyle="1" w:styleId="Heading3NoNumbers">
    <w:name w:val="Heading 3 No Numbers"/>
    <w:next w:val="BodyTextSingle"/>
    <w:qFormat/>
    <w:rsid w:val="00B020FA"/>
    <w:pPr>
      <w:keepNext/>
      <w:spacing w:after="160" w:line="240" w:lineRule="auto"/>
    </w:pPr>
    <w:rPr>
      <w:rFonts w:ascii="Calibri" w:hAnsi="Calibri" w:cs="Times New Roman"/>
      <w:b/>
      <w:bCs/>
      <w:i/>
      <w:sz w:val="24"/>
      <w:szCs w:val="26"/>
    </w:rPr>
  </w:style>
  <w:style w:type="character" w:styleId="LineNumber">
    <w:name w:val="line number"/>
    <w:basedOn w:val="DefaultParagraphFont"/>
    <w:uiPriority w:val="99"/>
    <w:unhideWhenUsed/>
    <w:rsid w:val="001A5736"/>
  </w:style>
  <w:style w:type="paragraph" w:styleId="ListBullet2">
    <w:name w:val="List Bullet 2"/>
    <w:basedOn w:val="Normal"/>
    <w:uiPriority w:val="99"/>
    <w:unhideWhenUsed/>
    <w:rsid w:val="009B1D58"/>
    <w:pPr>
      <w:numPr>
        <w:numId w:val="28"/>
      </w:numPr>
      <w:spacing w:after="100"/>
      <w:ind w:left="1080"/>
    </w:pPr>
    <w:rPr>
      <w:rFonts w:eastAsia="Times New Roman"/>
      <w:szCs w:val="24"/>
    </w:rPr>
  </w:style>
  <w:style w:type="paragraph" w:customStyle="1" w:styleId="InstructionsTitle">
    <w:name w:val="Instructions Title"/>
    <w:qFormat/>
    <w:rsid w:val="00B70202"/>
    <w:pPr>
      <w:widowControl w:val="0"/>
      <w:autoSpaceDE w:val="0"/>
      <w:autoSpaceDN w:val="0"/>
      <w:adjustRightInd w:val="0"/>
      <w:spacing w:after="120" w:line="240" w:lineRule="auto"/>
      <w:jc w:val="center"/>
    </w:pPr>
    <w:rPr>
      <w:rFonts w:eastAsiaTheme="majorEastAsia" w:cstheme="majorBidi"/>
      <w:b/>
      <w:kern w:val="28"/>
      <w:sz w:val="24"/>
      <w:szCs w:val="56"/>
    </w:rPr>
  </w:style>
  <w:style w:type="character" w:styleId="Mention">
    <w:name w:val="Mention"/>
    <w:basedOn w:val="DefaultParagraphFont"/>
    <w:uiPriority w:val="99"/>
    <w:unhideWhenUsed/>
    <w:rsid w:val="000D3A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451292">
      <w:bodyDiv w:val="1"/>
      <w:marLeft w:val="0"/>
      <w:marRight w:val="0"/>
      <w:marTop w:val="0"/>
      <w:marBottom w:val="0"/>
      <w:divBdr>
        <w:top w:val="none" w:sz="0" w:space="0" w:color="auto"/>
        <w:left w:val="none" w:sz="0" w:space="0" w:color="auto"/>
        <w:bottom w:val="none" w:sz="0" w:space="0" w:color="auto"/>
        <w:right w:val="none" w:sz="0" w:space="0" w:color="auto"/>
      </w:divBdr>
    </w:div>
    <w:div w:id="169168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pa.gov/uic/class-vi-guidance-documen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tamatatos\Desktop\MOVE%20TO%20FOLDERS\LL-Draft_2024_Att_A_Summary_of_Requirement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lcf76f155ced4ddcb4097134ff3c332f xmlns="73152aef-b862-4840-8946-cfbcf29e4db9">
      <Terms xmlns="http://schemas.microsoft.com/office/infopath/2007/PartnerControls"/>
    </lcf76f155ced4ddcb4097134ff3c332f>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ermInfo xmlns="http://schemas.microsoft.com/office/infopath/2007/PartnerControls">
          <TermName xmlns="http://schemas.microsoft.com/office/infopath/2007/PartnerControls">injection</TermName>
          <TermId xmlns="http://schemas.microsoft.com/office/infopath/2007/PartnerControls">80b85bff-b420-4fd2-b424-2de98d866248</TermId>
        </TermInfo>
        <TermInfo xmlns="http://schemas.microsoft.com/office/infopath/2007/PartnerControls">
          <TermName xmlns="http://schemas.microsoft.com/office/infopath/2007/PartnerControls">Well</TermName>
          <TermId xmlns="http://schemas.microsoft.com/office/infopath/2007/PartnerControls">00000000-0000-0000-0000-000000000000</TermId>
        </TermInfo>
        <TermInfo xmlns="http://schemas.microsoft.com/office/infopath/2007/PartnerControls">
          <TermName xmlns="http://schemas.microsoft.com/office/infopath/2007/PartnerControls">40 CFR 146.92(b)</TermName>
          <TermId xmlns="http://schemas.microsoft.com/office/infopath/2007/PartnerControls">00000000-0000-0000-0000-000000000000</TermId>
        </TermInfo>
        <TermInfo xmlns="http://schemas.microsoft.com/office/infopath/2007/PartnerControls">
          <TermName xmlns="http://schemas.microsoft.com/office/infopath/2007/PartnerControls">Plugging Plan</TermName>
          <TermId xmlns="http://schemas.microsoft.com/office/infopath/2007/PartnerControls">00000000-0000-0000-0000-000000000000</TermId>
        </TermInfo>
      </Terms>
    </TaxKeywordTaxHTField>
    <Record xmlns="4ffa91fb-a0ff-4ac5-b2db-65c790d184a4">Shared</Record>
    <Rights xmlns="4ffa91fb-a0ff-4ac5-b2db-65c790d184a4" xsi:nil="true"/>
    <Document_x0020_Creation_x0020_Date xmlns="4ffa91fb-a0ff-4ac5-b2db-65c790d184a4">2026-01-20T15:48:14+00:00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926FCA8A496A46B9F472258EBEC79B" ma:contentTypeVersion="16" ma:contentTypeDescription="Create a new document." ma:contentTypeScope="" ma:versionID="140f0ba4b86c8f539543f90a746854f0">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3152aef-b862-4840-8946-cfbcf29e4db9" xmlns:ns6="fc64e686-4460-40d0-908e-a0d0679438fb" targetNamespace="http://schemas.microsoft.com/office/2006/metadata/properties" ma:root="true" ma:fieldsID="5b26a32cabab6f93b8711fcf3d5ba7d2" ns1:_="" ns2:_="" ns3:_="" ns4:_="" ns5:_="" ns6:_="">
    <xsd:import namespace="http://schemas.microsoft.com/sharepoint/v3"/>
    <xsd:import namespace="4ffa91fb-a0ff-4ac5-b2db-65c790d184a4"/>
    <xsd:import namespace="http://schemas.microsoft.com/sharepoint.v3"/>
    <xsd:import namespace="http://schemas.microsoft.com/sharepoint/v3/fields"/>
    <xsd:import namespace="73152aef-b862-4840-8946-cfbcf29e4db9"/>
    <xsd:import namespace="fc64e686-4460-40d0-908e-a0d0679438f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DateTaken"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LengthInSeconds" minOccurs="0"/>
                <xsd:element ref="ns5:lcf76f155ced4ddcb4097134ff3c332f" minOccurs="0"/>
                <xsd:element ref="ns5:MediaServiceObjectDetectorVersion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d8a97dd-5c57-4eac-b3c4-c21c8c0ef870}" ma:internalName="TaxCatchAllLabel" ma:readOnly="true" ma:showField="CatchAllDataLabel" ma:web="fc64e686-4460-40d0-908e-a0d0679438fb">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d8a97dd-5c57-4eac-b3c4-c21c8c0ef870}" ma:internalName="TaxCatchAll" ma:showField="CatchAllData" ma:web="fc64e686-4460-40d0-908e-a0d0679438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152aef-b862-4840-8946-cfbcf29e4db9"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64e686-4460-40d0-908e-a0d0679438fb"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DB491ECC-C853-4385-A279-1419F71734E0}">
  <ds:schemaRefs>
    <ds:schemaRef ds:uri="http://schemas.openxmlformats.org/officeDocument/2006/bibliography"/>
  </ds:schemaRefs>
</ds:datastoreItem>
</file>

<file path=customXml/itemProps2.xml><?xml version="1.0" encoding="utf-8"?>
<ds:datastoreItem xmlns:ds="http://schemas.openxmlformats.org/officeDocument/2006/customXml" ds:itemID="{EFE56A0A-5328-4839-9ED3-97349891E640}">
  <ds:schemaRefs>
    <ds:schemaRef ds:uri="http://schemas.microsoft.com/sharepoint/v3/contenttype/forms"/>
  </ds:schemaRefs>
</ds:datastoreItem>
</file>

<file path=customXml/itemProps3.xml><?xml version="1.0" encoding="utf-8"?>
<ds:datastoreItem xmlns:ds="http://schemas.openxmlformats.org/officeDocument/2006/customXml" ds:itemID="{0B0C3B7D-0B6C-4664-9449-53E3F2F9C44F}">
  <ds:schemaRefs>
    <ds:schemaRef ds:uri="http://schemas.microsoft.com/office/2006/metadata/properties"/>
    <ds:schemaRef ds:uri="http://schemas.microsoft.com/office/infopath/2007/PartnerControls"/>
    <ds:schemaRef ds:uri="4ffa91fb-a0ff-4ac5-b2db-65c790d184a4"/>
    <ds:schemaRef ds:uri="73152aef-b862-4840-8946-cfbcf29e4db9"/>
    <ds:schemaRef ds:uri="http://schemas.microsoft.com/sharepoint/v3/fields"/>
    <ds:schemaRef ds:uri="http://schemas.microsoft.com/sharepoint/v3"/>
    <ds:schemaRef ds:uri="http://schemas.microsoft.com/sharepoint.v3"/>
  </ds:schemaRefs>
</ds:datastoreItem>
</file>

<file path=customXml/itemProps4.xml><?xml version="1.0" encoding="utf-8"?>
<ds:datastoreItem xmlns:ds="http://schemas.openxmlformats.org/officeDocument/2006/customXml" ds:itemID="{8579AA9C-B492-4FCA-A18C-EEDC06764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3152aef-b862-4840-8946-cfbcf29e4db9"/>
    <ds:schemaRef ds:uri="fc64e686-4460-40d0-908e-a0d067943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ECEC3E-4C7C-4E5C-BEB0-628D3E847A5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LL-Draft_2024_Att_A_Summary_of_Requirements_Template.dotx</Template>
  <TotalTime>0</TotalTime>
  <Pages>6</Pages>
  <Words>1969</Words>
  <Characters>11226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Injection Well Plugging Plan</vt:lpstr>
    </vt:vector>
  </TitlesOfParts>
  <Manager/>
  <Company>US EPA; OW; Office of Ground Water and Drinking Water</Company>
  <LinksUpToDate>false</LinksUpToDate>
  <CharactersWithSpaces>13169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Injection Well Plugging Plan</dc:title>
  <dc:subject>Injection Well Plugging Plan</dc:subject>
  <dc:creator>US EPA;OW;Office of Ground Water and Drinking Water</dc:creator>
  <cp:keywords>Injection; Well; Plugging Plan; 40 CFR 146.92(b)</cp:keywords>
  <dc:description/>
  <cp:lastModifiedBy>Newman, Sharon</cp:lastModifiedBy>
  <cp:revision>4</cp:revision>
  <dcterms:created xsi:type="dcterms:W3CDTF">2026-06-17T16:46:00Z</dcterms:created>
  <dcterms:modified xsi:type="dcterms:W3CDTF">2026-06-18T12:51:00Z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236;#injection|80b85bff-b420-4fd2-b424-2de98d866248;#60;#Well|7caa9219-3ef1-41b4-8ebe-8b96c7084624;#59;#40 CFR 146.92(b)|fa27cae1-efe1-4208-9c66-4eff3da4ec06;#57;#Plugging Plan|21136dff-9a05-4597-83c9-e77ac3250147</vt:lpwstr>
  </property>
  <property fmtid="{D5CDD505-2E9C-101B-9397-08002B2CF9AE}" pid="3" name="Locations">
    <vt:lpwstr/>
  </property>
  <property fmtid="{D5CDD505-2E9C-101B-9397-08002B2CF9AE}" pid="4" name="ContractDivisions">
    <vt:lpwstr/>
  </property>
  <property fmtid="{D5CDD505-2E9C-101B-9397-08002B2CF9AE}" pid="5" name="ProjectServiceSectors">
    <vt:lpwstr/>
  </property>
  <property fmtid="{D5CDD505-2E9C-101B-9397-08002B2CF9AE}" pid="6" name="ContractClients">
    <vt:lpwstr/>
  </property>
  <property fmtid="{D5CDD505-2E9C-101B-9397-08002B2CF9AE}" pid="7" name="ProjectClients">
    <vt:lpwstr/>
  </property>
  <property fmtid="{D5CDD505-2E9C-101B-9397-08002B2CF9AE}" pid="8" name="AreaOfExpertise">
    <vt:lpwstr/>
  </property>
  <property fmtid="{D5CDD505-2E9C-101B-9397-08002B2CF9AE}" pid="9" name="ProjectLocations">
    <vt:lpwstr/>
  </property>
  <property fmtid="{D5CDD505-2E9C-101B-9397-08002B2CF9AE}" pid="10" name="ServiceSectors">
    <vt:lpwstr/>
  </property>
  <property fmtid="{D5CDD505-2E9C-101B-9397-08002B2CF9AE}" pid="11" name="ProjectSubjectAreas">
    <vt:lpwstr/>
  </property>
  <property fmtid="{D5CDD505-2E9C-101B-9397-08002B2CF9AE}" pid="12" name="WorkType">
    <vt:lpwstr/>
  </property>
  <property fmtid="{D5CDD505-2E9C-101B-9397-08002B2CF9AE}" pid="13" name="_dlc_DocIdItemGuid">
    <vt:lpwstr>e6cd8bc1-1dd4-4be9-bd5a-d8f1502dc031</vt:lpwstr>
  </property>
  <property fmtid="{D5CDD505-2E9C-101B-9397-08002B2CF9AE}" pid="14" name="e3f09c3df709400db2417a7161762d62">
    <vt:lpwstr/>
  </property>
  <property fmtid="{D5CDD505-2E9C-101B-9397-08002B2CF9AE}" pid="15" name="EPA_x0020_Subject">
    <vt:lpwstr/>
  </property>
  <property fmtid="{D5CDD505-2E9C-101B-9397-08002B2CF9AE}" pid="16" name="Document Type">
    <vt:lpwstr/>
  </property>
  <property fmtid="{D5CDD505-2E9C-101B-9397-08002B2CF9AE}" pid="17" name="EPA Subject">
    <vt:lpwstr/>
  </property>
  <property fmtid="{D5CDD505-2E9C-101B-9397-08002B2CF9AE}" pid="18" name="Order">
    <vt:r8>48600</vt:r8>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y fmtid="{D5CDD505-2E9C-101B-9397-08002B2CF9AE}" pid="25" name="MediaServiceImageTags">
    <vt:lpwstr/>
  </property>
  <property fmtid="{D5CDD505-2E9C-101B-9397-08002B2CF9AE}" pid="26" name="Document_x0020_Type">
    <vt:lpwstr/>
  </property>
  <property fmtid="{D5CDD505-2E9C-101B-9397-08002B2CF9AE}" pid="27" name="ContentTypeId">
    <vt:lpwstr>0x0101006D926FCA8A496A46B9F472258EBEC79B</vt:lpwstr>
  </property>
  <property fmtid="{D5CDD505-2E9C-101B-9397-08002B2CF9AE}" pid="28" name="docLang">
    <vt:lpwstr>en</vt:lpwstr>
  </property>
</Properties>
</file>