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4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1E0" w:firstRow="1" w:lastRow="1" w:firstColumn="1" w:lastColumn="1" w:noHBand="0" w:noVBand="0"/>
      </w:tblPr>
      <w:tblGrid>
        <w:gridCol w:w="1809"/>
        <w:gridCol w:w="3245"/>
        <w:gridCol w:w="1763"/>
        <w:gridCol w:w="2917"/>
      </w:tblGrid>
      <w:tr w:rsidR="0012680C" w:rsidRPr="004C0FA8" w:rsidTr="004C0FA8">
        <w:tc>
          <w:tcPr>
            <w:tcW w:w="1809" w:type="dxa"/>
            <w:vMerge w:val="restart"/>
            <w:noWrap/>
            <w:tcMar>
              <w:top w:w="14" w:type="dxa"/>
              <w:left w:w="14" w:type="dxa"/>
              <w:right w:w="14" w:type="dxa"/>
            </w:tcMar>
          </w:tcPr>
          <w:p w:rsidR="00D67046" w:rsidRDefault="00701482" w:rsidP="00D67046">
            <w:pPr>
              <w:autoSpaceDE w:val="0"/>
              <w:autoSpaceDN w:val="0"/>
              <w:adjustRightInd w:val="0"/>
              <w:rPr>
                <w:rFonts w:ascii="Tms Rmn" w:hAnsi="Tms Rmn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26.25pt">
                  <v:imagedata r:id="rId9" o:title=""/>
                </v:shape>
              </w:pict>
            </w:r>
          </w:p>
          <w:p w:rsidR="00D67046" w:rsidRDefault="00D67046" w:rsidP="00D67046">
            <w:pPr>
              <w:autoSpaceDE w:val="0"/>
              <w:autoSpaceDN w:val="0"/>
              <w:adjustRightInd w:val="0"/>
              <w:rPr>
                <w:rFonts w:ascii="Tms Rmn" w:hAnsi="Tms Rmn"/>
              </w:rPr>
            </w:pPr>
          </w:p>
          <w:p w:rsidR="0012680C" w:rsidRDefault="0012680C"/>
        </w:tc>
        <w:tc>
          <w:tcPr>
            <w:tcW w:w="3245" w:type="dxa"/>
            <w:tcBorders>
              <w:bottom w:val="single" w:sz="12" w:space="0" w:color="auto"/>
            </w:tcBorders>
          </w:tcPr>
          <w:p w:rsidR="0012680C" w:rsidRPr="004C0FA8" w:rsidRDefault="0012680C" w:rsidP="0012680C">
            <w:pPr>
              <w:rPr>
                <w:rFonts w:ascii="Arial" w:hAnsi="Arial" w:cs="Arial"/>
                <w:sz w:val="20"/>
                <w:szCs w:val="20"/>
              </w:rPr>
            </w:pPr>
            <w:r w:rsidRPr="004C0FA8">
              <w:rPr>
                <w:rFonts w:ascii="Arial" w:hAnsi="Arial" w:cs="Arial"/>
                <w:sz w:val="20"/>
                <w:szCs w:val="20"/>
              </w:rPr>
              <w:t>United States</w:t>
            </w:r>
            <w:r w:rsidRPr="004C0FA8">
              <w:rPr>
                <w:rFonts w:ascii="Arial" w:hAnsi="Arial" w:cs="Arial"/>
                <w:sz w:val="20"/>
                <w:szCs w:val="20"/>
              </w:rPr>
              <w:br/>
              <w:t>Environmental Protection Agency</w:t>
            </w:r>
          </w:p>
        </w:tc>
        <w:tc>
          <w:tcPr>
            <w:tcW w:w="1763" w:type="dxa"/>
            <w:tcBorders>
              <w:bottom w:val="single" w:sz="12" w:space="0" w:color="auto"/>
            </w:tcBorders>
          </w:tcPr>
          <w:p w:rsidR="0012680C" w:rsidRPr="004C0FA8" w:rsidRDefault="00BD56EE" w:rsidP="004C0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0FA8">
              <w:rPr>
                <w:rFonts w:ascii="Arial" w:hAnsi="Arial" w:cs="Arial"/>
                <w:sz w:val="20"/>
                <w:szCs w:val="20"/>
              </w:rPr>
              <w:br/>
              <w:t>43</w:t>
            </w:r>
            <w:r w:rsidR="00ED20CD" w:rsidRPr="004C0FA8">
              <w:rPr>
                <w:rFonts w:ascii="Arial" w:hAnsi="Arial" w:cs="Arial"/>
                <w:sz w:val="20"/>
                <w:szCs w:val="20"/>
              </w:rPr>
              <w:t>05T</w:t>
            </w:r>
          </w:p>
        </w:tc>
        <w:tc>
          <w:tcPr>
            <w:tcW w:w="2917" w:type="dxa"/>
            <w:tcBorders>
              <w:bottom w:val="single" w:sz="12" w:space="0" w:color="auto"/>
            </w:tcBorders>
          </w:tcPr>
          <w:p w:rsidR="00890E18" w:rsidRPr="004C0FA8" w:rsidRDefault="00890E18" w:rsidP="004C0F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C0FA8">
              <w:rPr>
                <w:rFonts w:ascii="Arial" w:hAnsi="Arial" w:cs="Arial"/>
                <w:sz w:val="20"/>
                <w:szCs w:val="20"/>
                <w:lang w:val="en-CA"/>
              </w:rPr>
              <w:fldChar w:fldCharType="begin"/>
            </w:r>
            <w:r w:rsidRPr="004C0FA8">
              <w:rPr>
                <w:rFonts w:ascii="Arial" w:hAnsi="Arial" w:cs="Arial"/>
                <w:sz w:val="20"/>
                <w:szCs w:val="20"/>
                <w:lang w:val="en-CA"/>
              </w:rPr>
              <w:instrText xml:space="preserve"> SEQ CHAPTER \h \r 1</w:instrText>
            </w:r>
            <w:r w:rsidRPr="004C0FA8">
              <w:rPr>
                <w:rFonts w:ascii="Arial" w:hAnsi="Arial" w:cs="Arial"/>
                <w:sz w:val="20"/>
                <w:szCs w:val="20"/>
                <w:lang w:val="en-CA"/>
              </w:rPr>
              <w:fldChar w:fldCharType="end"/>
            </w:r>
            <w:r w:rsidRPr="004C0FA8">
              <w:rPr>
                <w:rFonts w:ascii="Arial" w:hAnsi="Arial" w:cs="Arial"/>
                <w:sz w:val="20"/>
                <w:szCs w:val="20"/>
              </w:rPr>
              <w:t>EPA-</w:t>
            </w:r>
            <w:proofErr w:type="spellStart"/>
            <w:r w:rsidR="00120BE7" w:rsidRPr="00C8507E">
              <w:rPr>
                <w:rFonts w:ascii="Arial" w:hAnsi="Arial" w:cs="Arial"/>
                <w:sz w:val="20"/>
                <w:szCs w:val="20"/>
                <w:highlight w:val="yellow"/>
              </w:rPr>
              <w:t>xxxxxxx</w:t>
            </w:r>
            <w:proofErr w:type="spellEnd"/>
          </w:p>
          <w:p w:rsidR="0012680C" w:rsidRPr="004C0FA8" w:rsidRDefault="00120BE7" w:rsidP="004C0F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8507E">
              <w:rPr>
                <w:rFonts w:ascii="Arial" w:hAnsi="Arial" w:cs="Arial"/>
                <w:sz w:val="20"/>
                <w:szCs w:val="20"/>
                <w:highlight w:val="yellow"/>
              </w:rPr>
              <w:t>xxxxxxxx</w:t>
            </w:r>
            <w:proofErr w:type="spellEnd"/>
          </w:p>
        </w:tc>
      </w:tr>
      <w:tr w:rsidR="0012680C" w:rsidTr="004C0FA8">
        <w:trPr>
          <w:trHeight w:val="714"/>
        </w:trPr>
        <w:tc>
          <w:tcPr>
            <w:tcW w:w="1809" w:type="dxa"/>
            <w:vMerge/>
          </w:tcPr>
          <w:p w:rsidR="0012680C" w:rsidRDefault="0012680C"/>
        </w:tc>
        <w:tc>
          <w:tcPr>
            <w:tcW w:w="7925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680C" w:rsidRPr="004C0FA8" w:rsidRDefault="00471A7F" w:rsidP="00C8507E">
            <w:pPr>
              <w:rPr>
                <w:rFonts w:ascii="Arial Narrow" w:hAnsi="Arial Narrow"/>
                <w:b/>
                <w:sz w:val="48"/>
                <w:szCs w:val="48"/>
              </w:rPr>
            </w:pPr>
            <w:r w:rsidRPr="004C0FA8">
              <w:rPr>
                <w:b/>
                <w:lang w:val="en-CA"/>
              </w:rPr>
              <w:fldChar w:fldCharType="begin"/>
            </w:r>
            <w:r w:rsidRPr="004C0FA8">
              <w:rPr>
                <w:b/>
                <w:lang w:val="en-CA"/>
              </w:rPr>
              <w:instrText xml:space="preserve"> SEQ CHAPTER \h \r 1</w:instrText>
            </w:r>
            <w:r w:rsidRPr="004C0FA8">
              <w:rPr>
                <w:b/>
                <w:lang w:val="en-CA"/>
              </w:rPr>
              <w:fldChar w:fldCharType="end"/>
            </w:r>
            <w:r w:rsidR="00120BE7">
              <w:rPr>
                <w:rFonts w:ascii="Arial" w:hAnsi="Arial" w:cs="Arial"/>
                <w:b/>
                <w:sz w:val="30"/>
                <w:szCs w:val="30"/>
              </w:rPr>
              <w:t>LINKING WATER QUALITY AND AQUATIC LIFE WITH AQUATOX 3.</w:t>
            </w:r>
            <w:r w:rsidR="00C8507E">
              <w:rPr>
                <w:rFonts w:ascii="Arial" w:hAnsi="Arial" w:cs="Arial"/>
                <w:b/>
                <w:sz w:val="30"/>
                <w:szCs w:val="30"/>
              </w:rPr>
              <w:t>2</w:t>
            </w:r>
          </w:p>
        </w:tc>
      </w:tr>
    </w:tbl>
    <w:p w:rsidR="00F272FC" w:rsidRPr="00084916" w:rsidRDefault="00F272FC" w:rsidP="00890E18">
      <w:pPr>
        <w:rPr>
          <w:lang w:val="en-CA"/>
        </w:rPr>
      </w:pPr>
    </w:p>
    <w:p w:rsidR="00471A7F" w:rsidRPr="00084916" w:rsidRDefault="00471A7F" w:rsidP="00212BDD">
      <w:pPr>
        <w:tabs>
          <w:tab w:val="left" w:pos="360"/>
        </w:tabs>
        <w:ind w:right="-360"/>
        <w:rPr>
          <w:iCs/>
        </w:rPr>
      </w:pPr>
      <w:r w:rsidRPr="00084916">
        <w:rPr>
          <w:lang w:val="en-CA"/>
        </w:rPr>
        <w:fldChar w:fldCharType="begin"/>
      </w:r>
      <w:r w:rsidRPr="00084916">
        <w:rPr>
          <w:lang w:val="en-CA"/>
        </w:rPr>
        <w:instrText xml:space="preserve"> SEQ CHAPTER \h \r 1</w:instrText>
      </w:r>
      <w:r w:rsidRPr="00084916">
        <w:rPr>
          <w:lang w:val="en-CA"/>
        </w:rPr>
        <w:fldChar w:fldCharType="end"/>
      </w:r>
      <w:r w:rsidRPr="00084916">
        <w:rPr>
          <w:bCs/>
          <w:iCs/>
        </w:rPr>
        <w:t>AQUATOX</w:t>
      </w:r>
      <w:r w:rsidRPr="00084916">
        <w:rPr>
          <w:b/>
          <w:iCs/>
        </w:rPr>
        <w:t xml:space="preserve"> </w:t>
      </w:r>
      <w:r w:rsidR="00084916">
        <w:rPr>
          <w:iCs/>
        </w:rPr>
        <w:t>is a</w:t>
      </w:r>
      <w:r w:rsidR="004E2A6E">
        <w:rPr>
          <w:iCs/>
        </w:rPr>
        <w:t>n</w:t>
      </w:r>
      <w:r w:rsidR="00084916">
        <w:rPr>
          <w:iCs/>
        </w:rPr>
        <w:t xml:space="preserve"> ecosystem simulation model </w:t>
      </w:r>
      <w:r w:rsidR="00284AAF">
        <w:rPr>
          <w:iCs/>
        </w:rPr>
        <w:t>that</w:t>
      </w:r>
      <w:r w:rsidR="00284AAF" w:rsidRPr="00084916">
        <w:rPr>
          <w:iCs/>
        </w:rPr>
        <w:t xml:space="preserve"> </w:t>
      </w:r>
      <w:r w:rsidRPr="00084916">
        <w:rPr>
          <w:iCs/>
        </w:rPr>
        <w:t xml:space="preserve">predicts the </w:t>
      </w:r>
      <w:r w:rsidR="00950011">
        <w:rPr>
          <w:iCs/>
        </w:rPr>
        <w:t xml:space="preserve">environmental </w:t>
      </w:r>
      <w:r w:rsidRPr="00084916">
        <w:rPr>
          <w:iCs/>
        </w:rPr>
        <w:t xml:space="preserve">fate of various pollutants, such as </w:t>
      </w:r>
      <w:r w:rsidR="00054C83">
        <w:rPr>
          <w:iCs/>
        </w:rPr>
        <w:t xml:space="preserve">excess </w:t>
      </w:r>
      <w:r w:rsidRPr="00084916">
        <w:rPr>
          <w:iCs/>
        </w:rPr>
        <w:t xml:space="preserve">nutrients and organic chemicals, and their effects on </w:t>
      </w:r>
      <w:r w:rsidR="005C28EC">
        <w:rPr>
          <w:iCs/>
        </w:rPr>
        <w:t xml:space="preserve">aquatic </w:t>
      </w:r>
      <w:r w:rsidRPr="00084916">
        <w:rPr>
          <w:iCs/>
        </w:rPr>
        <w:t>ecosystem</w:t>
      </w:r>
      <w:r w:rsidR="005C28EC">
        <w:rPr>
          <w:iCs/>
        </w:rPr>
        <w:t>s</w:t>
      </w:r>
      <w:r w:rsidRPr="00084916">
        <w:rPr>
          <w:iCs/>
        </w:rPr>
        <w:t>, including fish, invertebrates, and aquatic plants.  AQUATOX</w:t>
      </w:r>
      <w:r w:rsidR="00950011">
        <w:rPr>
          <w:iCs/>
        </w:rPr>
        <w:t xml:space="preserve"> is one of the preeminent tools available for ecosystem analysis and management and </w:t>
      </w:r>
      <w:r w:rsidR="00B72F0D">
        <w:rPr>
          <w:iCs/>
        </w:rPr>
        <w:t xml:space="preserve">has been used all over the US and the world in a wide variety of </w:t>
      </w:r>
      <w:r w:rsidRPr="00084916">
        <w:rPr>
          <w:iCs/>
        </w:rPr>
        <w:t>ecological risk assessments</w:t>
      </w:r>
      <w:r w:rsidR="006D091E">
        <w:rPr>
          <w:iCs/>
        </w:rPr>
        <w:t xml:space="preserve">. </w:t>
      </w:r>
      <w:r w:rsidR="00206B36">
        <w:rPr>
          <w:iCs/>
        </w:rPr>
        <w:t>EPA has released AQUATOX Release 3</w:t>
      </w:r>
      <w:r w:rsidR="00120BE7">
        <w:rPr>
          <w:iCs/>
        </w:rPr>
        <w:t>.</w:t>
      </w:r>
      <w:r w:rsidR="00C8507E">
        <w:rPr>
          <w:iCs/>
        </w:rPr>
        <w:t xml:space="preserve">2 that </w:t>
      </w:r>
      <w:r w:rsidR="00C8507E" w:rsidRPr="00C8507E">
        <w:t>extend</w:t>
      </w:r>
      <w:r w:rsidR="00C8507E">
        <w:t>s</w:t>
      </w:r>
      <w:r w:rsidR="00C8507E" w:rsidRPr="00C8507E">
        <w:t xml:space="preserve"> the existing AQUATOX estuarine version to include improved capabilities for situations encountered in the nearshore marine environment. </w:t>
      </w:r>
      <w:r w:rsidR="00C8507E">
        <w:t xml:space="preserve"> In addition, the graphical user interface was updated and modernized to add capabilities and to </w:t>
      </w:r>
      <w:r w:rsidR="00B72F0D">
        <w:t xml:space="preserve">increase user friendliness. </w:t>
      </w:r>
    </w:p>
    <w:p w:rsidR="00471A7F" w:rsidRDefault="00471A7F" w:rsidP="00890E18"/>
    <w:p w:rsidR="00890E18" w:rsidRDefault="00890E18" w:rsidP="00F272FC">
      <w:pPr>
        <w:outlineLvl w:val="0"/>
        <w:rPr>
          <w:b/>
          <w:bCs/>
        </w:rPr>
      </w:pPr>
      <w:r>
        <w:rPr>
          <w:b/>
          <w:bCs/>
        </w:rPr>
        <w:t>Background</w:t>
      </w:r>
    </w:p>
    <w:p w:rsidR="004C69E4" w:rsidRDefault="00701482" w:rsidP="004C69E4">
      <w:r>
        <w:rPr>
          <w:noProof/>
        </w:rPr>
        <w:pict>
          <v:shape id="_x0000_s1026" type="#_x0000_t75" style="position:absolute;margin-left:279pt;margin-top:1.65pt;width:234pt;height:167.55pt;z-index:1;mso-wrap-distance-left:12pt;mso-wrap-distance-top:12pt;mso-wrap-distance-right:12pt;mso-wrap-distance-bottom:12pt;mso-position-horizontal-relative:margin" o:allowincell="f" stroked="t" strokecolor="#020000" strokeweight=".96pt">
            <v:imagedata r:id="rId10" o:title=""/>
            <w10:wrap type="square" anchorx="margin"/>
          </v:shape>
        </w:pict>
      </w:r>
      <w:r w:rsidR="00516B39">
        <w:rPr>
          <w:lang w:val="en-CA"/>
        </w:rPr>
        <w:fldChar w:fldCharType="begin"/>
      </w:r>
      <w:r w:rsidR="00516B39">
        <w:rPr>
          <w:lang w:val="en-CA"/>
        </w:rPr>
        <w:instrText xml:space="preserve"> SEQ CHAPTER \h \r 1</w:instrText>
      </w:r>
      <w:r w:rsidR="00516B39">
        <w:rPr>
          <w:lang w:val="en-CA"/>
        </w:rPr>
        <w:fldChar w:fldCharType="end"/>
      </w:r>
      <w:r w:rsidR="00516B39">
        <w:t xml:space="preserve">One of the biggest challenges </w:t>
      </w:r>
      <w:r w:rsidR="00C6512F">
        <w:t>to protecting or restoring our n</w:t>
      </w:r>
      <w:r w:rsidR="00516B39">
        <w:t xml:space="preserve">ation’s waters </w:t>
      </w:r>
      <w:proofErr w:type="gramStart"/>
      <w:r w:rsidR="00516B39">
        <w:t>is adequately understand</w:t>
      </w:r>
      <w:r w:rsidR="00950011">
        <w:t>ing</w:t>
      </w:r>
      <w:proofErr w:type="gramEnd"/>
      <w:r w:rsidR="00516B39">
        <w:t xml:space="preserve"> the relationships between the environment and the organisms that live there. Ecosystems are complex, with </w:t>
      </w:r>
      <w:r w:rsidR="000B306A">
        <w:t>natural</w:t>
      </w:r>
      <w:r w:rsidR="00516B39">
        <w:t xml:space="preserve"> variations </w:t>
      </w:r>
      <w:r w:rsidR="00950011">
        <w:t xml:space="preserve">over time, </w:t>
      </w:r>
      <w:r w:rsidR="00516B39">
        <w:t>and multiple interactions</w:t>
      </w:r>
      <w:r w:rsidR="00950011">
        <w:t xml:space="preserve"> between components</w:t>
      </w:r>
      <w:r w:rsidR="00516B39">
        <w:t xml:space="preserve">. </w:t>
      </w:r>
      <w:r w:rsidR="00BD56EE">
        <w:rPr>
          <w:lang w:val="en-CA"/>
        </w:rPr>
        <w:fldChar w:fldCharType="begin"/>
      </w:r>
      <w:r w:rsidR="00BD56EE">
        <w:rPr>
          <w:lang w:val="en-CA"/>
        </w:rPr>
        <w:instrText xml:space="preserve"> SEQ CHAPTER \h \r 1</w:instrText>
      </w:r>
      <w:r w:rsidR="00BD56EE">
        <w:rPr>
          <w:lang w:val="en-CA"/>
        </w:rPr>
        <w:fldChar w:fldCharType="end"/>
      </w:r>
      <w:r w:rsidR="00BD56EE">
        <w:t xml:space="preserve">The </w:t>
      </w:r>
      <w:r w:rsidR="00950011">
        <w:t xml:space="preserve">health of </w:t>
      </w:r>
      <w:r w:rsidR="00BD56EE">
        <w:t xml:space="preserve">biological communities in many water bodies </w:t>
      </w:r>
      <w:r w:rsidR="00A06016">
        <w:t xml:space="preserve">is </w:t>
      </w:r>
      <w:r w:rsidR="00BD56EE">
        <w:t xml:space="preserve">impaired, but the causes of the impairment may not be obvious </w:t>
      </w:r>
      <w:r w:rsidR="00950011">
        <w:t>due to</w:t>
      </w:r>
      <w:r w:rsidR="00BD56EE">
        <w:t xml:space="preserve"> numerous environmental stressors.  It is difficult to predict how the aquatic community will respond to changes in pollutants or environmental conditions </w:t>
      </w:r>
      <w:r w:rsidR="00950011">
        <w:t xml:space="preserve">using </w:t>
      </w:r>
      <w:r w:rsidR="00BD56EE">
        <w:t>simple methods of analysis, especially if th</w:t>
      </w:r>
      <w:r w:rsidR="00950011">
        <w:t>os</w:t>
      </w:r>
      <w:r w:rsidR="00BD56EE">
        <w:t xml:space="preserve">e methods address </w:t>
      </w:r>
      <w:r w:rsidR="00950011">
        <w:t>only one</w:t>
      </w:r>
      <w:r w:rsidR="00BD56EE">
        <w:t xml:space="preserve"> stressor at a time.  </w:t>
      </w:r>
      <w:r w:rsidR="00BD56EE">
        <w:rPr>
          <w:lang w:val="en-CA"/>
        </w:rPr>
        <w:fldChar w:fldCharType="begin"/>
      </w:r>
      <w:r w:rsidR="00BD56EE">
        <w:rPr>
          <w:lang w:val="en-CA"/>
        </w:rPr>
        <w:instrText xml:space="preserve"> SEQ CHAPTER \h \r 1</w:instrText>
      </w:r>
      <w:r w:rsidR="00BD56EE">
        <w:rPr>
          <w:lang w:val="en-CA"/>
        </w:rPr>
        <w:fldChar w:fldCharType="end"/>
      </w:r>
      <w:r w:rsidR="00BD56EE">
        <w:t xml:space="preserve">A complex simulation model </w:t>
      </w:r>
      <w:r w:rsidR="00950011">
        <w:t>like AQUATOX may be more effective.</w:t>
      </w:r>
    </w:p>
    <w:p w:rsidR="00BF1EE0" w:rsidRDefault="00BF1EE0" w:rsidP="00890E18"/>
    <w:p w:rsidR="00BF1EE0" w:rsidRDefault="00ED20CD" w:rsidP="00E8068A">
      <w:pPr>
        <w:ind w:right="-360"/>
        <w:outlineLvl w:val="0"/>
        <w:rPr>
          <w:b/>
        </w:rPr>
      </w:pPr>
      <w:r>
        <w:rPr>
          <w:b/>
        </w:rPr>
        <w:t xml:space="preserve">About </w:t>
      </w:r>
      <w:r w:rsidR="00261563">
        <w:rPr>
          <w:b/>
        </w:rPr>
        <w:t>AQUATOX</w:t>
      </w:r>
    </w:p>
    <w:p w:rsidR="00725050" w:rsidRPr="00C54800" w:rsidRDefault="00725050" w:rsidP="00C54800">
      <w:pPr>
        <w:numPr>
          <w:ilvl w:val="0"/>
          <w:numId w:val="13"/>
        </w:numPr>
        <w:ind w:right="-360"/>
        <w:outlineLvl w:val="0"/>
      </w:pPr>
      <w:r w:rsidRPr="00C54800">
        <w:t>Simulation model for aquatic ecosystems</w:t>
      </w:r>
      <w:r w:rsidR="00950011">
        <w:t xml:space="preserve"> and impacts on aquatic organisms</w:t>
      </w:r>
    </w:p>
    <w:p w:rsidR="00725050" w:rsidRPr="00C54800" w:rsidRDefault="00725050" w:rsidP="00C54800">
      <w:pPr>
        <w:numPr>
          <w:ilvl w:val="1"/>
          <w:numId w:val="13"/>
        </w:numPr>
        <w:ind w:right="-360"/>
        <w:outlineLvl w:val="0"/>
      </w:pPr>
      <w:r w:rsidRPr="00C54800">
        <w:t xml:space="preserve">Streams, rivers, lakes, reservoirs, estuaries </w:t>
      </w:r>
    </w:p>
    <w:p w:rsidR="00950011" w:rsidRDefault="00950011" w:rsidP="00950011">
      <w:pPr>
        <w:numPr>
          <w:ilvl w:val="1"/>
          <w:numId w:val="13"/>
        </w:numPr>
        <w:ind w:right="-360"/>
        <w:outlineLvl w:val="0"/>
      </w:pPr>
      <w:r>
        <w:t>Effects on algae, plants, invertebrates, and fish</w:t>
      </w:r>
    </w:p>
    <w:p w:rsidR="00C54800" w:rsidRDefault="00725050" w:rsidP="00C54800">
      <w:pPr>
        <w:numPr>
          <w:ilvl w:val="0"/>
          <w:numId w:val="13"/>
        </w:numPr>
        <w:ind w:right="-360"/>
        <w:outlineLvl w:val="0"/>
      </w:pPr>
      <w:r w:rsidRPr="00C54800">
        <w:t>Predicts responses of aquatic life to multiple stressors</w:t>
      </w:r>
    </w:p>
    <w:p w:rsidR="00725050" w:rsidRDefault="00361397" w:rsidP="00C54800">
      <w:pPr>
        <w:numPr>
          <w:ilvl w:val="1"/>
          <w:numId w:val="13"/>
        </w:numPr>
        <w:ind w:right="-360"/>
        <w:outlineLvl w:val="0"/>
      </w:pPr>
      <w:r>
        <w:t>N</w:t>
      </w:r>
      <w:r w:rsidR="00C54800">
        <w:t xml:space="preserve">utrients, organic loadings, sediments, </w:t>
      </w:r>
      <w:r>
        <w:t>organic</w:t>
      </w:r>
      <w:r w:rsidR="00C54800">
        <w:t xml:space="preserve"> chemicals, and temperature</w:t>
      </w:r>
    </w:p>
    <w:p w:rsidR="00C54800" w:rsidRPr="00C54800" w:rsidRDefault="00361397" w:rsidP="00C54800">
      <w:pPr>
        <w:numPr>
          <w:ilvl w:val="1"/>
          <w:numId w:val="13"/>
        </w:numPr>
        <w:ind w:right="-360"/>
        <w:outlineLvl w:val="0"/>
      </w:pPr>
      <w:r>
        <w:t>B</w:t>
      </w:r>
      <w:r w:rsidR="00C54800">
        <w:t>ioaccumulation of organic chemicals</w:t>
      </w:r>
    </w:p>
    <w:p w:rsidR="00725050" w:rsidRDefault="00725050" w:rsidP="00C54800">
      <w:pPr>
        <w:numPr>
          <w:ilvl w:val="0"/>
          <w:numId w:val="13"/>
        </w:numPr>
        <w:ind w:right="-360"/>
        <w:outlineLvl w:val="0"/>
      </w:pPr>
      <w:r w:rsidRPr="00C54800">
        <w:t>Flexible and versatile</w:t>
      </w:r>
    </w:p>
    <w:p w:rsidR="000B306A" w:rsidRDefault="000B306A" w:rsidP="000B306A">
      <w:pPr>
        <w:numPr>
          <w:ilvl w:val="1"/>
          <w:numId w:val="13"/>
        </w:numPr>
        <w:ind w:right="-360"/>
        <w:outlineLvl w:val="0"/>
      </w:pPr>
      <w:r>
        <w:t>General or site-specific application</w:t>
      </w:r>
    </w:p>
    <w:p w:rsidR="000B306A" w:rsidRDefault="00950011" w:rsidP="000B306A">
      <w:pPr>
        <w:numPr>
          <w:ilvl w:val="1"/>
          <w:numId w:val="13"/>
        </w:numPr>
        <w:ind w:right="-360"/>
        <w:outlineLvl w:val="0"/>
      </w:pPr>
      <w:r>
        <w:t>Can m</w:t>
      </w:r>
      <w:r w:rsidR="000B306A">
        <w:t xml:space="preserve">odel just </w:t>
      </w:r>
      <w:r>
        <w:t>the species and scenarios</w:t>
      </w:r>
      <w:r w:rsidR="000B306A">
        <w:t xml:space="preserve"> you need</w:t>
      </w:r>
      <w:r>
        <w:t xml:space="preserve"> to understand</w:t>
      </w:r>
    </w:p>
    <w:p w:rsidR="000B306A" w:rsidRDefault="000B306A" w:rsidP="000B306A">
      <w:pPr>
        <w:numPr>
          <w:ilvl w:val="1"/>
          <w:numId w:val="13"/>
        </w:numPr>
        <w:ind w:right="-360"/>
        <w:outlineLvl w:val="0"/>
      </w:pPr>
      <w:r>
        <w:t>Contains sophisticat</w:t>
      </w:r>
      <w:r w:rsidR="00950011">
        <w:t>ed</w:t>
      </w:r>
      <w:r>
        <w:t xml:space="preserve"> uncertainty and sensitivity analysis tools</w:t>
      </w:r>
    </w:p>
    <w:p w:rsidR="00A06016" w:rsidRPr="00C54800" w:rsidRDefault="00A06016" w:rsidP="000B306A">
      <w:pPr>
        <w:numPr>
          <w:ilvl w:val="1"/>
          <w:numId w:val="13"/>
        </w:numPr>
        <w:ind w:right="-360"/>
        <w:outlineLvl w:val="0"/>
      </w:pPr>
      <w:r>
        <w:t>Contains many</w:t>
      </w:r>
      <w:r w:rsidR="00FE263E">
        <w:t xml:space="preserve"> example studies</w:t>
      </w:r>
      <w:r>
        <w:t xml:space="preserve"> and </w:t>
      </w:r>
      <w:r w:rsidR="00FE263E">
        <w:t xml:space="preserve">data </w:t>
      </w:r>
      <w:r>
        <w:t>libraries</w:t>
      </w:r>
    </w:p>
    <w:p w:rsidR="00725050" w:rsidRDefault="00725050" w:rsidP="00C54800">
      <w:pPr>
        <w:numPr>
          <w:ilvl w:val="0"/>
          <w:numId w:val="13"/>
        </w:numPr>
        <w:ind w:right="-360"/>
        <w:outlineLvl w:val="0"/>
      </w:pPr>
      <w:r w:rsidRPr="00C54800">
        <w:t>PC-based</w:t>
      </w:r>
      <w:r w:rsidR="000B306A">
        <w:t>, available at no cost on EPA web site</w:t>
      </w:r>
    </w:p>
    <w:p w:rsidR="00950011" w:rsidRPr="00C54800" w:rsidRDefault="00950011" w:rsidP="00C54800">
      <w:pPr>
        <w:numPr>
          <w:ilvl w:val="0"/>
          <w:numId w:val="13"/>
        </w:numPr>
        <w:ind w:right="-360"/>
        <w:outlineLvl w:val="0"/>
      </w:pPr>
      <w:r w:rsidRPr="006D091E">
        <w:t>Open source software</w:t>
      </w:r>
    </w:p>
    <w:p w:rsidR="00C6512F" w:rsidRPr="006245ED" w:rsidRDefault="00725050" w:rsidP="00E8068A">
      <w:pPr>
        <w:numPr>
          <w:ilvl w:val="0"/>
          <w:numId w:val="13"/>
        </w:numPr>
        <w:ind w:right="-360"/>
        <w:outlineLvl w:val="0"/>
      </w:pPr>
      <w:r w:rsidRPr="00C54800">
        <w:t>User friendly</w:t>
      </w:r>
      <w:r w:rsidR="00091E54">
        <w:t xml:space="preserve"> interface, </w:t>
      </w:r>
      <w:r w:rsidR="00091E54" w:rsidRPr="006245ED">
        <w:t xml:space="preserve">with </w:t>
      </w:r>
      <w:r w:rsidR="006245ED" w:rsidRPr="006245ED">
        <w:rPr>
          <w:color w:val="000000"/>
        </w:rPr>
        <w:t>built-in Help files available to lead users through required model input</w:t>
      </w:r>
    </w:p>
    <w:p w:rsidR="006245ED" w:rsidRDefault="006245ED" w:rsidP="00E8068A">
      <w:pPr>
        <w:ind w:right="-360"/>
        <w:outlineLvl w:val="0"/>
        <w:rPr>
          <w:b/>
        </w:rPr>
      </w:pPr>
    </w:p>
    <w:p w:rsidR="00746FD8" w:rsidRPr="00746FD8" w:rsidRDefault="00746FD8" w:rsidP="00E8068A">
      <w:pPr>
        <w:ind w:right="-360"/>
        <w:outlineLvl w:val="0"/>
        <w:rPr>
          <w:b/>
        </w:rPr>
      </w:pPr>
      <w:r w:rsidRPr="00746FD8">
        <w:rPr>
          <w:b/>
        </w:rPr>
        <w:lastRenderedPageBreak/>
        <w:t>Applications</w:t>
      </w:r>
    </w:p>
    <w:p w:rsidR="000B306A" w:rsidRDefault="00746FD8" w:rsidP="000B306A">
      <w:pPr>
        <w:ind w:right="-360"/>
      </w:pPr>
      <w:r>
        <w:t xml:space="preserve">AQUATOX can be used to </w:t>
      </w:r>
      <w:r w:rsidR="00EC6F61">
        <w:t xml:space="preserve">better understand the processes relating the chemical and physical environment to the biological community.  </w:t>
      </w:r>
      <w:r w:rsidR="000F49FA">
        <w:t>You can use AQUATOX to</w:t>
      </w:r>
      <w:r w:rsidR="00EC6F61">
        <w:t>:</w:t>
      </w:r>
    </w:p>
    <w:p w:rsidR="007252CE" w:rsidRDefault="007252CE" w:rsidP="000B306A">
      <w:pPr>
        <w:numPr>
          <w:ilvl w:val="0"/>
          <w:numId w:val="1"/>
        </w:numPr>
        <w:ind w:right="-360"/>
      </w:pPr>
      <w:r>
        <w:t>Develop</w:t>
      </w:r>
      <w:r w:rsidR="003C560E">
        <w:t xml:space="preserve"> and evaluate</w:t>
      </w:r>
      <w:r>
        <w:t xml:space="preserve"> numeric nutrient targets based on desired biological endpoints.</w:t>
      </w:r>
    </w:p>
    <w:p w:rsidR="007252CE" w:rsidRDefault="007252CE" w:rsidP="007252CE">
      <w:pPr>
        <w:numPr>
          <w:ilvl w:val="0"/>
          <w:numId w:val="1"/>
        </w:numPr>
        <w:ind w:right="-360"/>
      </w:pPr>
      <w:r>
        <w:t>Evaluat</w:t>
      </w:r>
      <w:r w:rsidR="002A0366">
        <w:t>e</w:t>
      </w:r>
      <w:r>
        <w:t xml:space="preserve"> which of several stressors is causing observed biological impairment.</w:t>
      </w:r>
    </w:p>
    <w:p w:rsidR="007252CE" w:rsidRDefault="007252CE" w:rsidP="007252CE">
      <w:pPr>
        <w:numPr>
          <w:ilvl w:val="0"/>
          <w:numId w:val="1"/>
        </w:numPr>
        <w:ind w:right="-360"/>
      </w:pPr>
      <w:r>
        <w:t>Predict effects of pesticides and other toxic substances on aquatic life.</w:t>
      </w:r>
    </w:p>
    <w:p w:rsidR="007252CE" w:rsidRDefault="007252CE" w:rsidP="007252CE">
      <w:pPr>
        <w:numPr>
          <w:ilvl w:val="0"/>
          <w:numId w:val="1"/>
        </w:numPr>
        <w:ind w:right="-360"/>
      </w:pPr>
      <w:r>
        <w:t>Predict changes in the ecosystem due to climate change.</w:t>
      </w:r>
    </w:p>
    <w:p w:rsidR="007252CE" w:rsidRDefault="00361397" w:rsidP="007252CE">
      <w:pPr>
        <w:numPr>
          <w:ilvl w:val="0"/>
          <w:numId w:val="1"/>
        </w:numPr>
        <w:ind w:right="-360"/>
      </w:pPr>
      <w:r>
        <w:t>Predict</w:t>
      </w:r>
      <w:r w:rsidR="007252CE">
        <w:t xml:space="preserve"> effects of land use on aquatic life by </w:t>
      </w:r>
      <w:r>
        <w:t>linking to the watershed models in</w:t>
      </w:r>
      <w:r w:rsidR="007252CE">
        <w:t xml:space="preserve"> BASINS.</w:t>
      </w:r>
    </w:p>
    <w:p w:rsidR="007252CE" w:rsidRDefault="007252CE" w:rsidP="007252CE">
      <w:pPr>
        <w:numPr>
          <w:ilvl w:val="0"/>
          <w:numId w:val="1"/>
        </w:numPr>
        <w:ind w:right="-360"/>
      </w:pPr>
      <w:r>
        <w:t>Estimat</w:t>
      </w:r>
      <w:r w:rsidR="002A0366">
        <w:t>e</w:t>
      </w:r>
      <w:r>
        <w:t xml:space="preserve"> time </w:t>
      </w:r>
      <w:r w:rsidR="002A0366">
        <w:t xml:space="preserve">to </w:t>
      </w:r>
      <w:r>
        <w:t xml:space="preserve">recovery of fish </w:t>
      </w:r>
      <w:r w:rsidR="000B306A">
        <w:t>tissues to safe</w:t>
      </w:r>
      <w:r>
        <w:t xml:space="preserve"> </w:t>
      </w:r>
      <w:r w:rsidR="000B306A">
        <w:t xml:space="preserve">levels </w:t>
      </w:r>
      <w:r>
        <w:t>after reducing pollutant loads.</w:t>
      </w:r>
    </w:p>
    <w:p w:rsidR="007252CE" w:rsidRDefault="007252CE" w:rsidP="00E8068A">
      <w:pPr>
        <w:ind w:right="-360"/>
        <w:outlineLvl w:val="0"/>
      </w:pPr>
    </w:p>
    <w:p w:rsidR="007252CE" w:rsidRDefault="00701482" w:rsidP="007252CE">
      <w:pPr>
        <w:ind w:right="-360"/>
        <w:jc w:val="center"/>
        <w:outlineLvl w:val="0"/>
        <w:rPr>
          <w:b/>
        </w:rPr>
      </w:pPr>
      <w:r>
        <w:rPr>
          <w:b/>
        </w:rPr>
        <w:pict>
          <v:shape id="_x0000_i1026" type="#_x0000_t75" style="width:341.25pt;height:255.75pt;mso-position-horizontal-relative:char;mso-position-vertical-relative:line">
            <v:imagedata r:id="rId11" o:title=""/>
          </v:shape>
        </w:pict>
      </w:r>
    </w:p>
    <w:p w:rsidR="00E8068A" w:rsidRDefault="00E8068A" w:rsidP="00B13625">
      <w:pPr>
        <w:rPr>
          <w:b/>
        </w:rPr>
      </w:pPr>
    </w:p>
    <w:p w:rsidR="00B13625" w:rsidRPr="00EB1756" w:rsidRDefault="005C28EC" w:rsidP="00B13625">
      <w:pPr>
        <w:rPr>
          <w:b/>
        </w:rPr>
      </w:pPr>
      <w:r>
        <w:rPr>
          <w:b/>
        </w:rPr>
        <w:t xml:space="preserve">What’s </w:t>
      </w:r>
      <w:proofErr w:type="gramStart"/>
      <w:r>
        <w:rPr>
          <w:b/>
        </w:rPr>
        <w:t>New</w:t>
      </w:r>
      <w:proofErr w:type="gramEnd"/>
    </w:p>
    <w:p w:rsidR="00B13625" w:rsidRDefault="00B13625" w:rsidP="00B13625">
      <w:r>
        <w:t xml:space="preserve">AQUATOX Release </w:t>
      </w:r>
      <w:r w:rsidR="005C28EC">
        <w:t>3</w:t>
      </w:r>
      <w:r w:rsidR="00B72F0D">
        <w:t>.</w:t>
      </w:r>
      <w:r w:rsidR="000376DA">
        <w:t>2</w:t>
      </w:r>
      <w:r>
        <w:t xml:space="preserve"> </w:t>
      </w:r>
      <w:r w:rsidR="005C28EC">
        <w:t>contains</w:t>
      </w:r>
      <w:r>
        <w:t xml:space="preserve"> </w:t>
      </w:r>
      <w:r w:rsidR="002D72E6">
        <w:t xml:space="preserve">many </w:t>
      </w:r>
      <w:r w:rsidR="000376DA">
        <w:t xml:space="preserve">new </w:t>
      </w:r>
      <w:r w:rsidR="002D72E6">
        <w:t>enhancements</w:t>
      </w:r>
      <w:r w:rsidR="000376DA">
        <w:t xml:space="preserve"> including</w:t>
      </w:r>
      <w:r>
        <w:t>:</w:t>
      </w:r>
    </w:p>
    <w:p w:rsidR="000376DA" w:rsidRDefault="000376DA" w:rsidP="000376DA">
      <w:pPr>
        <w:numPr>
          <w:ilvl w:val="0"/>
          <w:numId w:val="12"/>
        </w:numPr>
      </w:pPr>
      <w:r>
        <w:t>Additional equations to model the physical complexity of oyster reefs and the marsh-edge environment</w:t>
      </w:r>
    </w:p>
    <w:p w:rsidR="000376DA" w:rsidRDefault="000376DA" w:rsidP="000376DA">
      <w:pPr>
        <w:numPr>
          <w:ilvl w:val="0"/>
          <w:numId w:val="12"/>
        </w:numPr>
      </w:pPr>
      <w:r>
        <w:t xml:space="preserve">The capability to model size-classes of oysters and crabs within the model </w:t>
      </w:r>
    </w:p>
    <w:p w:rsidR="000376DA" w:rsidRDefault="000376DA" w:rsidP="000376DA">
      <w:pPr>
        <w:numPr>
          <w:ilvl w:val="0"/>
          <w:numId w:val="12"/>
        </w:numPr>
      </w:pPr>
      <w:r>
        <w:t>New invertebrate-modeling capabilities including allometric bioenergetics equations and burrowing refuge from predation</w:t>
      </w:r>
    </w:p>
    <w:p w:rsidR="000376DA" w:rsidRDefault="000376DA" w:rsidP="000376DA">
      <w:pPr>
        <w:numPr>
          <w:ilvl w:val="0"/>
          <w:numId w:val="12"/>
        </w:numPr>
      </w:pPr>
      <w:r>
        <w:t>To better represent marine-biology conventions, the guilds used by AQUATOX to characterize these state variables have been reorganized.</w:t>
      </w:r>
    </w:p>
    <w:p w:rsidR="000376DA" w:rsidRDefault="000376DA" w:rsidP="000376DA">
      <w:pPr>
        <w:numPr>
          <w:ilvl w:val="0"/>
          <w:numId w:val="12"/>
        </w:numPr>
      </w:pPr>
      <w:r>
        <w:t>The</w:t>
      </w:r>
      <w:r w:rsidRPr="000376DA">
        <w:t xml:space="preserve"> database management system </w:t>
      </w:r>
      <w:r>
        <w:t xml:space="preserve">has been modernized and now uses SQLite databases  </w:t>
      </w:r>
    </w:p>
    <w:p w:rsidR="000376DA" w:rsidRDefault="000376DA" w:rsidP="000376DA">
      <w:pPr>
        <w:numPr>
          <w:ilvl w:val="0"/>
          <w:numId w:val="12"/>
        </w:numPr>
      </w:pPr>
      <w:r>
        <w:t xml:space="preserve">All model inputs </w:t>
      </w:r>
      <w:r w:rsidRPr="000376DA">
        <w:t xml:space="preserve">and outputs </w:t>
      </w:r>
      <w:r>
        <w:t xml:space="preserve">can now be written </w:t>
      </w:r>
      <w:r w:rsidRPr="000376DA">
        <w:t>in ASCII format</w:t>
      </w:r>
    </w:p>
    <w:p w:rsidR="009B7E8D" w:rsidRPr="00B13625" w:rsidRDefault="000376DA" w:rsidP="000376DA">
      <w:pPr>
        <w:numPr>
          <w:ilvl w:val="0"/>
          <w:numId w:val="12"/>
        </w:numPr>
      </w:pPr>
      <w:r>
        <w:t xml:space="preserve">A </w:t>
      </w:r>
      <w:r w:rsidRPr="000376DA">
        <w:t>command-line version</w:t>
      </w:r>
      <w:r>
        <w:t xml:space="preserve"> has been added</w:t>
      </w:r>
      <w:r w:rsidRPr="000376DA">
        <w:t>, which allows users to execute and manipulate the model using a DOS command prompt</w:t>
      </w:r>
      <w:r>
        <w:t xml:space="preserve"> or batch file</w:t>
      </w:r>
      <w:r w:rsidRPr="000376DA">
        <w:t xml:space="preserve">.  </w:t>
      </w:r>
      <w:r>
        <w:br/>
      </w:r>
    </w:p>
    <w:p w:rsidR="00BF1EE0" w:rsidRDefault="00D02182" w:rsidP="00F272FC">
      <w:pPr>
        <w:outlineLvl w:val="0"/>
        <w:rPr>
          <w:b/>
        </w:rPr>
      </w:pPr>
      <w:r>
        <w:rPr>
          <w:b/>
        </w:rPr>
        <w:t xml:space="preserve">Additional </w:t>
      </w:r>
      <w:r w:rsidR="00BF1EE0" w:rsidRPr="009823A6">
        <w:rPr>
          <w:b/>
        </w:rPr>
        <w:t>information</w:t>
      </w:r>
    </w:p>
    <w:p w:rsidR="009823A6" w:rsidRPr="0094539E" w:rsidRDefault="0094539E" w:rsidP="002B008F">
      <w:pPr>
        <w:spacing w:before="100" w:beforeAutospacing="1" w:after="100" w:afterAutospacing="1"/>
      </w:pPr>
      <w:r>
        <w:t>Additional information on</w:t>
      </w:r>
      <w:r w:rsidR="00D02182">
        <w:t xml:space="preserve"> </w:t>
      </w:r>
      <w:r>
        <w:t xml:space="preserve">AQUATOX </w:t>
      </w:r>
      <w:r w:rsidR="00D02182">
        <w:t>is available at</w:t>
      </w:r>
      <w:r w:rsidR="009027AA" w:rsidRPr="009027AA">
        <w:t xml:space="preserve"> </w:t>
      </w:r>
      <w:hyperlink r:id="rId12" w:history="1">
        <w:r w:rsidR="002B008F" w:rsidRPr="008B4CBE">
          <w:rPr>
            <w:rStyle w:val="Hyperlink"/>
          </w:rPr>
          <w:t>https://www.epa.gov/ceam/aquatox</w:t>
        </w:r>
      </w:hyperlink>
      <w:r w:rsidR="000376DA">
        <w:t xml:space="preserve"> </w:t>
      </w:r>
      <w:r>
        <w:t xml:space="preserve"> </w:t>
      </w:r>
      <w:r w:rsidRPr="0094539E">
        <w:t xml:space="preserve">You may also </w:t>
      </w:r>
      <w:r>
        <w:t xml:space="preserve">contact </w:t>
      </w:r>
      <w:r w:rsidR="000376DA">
        <w:t>Brenda Rashleigh in the EPA National H</w:t>
      </w:r>
      <w:r w:rsidR="002B008F">
        <w:t>ea</w:t>
      </w:r>
      <w:r w:rsidR="000376DA">
        <w:t xml:space="preserve">lth and Environmental Effects Laboratory at </w:t>
      </w:r>
      <w:hyperlink r:id="rId13" w:history="1">
        <w:r w:rsidR="000376DA" w:rsidRPr="00C67B9E">
          <w:rPr>
            <w:rStyle w:val="Hyperlink"/>
          </w:rPr>
          <w:t>Rashleigh.Brenda@epa.gov</w:t>
        </w:r>
      </w:hyperlink>
      <w:r w:rsidR="000376DA" w:rsidRPr="000376DA">
        <w:t xml:space="preserve"> </w:t>
      </w:r>
      <w:r w:rsidR="000376DA">
        <w:t xml:space="preserve">or </w:t>
      </w:r>
      <w:r w:rsidR="000376DA" w:rsidRPr="000376DA">
        <w:t>401-782-3014</w:t>
      </w:r>
      <w:r>
        <w:t>.</w:t>
      </w:r>
      <w:bookmarkStart w:id="0" w:name="_GoBack"/>
      <w:bookmarkEnd w:id="0"/>
    </w:p>
    <w:sectPr w:rsidR="009823A6" w:rsidRPr="0094539E" w:rsidSect="00054C83">
      <w:type w:val="continuous"/>
      <w:pgSz w:w="12240" w:h="15840"/>
      <w:pgMar w:top="1080" w:right="1440" w:bottom="108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482" w:rsidRDefault="00701482" w:rsidP="002B2B15">
      <w:pPr>
        <w:pStyle w:val="Level1"/>
      </w:pPr>
      <w:r>
        <w:separator/>
      </w:r>
    </w:p>
  </w:endnote>
  <w:endnote w:type="continuationSeparator" w:id="0">
    <w:p w:rsidR="00701482" w:rsidRDefault="00701482" w:rsidP="002B2B15">
      <w:pPr>
        <w:pStyle w:val="Level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tter Gothic"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482" w:rsidRDefault="00701482" w:rsidP="002B2B15">
      <w:pPr>
        <w:pStyle w:val="Level1"/>
      </w:pPr>
      <w:r>
        <w:separator/>
      </w:r>
    </w:p>
  </w:footnote>
  <w:footnote w:type="continuationSeparator" w:id="0">
    <w:p w:rsidR="00701482" w:rsidRDefault="00701482" w:rsidP="002B2B15">
      <w:pPr>
        <w:pStyle w:val="Level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E89"/>
    <w:multiLevelType w:val="hybridMultilevel"/>
    <w:tmpl w:val="26F4E4D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9B32EC"/>
    <w:multiLevelType w:val="hybridMultilevel"/>
    <w:tmpl w:val="DBFA8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5C82"/>
    <w:multiLevelType w:val="hybridMultilevel"/>
    <w:tmpl w:val="7A72CD26"/>
    <w:lvl w:ilvl="0" w:tplc="E402B8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9C99A0">
      <w:start w:val="17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DAD1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4C4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F8E5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4CA8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94F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0AC8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8E2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4F904A3"/>
    <w:multiLevelType w:val="hybridMultilevel"/>
    <w:tmpl w:val="1C10DF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13369D"/>
    <w:multiLevelType w:val="multilevel"/>
    <w:tmpl w:val="FBA8155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lowerLetter"/>
      <w:lvlText w:val="%8.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5">
    <w:nsid w:val="47C17C40"/>
    <w:multiLevelType w:val="multilevel"/>
    <w:tmpl w:val="FBA8155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lowerLetter"/>
      <w:lvlText w:val="%8.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6">
    <w:nsid w:val="577C7C94"/>
    <w:multiLevelType w:val="multilevel"/>
    <w:tmpl w:val="FBA8155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lowerLetter"/>
      <w:lvlText w:val="%8."/>
      <w:legacy w:legacy="1" w:legacySpace="0" w:legacyIndent="0"/>
      <w:lvlJc w:val="left"/>
    </w:lvl>
    <w:lvl w:ilvl="8">
      <w:start w:val="1"/>
      <w:numFmt w:val="lowerRoman"/>
      <w:lvlText w:val="%9"/>
      <w:legacy w:legacy="1" w:legacySpace="0" w:legacyIndent="0"/>
      <w:lvlJc w:val="left"/>
    </w:lvl>
  </w:abstractNum>
  <w:abstractNum w:abstractNumId="7">
    <w:nsid w:val="5D462169"/>
    <w:multiLevelType w:val="hybridMultilevel"/>
    <w:tmpl w:val="D354CA80"/>
    <w:lvl w:ilvl="0" w:tplc="06E6E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22582E">
      <w:start w:val="113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E013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EC9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36C7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2EC4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5CD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526F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6DE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3AF01B8"/>
    <w:multiLevelType w:val="hybridMultilevel"/>
    <w:tmpl w:val="5D62E334"/>
    <w:lvl w:ilvl="0" w:tplc="BE6A85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4813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442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ECBE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6AE5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102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64A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287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2EB7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DDA216C"/>
    <w:multiLevelType w:val="hybridMultilevel"/>
    <w:tmpl w:val="EE68D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510FAA"/>
    <w:multiLevelType w:val="hybridMultilevel"/>
    <w:tmpl w:val="6B6A1BEE"/>
    <w:lvl w:ilvl="0" w:tplc="D8AA8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B81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98A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4E5E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A875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BAB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9A9A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E4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DCCC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5337C3B"/>
    <w:multiLevelType w:val="multilevel"/>
    <w:tmpl w:val="02BA1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9557D3"/>
    <w:multiLevelType w:val="hybridMultilevel"/>
    <w:tmpl w:val="FCA28488"/>
    <w:lvl w:ilvl="0" w:tplc="E592BD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80C"/>
    <w:rsid w:val="00033BEB"/>
    <w:rsid w:val="000376DA"/>
    <w:rsid w:val="00054C83"/>
    <w:rsid w:val="00060C39"/>
    <w:rsid w:val="00070A01"/>
    <w:rsid w:val="00071682"/>
    <w:rsid w:val="00084916"/>
    <w:rsid w:val="00087ADD"/>
    <w:rsid w:val="00091459"/>
    <w:rsid w:val="00091E54"/>
    <w:rsid w:val="000B306A"/>
    <w:rsid w:val="000B509B"/>
    <w:rsid w:val="000F0CCB"/>
    <w:rsid w:val="000F49FA"/>
    <w:rsid w:val="000F5B90"/>
    <w:rsid w:val="001022AC"/>
    <w:rsid w:val="00120BE7"/>
    <w:rsid w:val="0012680C"/>
    <w:rsid w:val="00141C75"/>
    <w:rsid w:val="00160154"/>
    <w:rsid w:val="00165D15"/>
    <w:rsid w:val="00166702"/>
    <w:rsid w:val="00187F77"/>
    <w:rsid w:val="001B1BF1"/>
    <w:rsid w:val="001B225E"/>
    <w:rsid w:val="001B476B"/>
    <w:rsid w:val="001B5234"/>
    <w:rsid w:val="00205444"/>
    <w:rsid w:val="00206B36"/>
    <w:rsid w:val="00212BDD"/>
    <w:rsid w:val="00241A8F"/>
    <w:rsid w:val="00246390"/>
    <w:rsid w:val="00261563"/>
    <w:rsid w:val="00276B07"/>
    <w:rsid w:val="00282014"/>
    <w:rsid w:val="00284AAF"/>
    <w:rsid w:val="002A0366"/>
    <w:rsid w:val="002A0759"/>
    <w:rsid w:val="002A4F11"/>
    <w:rsid w:val="002B008F"/>
    <w:rsid w:val="002B132D"/>
    <w:rsid w:val="002B2B15"/>
    <w:rsid w:val="002B6C1B"/>
    <w:rsid w:val="002D72E6"/>
    <w:rsid w:val="002F7A23"/>
    <w:rsid w:val="00344DB2"/>
    <w:rsid w:val="00346281"/>
    <w:rsid w:val="00350C3D"/>
    <w:rsid w:val="00360408"/>
    <w:rsid w:val="00361397"/>
    <w:rsid w:val="00362C22"/>
    <w:rsid w:val="003772CF"/>
    <w:rsid w:val="003B27D4"/>
    <w:rsid w:val="003C4663"/>
    <w:rsid w:val="003C560E"/>
    <w:rsid w:val="003D5BAD"/>
    <w:rsid w:val="003D6236"/>
    <w:rsid w:val="003E2B74"/>
    <w:rsid w:val="003F0040"/>
    <w:rsid w:val="003F414B"/>
    <w:rsid w:val="00444BAB"/>
    <w:rsid w:val="0046211C"/>
    <w:rsid w:val="0046451C"/>
    <w:rsid w:val="0047132A"/>
    <w:rsid w:val="00471A7F"/>
    <w:rsid w:val="0048442A"/>
    <w:rsid w:val="00493C45"/>
    <w:rsid w:val="0049476C"/>
    <w:rsid w:val="004C0FA8"/>
    <w:rsid w:val="004C69E4"/>
    <w:rsid w:val="004E2A6E"/>
    <w:rsid w:val="004E2A7E"/>
    <w:rsid w:val="005062CC"/>
    <w:rsid w:val="00511B65"/>
    <w:rsid w:val="00516B39"/>
    <w:rsid w:val="0053722E"/>
    <w:rsid w:val="00560BF4"/>
    <w:rsid w:val="005C28EC"/>
    <w:rsid w:val="00602CFF"/>
    <w:rsid w:val="00610CF8"/>
    <w:rsid w:val="006245ED"/>
    <w:rsid w:val="00625905"/>
    <w:rsid w:val="006403C5"/>
    <w:rsid w:val="006457BB"/>
    <w:rsid w:val="00646E8B"/>
    <w:rsid w:val="00661C2C"/>
    <w:rsid w:val="006B7266"/>
    <w:rsid w:val="006C07AC"/>
    <w:rsid w:val="006D091E"/>
    <w:rsid w:val="006D21DA"/>
    <w:rsid w:val="006F1871"/>
    <w:rsid w:val="00701482"/>
    <w:rsid w:val="00722EDE"/>
    <w:rsid w:val="00724ACF"/>
    <w:rsid w:val="00725050"/>
    <w:rsid w:val="007252CE"/>
    <w:rsid w:val="00746FD8"/>
    <w:rsid w:val="0076171D"/>
    <w:rsid w:val="007842BA"/>
    <w:rsid w:val="00785AB5"/>
    <w:rsid w:val="00790929"/>
    <w:rsid w:val="007D7E28"/>
    <w:rsid w:val="008035AE"/>
    <w:rsid w:val="00811521"/>
    <w:rsid w:val="008209FB"/>
    <w:rsid w:val="00833979"/>
    <w:rsid w:val="0085469E"/>
    <w:rsid w:val="008579D7"/>
    <w:rsid w:val="00857CFE"/>
    <w:rsid w:val="008738FF"/>
    <w:rsid w:val="00890E18"/>
    <w:rsid w:val="008D5898"/>
    <w:rsid w:val="008E3F2A"/>
    <w:rsid w:val="009002F8"/>
    <w:rsid w:val="009027AA"/>
    <w:rsid w:val="009059A9"/>
    <w:rsid w:val="009421AE"/>
    <w:rsid w:val="0094539E"/>
    <w:rsid w:val="00950011"/>
    <w:rsid w:val="00961197"/>
    <w:rsid w:val="009823A6"/>
    <w:rsid w:val="00983AC2"/>
    <w:rsid w:val="009B7E8D"/>
    <w:rsid w:val="009D4AB8"/>
    <w:rsid w:val="009E2770"/>
    <w:rsid w:val="00A05FB6"/>
    <w:rsid w:val="00A06016"/>
    <w:rsid w:val="00A163FE"/>
    <w:rsid w:val="00A34CE6"/>
    <w:rsid w:val="00A569B9"/>
    <w:rsid w:val="00A62029"/>
    <w:rsid w:val="00A808FC"/>
    <w:rsid w:val="00AA15D4"/>
    <w:rsid w:val="00AE0AF0"/>
    <w:rsid w:val="00AF3739"/>
    <w:rsid w:val="00B13625"/>
    <w:rsid w:val="00B25805"/>
    <w:rsid w:val="00B41AA4"/>
    <w:rsid w:val="00B60AE7"/>
    <w:rsid w:val="00B61D16"/>
    <w:rsid w:val="00B72F0D"/>
    <w:rsid w:val="00B956BF"/>
    <w:rsid w:val="00BB55EA"/>
    <w:rsid w:val="00BD56EE"/>
    <w:rsid w:val="00BF1EE0"/>
    <w:rsid w:val="00BF6A9A"/>
    <w:rsid w:val="00C00D8E"/>
    <w:rsid w:val="00C138BF"/>
    <w:rsid w:val="00C250EB"/>
    <w:rsid w:val="00C54800"/>
    <w:rsid w:val="00C6099D"/>
    <w:rsid w:val="00C61F46"/>
    <w:rsid w:val="00C6512F"/>
    <w:rsid w:val="00C84523"/>
    <w:rsid w:val="00C8507E"/>
    <w:rsid w:val="00CB32C1"/>
    <w:rsid w:val="00D02182"/>
    <w:rsid w:val="00D0529B"/>
    <w:rsid w:val="00D14D45"/>
    <w:rsid w:val="00D17D3C"/>
    <w:rsid w:val="00D2186D"/>
    <w:rsid w:val="00D30864"/>
    <w:rsid w:val="00D43F6A"/>
    <w:rsid w:val="00D47C3E"/>
    <w:rsid w:val="00D67046"/>
    <w:rsid w:val="00D97712"/>
    <w:rsid w:val="00DA3C2C"/>
    <w:rsid w:val="00DD41E6"/>
    <w:rsid w:val="00DE0369"/>
    <w:rsid w:val="00DF44F0"/>
    <w:rsid w:val="00E161E3"/>
    <w:rsid w:val="00E17FC1"/>
    <w:rsid w:val="00E27EB5"/>
    <w:rsid w:val="00E31CB4"/>
    <w:rsid w:val="00E8068A"/>
    <w:rsid w:val="00E91A24"/>
    <w:rsid w:val="00E92791"/>
    <w:rsid w:val="00EA3FCC"/>
    <w:rsid w:val="00EB0C4E"/>
    <w:rsid w:val="00EB1756"/>
    <w:rsid w:val="00EC6F61"/>
    <w:rsid w:val="00ED20CD"/>
    <w:rsid w:val="00ED30C2"/>
    <w:rsid w:val="00F01ECB"/>
    <w:rsid w:val="00F03F87"/>
    <w:rsid w:val="00F272FC"/>
    <w:rsid w:val="00F317D6"/>
    <w:rsid w:val="00F4612F"/>
    <w:rsid w:val="00F50F8A"/>
    <w:rsid w:val="00F92918"/>
    <w:rsid w:val="00F95D8C"/>
    <w:rsid w:val="00FA38D2"/>
    <w:rsid w:val="00FC1828"/>
    <w:rsid w:val="00FD30C8"/>
    <w:rsid w:val="00FE263E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6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90E18"/>
    <w:rPr>
      <w:rFonts w:ascii="Tahoma" w:hAnsi="Tahoma" w:cs="Tahoma"/>
      <w:sz w:val="16"/>
      <w:szCs w:val="16"/>
    </w:rPr>
  </w:style>
  <w:style w:type="paragraph" w:customStyle="1" w:styleId="Level1">
    <w:name w:val="Level 1"/>
    <w:rsid w:val="0076171D"/>
    <w:pPr>
      <w:autoSpaceDE w:val="0"/>
      <w:autoSpaceDN w:val="0"/>
      <w:adjustRightInd w:val="0"/>
      <w:ind w:left="720"/>
    </w:pPr>
    <w:rPr>
      <w:rFonts w:ascii="Letter Gothic" w:hAnsi="Letter Gothic"/>
      <w:sz w:val="24"/>
      <w:szCs w:val="24"/>
    </w:rPr>
  </w:style>
  <w:style w:type="character" w:styleId="Hyperlink">
    <w:name w:val="Hyperlink"/>
    <w:rsid w:val="009027AA"/>
    <w:rPr>
      <w:color w:val="0000FF"/>
      <w:u w:val="single"/>
    </w:rPr>
  </w:style>
  <w:style w:type="paragraph" w:styleId="Header">
    <w:name w:val="header"/>
    <w:basedOn w:val="Normal"/>
    <w:rsid w:val="006403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03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03C5"/>
  </w:style>
  <w:style w:type="paragraph" w:styleId="DocumentMap">
    <w:name w:val="Document Map"/>
    <w:basedOn w:val="Normal"/>
    <w:semiHidden/>
    <w:rsid w:val="00F272F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D47C3E"/>
    <w:rPr>
      <w:sz w:val="16"/>
      <w:szCs w:val="16"/>
    </w:rPr>
  </w:style>
  <w:style w:type="paragraph" w:styleId="CommentText">
    <w:name w:val="annotation text"/>
    <w:basedOn w:val="Normal"/>
    <w:semiHidden/>
    <w:rsid w:val="00D47C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47C3E"/>
    <w:rPr>
      <w:b/>
      <w:bCs/>
    </w:rPr>
  </w:style>
  <w:style w:type="paragraph" w:styleId="ListParagraph">
    <w:name w:val="List Paragraph"/>
    <w:basedOn w:val="Normal"/>
    <w:uiPriority w:val="34"/>
    <w:qFormat/>
    <w:rsid w:val="00B72F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rsid w:val="00B72F0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1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84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7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61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4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69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7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2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278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44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9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2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99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942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2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76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85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803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50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58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39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0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2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3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2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64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ashleigh.Brenda@epa.gov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pa.gov/ceam/aquato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BFF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EAB15-405A-40E0-BFF1-3DC30561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EPA</Company>
  <LinksUpToDate>false</LinksUpToDate>
  <CharactersWithSpaces>4302</CharactersWithSpaces>
  <SharedDoc>false</SharedDoc>
  <HLinks>
    <vt:vector size="6" baseType="variant">
      <vt:variant>
        <vt:i4>6553710</vt:i4>
      </vt:variant>
      <vt:variant>
        <vt:i4>20</vt:i4>
      </vt:variant>
      <vt:variant>
        <vt:i4>0</vt:i4>
      </vt:variant>
      <vt:variant>
        <vt:i4>5</vt:i4>
      </vt:variant>
      <vt:variant>
        <vt:lpwstr>http://www.epa.gov/waterscience/models/aquatox/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MWellman</dc:creator>
  <cp:lastModifiedBy>Jonathan Clough</cp:lastModifiedBy>
  <cp:revision>3</cp:revision>
  <cp:lastPrinted>2012-07-18T15:11:00Z</cp:lastPrinted>
  <dcterms:created xsi:type="dcterms:W3CDTF">2018-09-18T20:36:00Z</dcterms:created>
  <dcterms:modified xsi:type="dcterms:W3CDTF">2018-09-18T21:17:00Z</dcterms:modified>
</cp:coreProperties>
</file>