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0D459" w14:textId="4F30AF87" w:rsidR="00D96E67" w:rsidRPr="00A6224C" w:rsidRDefault="00304787" w:rsidP="00871E2A">
      <w:pPr>
        <w:spacing w:beforeLines="100" w:before="240" w:afterLines="100" w:after="240" w:line="240" w:lineRule="auto"/>
        <w:jc w:val="center"/>
        <w:rPr>
          <w:rFonts w:cstheme="minorHAnsi"/>
          <w:b/>
          <w:bCs/>
          <w:u w:val="single"/>
        </w:rPr>
      </w:pPr>
      <w:r w:rsidRPr="00A6224C">
        <w:rPr>
          <w:rFonts w:cstheme="minorHAnsi"/>
          <w:b/>
          <w:bCs/>
          <w:u w:val="single"/>
        </w:rPr>
        <w:t>Technical Appendix</w:t>
      </w:r>
      <w:r w:rsidR="0093472E" w:rsidRPr="00A6224C">
        <w:rPr>
          <w:rFonts w:cstheme="minorHAnsi"/>
          <w:b/>
          <w:bCs/>
          <w:u w:val="single"/>
        </w:rPr>
        <w:t xml:space="preserve"> – Demonstration of GHG Reduction Assumptions</w:t>
      </w:r>
    </w:p>
    <w:p w14:paraId="5A4FDF98" w14:textId="2D07DBAE" w:rsidR="00540E49" w:rsidRDefault="00540E49" w:rsidP="00482058">
      <w:pPr>
        <w:spacing w:after="0" w:line="240" w:lineRule="auto"/>
        <w:ind w:firstLine="360"/>
        <w:jc w:val="both"/>
        <w:rPr>
          <w:rFonts w:cstheme="minorHAnsi"/>
        </w:rPr>
      </w:pPr>
      <w:r w:rsidRPr="00A6224C">
        <w:rPr>
          <w:rFonts w:cstheme="minorHAnsi"/>
        </w:rPr>
        <w:t xml:space="preserve">The technical appendix </w:t>
      </w:r>
      <w:r w:rsidR="005B0C03" w:rsidRPr="00A6224C">
        <w:rPr>
          <w:rFonts w:cstheme="minorHAnsi"/>
        </w:rPr>
        <w:t>explains the methodology and assumptions</w:t>
      </w:r>
      <w:r w:rsidR="00133781" w:rsidRPr="00A6224C">
        <w:rPr>
          <w:rFonts w:cstheme="minorHAnsi"/>
        </w:rPr>
        <w:t xml:space="preserve"> used to calculate the GHG </w:t>
      </w:r>
      <w:r w:rsidR="00391835" w:rsidRPr="00A6224C">
        <w:rPr>
          <w:rFonts w:cstheme="minorHAnsi"/>
        </w:rPr>
        <w:t xml:space="preserve">emission reductions associated with the measure of reducing production temperatures for asphalt mixtures. </w:t>
      </w:r>
      <w:r w:rsidR="00896BE3" w:rsidRPr="00A6224C">
        <w:rPr>
          <w:rFonts w:cstheme="minorHAnsi"/>
        </w:rPr>
        <w:t xml:space="preserve">This includes </w:t>
      </w:r>
      <w:r w:rsidR="00B372FC" w:rsidRPr="00A6224C">
        <w:rPr>
          <w:rFonts w:cstheme="minorHAnsi"/>
        </w:rPr>
        <w:t>a detailed explanation of the following calculations.</w:t>
      </w:r>
    </w:p>
    <w:p w14:paraId="56601E2D" w14:textId="77777777" w:rsidR="00341DEA" w:rsidRPr="00A6224C" w:rsidRDefault="00341DEA" w:rsidP="00482058">
      <w:pPr>
        <w:spacing w:after="0" w:line="240" w:lineRule="auto"/>
        <w:ind w:firstLine="360"/>
        <w:jc w:val="both"/>
        <w:rPr>
          <w:rFonts w:cstheme="minorHAnsi"/>
        </w:rPr>
      </w:pPr>
    </w:p>
    <w:p w14:paraId="0AA8A510" w14:textId="17195C09" w:rsidR="00B372FC" w:rsidRPr="00A6224C" w:rsidRDefault="00B372FC" w:rsidP="0048205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6224C">
        <w:rPr>
          <w:rFonts w:cstheme="minorHAnsi"/>
        </w:rPr>
        <w:t>Baseline Hot Mix Asphalt Calculations</w:t>
      </w:r>
    </w:p>
    <w:p w14:paraId="16690C52" w14:textId="5FD63182" w:rsidR="00B372FC" w:rsidRPr="00A6224C" w:rsidRDefault="00B372FC" w:rsidP="0048205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6224C">
        <w:rPr>
          <w:rFonts w:cstheme="minorHAnsi"/>
        </w:rPr>
        <w:t>CCPR Calculations</w:t>
      </w:r>
    </w:p>
    <w:p w14:paraId="34EABF26" w14:textId="58163C1D" w:rsidR="00B372FC" w:rsidRDefault="00B372FC" w:rsidP="00482058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cstheme="minorHAnsi"/>
        </w:rPr>
      </w:pPr>
      <w:r w:rsidRPr="00A6224C">
        <w:rPr>
          <w:rFonts w:cstheme="minorHAnsi"/>
        </w:rPr>
        <w:t>WMT Calculations</w:t>
      </w:r>
    </w:p>
    <w:p w14:paraId="025A34E2" w14:textId="77777777" w:rsidR="00341DEA" w:rsidRPr="00A6224C" w:rsidRDefault="00341DEA" w:rsidP="00341DEA">
      <w:pPr>
        <w:pStyle w:val="ListParagraph"/>
        <w:spacing w:after="0" w:line="240" w:lineRule="auto"/>
        <w:contextualSpacing w:val="0"/>
        <w:jc w:val="both"/>
        <w:rPr>
          <w:rFonts w:cstheme="minorHAnsi"/>
        </w:rPr>
      </w:pPr>
    </w:p>
    <w:p w14:paraId="553F9DC7" w14:textId="3D55EE70" w:rsidR="00B372FC" w:rsidRDefault="000206FA" w:rsidP="00482058">
      <w:pPr>
        <w:spacing w:after="0" w:line="240" w:lineRule="auto"/>
        <w:ind w:firstLine="360"/>
        <w:jc w:val="both"/>
        <w:rPr>
          <w:rFonts w:cstheme="minorHAnsi"/>
        </w:rPr>
      </w:pPr>
      <w:r w:rsidRPr="00A6224C">
        <w:rPr>
          <w:rFonts w:cstheme="minorHAnsi"/>
        </w:rPr>
        <w:t xml:space="preserve">The latest available information </w:t>
      </w:r>
      <w:r w:rsidR="00AF6C00" w:rsidRPr="00A6224C">
        <w:rPr>
          <w:rFonts w:cstheme="minorHAnsi"/>
        </w:rPr>
        <w:t xml:space="preserve">from the IPCC Fifth Assessment Report and </w:t>
      </w:r>
      <w:r w:rsidR="00394A00" w:rsidRPr="00A6224C">
        <w:rPr>
          <w:rFonts w:cstheme="minorHAnsi"/>
        </w:rPr>
        <w:t>the EPA Emission Factors for Greenhouse Gas Inventories were</w:t>
      </w:r>
      <w:r w:rsidRPr="00A6224C">
        <w:rPr>
          <w:rFonts w:cstheme="minorHAnsi"/>
        </w:rPr>
        <w:t xml:space="preserve"> used to support the calculations and estimates below.</w:t>
      </w:r>
    </w:p>
    <w:p w14:paraId="7E761604" w14:textId="77777777" w:rsidR="00341DEA" w:rsidRPr="00A6224C" w:rsidRDefault="00341DEA" w:rsidP="00482058">
      <w:pPr>
        <w:spacing w:after="0" w:line="240" w:lineRule="auto"/>
        <w:ind w:firstLine="360"/>
        <w:jc w:val="both"/>
        <w:rPr>
          <w:rFonts w:cstheme="minorHAnsi"/>
        </w:rPr>
      </w:pPr>
    </w:p>
    <w:p w14:paraId="7853CB74" w14:textId="77777777" w:rsidR="00341DEA" w:rsidRDefault="00ED3EE5" w:rsidP="00482058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Baseline H</w:t>
      </w:r>
      <w:r w:rsidR="00732DFA" w:rsidRPr="00A6224C">
        <w:rPr>
          <w:rFonts w:cstheme="minorHAnsi"/>
          <w:b/>
          <w:bCs/>
        </w:rPr>
        <w:t>ot Mix Asphalt</w:t>
      </w:r>
      <w:r w:rsidR="00433435" w:rsidRPr="00A6224C">
        <w:rPr>
          <w:rFonts w:cstheme="minorHAnsi"/>
          <w:b/>
          <w:bCs/>
        </w:rPr>
        <w:t xml:space="preserve"> Calculations</w:t>
      </w:r>
    </w:p>
    <w:p w14:paraId="3F74FA3B" w14:textId="71658F74" w:rsidR="00DC2B8B" w:rsidRPr="00482058" w:rsidRDefault="005A15BD" w:rsidP="00341DEA">
      <w:pPr>
        <w:spacing w:after="0" w:line="240" w:lineRule="auto"/>
        <w:ind w:firstLine="360"/>
        <w:jc w:val="both"/>
        <w:rPr>
          <w:rFonts w:cstheme="minorHAnsi"/>
          <w:b/>
          <w:bCs/>
        </w:rPr>
      </w:pPr>
      <w:r w:rsidRPr="00A6224C">
        <w:rPr>
          <w:rFonts w:eastAsiaTheme="minorEastAsia" w:cstheme="minorHAnsi"/>
        </w:rPr>
        <w:t xml:space="preserve">According to </w:t>
      </w:r>
      <w:r w:rsidR="00E50077" w:rsidRPr="00A6224C">
        <w:rPr>
          <w:rFonts w:eastAsiaTheme="minorEastAsia" w:cstheme="minorHAnsi"/>
        </w:rPr>
        <w:t>an</w:t>
      </w:r>
      <w:r w:rsidRPr="00A6224C">
        <w:rPr>
          <w:rFonts w:eastAsiaTheme="minorEastAsia" w:cstheme="minorHAnsi"/>
        </w:rPr>
        <w:t xml:space="preserve"> industry </w:t>
      </w:r>
      <w:r w:rsidR="00FA5974" w:rsidRPr="00A6224C">
        <w:rPr>
          <w:rFonts w:eastAsiaTheme="minorEastAsia" w:cstheme="minorHAnsi"/>
        </w:rPr>
        <w:t>life cycle assessment,</w:t>
      </w:r>
      <w:r w:rsidR="0001666A" w:rsidRPr="00A6224C">
        <w:rPr>
          <w:rFonts w:eastAsiaTheme="minorEastAsia" w:cstheme="minorHAnsi"/>
        </w:rPr>
        <w:t xml:space="preserve"> 300,320 BTUs per </w:t>
      </w:r>
      <w:r w:rsidR="00856449" w:rsidRPr="00A6224C">
        <w:rPr>
          <w:rFonts w:eastAsiaTheme="minorEastAsia" w:cstheme="minorHAnsi"/>
        </w:rPr>
        <w:t>t</w:t>
      </w:r>
      <w:r w:rsidR="0001666A" w:rsidRPr="00A6224C">
        <w:rPr>
          <w:rFonts w:eastAsiaTheme="minorEastAsia" w:cstheme="minorHAnsi"/>
        </w:rPr>
        <w:t>on</w:t>
      </w:r>
      <w:r w:rsidR="00FA5974" w:rsidRPr="00A6224C">
        <w:rPr>
          <w:rFonts w:eastAsiaTheme="minorEastAsia" w:cstheme="minorHAnsi"/>
        </w:rPr>
        <w:t xml:space="preserve"> </w:t>
      </w:r>
      <w:r w:rsidR="00E50077" w:rsidRPr="00A6224C">
        <w:rPr>
          <w:rFonts w:eastAsiaTheme="minorEastAsia" w:cstheme="minorHAnsi"/>
        </w:rPr>
        <w:t xml:space="preserve">of energy </w:t>
      </w:r>
      <w:r w:rsidR="00FA5974" w:rsidRPr="00A6224C">
        <w:rPr>
          <w:rFonts w:eastAsiaTheme="minorEastAsia" w:cstheme="minorHAnsi"/>
        </w:rPr>
        <w:t xml:space="preserve">is </w:t>
      </w:r>
      <w:r w:rsidR="00E50077" w:rsidRPr="00A6224C">
        <w:rPr>
          <w:rFonts w:eastAsiaTheme="minorEastAsia" w:cstheme="minorHAnsi"/>
        </w:rPr>
        <w:t>needed for traditional hot mix asphalt</w:t>
      </w:r>
      <w:r w:rsidR="00732DFA" w:rsidRPr="00A6224C">
        <w:rPr>
          <w:rFonts w:eastAsiaTheme="minorEastAsia" w:cstheme="minorHAnsi"/>
        </w:rPr>
        <w:t xml:space="preserve"> (HMA)</w:t>
      </w:r>
      <w:r w:rsidR="0001666A" w:rsidRPr="00A6224C">
        <w:rPr>
          <w:rFonts w:eastAsiaTheme="minorEastAsia" w:cstheme="minorHAnsi"/>
        </w:rPr>
        <w:t>, with electricity equating to</w:t>
      </w:r>
      <w:r w:rsidR="003179DC" w:rsidRPr="00A6224C">
        <w:rPr>
          <w:rFonts w:eastAsiaTheme="minorEastAsia" w:cstheme="minorHAnsi"/>
        </w:rPr>
        <w:t xml:space="preserve"> </w:t>
      </w:r>
      <w:r w:rsidR="0002504A" w:rsidRPr="00A6224C">
        <w:rPr>
          <w:rFonts w:eastAsiaTheme="minorEastAsia" w:cstheme="minorHAnsi"/>
        </w:rPr>
        <w:t xml:space="preserve">11,320 BTUs per ton and </w:t>
      </w:r>
      <w:r w:rsidR="00E508AF" w:rsidRPr="00A6224C">
        <w:rPr>
          <w:rFonts w:eastAsiaTheme="minorEastAsia" w:cstheme="minorHAnsi"/>
        </w:rPr>
        <w:t xml:space="preserve">the burner </w:t>
      </w:r>
      <w:r w:rsidR="0002504A" w:rsidRPr="00A6224C">
        <w:rPr>
          <w:rFonts w:eastAsiaTheme="minorEastAsia" w:cstheme="minorHAnsi"/>
        </w:rPr>
        <w:t>energy equating to 289,000 BTUs per ton</w:t>
      </w:r>
      <w:r w:rsidR="003179DC" w:rsidRPr="00A6224C">
        <w:rPr>
          <w:rFonts w:eastAsiaTheme="minorEastAsia" w:cstheme="minorHAnsi"/>
        </w:rPr>
        <w:t>.</w:t>
      </w:r>
      <w:r w:rsidR="00294308">
        <w:rPr>
          <w:rStyle w:val="FootnoteReference"/>
          <w:rFonts w:eastAsiaTheme="minorEastAsia" w:cstheme="minorHAnsi"/>
        </w:rPr>
        <w:footnoteReference w:id="2"/>
      </w:r>
      <w:r w:rsidR="00134F95" w:rsidRPr="00A6224C">
        <w:rPr>
          <w:rFonts w:eastAsiaTheme="minorEastAsia" w:cstheme="minorHAnsi"/>
        </w:rPr>
        <w:t xml:space="preserve"> </w:t>
      </w:r>
      <w:r w:rsidR="00A83FFE" w:rsidRPr="00A6224C">
        <w:rPr>
          <w:rFonts w:eastAsiaTheme="minorEastAsia" w:cstheme="minorHAnsi"/>
        </w:rPr>
        <w:t>Using the 2021 National Asphalt Pavement Association survey,</w:t>
      </w:r>
      <w:r w:rsidR="00A764C7" w:rsidRPr="00A6224C">
        <w:rPr>
          <w:rFonts w:eastAsiaTheme="minorEastAsia" w:cstheme="minorHAnsi"/>
        </w:rPr>
        <w:t xml:space="preserve"> approximately 4.4 million tons of HMA </w:t>
      </w:r>
      <w:r w:rsidR="0083093F" w:rsidRPr="00A6224C">
        <w:rPr>
          <w:rFonts w:eastAsiaTheme="minorEastAsia" w:cstheme="minorHAnsi"/>
        </w:rPr>
        <w:t>were</w:t>
      </w:r>
      <w:r w:rsidR="00A764C7" w:rsidRPr="00A6224C">
        <w:rPr>
          <w:rFonts w:eastAsiaTheme="minorEastAsia" w:cstheme="minorHAnsi"/>
        </w:rPr>
        <w:t xml:space="preserve"> produced in Alabama for Alabama Department of Transportation projects.</w:t>
      </w:r>
      <w:bookmarkStart w:id="0" w:name="_Ref162531407"/>
      <w:r w:rsidR="002D62B5">
        <w:rPr>
          <w:rStyle w:val="FootnoteReference"/>
          <w:rFonts w:eastAsiaTheme="minorEastAsia" w:cstheme="minorHAnsi"/>
        </w:rPr>
        <w:footnoteReference w:id="3"/>
      </w:r>
      <w:bookmarkEnd w:id="0"/>
      <w:r w:rsidR="00A764C7" w:rsidRPr="00A6224C">
        <w:rPr>
          <w:rFonts w:eastAsiaTheme="minorEastAsia" w:cstheme="minorHAnsi"/>
        </w:rPr>
        <w:t xml:space="preserve"> </w:t>
      </w:r>
      <w:r w:rsidR="0083093F" w:rsidRPr="00A6224C">
        <w:rPr>
          <w:rFonts w:eastAsiaTheme="minorEastAsia" w:cstheme="minorHAnsi"/>
        </w:rPr>
        <w:t>If</w:t>
      </w:r>
      <w:r w:rsidR="00C22018" w:rsidRPr="00A6224C">
        <w:rPr>
          <w:rFonts w:eastAsiaTheme="minorEastAsia" w:cstheme="minorHAnsi"/>
        </w:rPr>
        <w:t xml:space="preserve"> asphalt mix tonnage remains consistent over the years, the </w:t>
      </w:r>
      <w:r w:rsidR="001A26F4" w:rsidRPr="00A6224C">
        <w:rPr>
          <w:rFonts w:eastAsiaTheme="minorEastAsia" w:cstheme="minorHAnsi"/>
        </w:rPr>
        <w:t xml:space="preserve">total energy </w:t>
      </w:r>
      <w:r w:rsidR="00C22018" w:rsidRPr="00A6224C">
        <w:rPr>
          <w:rFonts w:eastAsiaTheme="minorEastAsia" w:cstheme="minorHAnsi"/>
        </w:rPr>
        <w:t xml:space="preserve">required is calculated as follows: </w:t>
      </w:r>
    </w:p>
    <w:p w14:paraId="1CB70239" w14:textId="0E6EA695" w:rsidR="00665C7A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Energy BTUs per Ton=289,000</m:t>
          </m:r>
        </m:oMath>
      </m:oMathPara>
    </w:p>
    <w:p w14:paraId="6D860501" w14:textId="1695B40D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BTUs=4,400,000*298,000=1,271,600,000,000 BTUs=1,271,600 mmBTUs</m:t>
          </m:r>
        </m:oMath>
      </m:oMathPara>
    </w:p>
    <w:p w14:paraId="3B9C591B" w14:textId="3CC2E8D6" w:rsidR="00DD48B5" w:rsidRPr="00A6224C" w:rsidRDefault="005126B2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Asphalt </w:t>
      </w:r>
      <w:r w:rsidR="00150542" w:rsidRPr="00A6224C">
        <w:rPr>
          <w:rFonts w:eastAsiaTheme="minorEastAsia" w:cstheme="minorHAnsi"/>
        </w:rPr>
        <w:t xml:space="preserve">plants typically use natural gas or recycled fuel oil (RFO). </w:t>
      </w:r>
      <w:r w:rsidR="00DD48B5" w:rsidRPr="00A6224C">
        <w:rPr>
          <w:rFonts w:eastAsiaTheme="minorEastAsia" w:cstheme="minorHAnsi"/>
        </w:rPr>
        <w:t xml:space="preserve">Based on </w:t>
      </w:r>
      <w:r w:rsidR="00150542" w:rsidRPr="00A6224C">
        <w:rPr>
          <w:rFonts w:eastAsiaTheme="minorEastAsia" w:cstheme="minorHAnsi"/>
        </w:rPr>
        <w:t xml:space="preserve">a sample of plants in Alabama, </w:t>
      </w:r>
      <w:r w:rsidR="00DD48B5" w:rsidRPr="00A6224C">
        <w:rPr>
          <w:rFonts w:eastAsiaTheme="minorEastAsia" w:cstheme="minorHAnsi"/>
        </w:rPr>
        <w:t>88% of fuel consumption</w:t>
      </w:r>
      <w:r w:rsidR="00F07AA6" w:rsidRPr="00A6224C">
        <w:rPr>
          <w:rFonts w:eastAsiaTheme="minorEastAsia" w:cstheme="minorHAnsi"/>
        </w:rPr>
        <w:t xml:space="preserve"> for the burner</w:t>
      </w:r>
      <w:r w:rsidR="00DD48B5" w:rsidRPr="00A6224C">
        <w:rPr>
          <w:rFonts w:eastAsiaTheme="minorEastAsia" w:cstheme="minorHAnsi"/>
        </w:rPr>
        <w:t xml:space="preserve"> is natural gas and the remaining 12% of recycled fuel oil (RFO). Emission factors were gathered from the EPA GHG Emission Factors Hub</w:t>
      </w:r>
      <w:r w:rsidR="00B53D5C">
        <w:rPr>
          <w:rFonts w:eastAsiaTheme="minorEastAsia" w:cstheme="minorHAnsi"/>
        </w:rPr>
        <w:t>.</w:t>
      </w:r>
      <w:bookmarkStart w:id="1" w:name="_Ref162531240"/>
      <w:r w:rsidR="00B53D5C">
        <w:rPr>
          <w:rStyle w:val="FootnoteReference"/>
          <w:rFonts w:eastAsiaTheme="minorEastAsia" w:cstheme="minorHAnsi"/>
        </w:rPr>
        <w:footnoteReference w:id="4"/>
      </w:r>
      <w:bookmarkEnd w:id="1"/>
    </w:p>
    <w:p w14:paraId="6DFEFDBD" w14:textId="6EAF5D5E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CO2=53.06*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=67,471,096 kgCO2</m:t>
          </m:r>
        </m:oMath>
      </m:oMathPara>
    </w:p>
    <w:p w14:paraId="6A5929F4" w14:textId="76E73A1A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CH4=1.0*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=1,271,600 kgCH4</m:t>
          </m:r>
        </m:oMath>
      </m:oMathPara>
    </w:p>
    <w:p w14:paraId="79AB74F1" w14:textId="38715591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N2O=0.10*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=127,160 kgN2O</m:t>
          </m:r>
        </m:oMath>
      </m:oMathPara>
    </w:p>
    <w:p w14:paraId="41B232B1" w14:textId="53AB392E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kgCO2eq =88%*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67,471,096+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0.028*1,271,600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0.265*127,160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=59,435,550 kgCO2eq</m:t>
          </m:r>
        </m:oMath>
      </m:oMathPara>
    </w:p>
    <w:p w14:paraId="6C4F94ED" w14:textId="6FB4F3F9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CO2=73.96*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=94,047,536 kgCO2</m:t>
          </m:r>
        </m:oMath>
      </m:oMathPara>
    </w:p>
    <w:p w14:paraId="44114621" w14:textId="58CE74A6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w:lastRenderedPageBreak/>
            <m:t>RFO  CH4=3.0*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=3,814,800 kgCH4</m:t>
          </m:r>
        </m:oMath>
      </m:oMathPara>
    </w:p>
    <w:p w14:paraId="65BC278B" w14:textId="28386050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N2O=0.60*</m:t>
          </m:r>
          <m:r>
            <m:rPr>
              <m:sty m:val="p"/>
            </m:rPr>
            <w:rPr>
              <w:rFonts w:ascii="Cambria Math" w:hAnsi="Cambria Math" w:cstheme="minorHAnsi"/>
            </w:rPr>
            <m:t>1,271,600</m:t>
          </m:r>
          <m:r>
            <m:rPr>
              <m:sty m:val="p"/>
            </m:rPr>
            <w:rPr>
              <w:rFonts w:ascii="Cambria Math" w:eastAsiaTheme="minorEastAsia" w:hAnsi="Cambria Math" w:cstheme="minorHAnsi"/>
            </w:rPr>
            <m:t>=762,960 kgN2O</m:t>
          </m:r>
        </m:oMath>
      </m:oMathPara>
    </w:p>
    <w:p w14:paraId="7E45EB3D" w14:textId="3718DDA0" w:rsidR="00DD48B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kgCO2eq=12%*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94,047,536+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0.028*3,814,800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 xml:space="preserve">0.265*762,960 </m:t>
                  </m:r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=11,322,784 kgCO2eq</m:t>
          </m:r>
        </m:oMath>
      </m:oMathPara>
    </w:p>
    <w:p w14:paraId="1363C869" w14:textId="12C7D41C" w:rsidR="008E4054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Electricity BTUs per Ton=11,320</m:t>
          </m:r>
        </m:oMath>
      </m:oMathPara>
    </w:p>
    <w:p w14:paraId="57026D4E" w14:textId="07B4692C" w:rsidR="004715E0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BTUs=4,400,000*11,320=49,808,000,000 BTUs=49,808 mmBTUs</m:t>
          </m:r>
        </m:oMath>
      </m:oMathPara>
    </w:p>
    <w:p w14:paraId="02EF6CE4" w14:textId="025A3C31" w:rsidR="005E3460" w:rsidRPr="00A6224C" w:rsidRDefault="0002398C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According to the EPA </w:t>
      </w:r>
      <w:proofErr w:type="spellStart"/>
      <w:r w:rsidRPr="00A6224C">
        <w:rPr>
          <w:rFonts w:eastAsiaTheme="minorEastAsia" w:cstheme="minorHAnsi"/>
        </w:rPr>
        <w:t>e</w:t>
      </w:r>
      <w:r w:rsidR="00435ACA" w:rsidRPr="00A6224C">
        <w:rPr>
          <w:rFonts w:eastAsiaTheme="minorEastAsia" w:cstheme="minorHAnsi"/>
        </w:rPr>
        <w:t>GRID</w:t>
      </w:r>
      <w:proofErr w:type="spellEnd"/>
      <w:r w:rsidRPr="00A6224C">
        <w:rPr>
          <w:rFonts w:eastAsiaTheme="minorEastAsia" w:cstheme="minorHAnsi"/>
        </w:rPr>
        <w:t xml:space="preserve">, </w:t>
      </w:r>
      <w:r w:rsidR="007A5519" w:rsidRPr="00A6224C">
        <w:rPr>
          <w:rFonts w:eastAsiaTheme="minorEastAsia" w:cstheme="minorHAnsi"/>
        </w:rPr>
        <w:t>we know the state of Alabama falls within the SRSO subregion</w:t>
      </w:r>
      <w:r w:rsidR="000122EB">
        <w:rPr>
          <w:rFonts w:eastAsiaTheme="minorEastAsia" w:cstheme="minorHAnsi"/>
        </w:rPr>
        <w:t>.</w:t>
      </w:r>
      <w:bookmarkStart w:id="2" w:name="_Ref162531274"/>
      <w:r w:rsidR="000122EB">
        <w:rPr>
          <w:rStyle w:val="FootnoteReference"/>
          <w:rFonts w:eastAsiaTheme="minorEastAsia" w:cstheme="minorHAnsi"/>
        </w:rPr>
        <w:footnoteReference w:id="5"/>
      </w:r>
      <w:bookmarkEnd w:id="2"/>
      <w:r w:rsidR="000122EB">
        <w:rPr>
          <w:rFonts w:eastAsiaTheme="minorEastAsia" w:cstheme="minorHAnsi"/>
        </w:rPr>
        <w:t xml:space="preserve"> </w:t>
      </w:r>
      <w:r w:rsidR="005E3460" w:rsidRPr="00A6224C">
        <w:rPr>
          <w:rFonts w:eastAsiaTheme="minorEastAsia" w:cstheme="minorHAnsi"/>
        </w:rPr>
        <w:t>SRSO emission factors were gathered from the EPA GHG Emission Factors Hub</w:t>
      </w:r>
      <w:r w:rsidR="000122EB">
        <w:rPr>
          <w:rFonts w:eastAsiaTheme="minorEastAsia" w:cstheme="minorHAnsi"/>
        </w:rPr>
        <w:t>.</w:t>
      </w:r>
      <w:r w:rsidR="000122EB" w:rsidRPr="000122EB">
        <w:rPr>
          <w:rFonts w:eastAsiaTheme="minorEastAsia" w:cstheme="minorHAnsi"/>
          <w:vertAlign w:val="superscript"/>
        </w:rPr>
        <w:fldChar w:fldCharType="begin"/>
      </w:r>
      <w:r w:rsidR="000122EB" w:rsidRPr="000122EB">
        <w:rPr>
          <w:rFonts w:eastAsiaTheme="minorEastAsia" w:cstheme="minorHAnsi"/>
          <w:vertAlign w:val="superscript"/>
        </w:rPr>
        <w:instrText xml:space="preserve"> NOTEREF _Ref162531240 \h </w:instrText>
      </w:r>
      <w:r w:rsidR="000122EB">
        <w:rPr>
          <w:rFonts w:eastAsiaTheme="minorEastAsia" w:cstheme="minorHAnsi"/>
          <w:vertAlign w:val="superscript"/>
        </w:rPr>
        <w:instrText xml:space="preserve"> \* MERGEFORMAT </w:instrText>
      </w:r>
      <w:r w:rsidR="000122EB" w:rsidRPr="000122EB">
        <w:rPr>
          <w:rFonts w:eastAsiaTheme="minorEastAsia" w:cstheme="minorHAnsi"/>
          <w:vertAlign w:val="superscript"/>
        </w:rPr>
      </w:r>
      <w:r w:rsidR="000122EB" w:rsidRPr="000122EB">
        <w:rPr>
          <w:rFonts w:eastAsiaTheme="minorEastAsia" w:cstheme="minorHAnsi"/>
          <w:vertAlign w:val="superscript"/>
        </w:rPr>
        <w:fldChar w:fldCharType="separate"/>
      </w:r>
      <w:r w:rsidR="000122EB" w:rsidRPr="000122EB">
        <w:rPr>
          <w:rFonts w:eastAsiaTheme="minorEastAsia" w:cstheme="minorHAnsi"/>
          <w:vertAlign w:val="superscript"/>
        </w:rPr>
        <w:t>3</w:t>
      </w:r>
      <w:r w:rsidR="000122EB" w:rsidRPr="000122EB">
        <w:rPr>
          <w:rFonts w:eastAsiaTheme="minorEastAsia" w:cstheme="minorHAnsi"/>
          <w:vertAlign w:val="superscript"/>
        </w:rPr>
        <w:fldChar w:fldCharType="end"/>
      </w:r>
    </w:p>
    <w:p w14:paraId="15869618" w14:textId="7C642D99" w:rsidR="00554486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CO2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49,808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*893.3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=5,915,039 kgCO2</m:t>
          </m:r>
        </m:oMath>
      </m:oMathPara>
    </w:p>
    <w:p w14:paraId="6738D8BA" w14:textId="4B3E4B03" w:rsidR="00554486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 CH4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49,808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*0.064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=424 kgCH4</m:t>
          </m:r>
        </m:oMath>
      </m:oMathPara>
    </w:p>
    <w:p w14:paraId="0ADF58C0" w14:textId="442E238B" w:rsidR="00554486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 N2O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49,808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*0.009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=60 kgN2O</m:t>
          </m:r>
        </m:oMath>
      </m:oMathPara>
    </w:p>
    <w:p w14:paraId="355C76EC" w14:textId="7F5880A1" w:rsidR="00554486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kgCO2eq =5,915,039 +</m:t>
          </m:r>
          <m:d>
            <m:dPr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0.028*424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+</m:t>
          </m:r>
          <m:d>
            <m:dPr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0.265*60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=5,915,067 kgCO2eq</m:t>
          </m:r>
        </m:oMath>
      </m:oMathPara>
    </w:p>
    <w:p w14:paraId="1D5CED17" w14:textId="00AED9C4" w:rsidR="00ED3EE5" w:rsidRPr="00A6224C" w:rsidRDefault="00F07AA6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Therefore, the total </w:t>
      </w:r>
      <w:r w:rsidR="00451401" w:rsidRPr="00A6224C">
        <w:rPr>
          <w:rFonts w:eastAsiaTheme="minorEastAsia" w:cstheme="minorHAnsi"/>
        </w:rPr>
        <w:t>estimated</w:t>
      </w:r>
      <w:r w:rsidRPr="00A6224C">
        <w:rPr>
          <w:rFonts w:eastAsiaTheme="minorEastAsia" w:cstheme="minorHAnsi"/>
        </w:rPr>
        <w:t xml:space="preserve"> GHG emissions </w:t>
      </w:r>
      <w:r w:rsidR="00451401" w:rsidRPr="00A6224C">
        <w:rPr>
          <w:rFonts w:eastAsiaTheme="minorEastAsia" w:cstheme="minorHAnsi"/>
        </w:rPr>
        <w:t>for</w:t>
      </w:r>
      <w:r w:rsidRPr="00A6224C">
        <w:rPr>
          <w:rFonts w:eastAsiaTheme="minorEastAsia" w:cstheme="minorHAnsi"/>
        </w:rPr>
        <w:t xml:space="preserve"> </w:t>
      </w:r>
      <w:r w:rsidR="00BE5F77" w:rsidRPr="00A6224C">
        <w:rPr>
          <w:rFonts w:eastAsiaTheme="minorEastAsia" w:cstheme="minorHAnsi"/>
        </w:rPr>
        <w:t>baseline ALDOT</w:t>
      </w:r>
      <w:r w:rsidR="00451401" w:rsidRPr="00A6224C">
        <w:rPr>
          <w:rFonts w:eastAsiaTheme="minorEastAsia" w:cstheme="minorHAnsi"/>
        </w:rPr>
        <w:t xml:space="preserve"> </w:t>
      </w:r>
      <w:r w:rsidR="00BE5F77" w:rsidRPr="00A6224C">
        <w:rPr>
          <w:rFonts w:eastAsiaTheme="minorEastAsia" w:cstheme="minorHAnsi"/>
        </w:rPr>
        <w:t>asphalt</w:t>
      </w:r>
      <w:r w:rsidR="00451401" w:rsidRPr="00A6224C">
        <w:rPr>
          <w:rFonts w:eastAsiaTheme="minorEastAsia" w:cstheme="minorHAnsi"/>
        </w:rPr>
        <w:t xml:space="preserve"> tonnage</w:t>
      </w:r>
      <w:r w:rsidRPr="00A6224C">
        <w:rPr>
          <w:rFonts w:eastAsiaTheme="minorEastAsia" w:cstheme="minorHAnsi"/>
        </w:rPr>
        <w:t xml:space="preserve"> is </w:t>
      </w:r>
      <w:r w:rsidR="00BE2A7F" w:rsidRPr="00A6224C">
        <w:rPr>
          <w:rFonts w:eastAsiaTheme="minorEastAsia" w:cstheme="minorHAnsi"/>
        </w:rPr>
        <w:t>7</w:t>
      </w:r>
      <w:r w:rsidR="000F2527" w:rsidRPr="00A6224C">
        <w:rPr>
          <w:rFonts w:eastAsiaTheme="minorEastAsia" w:cstheme="minorHAnsi"/>
        </w:rPr>
        <w:t>6,</w:t>
      </w:r>
      <w:r w:rsidR="00955BAA" w:rsidRPr="00A6224C">
        <w:rPr>
          <w:rFonts w:eastAsiaTheme="minorEastAsia" w:cstheme="minorHAnsi"/>
        </w:rPr>
        <w:t>67</w:t>
      </w:r>
      <w:r w:rsidR="00EE2FA6" w:rsidRPr="00A6224C">
        <w:rPr>
          <w:rFonts w:eastAsiaTheme="minorEastAsia" w:cstheme="minorHAnsi"/>
        </w:rPr>
        <w:t>3</w:t>
      </w:r>
      <w:r w:rsidR="00955BAA" w:rsidRPr="00A6224C">
        <w:rPr>
          <w:rFonts w:eastAsiaTheme="minorEastAsia" w:cstheme="minorHAnsi"/>
        </w:rPr>
        <w:t>,</w:t>
      </w:r>
      <w:r w:rsidR="00EE2FA6" w:rsidRPr="00A6224C">
        <w:rPr>
          <w:rFonts w:eastAsiaTheme="minorEastAsia" w:cstheme="minorHAnsi"/>
        </w:rPr>
        <w:t>401</w:t>
      </w:r>
      <w:r w:rsidR="000F2527" w:rsidRPr="00A6224C">
        <w:rPr>
          <w:rFonts w:eastAsiaTheme="minorEastAsia" w:cstheme="minorHAnsi"/>
        </w:rPr>
        <w:t xml:space="preserve"> </w:t>
      </w:r>
      <w:r w:rsidRPr="00A6224C">
        <w:rPr>
          <w:rFonts w:eastAsiaTheme="minorEastAsia" w:cstheme="minorHAnsi"/>
        </w:rPr>
        <w:t>kgCO</w:t>
      </w:r>
      <w:r w:rsidRPr="00A6224C">
        <w:rPr>
          <w:rFonts w:eastAsiaTheme="minorEastAsia" w:cstheme="minorHAnsi"/>
          <w:vertAlign w:val="subscript"/>
        </w:rPr>
        <w:t>2</w:t>
      </w:r>
      <w:r w:rsidRPr="00A6224C">
        <w:rPr>
          <w:rFonts w:eastAsiaTheme="minorEastAsia" w:cstheme="minorHAnsi"/>
        </w:rPr>
        <w:t>eq</w:t>
      </w:r>
      <w:r w:rsidR="009B619E" w:rsidRPr="00A6224C">
        <w:rPr>
          <w:rFonts w:eastAsiaTheme="minorEastAsia" w:cstheme="minorHAnsi"/>
        </w:rPr>
        <w:t xml:space="preserve">, or </w:t>
      </w:r>
      <w:r w:rsidR="009B619E" w:rsidRPr="00A6224C">
        <w:rPr>
          <w:rFonts w:eastAsiaTheme="minorEastAsia" w:cstheme="minorHAnsi"/>
          <w:b/>
          <w:bCs/>
        </w:rPr>
        <w:t>76,</w:t>
      </w:r>
      <w:r w:rsidR="00EE2FA6" w:rsidRPr="00A6224C">
        <w:rPr>
          <w:rFonts w:eastAsiaTheme="minorEastAsia" w:cstheme="minorHAnsi"/>
          <w:b/>
          <w:bCs/>
        </w:rPr>
        <w:t>673</w:t>
      </w:r>
      <w:r w:rsidR="009B619E" w:rsidRPr="00A6224C">
        <w:rPr>
          <w:rFonts w:eastAsiaTheme="minorEastAsia" w:cstheme="minorHAnsi"/>
          <w:b/>
          <w:bCs/>
        </w:rPr>
        <w:t xml:space="preserve"> MTCO</w:t>
      </w:r>
      <w:r w:rsidR="009B619E" w:rsidRPr="00A6224C">
        <w:rPr>
          <w:rFonts w:eastAsiaTheme="minorEastAsia" w:cstheme="minorHAnsi"/>
          <w:b/>
          <w:bCs/>
          <w:vertAlign w:val="subscript"/>
        </w:rPr>
        <w:t>2</w:t>
      </w:r>
      <w:r w:rsidR="009B619E" w:rsidRPr="00A6224C">
        <w:rPr>
          <w:rFonts w:eastAsiaTheme="minorEastAsia" w:cstheme="minorHAnsi"/>
          <w:b/>
          <w:bCs/>
        </w:rPr>
        <w:t>eq</w:t>
      </w:r>
      <w:r w:rsidR="009B619E" w:rsidRPr="00A6224C">
        <w:rPr>
          <w:rFonts w:eastAsiaTheme="minorEastAsia" w:cstheme="minorHAnsi"/>
        </w:rPr>
        <w:t>.</w:t>
      </w:r>
    </w:p>
    <w:p w14:paraId="4627FB2B" w14:textId="308D9F61" w:rsidR="00ED3EE5" w:rsidRPr="00A6224C" w:rsidRDefault="00ED3EE5" w:rsidP="00BE4A88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CCPR Calculations</w:t>
      </w:r>
    </w:p>
    <w:p w14:paraId="4DF838A2" w14:textId="7AEE5CAC" w:rsidR="00BE5F77" w:rsidRPr="00A6224C" w:rsidRDefault="00194CC9" w:rsidP="00BE4A88">
      <w:pPr>
        <w:spacing w:after="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cstheme="minorHAnsi"/>
        </w:rPr>
        <w:t xml:space="preserve">The following calculations were used to determine GHG emission reductions during the CCPR </w:t>
      </w:r>
      <w:r w:rsidR="00A6224C">
        <w:rPr>
          <w:rFonts w:cstheme="minorHAnsi"/>
        </w:rPr>
        <w:t>pilots</w:t>
      </w:r>
      <w:r w:rsidRPr="00A6224C">
        <w:rPr>
          <w:rFonts w:cstheme="minorHAnsi"/>
        </w:rPr>
        <w:t xml:space="preserve"> outlined in the proposal.</w:t>
      </w:r>
      <w:r w:rsidR="009A512A" w:rsidRPr="00A6224C">
        <w:rPr>
          <w:rFonts w:cstheme="minorHAnsi"/>
        </w:rPr>
        <w:t xml:space="preserve"> </w:t>
      </w:r>
      <w:r w:rsidR="00DE2874" w:rsidRPr="00A6224C">
        <w:rPr>
          <w:rFonts w:cstheme="minorHAnsi"/>
        </w:rPr>
        <w:t xml:space="preserve">To calculate the GHG </w:t>
      </w:r>
      <w:r w:rsidR="00BC704B" w:rsidRPr="00A6224C">
        <w:rPr>
          <w:rFonts w:cstheme="minorHAnsi"/>
        </w:rPr>
        <w:t>e</w:t>
      </w:r>
      <w:r w:rsidR="00DE2874" w:rsidRPr="00A6224C">
        <w:rPr>
          <w:rFonts w:cstheme="minorHAnsi"/>
        </w:rPr>
        <w:t xml:space="preserve">missions </w:t>
      </w:r>
      <w:r w:rsidR="00BC704B" w:rsidRPr="00A6224C">
        <w:rPr>
          <w:rFonts w:cstheme="minorHAnsi"/>
        </w:rPr>
        <w:t>r</w:t>
      </w:r>
      <w:r w:rsidR="00DE2874" w:rsidRPr="00A6224C">
        <w:rPr>
          <w:rFonts w:cstheme="minorHAnsi"/>
        </w:rPr>
        <w:t xml:space="preserve">educed </w:t>
      </w:r>
      <w:proofErr w:type="gramStart"/>
      <w:r w:rsidR="00DE2874" w:rsidRPr="00A6224C">
        <w:rPr>
          <w:rFonts w:cstheme="minorHAnsi"/>
        </w:rPr>
        <w:t>as a result of</w:t>
      </w:r>
      <w:proofErr w:type="gramEnd"/>
      <w:r w:rsidR="00DE2874" w:rsidRPr="00A6224C">
        <w:rPr>
          <w:rFonts w:cstheme="minorHAnsi"/>
        </w:rPr>
        <w:t xml:space="preserve"> using CCPR opposed to the traditional HMA, the </w:t>
      </w:r>
      <w:r w:rsidR="00B93401" w:rsidRPr="00A6224C">
        <w:rPr>
          <w:rFonts w:cstheme="minorHAnsi"/>
        </w:rPr>
        <w:t xml:space="preserve">GHG emissions of CCPR were estimated and subtracted from the baseline emissions </w:t>
      </w:r>
      <w:r w:rsidR="000B6AB1" w:rsidRPr="00A6224C">
        <w:rPr>
          <w:rFonts w:cstheme="minorHAnsi"/>
        </w:rPr>
        <w:t>calculation assuming the same tonnage.</w:t>
      </w:r>
      <w:r w:rsidR="009A512A" w:rsidRPr="00A6224C">
        <w:rPr>
          <w:rFonts w:cstheme="minorHAnsi"/>
        </w:rPr>
        <w:t xml:space="preserve"> </w:t>
      </w:r>
      <w:r w:rsidR="00B1511B" w:rsidRPr="00A6224C">
        <w:rPr>
          <w:rFonts w:cstheme="minorHAnsi"/>
        </w:rPr>
        <w:t xml:space="preserve">Using the </w:t>
      </w:r>
      <w:r w:rsidR="009A512A" w:rsidRPr="00A6224C">
        <w:rPr>
          <w:rFonts w:eastAsiaTheme="minorEastAsia" w:cstheme="minorHAnsi"/>
        </w:rPr>
        <w:t xml:space="preserve">CCPR </w:t>
      </w:r>
      <w:r w:rsidR="00B1511B" w:rsidRPr="00A6224C">
        <w:rPr>
          <w:rFonts w:cstheme="minorHAnsi"/>
        </w:rPr>
        <w:t>trail as a demonstration of the calculations, the</w:t>
      </w:r>
      <w:r w:rsidR="009A512A" w:rsidRPr="00A6224C">
        <w:rPr>
          <w:rFonts w:eastAsiaTheme="minorEastAsia" w:cstheme="minorHAnsi"/>
        </w:rPr>
        <w:t xml:space="preserve"> estimate </w:t>
      </w:r>
      <w:r w:rsidR="00B1511B" w:rsidRPr="00A6224C">
        <w:rPr>
          <w:rFonts w:eastAsiaTheme="minorEastAsia" w:cstheme="minorHAnsi"/>
        </w:rPr>
        <w:t>tonnage is</w:t>
      </w:r>
      <w:r w:rsidR="009A512A" w:rsidRPr="00A6224C">
        <w:rPr>
          <w:rFonts w:eastAsiaTheme="minorEastAsia" w:cstheme="minorHAnsi"/>
        </w:rPr>
        <w:t xml:space="preserve"> 37,514 tons of asphalt mixture</w:t>
      </w:r>
      <w:r w:rsidR="006F042D" w:rsidRPr="00A6224C">
        <w:rPr>
          <w:rFonts w:eastAsiaTheme="minorEastAsia" w:cstheme="minorHAnsi"/>
        </w:rPr>
        <w:t>. I</w:t>
      </w:r>
      <w:r w:rsidR="00AD142B" w:rsidRPr="00A6224C">
        <w:rPr>
          <w:rFonts w:eastAsiaTheme="minorEastAsia" w:cstheme="minorHAnsi"/>
        </w:rPr>
        <w:t>f traditional HMA was used</w:t>
      </w:r>
      <w:r w:rsidR="006F042D" w:rsidRPr="00A6224C">
        <w:rPr>
          <w:rFonts w:eastAsiaTheme="minorEastAsia" w:cstheme="minorHAnsi"/>
        </w:rPr>
        <w:t>,</w:t>
      </w:r>
      <w:r w:rsidR="000561B4" w:rsidRPr="00A6224C">
        <w:rPr>
          <w:rFonts w:eastAsiaTheme="minorEastAsia" w:cstheme="minorHAnsi"/>
        </w:rPr>
        <w:t xml:space="preserve"> the associated </w:t>
      </w:r>
      <w:r w:rsidR="007E6319" w:rsidRPr="00A6224C">
        <w:rPr>
          <w:rFonts w:eastAsiaTheme="minorEastAsia" w:cstheme="minorHAnsi"/>
        </w:rPr>
        <w:t xml:space="preserve">GHG emissions </w:t>
      </w:r>
      <w:r w:rsidR="00AD142B" w:rsidRPr="00A6224C">
        <w:rPr>
          <w:rFonts w:eastAsiaTheme="minorEastAsia" w:cstheme="minorHAnsi"/>
        </w:rPr>
        <w:t>would be approximately</w:t>
      </w:r>
      <w:r w:rsidR="007E6319" w:rsidRPr="00A6224C">
        <w:rPr>
          <w:rFonts w:eastAsiaTheme="minorEastAsia" w:cstheme="minorHAnsi"/>
        </w:rPr>
        <w:t xml:space="preserve"> </w:t>
      </w:r>
      <w:r w:rsidR="005B6774" w:rsidRPr="00A6224C">
        <w:rPr>
          <w:rFonts w:eastAsiaTheme="minorEastAsia" w:cstheme="minorHAnsi"/>
        </w:rPr>
        <w:t>65</w:t>
      </w:r>
      <w:r w:rsidR="009B619E" w:rsidRPr="00A6224C">
        <w:rPr>
          <w:rFonts w:eastAsiaTheme="minorEastAsia" w:cstheme="minorHAnsi"/>
        </w:rPr>
        <w:t>4 MTCO</w:t>
      </w:r>
      <w:r w:rsidR="009B619E" w:rsidRPr="00A6224C">
        <w:rPr>
          <w:rFonts w:eastAsiaTheme="minorEastAsia" w:cstheme="minorHAnsi"/>
          <w:vertAlign w:val="subscript"/>
        </w:rPr>
        <w:t>2</w:t>
      </w:r>
      <w:r w:rsidR="009B619E" w:rsidRPr="00A6224C">
        <w:rPr>
          <w:rFonts w:eastAsiaTheme="minorEastAsia" w:cstheme="minorHAnsi"/>
        </w:rPr>
        <w:t>eq (</w:t>
      </w:r>
      <w:r w:rsidR="00125BC1" w:rsidRPr="00A6224C">
        <w:rPr>
          <w:rFonts w:eastAsiaTheme="minorEastAsia" w:cstheme="minorHAnsi"/>
        </w:rPr>
        <w:t>653,7</w:t>
      </w:r>
      <w:r w:rsidR="00184D09" w:rsidRPr="00A6224C">
        <w:rPr>
          <w:rFonts w:eastAsiaTheme="minorEastAsia" w:cstheme="minorHAnsi"/>
        </w:rPr>
        <w:t>10</w:t>
      </w:r>
      <w:r w:rsidR="00125BC1" w:rsidRPr="00A6224C">
        <w:rPr>
          <w:rFonts w:eastAsiaTheme="minorEastAsia" w:cstheme="minorHAnsi"/>
        </w:rPr>
        <w:t xml:space="preserve"> kgCO</w:t>
      </w:r>
      <w:r w:rsidR="00125BC1" w:rsidRPr="00A6224C">
        <w:rPr>
          <w:rFonts w:eastAsiaTheme="minorEastAsia" w:cstheme="minorHAnsi"/>
          <w:vertAlign w:val="subscript"/>
        </w:rPr>
        <w:t>2</w:t>
      </w:r>
      <w:r w:rsidR="00125BC1" w:rsidRPr="00A6224C">
        <w:rPr>
          <w:rFonts w:eastAsiaTheme="minorEastAsia" w:cstheme="minorHAnsi"/>
        </w:rPr>
        <w:t xml:space="preserve">eq) </w:t>
      </w:r>
      <w:r w:rsidR="0072304E" w:rsidRPr="00A6224C">
        <w:rPr>
          <w:rFonts w:eastAsiaTheme="minorEastAsia" w:cstheme="minorHAnsi"/>
        </w:rPr>
        <w:t>according to the Baseline Hot Mix Asphalt calculations outlined previously.</w:t>
      </w:r>
    </w:p>
    <w:p w14:paraId="694DEF46" w14:textId="5B73428A" w:rsidR="00F07AA6" w:rsidRPr="00A6224C" w:rsidRDefault="00F07AA6" w:rsidP="00BE4A88">
      <w:pPr>
        <w:spacing w:after="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CCPR reduces the </w:t>
      </w:r>
      <w:r w:rsidR="001D6D90" w:rsidRPr="00A6224C">
        <w:rPr>
          <w:rFonts w:eastAsiaTheme="minorEastAsia" w:cstheme="minorHAnsi"/>
        </w:rPr>
        <w:t xml:space="preserve">need for </w:t>
      </w:r>
      <w:r w:rsidRPr="00A6224C">
        <w:rPr>
          <w:rFonts w:eastAsiaTheme="minorEastAsia" w:cstheme="minorHAnsi"/>
        </w:rPr>
        <w:t xml:space="preserve">heating </w:t>
      </w:r>
      <w:r w:rsidR="001D6D90" w:rsidRPr="00A6224C">
        <w:rPr>
          <w:rFonts w:eastAsiaTheme="minorEastAsia" w:cstheme="minorHAnsi"/>
        </w:rPr>
        <w:t>at</w:t>
      </w:r>
      <w:r w:rsidRPr="00A6224C">
        <w:rPr>
          <w:rFonts w:eastAsiaTheme="minorEastAsia" w:cstheme="minorHAnsi"/>
        </w:rPr>
        <w:t xml:space="preserve"> the burner</w:t>
      </w:r>
      <w:r w:rsidR="00845CB9" w:rsidRPr="00A6224C">
        <w:rPr>
          <w:rFonts w:eastAsiaTheme="minorEastAsia" w:cstheme="minorHAnsi"/>
        </w:rPr>
        <w:t xml:space="preserve">, thus only electricity is needed. </w:t>
      </w:r>
      <w:r w:rsidR="0072304E" w:rsidRPr="00A6224C">
        <w:rPr>
          <w:rFonts w:eastAsiaTheme="minorEastAsia" w:cstheme="minorHAnsi"/>
        </w:rPr>
        <w:t>If</w:t>
      </w:r>
      <w:r w:rsidR="00845CB9" w:rsidRPr="00A6224C">
        <w:rPr>
          <w:rFonts w:eastAsiaTheme="minorEastAsia" w:cstheme="minorHAnsi"/>
        </w:rPr>
        <w:t xml:space="preserve"> </w:t>
      </w:r>
      <w:r w:rsidR="00B65C78" w:rsidRPr="00A6224C">
        <w:rPr>
          <w:rFonts w:eastAsiaTheme="minorEastAsia" w:cstheme="minorHAnsi"/>
        </w:rPr>
        <w:t>electricity consumption remains the same, the GHG emissions for CCPR would be calculated as follows:</w:t>
      </w:r>
    </w:p>
    <w:p w14:paraId="2965DF01" w14:textId="775B4106" w:rsidR="002704F4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Electricity BTUs per Ton=11,320</m:t>
          </m:r>
        </m:oMath>
      </m:oMathPara>
    </w:p>
    <w:p w14:paraId="4428EB3A" w14:textId="007FA5CE" w:rsidR="002704F4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hAnsi="Cambria Math" w:cstheme="minorHAnsi"/>
            </w:rPr>
            <m:t>BTUs=37,514*11,320=424,658,480 BTUs=425 mmBTUs</m:t>
          </m:r>
        </m:oMath>
      </m:oMathPara>
    </w:p>
    <w:p w14:paraId="1422DF04" w14:textId="2B1FD4AE" w:rsidR="000122EB" w:rsidRPr="00A6224C" w:rsidRDefault="000122EB" w:rsidP="000122EB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According to the EPA </w:t>
      </w:r>
      <w:proofErr w:type="spellStart"/>
      <w:r w:rsidRPr="00A6224C">
        <w:rPr>
          <w:rFonts w:eastAsiaTheme="minorEastAsia" w:cstheme="minorHAnsi"/>
        </w:rPr>
        <w:t>eGRID</w:t>
      </w:r>
      <w:proofErr w:type="spellEnd"/>
      <w:r w:rsidRPr="00A6224C">
        <w:rPr>
          <w:rFonts w:eastAsiaTheme="minorEastAsia" w:cstheme="minorHAnsi"/>
        </w:rPr>
        <w:t>, we know the state of Alabama falls within the SRSO subregion</w:t>
      </w:r>
      <w:r>
        <w:rPr>
          <w:rFonts w:eastAsiaTheme="minorEastAsia" w:cstheme="minorHAnsi"/>
        </w:rPr>
        <w:t>.</w:t>
      </w:r>
      <w:r w:rsidRPr="000122EB">
        <w:rPr>
          <w:rFonts w:eastAsiaTheme="minorEastAsia" w:cstheme="minorHAnsi"/>
          <w:vertAlign w:val="superscript"/>
        </w:rPr>
        <w:fldChar w:fldCharType="begin"/>
      </w:r>
      <w:r w:rsidRPr="000122EB">
        <w:rPr>
          <w:rFonts w:eastAsiaTheme="minorEastAsia" w:cstheme="minorHAnsi"/>
          <w:vertAlign w:val="superscript"/>
        </w:rPr>
        <w:instrText xml:space="preserve"> NOTEREF _Ref162531274 \h </w:instrText>
      </w:r>
      <w:r>
        <w:rPr>
          <w:rFonts w:eastAsiaTheme="minorEastAsia" w:cstheme="minorHAnsi"/>
          <w:vertAlign w:val="superscript"/>
        </w:rPr>
        <w:instrText xml:space="preserve"> \* MERGEFORMAT </w:instrText>
      </w:r>
      <w:r w:rsidRPr="000122EB">
        <w:rPr>
          <w:rFonts w:eastAsiaTheme="minorEastAsia" w:cstheme="minorHAnsi"/>
          <w:vertAlign w:val="superscript"/>
        </w:rPr>
      </w:r>
      <w:r w:rsidRPr="000122EB">
        <w:rPr>
          <w:rFonts w:eastAsiaTheme="minorEastAsia" w:cstheme="minorHAnsi"/>
          <w:vertAlign w:val="superscript"/>
        </w:rPr>
        <w:fldChar w:fldCharType="separate"/>
      </w:r>
      <w:r w:rsidRPr="000122EB">
        <w:rPr>
          <w:rFonts w:eastAsiaTheme="minorEastAsia" w:cstheme="minorHAnsi"/>
          <w:vertAlign w:val="superscript"/>
        </w:rPr>
        <w:t>4</w:t>
      </w:r>
      <w:r w:rsidRPr="000122EB">
        <w:rPr>
          <w:rFonts w:eastAsiaTheme="minorEastAsia" w:cstheme="minorHAnsi"/>
          <w:vertAlign w:val="superscript"/>
        </w:rPr>
        <w:fldChar w:fldCharType="end"/>
      </w:r>
      <w:r>
        <w:rPr>
          <w:rFonts w:eastAsiaTheme="minorEastAsia" w:cstheme="minorHAnsi"/>
        </w:rPr>
        <w:t xml:space="preserve"> </w:t>
      </w:r>
      <w:r w:rsidRPr="00A6224C">
        <w:rPr>
          <w:rFonts w:eastAsiaTheme="minorEastAsia" w:cstheme="minorHAnsi"/>
        </w:rPr>
        <w:t>SRSO emission factors were gathered from the EPA GHG Emission Factors Hub</w:t>
      </w:r>
      <w:r>
        <w:rPr>
          <w:rFonts w:eastAsiaTheme="minorEastAsia" w:cstheme="minorHAnsi"/>
        </w:rPr>
        <w:t>.</w:t>
      </w:r>
      <w:r w:rsidRPr="000122EB">
        <w:rPr>
          <w:rFonts w:eastAsiaTheme="minorEastAsia" w:cstheme="minorHAnsi"/>
          <w:vertAlign w:val="superscript"/>
        </w:rPr>
        <w:fldChar w:fldCharType="begin"/>
      </w:r>
      <w:r w:rsidRPr="000122EB">
        <w:rPr>
          <w:rFonts w:eastAsiaTheme="minorEastAsia" w:cstheme="minorHAnsi"/>
          <w:vertAlign w:val="superscript"/>
        </w:rPr>
        <w:instrText xml:space="preserve"> NOTEREF _Ref162531240 \h </w:instrText>
      </w:r>
      <w:r>
        <w:rPr>
          <w:rFonts w:eastAsiaTheme="minorEastAsia" w:cstheme="minorHAnsi"/>
          <w:vertAlign w:val="superscript"/>
        </w:rPr>
        <w:instrText xml:space="preserve"> \* MERGEFORMAT </w:instrText>
      </w:r>
      <w:r w:rsidRPr="000122EB">
        <w:rPr>
          <w:rFonts w:eastAsiaTheme="minorEastAsia" w:cstheme="minorHAnsi"/>
          <w:vertAlign w:val="superscript"/>
        </w:rPr>
      </w:r>
      <w:r w:rsidRPr="000122EB">
        <w:rPr>
          <w:rFonts w:eastAsiaTheme="minorEastAsia" w:cstheme="minorHAnsi"/>
          <w:vertAlign w:val="superscript"/>
        </w:rPr>
        <w:fldChar w:fldCharType="separate"/>
      </w:r>
      <w:r w:rsidRPr="000122EB">
        <w:rPr>
          <w:rFonts w:eastAsiaTheme="minorEastAsia" w:cstheme="minorHAnsi"/>
          <w:vertAlign w:val="superscript"/>
        </w:rPr>
        <w:t>3</w:t>
      </w:r>
      <w:r w:rsidRPr="000122EB">
        <w:rPr>
          <w:rFonts w:eastAsiaTheme="minorEastAsia" w:cstheme="minorHAnsi"/>
          <w:vertAlign w:val="superscript"/>
        </w:rPr>
        <w:fldChar w:fldCharType="end"/>
      </w:r>
    </w:p>
    <w:p w14:paraId="56CC0FF6" w14:textId="059B9FA2" w:rsidR="00235DE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w:lastRenderedPageBreak/>
            <m:t>Electricity CO2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425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*893.3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=50,431 kgCO2</m:t>
          </m:r>
        </m:oMath>
      </m:oMathPara>
    </w:p>
    <w:p w14:paraId="6D8D276E" w14:textId="4849C827" w:rsidR="00235DE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 CH4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425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*0.064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=4 kgCH4</m:t>
          </m:r>
        </m:oMath>
      </m:oMathPara>
    </w:p>
    <w:p w14:paraId="5B2EA9B6" w14:textId="32ABCB36" w:rsidR="00235DE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 N2O =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425</m:t>
              </m:r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*0.009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3.412*2.2046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=1 kgN2O</m:t>
          </m:r>
        </m:oMath>
      </m:oMathPara>
    </w:p>
    <w:p w14:paraId="2831839C" w14:textId="3D4A5670" w:rsidR="00235DE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Electricity kgCO2eq =50,431 +</m:t>
          </m:r>
          <m:d>
            <m:dPr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0.028*4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+</m:t>
          </m:r>
          <m:d>
            <m:dPr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0.265*1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=50,431 kgCO2eq</m:t>
          </m:r>
        </m:oMath>
      </m:oMathPara>
    </w:p>
    <w:p w14:paraId="700C9E3B" w14:textId="4C8B6AF0" w:rsidR="00DD48B5" w:rsidRPr="00A6224C" w:rsidRDefault="00477E42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  <w:b/>
          <w:bCs/>
        </w:rPr>
      </w:pPr>
      <w:r w:rsidRPr="00A6224C">
        <w:rPr>
          <w:rFonts w:eastAsiaTheme="minorEastAsia" w:cstheme="minorHAnsi"/>
        </w:rPr>
        <w:t>Therefore, our total kgCO</w:t>
      </w:r>
      <w:r w:rsidRPr="00A6224C">
        <w:rPr>
          <w:rFonts w:eastAsiaTheme="minorEastAsia" w:cstheme="minorHAnsi"/>
          <w:vertAlign w:val="subscript"/>
        </w:rPr>
        <w:t>2</w:t>
      </w:r>
      <w:r w:rsidRPr="00A6224C">
        <w:rPr>
          <w:rFonts w:eastAsiaTheme="minorEastAsia" w:cstheme="minorHAnsi"/>
        </w:rPr>
        <w:t xml:space="preserve">eq savings </w:t>
      </w:r>
      <w:r w:rsidR="00753D9B" w:rsidRPr="00A6224C">
        <w:rPr>
          <w:rFonts w:eastAsiaTheme="minorEastAsia" w:cstheme="minorHAnsi"/>
        </w:rPr>
        <w:t>with</w:t>
      </w:r>
      <w:r w:rsidRPr="00A6224C">
        <w:rPr>
          <w:rFonts w:eastAsiaTheme="minorEastAsia" w:cstheme="minorHAnsi"/>
        </w:rPr>
        <w:t xml:space="preserve"> CCPR</w:t>
      </w:r>
      <w:r w:rsidR="00753D9B" w:rsidRPr="00A6224C">
        <w:rPr>
          <w:rFonts w:eastAsiaTheme="minorEastAsia" w:cstheme="minorHAnsi"/>
        </w:rPr>
        <w:t xml:space="preserve"> technology compared to traditional HMA</w:t>
      </w:r>
      <w:r w:rsidRPr="00A6224C">
        <w:rPr>
          <w:rFonts w:eastAsiaTheme="minorEastAsia" w:cstheme="minorHAnsi"/>
        </w:rPr>
        <w:t xml:space="preserve"> is </w:t>
      </w:r>
      <w:r w:rsidR="00596199" w:rsidRPr="00A6224C">
        <w:rPr>
          <w:rFonts w:eastAsiaTheme="minorEastAsia" w:cstheme="minorHAnsi"/>
        </w:rPr>
        <w:t>603,</w:t>
      </w:r>
      <w:r w:rsidR="007D3CA7" w:rsidRPr="00A6224C">
        <w:rPr>
          <w:rFonts w:eastAsiaTheme="minorEastAsia" w:cstheme="minorHAnsi"/>
        </w:rPr>
        <w:t>279</w:t>
      </w:r>
      <w:r w:rsidRPr="00A6224C">
        <w:rPr>
          <w:rFonts w:eastAsiaTheme="minorEastAsia" w:cstheme="minorHAnsi"/>
        </w:rPr>
        <w:t xml:space="preserve"> kgCO</w:t>
      </w:r>
      <w:r w:rsidRPr="00A6224C">
        <w:rPr>
          <w:rFonts w:eastAsiaTheme="minorEastAsia" w:cstheme="minorHAnsi"/>
          <w:vertAlign w:val="subscript"/>
        </w:rPr>
        <w:t>2</w:t>
      </w:r>
      <w:r w:rsidRPr="00A6224C">
        <w:rPr>
          <w:rFonts w:eastAsiaTheme="minorEastAsia" w:cstheme="minorHAnsi"/>
        </w:rPr>
        <w:t>eq</w:t>
      </w:r>
      <w:r w:rsidR="00B70475" w:rsidRPr="00A6224C">
        <w:rPr>
          <w:rFonts w:eastAsiaTheme="minorEastAsia" w:cstheme="minorHAnsi"/>
        </w:rPr>
        <w:t xml:space="preserve"> </w:t>
      </w:r>
      <w:r w:rsidR="00125BC1" w:rsidRPr="00A6224C">
        <w:rPr>
          <w:rFonts w:eastAsiaTheme="minorEastAsia" w:cstheme="minorHAnsi"/>
        </w:rPr>
        <w:t xml:space="preserve">or </w:t>
      </w:r>
      <w:r w:rsidR="00BE3D56" w:rsidRPr="00A6224C">
        <w:rPr>
          <w:rFonts w:eastAsiaTheme="minorEastAsia" w:cstheme="minorHAnsi"/>
          <w:b/>
          <w:bCs/>
        </w:rPr>
        <w:t>6</w:t>
      </w:r>
      <w:r w:rsidR="007D3CA7" w:rsidRPr="00A6224C">
        <w:rPr>
          <w:rFonts w:eastAsiaTheme="minorEastAsia" w:cstheme="minorHAnsi"/>
          <w:b/>
          <w:bCs/>
        </w:rPr>
        <w:t>03</w:t>
      </w:r>
      <w:r w:rsidR="00125BC1" w:rsidRPr="00A6224C">
        <w:rPr>
          <w:rFonts w:eastAsiaTheme="minorEastAsia" w:cstheme="minorHAnsi"/>
          <w:b/>
          <w:bCs/>
        </w:rPr>
        <w:t xml:space="preserve"> MTCO</w:t>
      </w:r>
      <w:r w:rsidR="00125BC1" w:rsidRPr="00A6224C">
        <w:rPr>
          <w:rFonts w:eastAsiaTheme="minorEastAsia" w:cstheme="minorHAnsi"/>
          <w:b/>
          <w:bCs/>
          <w:vertAlign w:val="subscript"/>
        </w:rPr>
        <w:t>2</w:t>
      </w:r>
      <w:r w:rsidR="00125BC1" w:rsidRPr="00A6224C">
        <w:rPr>
          <w:rFonts w:eastAsiaTheme="minorEastAsia" w:cstheme="minorHAnsi"/>
          <w:b/>
          <w:bCs/>
        </w:rPr>
        <w:t>eq</w:t>
      </w:r>
      <w:r w:rsidR="00BE2E89" w:rsidRPr="00A6224C">
        <w:rPr>
          <w:rFonts w:eastAsiaTheme="minorEastAsia" w:cstheme="minorHAnsi"/>
          <w:b/>
          <w:bCs/>
        </w:rPr>
        <w:t xml:space="preserve"> (92.3% of the production emissions of asphalt mixtures).</w:t>
      </w:r>
    </w:p>
    <w:p w14:paraId="34537A86" w14:textId="226E8A95" w:rsidR="00433435" w:rsidRPr="00A6224C" w:rsidRDefault="00433435" w:rsidP="00BE4A88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W</w:t>
      </w:r>
      <w:r w:rsidR="00BA7D65" w:rsidRPr="00A6224C">
        <w:rPr>
          <w:rFonts w:cstheme="minorHAnsi"/>
          <w:b/>
          <w:bCs/>
        </w:rPr>
        <w:t>MT</w:t>
      </w:r>
      <w:r w:rsidRPr="00A6224C">
        <w:rPr>
          <w:rFonts w:cstheme="minorHAnsi"/>
          <w:b/>
          <w:bCs/>
        </w:rPr>
        <w:t xml:space="preserve"> Calculations</w:t>
      </w:r>
    </w:p>
    <w:p w14:paraId="53D49E84" w14:textId="0AA45401" w:rsidR="00F32711" w:rsidRPr="00A6224C" w:rsidRDefault="002F5C61" w:rsidP="00BE4A88">
      <w:pPr>
        <w:spacing w:after="0" w:line="240" w:lineRule="auto"/>
        <w:ind w:firstLine="360"/>
        <w:jc w:val="both"/>
        <w:rPr>
          <w:rFonts w:cstheme="minorHAnsi"/>
        </w:rPr>
      </w:pPr>
      <w:r w:rsidRPr="00A6224C">
        <w:rPr>
          <w:rFonts w:cstheme="minorHAnsi"/>
        </w:rPr>
        <w:t>The following calculation</w:t>
      </w:r>
      <w:r w:rsidR="00CA640F" w:rsidRPr="00A6224C">
        <w:rPr>
          <w:rFonts w:cstheme="minorHAnsi"/>
        </w:rPr>
        <w:t>s</w:t>
      </w:r>
      <w:r w:rsidRPr="00A6224C">
        <w:rPr>
          <w:rFonts w:cstheme="minorHAnsi"/>
        </w:rPr>
        <w:t xml:space="preserve"> w</w:t>
      </w:r>
      <w:r w:rsidR="00CA640F" w:rsidRPr="00A6224C">
        <w:rPr>
          <w:rFonts w:cstheme="minorHAnsi"/>
        </w:rPr>
        <w:t>ere</w:t>
      </w:r>
      <w:r w:rsidRPr="00A6224C">
        <w:rPr>
          <w:rFonts w:cstheme="minorHAnsi"/>
        </w:rPr>
        <w:t xml:space="preserve"> used to determine </w:t>
      </w:r>
      <w:r w:rsidR="0060255D" w:rsidRPr="00A6224C">
        <w:rPr>
          <w:rFonts w:cstheme="minorHAnsi"/>
        </w:rPr>
        <w:t xml:space="preserve">GHG emission </w:t>
      </w:r>
      <w:r w:rsidR="00A46597">
        <w:rPr>
          <w:rFonts w:cstheme="minorHAnsi"/>
        </w:rPr>
        <w:t xml:space="preserve">associated with WMT. </w:t>
      </w:r>
      <w:r w:rsidR="00D13B94">
        <w:rPr>
          <w:rFonts w:cstheme="minorHAnsi"/>
        </w:rPr>
        <w:t>To illustrate the calculation</w:t>
      </w:r>
      <w:r w:rsidR="00092E92">
        <w:rPr>
          <w:rFonts w:cstheme="minorHAnsi"/>
        </w:rPr>
        <w:t>s, we used an</w:t>
      </w:r>
      <w:r w:rsidR="00B175E3" w:rsidRPr="00A6224C">
        <w:rPr>
          <w:rFonts w:cstheme="minorHAnsi"/>
        </w:rPr>
        <w:t xml:space="preserve"> estimated tonnage </w:t>
      </w:r>
      <w:r w:rsidR="00A46597">
        <w:rPr>
          <w:rFonts w:cstheme="minorHAnsi"/>
        </w:rPr>
        <w:t>of</w:t>
      </w:r>
      <w:r w:rsidR="00F32711" w:rsidRPr="00A6224C">
        <w:rPr>
          <w:rFonts w:cstheme="minorHAnsi"/>
        </w:rPr>
        <w:t xml:space="preserve"> </w:t>
      </w:r>
      <w:r w:rsidR="00704062" w:rsidRPr="00A6224C">
        <w:rPr>
          <w:rFonts w:cstheme="minorHAnsi"/>
        </w:rPr>
        <w:t>62,5</w:t>
      </w:r>
      <w:r w:rsidR="00AC4649" w:rsidRPr="00A6224C">
        <w:rPr>
          <w:rFonts w:cstheme="minorHAnsi"/>
        </w:rPr>
        <w:t>24</w:t>
      </w:r>
      <w:r w:rsidR="00F32711" w:rsidRPr="00A6224C">
        <w:rPr>
          <w:rFonts w:cstheme="minorHAnsi"/>
        </w:rPr>
        <w:t xml:space="preserve"> tons of asphalt mixture produced at a temperature reduction of 80 degrees Fahrenheit. </w:t>
      </w:r>
      <w:r w:rsidR="00682F46" w:rsidRPr="00A6224C">
        <w:rPr>
          <w:rFonts w:cstheme="minorHAnsi"/>
        </w:rPr>
        <w:t xml:space="preserve">If </w:t>
      </w:r>
      <w:r w:rsidR="00040A81" w:rsidRPr="00A6224C">
        <w:rPr>
          <w:rFonts w:cstheme="minorHAnsi"/>
        </w:rPr>
        <w:t xml:space="preserve">the </w:t>
      </w:r>
      <w:r w:rsidR="00040A81" w:rsidRPr="00A6224C">
        <w:rPr>
          <w:rFonts w:eastAsiaTheme="minorEastAsia" w:cstheme="minorHAnsi"/>
        </w:rPr>
        <w:t xml:space="preserve">Baseline Hot Mix Asphalt calculations </w:t>
      </w:r>
      <w:r w:rsidR="00040A81" w:rsidRPr="00A6224C">
        <w:rPr>
          <w:rFonts w:cstheme="minorHAnsi"/>
        </w:rPr>
        <w:t>outlined previously were</w:t>
      </w:r>
      <w:r w:rsidR="00C0654D" w:rsidRPr="00A6224C">
        <w:rPr>
          <w:rFonts w:cstheme="minorHAnsi"/>
        </w:rPr>
        <w:t xml:space="preserve"> used</w:t>
      </w:r>
      <w:r w:rsidR="00040A81" w:rsidRPr="00A6224C">
        <w:rPr>
          <w:rFonts w:cstheme="minorHAnsi"/>
        </w:rPr>
        <w:t>,</w:t>
      </w:r>
      <w:r w:rsidR="0069785B" w:rsidRPr="00A6224C">
        <w:rPr>
          <w:rFonts w:cstheme="minorHAnsi"/>
        </w:rPr>
        <w:t xml:space="preserve"> the associated GHG emissions </w:t>
      </w:r>
      <w:r w:rsidR="00692ECC" w:rsidRPr="00A6224C">
        <w:rPr>
          <w:rFonts w:eastAsiaTheme="minorEastAsia" w:cstheme="minorHAnsi"/>
        </w:rPr>
        <w:t>would be</w:t>
      </w:r>
      <w:r w:rsidR="005B3DA3" w:rsidRPr="00A6224C">
        <w:rPr>
          <w:rFonts w:eastAsiaTheme="minorEastAsia" w:cstheme="minorHAnsi"/>
        </w:rPr>
        <w:t xml:space="preserve"> </w:t>
      </w:r>
      <w:r w:rsidR="00C0654D" w:rsidRPr="00A6224C">
        <w:rPr>
          <w:rFonts w:eastAsiaTheme="minorEastAsia" w:cstheme="minorHAnsi"/>
        </w:rPr>
        <w:t>approximately</w:t>
      </w:r>
      <w:r w:rsidR="00BE2E89" w:rsidRPr="00A6224C">
        <w:rPr>
          <w:rFonts w:eastAsiaTheme="minorEastAsia" w:cstheme="minorHAnsi"/>
        </w:rPr>
        <w:t xml:space="preserve"> 1,090 MTCO</w:t>
      </w:r>
      <w:r w:rsidR="00BE2E89" w:rsidRPr="00A6224C">
        <w:rPr>
          <w:rFonts w:eastAsiaTheme="minorEastAsia" w:cstheme="minorHAnsi"/>
          <w:vertAlign w:val="subscript"/>
        </w:rPr>
        <w:t>2</w:t>
      </w:r>
      <w:r w:rsidR="00BE2E89" w:rsidRPr="00A6224C">
        <w:rPr>
          <w:rFonts w:eastAsiaTheme="minorEastAsia" w:cstheme="minorHAnsi"/>
        </w:rPr>
        <w:t>eq</w:t>
      </w:r>
      <w:r w:rsidR="005B3DA3" w:rsidRPr="00A6224C">
        <w:rPr>
          <w:rFonts w:eastAsiaTheme="minorEastAsia" w:cstheme="minorHAnsi"/>
        </w:rPr>
        <w:t xml:space="preserve"> </w:t>
      </w:r>
      <w:r w:rsidR="00BE2E89" w:rsidRPr="00A6224C">
        <w:rPr>
          <w:rFonts w:eastAsiaTheme="minorEastAsia" w:cstheme="minorHAnsi"/>
        </w:rPr>
        <w:t>(</w:t>
      </w:r>
      <w:r w:rsidR="003461D4" w:rsidRPr="00A6224C">
        <w:rPr>
          <w:rFonts w:eastAsiaTheme="minorEastAsia" w:cstheme="minorHAnsi"/>
        </w:rPr>
        <w:t>1,</w:t>
      </w:r>
      <w:r w:rsidR="00392CCB" w:rsidRPr="00A6224C">
        <w:rPr>
          <w:rFonts w:eastAsiaTheme="minorEastAsia" w:cstheme="minorHAnsi"/>
        </w:rPr>
        <w:t>089,</w:t>
      </w:r>
      <w:r w:rsidR="00AC4649" w:rsidRPr="00A6224C">
        <w:rPr>
          <w:rFonts w:eastAsiaTheme="minorEastAsia" w:cstheme="minorHAnsi"/>
        </w:rPr>
        <w:t>529</w:t>
      </w:r>
      <w:r w:rsidR="004A7BA6" w:rsidRPr="00A6224C">
        <w:rPr>
          <w:rFonts w:eastAsiaTheme="minorEastAsia" w:cstheme="minorHAnsi"/>
        </w:rPr>
        <w:t>kgCO</w:t>
      </w:r>
      <w:r w:rsidR="004A7BA6" w:rsidRPr="00A6224C">
        <w:rPr>
          <w:rFonts w:eastAsiaTheme="minorEastAsia" w:cstheme="minorHAnsi"/>
          <w:vertAlign w:val="subscript"/>
        </w:rPr>
        <w:t>2</w:t>
      </w:r>
      <w:r w:rsidR="004A7BA6" w:rsidRPr="00A6224C">
        <w:rPr>
          <w:rFonts w:eastAsiaTheme="minorEastAsia" w:cstheme="minorHAnsi"/>
        </w:rPr>
        <w:t>eq</w:t>
      </w:r>
      <w:r w:rsidR="00BE2E89" w:rsidRPr="00A6224C">
        <w:rPr>
          <w:rFonts w:eastAsiaTheme="minorEastAsia" w:cstheme="minorHAnsi"/>
        </w:rPr>
        <w:t>)</w:t>
      </w:r>
      <w:r w:rsidR="00C513E0" w:rsidRPr="00A6224C">
        <w:rPr>
          <w:rFonts w:eastAsiaTheme="minorEastAsia" w:cstheme="minorHAnsi"/>
        </w:rPr>
        <w:t xml:space="preserve"> for traditional HMA.</w:t>
      </w:r>
    </w:p>
    <w:p w14:paraId="30CABA10" w14:textId="7665A2B4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Starting Temperature=340 ℉</m:t>
          </m:r>
        </m:oMath>
      </m:oMathPara>
    </w:p>
    <w:p w14:paraId="443B911C" w14:textId="72846167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Temperature with Warm-Mix Additive=260℉</m:t>
          </m:r>
        </m:oMath>
      </m:oMathPara>
    </w:p>
    <w:p w14:paraId="0E68F594" w14:textId="62D45ECD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Temperature Reduction=310-260=80℉ (24% Decrease)</m:t>
          </m:r>
        </m:oMath>
      </m:oMathPara>
    </w:p>
    <w:p w14:paraId="32405965" w14:textId="3F389139" w:rsidR="00D96E67" w:rsidRPr="00A6224C" w:rsidRDefault="00D96E67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>The NCHRP Report 779 found an estimated energy savings of 1,100 Btu/°F per ton of WM</w:t>
      </w:r>
      <w:r w:rsidR="00BA7D65" w:rsidRPr="00A6224C">
        <w:rPr>
          <w:rFonts w:eastAsiaTheme="minorEastAsia" w:cstheme="minorHAnsi"/>
        </w:rPr>
        <w:t>T</w:t>
      </w:r>
      <w:r w:rsidRPr="00A6224C">
        <w:rPr>
          <w:rFonts w:eastAsiaTheme="minorEastAsia" w:cstheme="minorHAnsi"/>
        </w:rPr>
        <w:t xml:space="preserve"> produced</w:t>
      </w:r>
      <w:r w:rsidR="000122EB">
        <w:rPr>
          <w:rFonts w:eastAsiaTheme="minorEastAsia" w:cstheme="minorHAnsi"/>
        </w:rPr>
        <w:t>.</w:t>
      </w:r>
      <w:r w:rsidR="000122EB">
        <w:rPr>
          <w:rStyle w:val="FootnoteReference"/>
          <w:rFonts w:eastAsiaTheme="minorEastAsia" w:cstheme="minorHAnsi"/>
        </w:rPr>
        <w:footnoteReference w:id="6"/>
      </w:r>
    </w:p>
    <w:p w14:paraId="28095FE2" w14:textId="65B723B9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Estimated Savings per Ton of WMT=1,100*80=88,000 BTUs per Ton</m:t>
          </m:r>
        </m:oMath>
      </m:oMathPara>
    </w:p>
    <w:p w14:paraId="622211E2" w14:textId="29A0366E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Estimated Savings=88,000*62,524=5,502,112,000 BTUs or 5,502 mmBTUs</m:t>
          </m:r>
        </m:oMath>
      </m:oMathPara>
    </w:p>
    <w:p w14:paraId="7EF1CCAF" w14:textId="46860F52" w:rsidR="008B7706" w:rsidRPr="00A6224C" w:rsidRDefault="008B7706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>Asphalt plants typically use natural gas or recycled fuel oil (RFO). Based on a sample of plants in Alabama, 88% of fuel consumption for the burner is natural gas and the remaining 12% of recycled fuel oil (RFO). Emission factors were gathered from the EPA GHG Emission Factors Hub.</w:t>
      </w:r>
      <w:r w:rsidR="005111C7" w:rsidRPr="005111C7">
        <w:rPr>
          <w:rFonts w:eastAsiaTheme="minorEastAsia" w:cstheme="minorHAnsi"/>
          <w:vertAlign w:val="superscript"/>
        </w:rPr>
        <w:fldChar w:fldCharType="begin"/>
      </w:r>
      <w:r w:rsidR="005111C7" w:rsidRPr="005111C7">
        <w:rPr>
          <w:rFonts w:eastAsiaTheme="minorEastAsia" w:cstheme="minorHAnsi"/>
          <w:vertAlign w:val="superscript"/>
        </w:rPr>
        <w:instrText xml:space="preserve"> NOTEREF _Ref162531240 \h </w:instrText>
      </w:r>
      <w:r w:rsidR="005111C7">
        <w:rPr>
          <w:rFonts w:eastAsiaTheme="minorEastAsia" w:cstheme="minorHAnsi"/>
          <w:vertAlign w:val="superscript"/>
        </w:rPr>
        <w:instrText xml:space="preserve"> \* MERGEFORMAT </w:instrText>
      </w:r>
      <w:r w:rsidR="005111C7" w:rsidRPr="005111C7">
        <w:rPr>
          <w:rFonts w:eastAsiaTheme="minorEastAsia" w:cstheme="minorHAnsi"/>
          <w:vertAlign w:val="superscript"/>
        </w:rPr>
      </w:r>
      <w:r w:rsidR="005111C7" w:rsidRPr="005111C7">
        <w:rPr>
          <w:rFonts w:eastAsiaTheme="minorEastAsia" w:cstheme="minorHAnsi"/>
          <w:vertAlign w:val="superscript"/>
        </w:rPr>
        <w:fldChar w:fldCharType="separate"/>
      </w:r>
      <w:r w:rsidR="005111C7" w:rsidRPr="005111C7">
        <w:rPr>
          <w:rFonts w:eastAsiaTheme="minorEastAsia" w:cstheme="minorHAnsi"/>
          <w:vertAlign w:val="superscript"/>
        </w:rPr>
        <w:t>3</w:t>
      </w:r>
      <w:r w:rsidR="005111C7" w:rsidRPr="005111C7">
        <w:rPr>
          <w:rFonts w:eastAsiaTheme="minorEastAsia" w:cstheme="minorHAnsi"/>
          <w:vertAlign w:val="superscript"/>
        </w:rPr>
        <w:fldChar w:fldCharType="end"/>
      </w:r>
    </w:p>
    <w:p w14:paraId="50851941" w14:textId="32970EE0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CO2 Reduction=53.06*5,502=291,942 kgCO2</m:t>
          </m:r>
        </m:oMath>
      </m:oMathPara>
    </w:p>
    <w:p w14:paraId="320A2761" w14:textId="57D5061D" w:rsidR="00D96E67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CH4 Reduction=1.0*5,502=5,502 kgCH4</m:t>
          </m:r>
        </m:oMath>
      </m:oMathPara>
    </w:p>
    <w:p w14:paraId="2C835318" w14:textId="4DFD86F5" w:rsidR="00EA3BD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N2O Reduction=0.10*5,502=550 kgN2O</m:t>
          </m:r>
        </m:oMath>
      </m:oMathPara>
    </w:p>
    <w:p w14:paraId="306EBA6F" w14:textId="28A99322" w:rsidR="00EA3BD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  <w:b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Natural Gas kgCO2eq Reduction=88%*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HAnsi"/>
                  <w:bCs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291,942+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0.028*5,502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  <w:bCs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0.265*550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=257,173 kgCO2eq</m:t>
          </m:r>
        </m:oMath>
      </m:oMathPara>
    </w:p>
    <w:p w14:paraId="59B93DB8" w14:textId="43F4CB43" w:rsidR="0018363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CO2 Reduction=73.96*5,502=406,936 kgCO2</m:t>
          </m:r>
        </m:oMath>
      </m:oMathPara>
    </w:p>
    <w:p w14:paraId="3281AD49" w14:textId="5038876F" w:rsidR="0018363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w:lastRenderedPageBreak/>
            <m:t>RFO  CH4 Reduction=3.0*5,502=16,506 kgCH4</m:t>
          </m:r>
        </m:oMath>
      </m:oMathPara>
    </w:p>
    <w:p w14:paraId="33E1A382" w14:textId="36CD8F04" w:rsidR="0018363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N2O Reduction=0.60*5,502=3,301 kgN2O</m:t>
          </m:r>
        </m:oMath>
      </m:oMathPara>
    </w:p>
    <w:p w14:paraId="724A91D5" w14:textId="63683D74" w:rsidR="0018363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RFO kgCO2eq Reduction=12%*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inorHAnsi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406,9336+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0.028*16,506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theme="minorHAnsi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theme="minorHAnsi"/>
                    </w:rPr>
                    <m:t>0.265*3,301</m:t>
                  </m:r>
                </m:e>
              </m:d>
            </m:e>
          </m:d>
          <m:r>
            <m:rPr>
              <m:sty m:val="p"/>
            </m:rPr>
            <w:rPr>
              <w:rFonts w:ascii="Cambria Math" w:eastAsiaTheme="minorEastAsia" w:hAnsi="Cambria Math" w:cstheme="minorHAnsi"/>
            </w:rPr>
            <m:t>=48,997 kgCO2eq</m:t>
          </m:r>
        </m:oMath>
      </m:oMathPara>
    </w:p>
    <w:p w14:paraId="513B6AB4" w14:textId="04256358" w:rsidR="0018363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  <w:b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Total kgCO2eq Reduction=257,173+48,993=306,116 kgCO2eq</m:t>
          </m:r>
        </m:oMath>
      </m:oMathPara>
    </w:p>
    <w:p w14:paraId="7F1D1459" w14:textId="3ACEEA26" w:rsidR="00EA3BD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  <w:b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>% kgCO2eq Reduction=</m:t>
          </m:r>
          <m:f>
            <m:fPr>
              <m:ctrlPr>
                <w:rPr>
                  <w:rFonts w:ascii="Cambria Math" w:eastAsiaTheme="minorEastAsia" w:hAnsi="Cambria Math" w:cstheme="minorHAnsi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306,116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1,089,529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=28.1%</m:t>
          </m:r>
        </m:oMath>
      </m:oMathPara>
    </w:p>
    <w:p w14:paraId="3D551C01" w14:textId="589FF4DA" w:rsidR="00EA3BDE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  <w:b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Total kgCO2eq/Ton Reduction= </m:t>
          </m:r>
          <m:f>
            <m:fPr>
              <m:ctrlPr>
                <w:rPr>
                  <w:rFonts w:ascii="Cambria Math" w:eastAsiaTheme="minorEastAsia" w:hAnsi="Cambria Math" w:cstheme="minorHAnsi"/>
                  <w:b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306,166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62,524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=4.9 kgCO2eq/Ton</m:t>
          </m:r>
        </m:oMath>
      </m:oMathPara>
    </w:p>
    <w:p w14:paraId="0B8FA349" w14:textId="4FC809BB" w:rsidR="003734B7" w:rsidRPr="00A6224C" w:rsidRDefault="00BE1767" w:rsidP="00065E9C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In summary, calculations show that using warm-mix </w:t>
      </w:r>
      <w:r w:rsidR="00E96FFD">
        <w:rPr>
          <w:rFonts w:eastAsiaTheme="minorEastAsia" w:cstheme="minorHAnsi"/>
        </w:rPr>
        <w:t>technologies</w:t>
      </w:r>
      <w:r w:rsidRPr="00A6224C">
        <w:rPr>
          <w:rFonts w:eastAsiaTheme="minorEastAsia" w:cstheme="minorHAnsi"/>
        </w:rPr>
        <w:t xml:space="preserve"> to decrease production temperatures by </w:t>
      </w:r>
      <w:r w:rsidR="001D0374" w:rsidRPr="00A6224C">
        <w:rPr>
          <w:rFonts w:eastAsiaTheme="minorEastAsia" w:cstheme="minorHAnsi"/>
        </w:rPr>
        <w:t xml:space="preserve">80 degrees Fahrenheit </w:t>
      </w:r>
      <w:r w:rsidRPr="00A6224C">
        <w:rPr>
          <w:rFonts w:eastAsiaTheme="minorEastAsia" w:cstheme="minorHAnsi"/>
        </w:rPr>
        <w:t xml:space="preserve">can lead to </w:t>
      </w:r>
      <w:r w:rsidR="006C1657" w:rsidRPr="00A6224C">
        <w:rPr>
          <w:rFonts w:eastAsiaTheme="minorEastAsia" w:cstheme="minorHAnsi"/>
        </w:rPr>
        <w:t xml:space="preserve">a </w:t>
      </w:r>
      <w:r w:rsidRPr="00A6224C">
        <w:rPr>
          <w:rFonts w:eastAsiaTheme="minorEastAsia" w:cstheme="minorHAnsi"/>
        </w:rPr>
        <w:t xml:space="preserve">decrease </w:t>
      </w:r>
      <w:r w:rsidR="006C1657" w:rsidRPr="00A6224C">
        <w:rPr>
          <w:rFonts w:eastAsiaTheme="minorEastAsia" w:cstheme="minorHAnsi"/>
        </w:rPr>
        <w:t xml:space="preserve">in </w:t>
      </w:r>
      <w:r w:rsidRPr="00A6224C">
        <w:rPr>
          <w:rFonts w:eastAsiaTheme="minorEastAsia" w:cstheme="minorHAnsi"/>
        </w:rPr>
        <w:t xml:space="preserve">emissions </w:t>
      </w:r>
      <w:r w:rsidR="00134CD4" w:rsidRPr="00A6224C">
        <w:rPr>
          <w:rFonts w:eastAsiaTheme="minorEastAsia" w:cstheme="minorHAnsi"/>
        </w:rPr>
        <w:t>of</w:t>
      </w:r>
      <w:r w:rsidRPr="00A6224C">
        <w:rPr>
          <w:rFonts w:eastAsiaTheme="minorEastAsia" w:cstheme="minorHAnsi"/>
        </w:rPr>
        <w:t xml:space="preserve"> </w:t>
      </w:r>
      <w:r w:rsidR="00134CD4" w:rsidRPr="00A6224C">
        <w:rPr>
          <w:rFonts w:eastAsiaTheme="minorEastAsia" w:cstheme="minorHAnsi"/>
        </w:rPr>
        <w:t>306,</w:t>
      </w:r>
      <w:r w:rsidR="00F90982" w:rsidRPr="00A6224C">
        <w:rPr>
          <w:rFonts w:eastAsiaTheme="minorEastAsia" w:cstheme="minorHAnsi"/>
        </w:rPr>
        <w:t>166</w:t>
      </w:r>
      <w:r w:rsidR="00D8542F" w:rsidRPr="00A6224C">
        <w:rPr>
          <w:rFonts w:eastAsiaTheme="minorEastAsia" w:cstheme="minorHAnsi"/>
        </w:rPr>
        <w:t xml:space="preserve"> kgCO</w:t>
      </w:r>
      <w:r w:rsidR="00D8542F" w:rsidRPr="00A6224C">
        <w:rPr>
          <w:rFonts w:eastAsiaTheme="minorEastAsia" w:cstheme="minorHAnsi"/>
          <w:vertAlign w:val="subscript"/>
        </w:rPr>
        <w:t>2</w:t>
      </w:r>
      <w:r w:rsidR="00D8542F" w:rsidRPr="00A6224C">
        <w:rPr>
          <w:rFonts w:eastAsiaTheme="minorEastAsia" w:cstheme="minorHAnsi"/>
        </w:rPr>
        <w:t>eq</w:t>
      </w:r>
      <w:r w:rsidR="00BE2E89" w:rsidRPr="00A6224C">
        <w:rPr>
          <w:rFonts w:eastAsiaTheme="minorEastAsia" w:cstheme="minorHAnsi"/>
        </w:rPr>
        <w:t xml:space="preserve"> or </w:t>
      </w:r>
      <w:r w:rsidR="00BE2E89" w:rsidRPr="00A6224C">
        <w:rPr>
          <w:rFonts w:eastAsiaTheme="minorEastAsia" w:cstheme="minorHAnsi"/>
          <w:b/>
          <w:bCs/>
        </w:rPr>
        <w:t>306 MTCO</w:t>
      </w:r>
      <w:r w:rsidR="00BE2E89" w:rsidRPr="00A6224C">
        <w:rPr>
          <w:rFonts w:eastAsiaTheme="minorEastAsia" w:cstheme="minorHAnsi"/>
          <w:b/>
          <w:bCs/>
          <w:vertAlign w:val="subscript"/>
        </w:rPr>
        <w:t>2</w:t>
      </w:r>
      <w:r w:rsidR="00BE2E89" w:rsidRPr="00A6224C">
        <w:rPr>
          <w:rFonts w:eastAsiaTheme="minorEastAsia" w:cstheme="minorHAnsi"/>
          <w:b/>
          <w:bCs/>
        </w:rPr>
        <w:t>eq</w:t>
      </w:r>
      <w:r w:rsidR="00D8542F" w:rsidRPr="00A6224C">
        <w:rPr>
          <w:rFonts w:eastAsiaTheme="minorEastAsia" w:cstheme="minorHAnsi"/>
          <w:b/>
          <w:bCs/>
        </w:rPr>
        <w:t xml:space="preserve"> (</w:t>
      </w:r>
      <w:r w:rsidR="00DE490B" w:rsidRPr="00A6224C">
        <w:rPr>
          <w:rFonts w:eastAsiaTheme="minorEastAsia" w:cstheme="minorHAnsi"/>
          <w:b/>
          <w:bCs/>
        </w:rPr>
        <w:t>28.1</w:t>
      </w:r>
      <w:r w:rsidRPr="00A6224C">
        <w:rPr>
          <w:rFonts w:eastAsiaTheme="minorEastAsia" w:cstheme="minorHAnsi"/>
          <w:b/>
          <w:bCs/>
        </w:rPr>
        <w:t>%</w:t>
      </w:r>
      <w:r w:rsidR="001D0374" w:rsidRPr="00A6224C">
        <w:rPr>
          <w:rFonts w:eastAsiaTheme="minorEastAsia" w:cstheme="minorHAnsi"/>
          <w:b/>
          <w:bCs/>
        </w:rPr>
        <w:t xml:space="preserve"> of </w:t>
      </w:r>
      <w:r w:rsidR="008B7706" w:rsidRPr="00A6224C">
        <w:rPr>
          <w:rFonts w:eastAsiaTheme="minorEastAsia" w:cstheme="minorHAnsi"/>
          <w:b/>
          <w:bCs/>
        </w:rPr>
        <w:t xml:space="preserve">the production emission </w:t>
      </w:r>
      <w:r w:rsidR="00F54AA4" w:rsidRPr="00A6224C">
        <w:rPr>
          <w:rFonts w:eastAsiaTheme="minorEastAsia" w:cstheme="minorHAnsi"/>
          <w:b/>
          <w:bCs/>
        </w:rPr>
        <w:t>of asphalt mixture</w:t>
      </w:r>
      <w:r w:rsidR="008B7706" w:rsidRPr="00A6224C">
        <w:rPr>
          <w:rFonts w:eastAsiaTheme="minorEastAsia" w:cstheme="minorHAnsi"/>
          <w:b/>
          <w:bCs/>
        </w:rPr>
        <w:t>s</w:t>
      </w:r>
      <w:r w:rsidR="00D8542F" w:rsidRPr="00A6224C">
        <w:rPr>
          <w:rFonts w:eastAsiaTheme="minorEastAsia" w:cstheme="minorHAnsi"/>
          <w:b/>
          <w:bCs/>
        </w:rPr>
        <w:t>)</w:t>
      </w:r>
      <w:r w:rsidR="003734B7" w:rsidRPr="00A6224C">
        <w:rPr>
          <w:rFonts w:eastAsiaTheme="minorEastAsia" w:cstheme="minorHAnsi"/>
          <w:b/>
          <w:bCs/>
        </w:rPr>
        <w:t>.</w:t>
      </w:r>
      <w:r w:rsidR="003734B7" w:rsidRPr="00A6224C">
        <w:rPr>
          <w:rFonts w:eastAsiaTheme="minorEastAsia" w:cstheme="minorHAnsi"/>
        </w:rPr>
        <w:t xml:space="preserve"> </w:t>
      </w:r>
    </w:p>
    <w:p w14:paraId="7FCDC935" w14:textId="2EF80171" w:rsidR="003814D3" w:rsidRDefault="003814D3" w:rsidP="003C6BEC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GHG Emission Reduction Estimates for 2025-20</w:t>
      </w:r>
      <w:r w:rsidR="00301B2F" w:rsidRPr="00A6224C">
        <w:rPr>
          <w:rFonts w:cstheme="minorHAnsi"/>
          <w:b/>
          <w:bCs/>
        </w:rPr>
        <w:t>3</w:t>
      </w:r>
      <w:r w:rsidR="007B338E" w:rsidRPr="00A6224C">
        <w:rPr>
          <w:rFonts w:cstheme="minorHAnsi"/>
          <w:b/>
          <w:bCs/>
        </w:rPr>
        <w:t>0</w:t>
      </w:r>
    </w:p>
    <w:p w14:paraId="402A5A37" w14:textId="25FF5EC9" w:rsidR="003C6BEC" w:rsidRPr="009677AF" w:rsidRDefault="007471D7" w:rsidP="009677AF">
      <w:pPr>
        <w:spacing w:after="0" w:line="240" w:lineRule="auto"/>
        <w:ind w:firstLine="360"/>
        <w:jc w:val="both"/>
        <w:rPr>
          <w:rFonts w:cstheme="minorHAnsi"/>
        </w:rPr>
      </w:pPr>
      <w:r w:rsidRPr="007471D7">
        <w:rPr>
          <w:rFonts w:cstheme="minorHAnsi"/>
        </w:rPr>
        <w:t>Using the calculations outlined above, it can be estimated that the</w:t>
      </w:r>
      <w:r w:rsidR="00EC7710" w:rsidRPr="007471D7">
        <w:rPr>
          <w:rStyle w:val="normaltextrun"/>
          <w:rFonts w:cstheme="minorHAnsi"/>
          <w:color w:val="000000"/>
          <w:shd w:val="clear" w:color="auto" w:fill="FFFFFF"/>
        </w:rPr>
        <w:t xml:space="preserve"> 2025-2030 cumulative reductions of GHG emissions would be 66,564 MTCO</w:t>
      </w:r>
      <w:r w:rsidR="00EC7710" w:rsidRPr="007471D7">
        <w:rPr>
          <w:rStyle w:val="normaltextrun"/>
          <w:rFonts w:cstheme="minorHAnsi"/>
          <w:color w:val="000000"/>
          <w:shd w:val="clear" w:color="auto" w:fill="FFFFFF"/>
          <w:vertAlign w:val="subscript"/>
        </w:rPr>
        <w:t>2</w:t>
      </w:r>
      <w:r w:rsidR="00EC7710" w:rsidRPr="007471D7">
        <w:rPr>
          <w:rStyle w:val="normaltextrun"/>
          <w:rFonts w:cstheme="minorHAnsi"/>
          <w:color w:val="000000"/>
          <w:shd w:val="clear" w:color="auto" w:fill="FFFFFF"/>
        </w:rPr>
        <w:t>eq as compared to if traditional</w:t>
      </w:r>
      <w:r w:rsidR="00EC7710" w:rsidRPr="00A6224C">
        <w:rPr>
          <w:rStyle w:val="normaltextrun"/>
          <w:rFonts w:cstheme="minorHAnsi"/>
          <w:color w:val="000000"/>
          <w:shd w:val="clear" w:color="auto" w:fill="FFFFFF"/>
        </w:rPr>
        <w:t xml:space="preserve"> HMA was used, which is approximately a 14% reduction</w:t>
      </w:r>
      <w:r w:rsidR="00CA6646" w:rsidRPr="00A6224C">
        <w:rPr>
          <w:rStyle w:val="normaltextrun"/>
          <w:rFonts w:cstheme="minorHAnsi"/>
          <w:color w:val="000000"/>
          <w:shd w:val="clear" w:color="auto" w:fill="FFFFFF"/>
        </w:rPr>
        <w:t>.</w:t>
      </w:r>
      <w:r w:rsidR="00572B64">
        <w:rPr>
          <w:rStyle w:val="normaltextrun"/>
          <w:rFonts w:cstheme="minorHAnsi"/>
          <w:color w:val="000000"/>
          <w:shd w:val="clear" w:color="auto" w:fill="FFFFFF"/>
        </w:rPr>
        <w:t xml:space="preserve"> </w:t>
      </w:r>
      <w:r w:rsidR="006322E7">
        <w:rPr>
          <w:rFonts w:eastAsiaTheme="minorEastAsia" w:cstheme="minorHAnsi"/>
        </w:rPr>
        <w:t xml:space="preserve">The table below summarizes the annual and cumulative </w:t>
      </w:r>
      <w:r w:rsidR="006322E7" w:rsidRPr="007D37F9">
        <w:rPr>
          <w:rFonts w:eastAsiaTheme="minorEastAsia" w:cstheme="minorHAnsi"/>
        </w:rPr>
        <w:t>GHG Emission Reduction Estimates for 2025-2030</w:t>
      </w:r>
      <w:r w:rsidR="006322E7">
        <w:rPr>
          <w:rFonts w:eastAsiaTheme="minorEastAsia" w:cstheme="minorHAnsi"/>
        </w:rPr>
        <w:t xml:space="preserve">. </w:t>
      </w:r>
      <w:r w:rsidR="009677AF">
        <w:rPr>
          <w:rFonts w:eastAsiaTheme="minorEastAsia" w:cstheme="minorHAnsi"/>
        </w:rPr>
        <w:t xml:space="preserve">This table can also be found </w:t>
      </w:r>
      <w:r w:rsidR="009677AF" w:rsidRPr="00214DEC">
        <w:rPr>
          <w:rFonts w:eastAsiaTheme="minorEastAsia" w:cstheme="minorHAnsi"/>
        </w:rPr>
        <w:t xml:space="preserve">in </w:t>
      </w:r>
      <w:r w:rsidR="009677AF" w:rsidRPr="007D37F9">
        <w:rPr>
          <w:rFonts w:eastAsiaTheme="minorEastAsia" w:cstheme="minorHAnsi"/>
          <w:i/>
          <w:iCs/>
        </w:rPr>
        <w:t>Section 2</w:t>
      </w:r>
      <w:r w:rsidR="009677AF">
        <w:rPr>
          <w:rFonts w:eastAsiaTheme="minorEastAsia" w:cstheme="minorHAnsi"/>
          <w:i/>
          <w:iCs/>
        </w:rPr>
        <w:t>.</w:t>
      </w:r>
      <w:r w:rsidR="009677AF" w:rsidRPr="007D37F9">
        <w:rPr>
          <w:rFonts w:eastAsiaTheme="minorEastAsia" w:cstheme="minorHAnsi"/>
          <w:i/>
          <w:iCs/>
        </w:rPr>
        <w:t>a</w:t>
      </w:r>
      <w:r w:rsidR="009677AF">
        <w:rPr>
          <w:rFonts w:eastAsiaTheme="minorEastAsia" w:cstheme="minorHAnsi"/>
        </w:rPr>
        <w:t xml:space="preserve">. of the </w:t>
      </w:r>
      <w:r w:rsidR="009677AF">
        <w:rPr>
          <w:rFonts w:eastAsiaTheme="minorEastAsia" w:cstheme="minorHAnsi"/>
          <w:i/>
          <w:iCs/>
        </w:rPr>
        <w:t>Workplan</w:t>
      </w:r>
      <w:r w:rsidR="009677AF">
        <w:rPr>
          <w:rFonts w:eastAsiaTheme="minorEastAsia" w:cstheme="minorHAnsi"/>
        </w:rPr>
        <w:t>.</w:t>
      </w:r>
      <w:r w:rsidR="009677AF">
        <w:rPr>
          <w:rFonts w:cstheme="minorHAnsi"/>
        </w:rPr>
        <w:t xml:space="preserve"> </w:t>
      </w:r>
      <w:r w:rsidR="00572B64">
        <w:rPr>
          <w:rStyle w:val="normaltextrun"/>
          <w:rFonts w:cstheme="minorHAnsi"/>
          <w:color w:val="000000"/>
          <w:shd w:val="clear" w:color="auto" w:fill="FFFFFF"/>
        </w:rPr>
        <w:t>This</w:t>
      </w:r>
      <w:r w:rsidR="003C6BEC" w:rsidRPr="005554C5">
        <w:rPr>
          <w:rFonts w:eastAsiaTheme="minorEastAsia" w:cstheme="minorHAnsi"/>
        </w:rPr>
        <w:t xml:space="preserve"> includes one pilot project for CCPR per year in 2025 and 2026. Additionally, it is also expected that 35% of ALDOT’s tonnage will utilize WMT with reduced temperatures in 2025 and increasing to 45% in 2026. Specifications will be developed and refined with incentives to scale the use of these technologies following the pilot projects. It is further anticipated that 60% of ALDOT’s tonnage will be produced using WMT technology with temperature reductions from 2027 through 2030. Since CCPR </w:t>
      </w:r>
      <w:r w:rsidR="004A5DA0" w:rsidRPr="005554C5">
        <w:rPr>
          <w:rFonts w:eastAsiaTheme="minorEastAsia" w:cstheme="minorHAnsi"/>
        </w:rPr>
        <w:t>must</w:t>
      </w:r>
      <w:r w:rsidR="003C6BEC" w:rsidRPr="005554C5">
        <w:rPr>
          <w:rFonts w:eastAsiaTheme="minorEastAsia" w:cstheme="minorHAnsi"/>
        </w:rPr>
        <w:t xml:space="preserve"> be used in lane widening, reconstruction or new construction projects, it is anticipated that </w:t>
      </w:r>
      <w:r w:rsidR="004A5DA0">
        <w:rPr>
          <w:rFonts w:eastAsiaTheme="minorEastAsia" w:cstheme="minorHAnsi"/>
        </w:rPr>
        <w:t>two</w:t>
      </w:r>
      <w:r w:rsidR="003C6BEC" w:rsidRPr="005554C5">
        <w:rPr>
          <w:rFonts w:eastAsiaTheme="minorEastAsia" w:cstheme="minorHAnsi"/>
        </w:rPr>
        <w:t xml:space="preserve"> CCPR projects will be let per year during 2027 and 2028.</w:t>
      </w:r>
      <w:r w:rsidR="00315A13">
        <w:rPr>
          <w:rFonts w:eastAsiaTheme="minorEastAsia" w:cstheme="minorHAns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5"/>
        <w:gridCol w:w="1260"/>
        <w:gridCol w:w="1530"/>
        <w:gridCol w:w="1530"/>
        <w:gridCol w:w="1350"/>
        <w:gridCol w:w="1410"/>
        <w:gridCol w:w="1465"/>
      </w:tblGrid>
      <w:tr w:rsidR="0082187C" w:rsidRPr="005554C5" w14:paraId="33844541" w14:textId="77777777" w:rsidTr="007F0AFD">
        <w:trPr>
          <w:trHeight w:val="690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0B7FA7A3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Year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B4ECA5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Alabama Tonnage (Short Ton)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8B5594D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AL Total GHG Emissions (MTCO</w:t>
            </w:r>
            <w:r w:rsidRPr="007F0AFD">
              <w:rPr>
                <w:rFonts w:eastAsiaTheme="minorEastAsia" w:cstheme="minorHAnsi"/>
                <w:b/>
                <w:bCs/>
                <w:color w:val="FFFFFF" w:themeColor="background1"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eq)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02FB5D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Pilot Tonnage (Short Ton)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15EDA69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Total GHG Emissions (MTCO</w:t>
            </w:r>
            <w:r w:rsidRPr="007F0AFD">
              <w:rPr>
                <w:rFonts w:eastAsiaTheme="minorEastAsia" w:cstheme="minorHAnsi"/>
                <w:b/>
                <w:bCs/>
                <w:color w:val="FFFFFF" w:themeColor="background1"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eq)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EEDAC90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Pilot GHG Reductions (MTCO</w:t>
            </w:r>
            <w:r w:rsidRPr="007F0AFD">
              <w:rPr>
                <w:rFonts w:eastAsiaTheme="minorEastAsia" w:cstheme="minorHAnsi"/>
                <w:b/>
                <w:bCs/>
                <w:color w:val="FFFFFF" w:themeColor="background1"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eq)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01CF8D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% Reductions (MTCO</w:t>
            </w:r>
            <w:r w:rsidRPr="007F0AFD">
              <w:rPr>
                <w:rFonts w:eastAsiaTheme="minorEastAsia" w:cstheme="minorHAnsi"/>
                <w:b/>
                <w:bCs/>
                <w:color w:val="FFFFFF" w:themeColor="background1"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  <w:color w:val="FFFFFF" w:themeColor="background1"/>
              </w:rPr>
              <w:t>eq)</w:t>
            </w:r>
          </w:p>
        </w:tc>
      </w:tr>
      <w:tr w:rsidR="0082187C" w:rsidRPr="005554C5" w14:paraId="729661DF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1959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DC67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B37A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F28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1,577,514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543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27,487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0DC75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8,145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2356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11%</w:t>
            </w:r>
          </w:p>
        </w:tc>
      </w:tr>
      <w:tr w:rsidR="0082187C" w:rsidRPr="005554C5" w14:paraId="31D1FCC9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9ABB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DAF0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FA69C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7821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2,017,514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5A66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35,153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CE02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9,954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F4CCC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13%</w:t>
            </w:r>
          </w:p>
        </w:tc>
      </w:tr>
      <w:tr w:rsidR="0082187C" w:rsidRPr="005554C5" w14:paraId="74108AD2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7A3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C8FF6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8D2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2371C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2,715,028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8EAFD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47,307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BC02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12,167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69220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82187C" w:rsidRPr="005554C5" w14:paraId="5B965347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9925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E7D9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4DA5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764E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2,715,028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24D20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47,307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5A6B4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12,167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93EAD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82187C" w:rsidRPr="005554C5" w14:paraId="31647D52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C23B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1971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1CCE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DC2DC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933B6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19307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23914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82187C" w:rsidRPr="005554C5" w14:paraId="67F8655B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89072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A6790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ECC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9CF4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536D9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068F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9329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82187C" w:rsidRPr="005554C5" w14:paraId="0FA4EE23" w14:textId="77777777" w:rsidTr="007F0AFD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F554F9E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6DC280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26,400,00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F88743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460,040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69CC57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14,305,084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D0E586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249,254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01F6D5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66,564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672938" w14:textId="77777777" w:rsidR="0082187C" w:rsidRPr="005554C5" w:rsidRDefault="0082187C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14%</w:t>
            </w:r>
          </w:p>
        </w:tc>
      </w:tr>
    </w:tbl>
    <w:p w14:paraId="5B428E4E" w14:textId="77777777" w:rsidR="003C6BEC" w:rsidRPr="00A6224C" w:rsidRDefault="003C6BEC" w:rsidP="003C6BEC">
      <w:pPr>
        <w:spacing w:after="0" w:line="240" w:lineRule="auto"/>
        <w:ind w:firstLine="360"/>
        <w:jc w:val="both"/>
        <w:rPr>
          <w:rFonts w:cstheme="minorHAnsi"/>
        </w:rPr>
      </w:pPr>
    </w:p>
    <w:p w14:paraId="0C858EB7" w14:textId="03FAD2F2" w:rsidR="003814D3" w:rsidRPr="00A6224C" w:rsidRDefault="003814D3" w:rsidP="003C6BEC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GHG Emission Reduction Estimates for 20</w:t>
      </w:r>
      <w:r w:rsidR="003451E6" w:rsidRPr="00A6224C">
        <w:rPr>
          <w:rFonts w:cstheme="minorHAnsi"/>
          <w:b/>
          <w:bCs/>
        </w:rPr>
        <w:t>25</w:t>
      </w:r>
      <w:r w:rsidRPr="00A6224C">
        <w:rPr>
          <w:rFonts w:cstheme="minorHAnsi"/>
          <w:b/>
          <w:bCs/>
        </w:rPr>
        <w:t>-2050</w:t>
      </w:r>
    </w:p>
    <w:p w14:paraId="762EADE9" w14:textId="4076591A" w:rsidR="001736B0" w:rsidRPr="009677AF" w:rsidRDefault="001736B0" w:rsidP="00FD29CA">
      <w:pPr>
        <w:spacing w:after="0" w:line="240" w:lineRule="auto"/>
        <w:ind w:firstLine="360"/>
        <w:jc w:val="both"/>
        <w:rPr>
          <w:rFonts w:cstheme="minorHAnsi"/>
        </w:rPr>
      </w:pPr>
      <w:r w:rsidRPr="001736B0">
        <w:rPr>
          <w:rFonts w:cstheme="minorHAnsi"/>
        </w:rPr>
        <w:t>Assuming the successful implementation and transition, 60% of ALDOT’s tonnage will continue to be produced using WMT with temperature reductions from 2030 through 2050, as stated under</w:t>
      </w:r>
      <w:r w:rsidRPr="00FD29CA">
        <w:rPr>
          <w:rFonts w:cstheme="minorHAnsi"/>
          <w:i/>
          <w:iCs/>
        </w:rPr>
        <w:t xml:space="preserve"> Section 1.a., Description of GHG Reduction Measures</w:t>
      </w:r>
      <w:r w:rsidR="00FD29CA">
        <w:rPr>
          <w:rFonts w:cstheme="minorHAnsi"/>
          <w:i/>
          <w:iCs/>
        </w:rPr>
        <w:t xml:space="preserve"> </w:t>
      </w:r>
      <w:r w:rsidR="00FD29CA">
        <w:rPr>
          <w:rFonts w:cstheme="minorHAnsi"/>
        </w:rPr>
        <w:t>of the workplan</w:t>
      </w:r>
      <w:r w:rsidRPr="001736B0">
        <w:rPr>
          <w:rFonts w:cstheme="minorHAnsi"/>
        </w:rPr>
        <w:t xml:space="preserve">. In addition, one CCPR project will be let every three years, starting in 2031, </w:t>
      </w:r>
      <w:proofErr w:type="gramStart"/>
      <w:r w:rsidRPr="001736B0">
        <w:rPr>
          <w:rFonts w:cstheme="minorHAnsi"/>
        </w:rPr>
        <w:t>as a result of</w:t>
      </w:r>
      <w:proofErr w:type="gramEnd"/>
      <w:r w:rsidRPr="001736B0">
        <w:rPr>
          <w:rFonts w:cstheme="minorHAnsi"/>
        </w:rPr>
        <w:t xml:space="preserve"> the specification change</w:t>
      </w:r>
      <w:r w:rsidR="005026AC">
        <w:rPr>
          <w:rFonts w:cstheme="minorHAnsi"/>
        </w:rPr>
        <w:t xml:space="preserve">. </w:t>
      </w:r>
      <w:r w:rsidRPr="001736B0">
        <w:rPr>
          <w:rFonts w:cstheme="minorHAnsi"/>
        </w:rPr>
        <w:t>According to these estimates, the total reduction in GHG emissions during this period will be 312,102 MTCO</w:t>
      </w:r>
      <w:r w:rsidRPr="007940B2">
        <w:rPr>
          <w:rFonts w:cstheme="minorHAnsi"/>
          <w:vertAlign w:val="subscript"/>
        </w:rPr>
        <w:t>2</w:t>
      </w:r>
      <w:r w:rsidRPr="001736B0">
        <w:rPr>
          <w:rFonts w:cstheme="minorHAnsi"/>
        </w:rPr>
        <w:t xml:space="preserve">e. This represents a 16% decrease </w:t>
      </w:r>
      <w:r w:rsidRPr="001736B0">
        <w:rPr>
          <w:rFonts w:cstheme="minorHAnsi"/>
        </w:rPr>
        <w:lastRenderedPageBreak/>
        <w:t xml:space="preserve">compared to the emissions that would have been produced if conventional HMA had been used. </w:t>
      </w:r>
      <w:r w:rsidR="009B27DA">
        <w:rPr>
          <w:rFonts w:eastAsiaTheme="minorEastAsia" w:cstheme="minorHAnsi"/>
        </w:rPr>
        <w:t xml:space="preserve">The table below summarizes the annual and cumulative </w:t>
      </w:r>
      <w:r w:rsidR="009B27DA" w:rsidRPr="007D37F9">
        <w:rPr>
          <w:rFonts w:eastAsiaTheme="minorEastAsia" w:cstheme="minorHAnsi"/>
        </w:rPr>
        <w:t>GHG Emission Reduction Estimates for 2025-20</w:t>
      </w:r>
      <w:r w:rsidR="009B27DA">
        <w:rPr>
          <w:rFonts w:eastAsiaTheme="minorEastAsia" w:cstheme="minorHAnsi"/>
        </w:rPr>
        <w:t>5</w:t>
      </w:r>
      <w:r w:rsidR="009B27DA" w:rsidRPr="007D37F9">
        <w:rPr>
          <w:rFonts w:eastAsiaTheme="minorEastAsia" w:cstheme="minorHAnsi"/>
        </w:rPr>
        <w:t>0</w:t>
      </w:r>
      <w:r w:rsidR="009B27DA">
        <w:rPr>
          <w:rFonts w:eastAsiaTheme="minorEastAsia" w:cstheme="minorHAnsi"/>
        </w:rPr>
        <w:t xml:space="preserve">. This table can also be found </w:t>
      </w:r>
      <w:r w:rsidR="009B27DA" w:rsidRPr="00214DEC">
        <w:rPr>
          <w:rFonts w:eastAsiaTheme="minorEastAsia" w:cstheme="minorHAnsi"/>
        </w:rPr>
        <w:t xml:space="preserve">in </w:t>
      </w:r>
      <w:r w:rsidR="009B27DA" w:rsidRPr="007D37F9">
        <w:rPr>
          <w:rFonts w:eastAsiaTheme="minorEastAsia" w:cstheme="minorHAnsi"/>
          <w:i/>
          <w:iCs/>
        </w:rPr>
        <w:t>Section 2</w:t>
      </w:r>
      <w:r w:rsidR="009B27DA">
        <w:rPr>
          <w:rFonts w:eastAsiaTheme="minorEastAsia" w:cstheme="minorHAnsi"/>
          <w:i/>
          <w:iCs/>
        </w:rPr>
        <w:t>.</w:t>
      </w:r>
      <w:r w:rsidR="009B27DA" w:rsidRPr="007D37F9">
        <w:rPr>
          <w:rFonts w:eastAsiaTheme="minorEastAsia" w:cstheme="minorHAnsi"/>
          <w:i/>
          <w:iCs/>
        </w:rPr>
        <w:t>a</w:t>
      </w:r>
      <w:r w:rsidR="009B27DA">
        <w:rPr>
          <w:rFonts w:eastAsiaTheme="minorEastAsia" w:cstheme="minorHAnsi"/>
        </w:rPr>
        <w:t xml:space="preserve">. </w:t>
      </w:r>
      <w:r w:rsidR="009677AF">
        <w:rPr>
          <w:rFonts w:eastAsiaTheme="minorEastAsia" w:cstheme="minorHAnsi"/>
        </w:rPr>
        <w:t xml:space="preserve">of the </w:t>
      </w:r>
      <w:r w:rsidR="009677AF">
        <w:rPr>
          <w:rFonts w:eastAsiaTheme="minorEastAsia" w:cstheme="minorHAnsi"/>
          <w:i/>
          <w:iCs/>
        </w:rPr>
        <w:t>Workplan</w:t>
      </w:r>
      <w:r w:rsidR="009677AF">
        <w:rPr>
          <w:rFonts w:eastAsiaTheme="minorEastAsia" w:cstheme="minorHAnsi"/>
        </w:rPr>
        <w:t>.</w:t>
      </w:r>
    </w:p>
    <w:tbl>
      <w:tblPr>
        <w:tblW w:w="9350" w:type="dxa"/>
        <w:tblLook w:val="04A0" w:firstRow="1" w:lastRow="0" w:firstColumn="1" w:lastColumn="0" w:noHBand="0" w:noVBand="1"/>
      </w:tblPr>
      <w:tblGrid>
        <w:gridCol w:w="806"/>
        <w:gridCol w:w="1440"/>
        <w:gridCol w:w="1575"/>
        <w:gridCol w:w="1440"/>
        <w:gridCol w:w="1395"/>
        <w:gridCol w:w="1335"/>
        <w:gridCol w:w="1359"/>
      </w:tblGrid>
      <w:tr w:rsidR="00216772" w:rsidRPr="005554C5" w14:paraId="2F858AC7" w14:textId="77777777" w:rsidTr="007F0AFD">
        <w:trPr>
          <w:trHeight w:val="690"/>
          <w:tblHeader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hideMark/>
          </w:tcPr>
          <w:p w14:paraId="55FCE7B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Year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2520CA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Alabama Tonnage (Short Ton)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0BD47B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AL Total GHG Emissions (MTCO</w:t>
            </w:r>
            <w:r w:rsidRPr="007F0AFD">
              <w:rPr>
                <w:rFonts w:eastAsiaTheme="minorEastAsia" w:cstheme="minorHAnsi"/>
                <w:b/>
                <w:bCs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</w:rPr>
              <w:t>eq)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78748BB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Pilot Tonnage (Short Ton)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A210F0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Total GHG Emissions (MTCO</w:t>
            </w:r>
            <w:r w:rsidRPr="007F0AFD">
              <w:rPr>
                <w:rFonts w:eastAsiaTheme="minorEastAsia" w:cstheme="minorHAnsi"/>
                <w:b/>
                <w:bCs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</w:rPr>
              <w:t>eq)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4B38D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Pilot GHG Reductions (MTCO</w:t>
            </w:r>
            <w:r w:rsidRPr="007F0AFD">
              <w:rPr>
                <w:rFonts w:eastAsiaTheme="minorEastAsia" w:cstheme="minorHAnsi"/>
                <w:b/>
                <w:bCs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</w:rPr>
              <w:t>eq)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DCF94A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FFFFFF"/>
              </w:rPr>
            </w:pPr>
            <w:r w:rsidRPr="005554C5">
              <w:rPr>
                <w:rFonts w:eastAsiaTheme="minorEastAsia" w:cstheme="minorHAnsi"/>
                <w:b/>
                <w:bCs/>
              </w:rPr>
              <w:t>% Reductions (MTCO</w:t>
            </w:r>
            <w:r w:rsidRPr="007F0AFD">
              <w:rPr>
                <w:rFonts w:eastAsiaTheme="minorEastAsia" w:cstheme="minorHAnsi"/>
                <w:b/>
                <w:bCs/>
                <w:vertAlign w:val="subscript"/>
              </w:rPr>
              <w:t>2</w:t>
            </w:r>
            <w:r w:rsidRPr="005554C5">
              <w:rPr>
                <w:rFonts w:eastAsiaTheme="minorEastAsia" w:cstheme="minorHAnsi"/>
                <w:b/>
                <w:bCs/>
              </w:rPr>
              <w:t>eq)</w:t>
            </w:r>
          </w:p>
        </w:tc>
      </w:tr>
      <w:tr w:rsidR="00216772" w:rsidRPr="005554C5" w14:paraId="0748C25A" w14:textId="77777777" w:rsidTr="007F0AFD">
        <w:trPr>
          <w:trHeight w:val="300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9C72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A6C0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007B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5AF6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1,577,514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7092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27,487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6743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8,145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3FB3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11%</w:t>
            </w:r>
          </w:p>
        </w:tc>
      </w:tr>
      <w:tr w:rsidR="00216772" w:rsidRPr="005554C5" w14:paraId="16D4A230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49C9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8E31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BC73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639C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2,017,514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2C1D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35,153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2F9F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9,954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870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13%</w:t>
            </w:r>
          </w:p>
        </w:tc>
      </w:tr>
      <w:tr w:rsidR="00216772" w:rsidRPr="005554C5" w14:paraId="54A6F2D1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EB71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F62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6301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0F0D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2,715,028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3A74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47,307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5BD8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12,167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43F8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766E927B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E19A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4B2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EDA1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112F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2,715,028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1AEE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47,307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A29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12,167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706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75EEF7D9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822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CDE2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4386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5331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4F70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6B2C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6065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3D753494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266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9574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E24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9A83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36F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69EE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FE9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04FA8A6F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EF02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C31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933E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909F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56C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D8C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EC3C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35974261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7A9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4205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A43C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7521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5B8B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C155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10F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57F38678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A4AE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7195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4E22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48BD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6A91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220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09A1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26B90998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A92F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4103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F516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25EB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6AB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F406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66E1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78799953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1E56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9C04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88A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A01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979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A9AB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EEE5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113966C8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C07A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61D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A82C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6D85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569B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5D74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1201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27300D1F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8B84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19F4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7744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993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2EA3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0B5D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C11B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7A613107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412D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6F6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37B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FCF4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FBD4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DD2A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7BD9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11C149A9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2DE5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79E2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BC23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7B0A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087E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A7A3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F6CE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7C798684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3A25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814E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6192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02BC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C9B7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9E7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FEF3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0F4AFDED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A7F3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F7E8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6E70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AB2E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A90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657B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FE4D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4DF7A4B5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C1D3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91EE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0A3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B9D5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0301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24E7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9F6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7CD67D33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846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141C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10A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A36A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E956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853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092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05E203CB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11C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C9B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299A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DED1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D7F7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0F37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293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6983D995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829E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D8F9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A5E8E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A717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F89B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273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36A5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2F416209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0FA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77FE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2E11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313B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828D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FC3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DAD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0E2A36E0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D28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A738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F0C2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6B7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56CE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D9A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E69B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0BD8852F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7D511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5AEA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A802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3548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F6CC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CFA0A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3344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567E7833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A0883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5320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F9D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73E4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2,677,514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A72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46,653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1555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12,669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8E7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17%</w:t>
            </w:r>
          </w:p>
        </w:tc>
      </w:tr>
      <w:tr w:rsidR="00216772" w:rsidRPr="005554C5" w14:paraId="54687A73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231B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2050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D8FD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3D41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76,673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C5DE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2,640,000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6852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46,000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DDFDD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12,066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20577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color w:val="000000" w:themeColor="text1"/>
              </w:rPr>
            </w:pPr>
            <w:r w:rsidRPr="005554C5">
              <w:rPr>
                <w:rFonts w:eastAsiaTheme="minorEastAsia" w:cstheme="minorHAnsi"/>
                <w:color w:val="000000" w:themeColor="text1"/>
              </w:rPr>
              <w:t>16%</w:t>
            </w:r>
          </w:p>
        </w:tc>
      </w:tr>
      <w:tr w:rsidR="00216772" w:rsidRPr="005554C5" w14:paraId="40DD2CE8" w14:textId="77777777" w:rsidTr="007F0AFD">
        <w:trPr>
          <w:trHeight w:val="30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472E6DE9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B3B5F35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114,400,000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04CBF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1,993,508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4D02B8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67,367,682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6E23B0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1,173,823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5BDE6C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312,102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37093A6" w14:textId="77777777" w:rsidR="00216772" w:rsidRPr="005554C5" w:rsidRDefault="00216772" w:rsidP="007F0AFD">
            <w:pPr>
              <w:spacing w:after="0" w:line="240" w:lineRule="auto"/>
              <w:rPr>
                <w:rFonts w:eastAsiaTheme="minorEastAsia" w:cstheme="minorHAnsi"/>
                <w:b/>
                <w:bCs/>
                <w:color w:val="000000" w:themeColor="text1"/>
              </w:rPr>
            </w:pPr>
            <w:r w:rsidRPr="005554C5">
              <w:rPr>
                <w:rFonts w:eastAsiaTheme="minorEastAsia" w:cstheme="minorHAnsi"/>
                <w:b/>
                <w:bCs/>
                <w:color w:val="000000" w:themeColor="text1"/>
              </w:rPr>
              <w:t>16%</w:t>
            </w:r>
          </w:p>
        </w:tc>
      </w:tr>
    </w:tbl>
    <w:p w14:paraId="435604A4" w14:textId="77777777" w:rsidR="00216772" w:rsidRDefault="00216772" w:rsidP="003C6BEC">
      <w:pPr>
        <w:spacing w:after="0" w:line="240" w:lineRule="auto"/>
        <w:jc w:val="both"/>
        <w:rPr>
          <w:rFonts w:cstheme="minorHAnsi"/>
        </w:rPr>
      </w:pPr>
    </w:p>
    <w:p w14:paraId="63C5F51C" w14:textId="77D2B801" w:rsidR="00B70631" w:rsidRPr="00A6224C" w:rsidRDefault="00B70631" w:rsidP="003C6BEC">
      <w:pPr>
        <w:spacing w:after="0" w:line="240" w:lineRule="auto"/>
        <w:jc w:val="both"/>
        <w:rPr>
          <w:rFonts w:cstheme="minorHAnsi"/>
          <w:b/>
          <w:bCs/>
        </w:rPr>
      </w:pPr>
      <w:r w:rsidRPr="00A6224C">
        <w:rPr>
          <w:rFonts w:cstheme="minorHAnsi"/>
          <w:b/>
          <w:bCs/>
        </w:rPr>
        <w:t>Cost Effectiveness</w:t>
      </w:r>
    </w:p>
    <w:p w14:paraId="4BDFB1BE" w14:textId="6EE5475D" w:rsidR="00B70631" w:rsidRPr="00A6224C" w:rsidRDefault="00B31A73" w:rsidP="00FD29CA">
      <w:pPr>
        <w:spacing w:after="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 xml:space="preserve">As outlined in the CPRG </w:t>
      </w:r>
      <w:r w:rsidR="007C33C3" w:rsidRPr="00A6224C">
        <w:rPr>
          <w:rFonts w:eastAsiaTheme="minorEastAsia" w:cstheme="minorHAnsi"/>
        </w:rPr>
        <w:t>NOFO</w:t>
      </w:r>
      <w:r w:rsidR="00EA4185" w:rsidRPr="00A6224C">
        <w:rPr>
          <w:rFonts w:eastAsiaTheme="minorEastAsia" w:cstheme="minorHAnsi"/>
        </w:rPr>
        <w:t xml:space="preserve">, the cost effectiveness of the GHG reductions anticipated from the measure included in the </w:t>
      </w:r>
      <w:r w:rsidR="00FF5DF6">
        <w:rPr>
          <w:rFonts w:eastAsiaTheme="minorEastAsia" w:cstheme="minorHAnsi"/>
        </w:rPr>
        <w:t>proposal</w:t>
      </w:r>
      <w:r w:rsidR="00EA4185" w:rsidRPr="00A6224C">
        <w:rPr>
          <w:rFonts w:eastAsiaTheme="minorEastAsia" w:cstheme="minorHAnsi"/>
        </w:rPr>
        <w:t xml:space="preserve"> can be calculated using the following calculation.</w:t>
      </w:r>
      <w:r w:rsidR="00887062">
        <w:rPr>
          <w:rStyle w:val="FootnoteReference"/>
          <w:rFonts w:eastAsiaTheme="minorEastAsia" w:cstheme="minorHAnsi"/>
        </w:rPr>
        <w:footnoteReference w:id="7"/>
      </w:r>
    </w:p>
    <w:p w14:paraId="6B9A9368" w14:textId="5E3DD66B" w:rsidR="00EA4185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w:lastRenderedPageBreak/>
            <m:t xml:space="preserve">Cost Effectiveness of GHG Reductions= 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Requested CPRG Funding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 xml:space="preserve">Sum of Quantified GHG Reductions from CPRG Funding from 2025-2030 </m:t>
              </m:r>
            </m:den>
          </m:f>
        </m:oMath>
      </m:oMathPara>
    </w:p>
    <w:p w14:paraId="268AF05C" w14:textId="60E8D311" w:rsidR="00C84D4A" w:rsidRPr="00A6224C" w:rsidRDefault="00C84D4A" w:rsidP="00BE4A88">
      <w:pPr>
        <w:spacing w:beforeLines="100" w:before="240" w:afterLines="100" w:after="240" w:line="240" w:lineRule="auto"/>
        <w:ind w:firstLine="360"/>
        <w:jc w:val="both"/>
        <w:rPr>
          <w:rFonts w:eastAsiaTheme="minorEastAsia" w:cstheme="minorHAnsi"/>
        </w:rPr>
      </w:pPr>
      <w:r w:rsidRPr="00A6224C">
        <w:rPr>
          <w:rFonts w:eastAsiaTheme="minorEastAsia" w:cstheme="minorHAnsi"/>
        </w:rPr>
        <w:t>Therefore, we can use the equation and plug in the known values from our estimates above and from the</w:t>
      </w:r>
      <w:r w:rsidR="00565974" w:rsidRPr="00A6224C">
        <w:rPr>
          <w:rFonts w:eastAsiaTheme="minorEastAsia" w:cstheme="minorHAnsi"/>
        </w:rPr>
        <w:t xml:space="preserve"> budgeted outlined in the Budget Narrative. </w:t>
      </w:r>
    </w:p>
    <w:p w14:paraId="12BEC520" w14:textId="0DEED015" w:rsidR="00C96DAD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Cost Effectiveness of GHG Reductions= 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$63,841,736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 xml:space="preserve">66,564 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=$959</m:t>
          </m:r>
        </m:oMath>
      </m:oMathPara>
    </w:p>
    <w:p w14:paraId="6AB2E662" w14:textId="0F71940F" w:rsidR="0081127B" w:rsidRPr="00A6224C" w:rsidRDefault="0081127B" w:rsidP="00BE4A88">
      <w:pPr>
        <w:spacing w:beforeLines="100" w:before="240" w:afterLines="100" w:after="240" w:line="240" w:lineRule="auto"/>
        <w:ind w:firstLine="360"/>
        <w:jc w:val="both"/>
        <w:rPr>
          <w:rFonts w:cstheme="minorHAnsi"/>
        </w:rPr>
      </w:pPr>
      <w:r w:rsidRPr="00A6224C">
        <w:rPr>
          <w:rFonts w:eastAsiaTheme="minorEastAsia" w:cstheme="minorHAnsi"/>
        </w:rPr>
        <w:t>Using the 2021 National Asphalt Pavement Association survey, approximately 4.4 million tons of HMA were produced in Alabama for Alabama Department of Transportation projects</w:t>
      </w:r>
      <w:r w:rsidR="00AE1799" w:rsidRPr="00A6224C">
        <w:rPr>
          <w:rFonts w:eastAsiaTheme="minorEastAsia" w:cstheme="minorHAnsi"/>
        </w:rPr>
        <w:t xml:space="preserve"> and</w:t>
      </w:r>
      <w:r w:rsidR="00956E6E" w:rsidRPr="00A6224C">
        <w:rPr>
          <w:rFonts w:eastAsiaTheme="minorEastAsia" w:cstheme="minorHAnsi"/>
        </w:rPr>
        <w:t xml:space="preserve"> 1.5 million tons of HMA were produced in Alabama for other agencies</w:t>
      </w:r>
      <w:r w:rsidRPr="00A6224C">
        <w:rPr>
          <w:rFonts w:eastAsiaTheme="minorEastAsia" w:cstheme="minorHAnsi"/>
        </w:rPr>
        <w:t>.</w:t>
      </w:r>
      <w:r w:rsidR="009717DA" w:rsidRPr="009717DA">
        <w:rPr>
          <w:rFonts w:eastAsiaTheme="minorEastAsia" w:cstheme="minorHAnsi"/>
          <w:vertAlign w:val="superscript"/>
        </w:rPr>
        <w:fldChar w:fldCharType="begin"/>
      </w:r>
      <w:r w:rsidR="009717DA" w:rsidRPr="009717DA">
        <w:rPr>
          <w:rFonts w:eastAsiaTheme="minorEastAsia" w:cstheme="minorHAnsi"/>
          <w:vertAlign w:val="superscript"/>
        </w:rPr>
        <w:instrText xml:space="preserve"> NOTEREF _Ref162531407 \h </w:instrText>
      </w:r>
      <w:r w:rsidR="009717DA">
        <w:rPr>
          <w:rFonts w:eastAsiaTheme="minorEastAsia" w:cstheme="minorHAnsi"/>
          <w:vertAlign w:val="superscript"/>
        </w:rPr>
        <w:instrText xml:space="preserve"> \* MERGEFORMAT </w:instrText>
      </w:r>
      <w:r w:rsidR="009717DA" w:rsidRPr="009717DA">
        <w:rPr>
          <w:rFonts w:eastAsiaTheme="minorEastAsia" w:cstheme="minorHAnsi"/>
          <w:vertAlign w:val="superscript"/>
        </w:rPr>
      </w:r>
      <w:r w:rsidR="009717DA" w:rsidRPr="009717DA">
        <w:rPr>
          <w:rFonts w:eastAsiaTheme="minorEastAsia" w:cstheme="minorHAnsi"/>
          <w:vertAlign w:val="superscript"/>
        </w:rPr>
        <w:fldChar w:fldCharType="separate"/>
      </w:r>
      <w:r w:rsidR="009717DA" w:rsidRPr="009717DA">
        <w:rPr>
          <w:rFonts w:eastAsiaTheme="minorEastAsia" w:cstheme="minorHAnsi"/>
          <w:vertAlign w:val="superscript"/>
        </w:rPr>
        <w:t>2</w:t>
      </w:r>
      <w:r w:rsidR="009717DA" w:rsidRPr="009717DA">
        <w:rPr>
          <w:rFonts w:eastAsiaTheme="minorEastAsia" w:cstheme="minorHAnsi"/>
          <w:vertAlign w:val="superscript"/>
        </w:rPr>
        <w:fldChar w:fldCharType="end"/>
      </w:r>
      <w:r w:rsidR="00956E6E" w:rsidRPr="00A6224C">
        <w:rPr>
          <w:rFonts w:eastAsiaTheme="minorEastAsia" w:cstheme="minorHAnsi"/>
        </w:rPr>
        <w:t xml:space="preserve"> </w:t>
      </w:r>
      <w:r w:rsidR="000D5029" w:rsidRPr="00A6224C">
        <w:rPr>
          <w:rFonts w:cstheme="minorHAnsi"/>
        </w:rPr>
        <w:t xml:space="preserve">Assuming that the technology and transition is successful, </w:t>
      </w:r>
      <w:r w:rsidR="008E6C1B" w:rsidRPr="00A6224C">
        <w:rPr>
          <w:rFonts w:cstheme="minorHAnsi"/>
        </w:rPr>
        <w:t>we can assume that other agencies</w:t>
      </w:r>
      <w:r w:rsidR="00786636" w:rsidRPr="00A6224C">
        <w:rPr>
          <w:rFonts w:cstheme="minorHAnsi"/>
        </w:rPr>
        <w:t xml:space="preserve"> will adopt</w:t>
      </w:r>
      <w:r w:rsidR="008E6C1B" w:rsidRPr="00A6224C">
        <w:rPr>
          <w:rFonts w:cstheme="minorHAnsi"/>
        </w:rPr>
        <w:t xml:space="preserve"> </w:t>
      </w:r>
      <w:r w:rsidR="000361CC" w:rsidRPr="00A6224C">
        <w:rPr>
          <w:rFonts w:cstheme="minorHAnsi"/>
        </w:rPr>
        <w:t>the use</w:t>
      </w:r>
      <w:r w:rsidR="008E6C1B" w:rsidRPr="00A6224C">
        <w:rPr>
          <w:rFonts w:cstheme="minorHAnsi"/>
        </w:rPr>
        <w:t xml:space="preserve"> of WMT with reduced temperatures from 2028 </w:t>
      </w:r>
      <w:r w:rsidR="00303BE1" w:rsidRPr="00A6224C">
        <w:rPr>
          <w:rFonts w:cstheme="minorHAnsi"/>
        </w:rPr>
        <w:t>through</w:t>
      </w:r>
      <w:r w:rsidR="008E6C1B" w:rsidRPr="00A6224C">
        <w:rPr>
          <w:rFonts w:cstheme="minorHAnsi"/>
        </w:rPr>
        <w:t xml:space="preserve"> 2030</w:t>
      </w:r>
      <w:r w:rsidR="00786636" w:rsidRPr="00A6224C">
        <w:rPr>
          <w:rFonts w:cstheme="minorHAnsi"/>
        </w:rPr>
        <w:t>.</w:t>
      </w:r>
      <w:r w:rsidR="004D4D61" w:rsidRPr="00A6224C">
        <w:rPr>
          <w:rFonts w:cstheme="minorHAnsi"/>
        </w:rPr>
        <w:t xml:space="preserve"> The table below outlines the GHG reductions and cost effectiveness of this scenario.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83"/>
        <w:gridCol w:w="1400"/>
        <w:gridCol w:w="1442"/>
        <w:gridCol w:w="1399"/>
        <w:gridCol w:w="1442"/>
        <w:gridCol w:w="1442"/>
        <w:gridCol w:w="1442"/>
      </w:tblGrid>
      <w:tr w:rsidR="00854B90" w:rsidRPr="00A6224C" w14:paraId="6CE1A92A" w14:textId="77777777" w:rsidTr="00BE4A88">
        <w:trPr>
          <w:trHeight w:val="675"/>
          <w:tblHeader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hideMark/>
          </w:tcPr>
          <w:p w14:paraId="00FFF103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Year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75CDB0A4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Alabama Tonnage (Short Ton)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6EFE7864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AL Total GHG Emissions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335D809A" w14:textId="10342C5E" w:rsidR="00854B90" w:rsidRPr="00A6224C" w:rsidRDefault="00A6224C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Pilot</w:t>
            </w:r>
            <w:r w:rsidR="00854B90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 xml:space="preserve"> Tonnage (Short Ton)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25476C9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Total GHG Emissions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401E7636" w14:textId="07FB504D" w:rsidR="00854B90" w:rsidRPr="00A6224C" w:rsidRDefault="00A6224C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Pilot</w:t>
            </w:r>
            <w:r w:rsidR="00854B90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 xml:space="preserve"> GHG Reductions (MTCO</w:t>
            </w:r>
            <w:r w:rsidR="00854B90"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="00854B90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6BA9D1C7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% Reductions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</w:tr>
      <w:tr w:rsidR="00854B90" w:rsidRPr="00A6224C" w14:paraId="2851CAD0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A36D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471D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21E6B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C484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1,577,514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057E4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27,487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8CBC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8,145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F489F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11%</w:t>
            </w:r>
          </w:p>
        </w:tc>
      </w:tr>
      <w:tr w:rsidR="00854B90" w:rsidRPr="00A6224C" w14:paraId="7B02E3C7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E593D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2648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9A6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B824A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2,017,514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CDEB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35,153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5E01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9,954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1179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13%</w:t>
            </w:r>
          </w:p>
        </w:tc>
      </w:tr>
      <w:tr w:rsidR="00854B90" w:rsidRPr="00A6224C" w14:paraId="5D5849B4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4706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68339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51DF0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A602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2,715,028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5267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47,307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D2670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12,167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87B8A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16%</w:t>
            </w:r>
          </w:p>
        </w:tc>
      </w:tr>
      <w:tr w:rsidR="00854B90" w:rsidRPr="00A6224C" w14:paraId="64BD1E1E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05FCD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7F40B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5,900,000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A292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102,802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9B13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3,615,028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5D2E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62,989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273FE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18,542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8BFA7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18%</w:t>
            </w:r>
          </w:p>
        </w:tc>
      </w:tr>
      <w:tr w:rsidR="00854B90" w:rsidRPr="00A6224C" w14:paraId="56903A20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9446F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2029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32081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5,900,000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2C7F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102,802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DECB3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3,540,000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FB2F2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61,681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0A450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17,335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C65F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17%</w:t>
            </w:r>
          </w:p>
        </w:tc>
      </w:tr>
      <w:tr w:rsidR="00854B90" w:rsidRPr="00A6224C" w14:paraId="70A8F67C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2BA7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2030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81CBB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5,900,000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001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102,802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710C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3,540,000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046D6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61,681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57C8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17,335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7DE7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17%</w:t>
            </w:r>
          </w:p>
        </w:tc>
      </w:tr>
      <w:tr w:rsidR="00854B90" w:rsidRPr="00A6224C" w14:paraId="00DAE547" w14:textId="77777777" w:rsidTr="00854B90">
        <w:trPr>
          <w:trHeight w:val="300"/>
        </w:trPr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1D04DEA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Total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5EDE337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30,900,000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D6A0A32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538,427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3815D417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17,005,084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D3A47FC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296,299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FE85F05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83,477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0921FCE" w14:textId="77777777" w:rsidR="00854B90" w:rsidRPr="00A6224C" w:rsidRDefault="00854B90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16%</w:t>
            </w:r>
          </w:p>
        </w:tc>
      </w:tr>
    </w:tbl>
    <w:p w14:paraId="4A506757" w14:textId="748A1420" w:rsidR="00481C3D" w:rsidRPr="00A6224C" w:rsidRDefault="00914652" w:rsidP="000361CC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Cost Effectiveness of GHG Reductions= 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$63,841,736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 xml:space="preserve">83,477 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=$765</m:t>
          </m:r>
        </m:oMath>
      </m:oMathPara>
    </w:p>
    <w:p w14:paraId="0CE613A0" w14:textId="1D609227" w:rsidR="00666D6D" w:rsidRPr="00A6224C" w:rsidRDefault="00294308" w:rsidP="00BE4A88">
      <w:pPr>
        <w:spacing w:beforeLines="100" w:before="240" w:afterLines="100" w:after="240" w:line="240" w:lineRule="auto"/>
        <w:ind w:firstLine="360"/>
        <w:jc w:val="both"/>
        <w:rPr>
          <w:rFonts w:cstheme="minorHAnsi"/>
        </w:rPr>
      </w:pPr>
      <w:r>
        <w:rPr>
          <w:rFonts w:eastAsiaTheme="minorEastAsia" w:cstheme="minorHAnsi"/>
        </w:rPr>
        <w:t>Using</w:t>
      </w:r>
      <w:r w:rsidR="00666D6D" w:rsidRPr="00A6224C">
        <w:rPr>
          <w:rFonts w:eastAsiaTheme="minorEastAsia" w:cstheme="minorHAnsi"/>
        </w:rPr>
        <w:t xml:space="preserve"> the 2021 National Asphalt Pavement Association survey, approximately 432.4 million tons of HMA were produced in Alabama</w:t>
      </w:r>
      <w:r w:rsidR="009717DA">
        <w:rPr>
          <w:rFonts w:eastAsiaTheme="minorEastAsia" w:cstheme="minorHAnsi"/>
        </w:rPr>
        <w:t>.</w:t>
      </w:r>
      <w:r w:rsidR="009717DA" w:rsidRPr="009717DA">
        <w:rPr>
          <w:rFonts w:eastAsiaTheme="minorEastAsia" w:cstheme="minorHAnsi"/>
          <w:vertAlign w:val="superscript"/>
        </w:rPr>
        <w:fldChar w:fldCharType="begin"/>
      </w:r>
      <w:r w:rsidR="009717DA" w:rsidRPr="009717DA">
        <w:rPr>
          <w:rFonts w:eastAsiaTheme="minorEastAsia" w:cstheme="minorHAnsi"/>
          <w:vertAlign w:val="superscript"/>
        </w:rPr>
        <w:instrText xml:space="preserve"> NOTEREF _Ref162531407 \h </w:instrText>
      </w:r>
      <w:r w:rsidR="009717DA">
        <w:rPr>
          <w:rFonts w:eastAsiaTheme="minorEastAsia" w:cstheme="minorHAnsi"/>
          <w:vertAlign w:val="superscript"/>
        </w:rPr>
        <w:instrText xml:space="preserve"> \* MERGEFORMAT </w:instrText>
      </w:r>
      <w:r w:rsidR="009717DA" w:rsidRPr="009717DA">
        <w:rPr>
          <w:rFonts w:eastAsiaTheme="minorEastAsia" w:cstheme="minorHAnsi"/>
          <w:vertAlign w:val="superscript"/>
        </w:rPr>
      </w:r>
      <w:r w:rsidR="009717DA" w:rsidRPr="009717DA">
        <w:rPr>
          <w:rFonts w:eastAsiaTheme="minorEastAsia" w:cstheme="minorHAnsi"/>
          <w:vertAlign w:val="superscript"/>
        </w:rPr>
        <w:fldChar w:fldCharType="separate"/>
      </w:r>
      <w:r w:rsidR="009717DA" w:rsidRPr="009717DA">
        <w:rPr>
          <w:rFonts w:eastAsiaTheme="minorEastAsia" w:cstheme="minorHAnsi"/>
          <w:vertAlign w:val="superscript"/>
        </w:rPr>
        <w:t>2</w:t>
      </w:r>
      <w:r w:rsidR="009717DA" w:rsidRPr="009717DA">
        <w:rPr>
          <w:rFonts w:eastAsiaTheme="minorEastAsia" w:cstheme="minorHAnsi"/>
          <w:vertAlign w:val="superscript"/>
        </w:rPr>
        <w:fldChar w:fldCharType="end"/>
      </w:r>
      <w:r w:rsidR="009717DA">
        <w:rPr>
          <w:rFonts w:eastAsiaTheme="minorEastAsia" w:cstheme="minorHAnsi"/>
        </w:rPr>
        <w:t xml:space="preserve"> </w:t>
      </w:r>
      <w:r w:rsidR="00666D6D" w:rsidRPr="00A6224C">
        <w:rPr>
          <w:rFonts w:cstheme="minorHAnsi"/>
        </w:rPr>
        <w:t xml:space="preserve">Assuming that the technology and transition is successful, we can assume </w:t>
      </w:r>
      <w:r w:rsidR="00CA2EF7" w:rsidRPr="00A6224C">
        <w:rPr>
          <w:rFonts w:cstheme="minorHAnsi"/>
        </w:rPr>
        <w:t xml:space="preserve">the </w:t>
      </w:r>
      <w:r w:rsidR="00666D6D" w:rsidRPr="00A6224C">
        <w:rPr>
          <w:rFonts w:cstheme="minorHAnsi"/>
        </w:rPr>
        <w:t xml:space="preserve">use of WMT with reduced temperatures from 2028 </w:t>
      </w:r>
      <w:r w:rsidR="00476D28" w:rsidRPr="00A6224C">
        <w:rPr>
          <w:rFonts w:cstheme="minorHAnsi"/>
        </w:rPr>
        <w:t>through</w:t>
      </w:r>
      <w:r w:rsidR="00666D6D" w:rsidRPr="00A6224C">
        <w:rPr>
          <w:rFonts w:cstheme="minorHAnsi"/>
        </w:rPr>
        <w:t xml:space="preserve"> 2030</w:t>
      </w:r>
      <w:r w:rsidR="00CA2EF7" w:rsidRPr="00A6224C">
        <w:rPr>
          <w:rFonts w:cstheme="minorHAnsi"/>
        </w:rPr>
        <w:t xml:space="preserve"> will be further </w:t>
      </w:r>
      <w:r w:rsidR="00AB2A37" w:rsidRPr="00A6224C">
        <w:rPr>
          <w:rFonts w:cstheme="minorHAnsi"/>
        </w:rPr>
        <w:t>adopted state-wide</w:t>
      </w:r>
      <w:r w:rsidR="00CA2EF7" w:rsidRPr="00A6224C">
        <w:rPr>
          <w:rFonts w:cstheme="minorHAnsi"/>
        </w:rPr>
        <w:t>.</w:t>
      </w:r>
      <w:r w:rsidR="00666D6D" w:rsidRPr="00A6224C">
        <w:rPr>
          <w:rFonts w:cstheme="minorHAnsi"/>
        </w:rPr>
        <w:t xml:space="preserve"> The table below outlines the GHG reductions and cost effectiveness of this scenario.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01"/>
        <w:gridCol w:w="1532"/>
        <w:gridCol w:w="1532"/>
        <w:gridCol w:w="1530"/>
        <w:gridCol w:w="1384"/>
        <w:gridCol w:w="1311"/>
        <w:gridCol w:w="1260"/>
      </w:tblGrid>
      <w:tr w:rsidR="00AB2A37" w:rsidRPr="00A6224C" w14:paraId="52F72D98" w14:textId="77777777" w:rsidTr="00751655">
        <w:trPr>
          <w:trHeight w:val="675"/>
          <w:jc w:val="center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hideMark/>
          </w:tcPr>
          <w:p w14:paraId="6F4EA812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Year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37929B46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Alabama Tonnage (Short Ton)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0E5B9317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AL Total GHG Emissions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6A2697D8" w14:textId="3F9B1C87" w:rsidR="00AB2A37" w:rsidRPr="00A6224C" w:rsidRDefault="00A6224C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Pilot</w:t>
            </w:r>
            <w:r w:rsidR="00AB2A37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 xml:space="preserve"> Tonnage (Short Ton)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326C2F0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Total GHG Emissions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7B557190" w14:textId="481E8E58" w:rsidR="00AB2A37" w:rsidRPr="00A6224C" w:rsidRDefault="00A6224C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Pilot</w:t>
            </w:r>
            <w:r w:rsidR="00AB2A37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 xml:space="preserve"> GHG Reductions (MTCO</w:t>
            </w:r>
            <w:r w:rsidR="00AB2A37"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="00AB2A37"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hideMark/>
          </w:tcPr>
          <w:p w14:paraId="17F2A6D6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% Reductions (MTCO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:vertAlign w:val="subscript"/>
                <w14:ligatures w14:val="none"/>
              </w:rPr>
              <w:t>2</w:t>
            </w:r>
            <w:r w:rsidRPr="00A6224C">
              <w:rPr>
                <w:rFonts w:eastAsia="Times New Roman" w:cstheme="minorHAnsi"/>
                <w:b/>
                <w:bCs/>
                <w:color w:val="FFFFFF"/>
                <w:kern w:val="0"/>
                <w14:ligatures w14:val="none"/>
              </w:rPr>
              <w:t>eq)</w:t>
            </w:r>
          </w:p>
        </w:tc>
      </w:tr>
      <w:tr w:rsidR="00AB2A37" w:rsidRPr="00A6224C" w14:paraId="31E8F8CC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EF7E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C955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AA324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8940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1,577,514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7390C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27,487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5F65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8,145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C7DF5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11%</w:t>
            </w:r>
          </w:p>
        </w:tc>
      </w:tr>
      <w:tr w:rsidR="00AB2A37" w:rsidRPr="00A6224C" w14:paraId="217B647E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D66F3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36500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679FB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268E1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2,017,514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86C2E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35,153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DF34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9,954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1941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13%</w:t>
            </w:r>
          </w:p>
        </w:tc>
      </w:tr>
      <w:tr w:rsidR="00AB2A37" w:rsidRPr="00A6224C" w14:paraId="27627FEE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EE59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68521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10B0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76,673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317A3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2,715,028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AAAE5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47,307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ADA01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12,167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9FE6E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16%</w:t>
            </w:r>
          </w:p>
        </w:tc>
      </w:tr>
      <w:tr w:rsidR="00AB2A37" w:rsidRPr="00A6224C" w14:paraId="7FCF0937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28942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85A82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432,400,000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4E32C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7,534,188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06CB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259,515,028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495F6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4,521,821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9B0A5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1,271,660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A7F35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17%</w:t>
            </w:r>
          </w:p>
        </w:tc>
      </w:tr>
      <w:tr w:rsidR="00AB2A37" w:rsidRPr="00A6224C" w14:paraId="6C38BC78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17193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2029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EF224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432,400,000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C0B79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7,534,188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0E3DF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259,440,000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BCA7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4,520,513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621DE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1,270,454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E1B43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17%</w:t>
            </w:r>
          </w:p>
        </w:tc>
      </w:tr>
      <w:tr w:rsidR="00AB2A37" w:rsidRPr="00A6224C" w14:paraId="784186EE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32D58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2030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F7C96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432,400,000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4462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7,534,188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B3EC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259,440,000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A9A1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4,520,513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5A76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1,270,454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91397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color w:val="000000"/>
                <w:kern w:val="0"/>
                <w14:ligatures w14:val="none"/>
              </w:rPr>
              <w:t>17%</w:t>
            </w:r>
          </w:p>
        </w:tc>
      </w:tr>
      <w:tr w:rsidR="00AB2A37" w:rsidRPr="00A6224C" w14:paraId="4BC6E39B" w14:textId="77777777" w:rsidTr="00751655">
        <w:trPr>
          <w:trHeight w:val="300"/>
          <w:jc w:val="center"/>
        </w:trPr>
        <w:tc>
          <w:tcPr>
            <w:tcW w:w="4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04E25B11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lastRenderedPageBreak/>
              <w:t>Total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7ACC3F5D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1,310,400,000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08A7C8B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22,832,586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27CC3774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784,705,084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7986EA8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13,672,794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47E0B91A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3,842,833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14:paraId="1329F5C9" w14:textId="77777777" w:rsidR="00AB2A37" w:rsidRPr="00A6224C" w:rsidRDefault="00AB2A37" w:rsidP="000361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A6224C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17%</w:t>
            </w:r>
          </w:p>
        </w:tc>
      </w:tr>
    </w:tbl>
    <w:p w14:paraId="2FDB41CC" w14:textId="39F29190" w:rsidR="0032682B" w:rsidRPr="00D85683" w:rsidRDefault="00914652" w:rsidP="00D85683">
      <w:pPr>
        <w:spacing w:beforeLines="100" w:before="240" w:afterLines="100" w:after="240" w:line="240" w:lineRule="auto"/>
        <w:jc w:val="both"/>
        <w:rPr>
          <w:rFonts w:eastAsiaTheme="minorEastAsia" w:cstheme="minorHAnsi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theme="minorHAnsi"/>
            </w:rPr>
            <m:t xml:space="preserve">Cost Effectiveness of GHG Reductions= </m:t>
          </m:r>
          <m:f>
            <m:fPr>
              <m:ctrlPr>
                <w:rPr>
                  <w:rFonts w:ascii="Cambria Math" w:eastAsiaTheme="minorEastAsia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>$63,841,736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theme="minorHAnsi"/>
                </w:rPr>
                <m:t xml:space="preserve">3,842,833 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theme="minorHAnsi"/>
            </w:rPr>
            <m:t>=$17</m:t>
          </m:r>
        </m:oMath>
      </m:oMathPara>
    </w:p>
    <w:sectPr w:rsidR="0032682B" w:rsidRPr="00D85683" w:rsidSect="006A4D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50497" w14:textId="77777777" w:rsidR="00E134E0" w:rsidRDefault="00E134E0" w:rsidP="00265816">
      <w:pPr>
        <w:spacing w:after="0" w:line="240" w:lineRule="auto"/>
      </w:pPr>
      <w:r>
        <w:separator/>
      </w:r>
    </w:p>
  </w:endnote>
  <w:endnote w:type="continuationSeparator" w:id="0">
    <w:p w14:paraId="21ECA58A" w14:textId="77777777" w:rsidR="00E134E0" w:rsidRDefault="00E134E0" w:rsidP="00265816">
      <w:pPr>
        <w:spacing w:after="0" w:line="240" w:lineRule="auto"/>
      </w:pPr>
      <w:r>
        <w:continuationSeparator/>
      </w:r>
    </w:p>
  </w:endnote>
  <w:endnote w:type="continuationNotice" w:id="1">
    <w:p w14:paraId="5FDE4A1B" w14:textId="77777777" w:rsidR="00E134E0" w:rsidRDefault="00E134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B728" w14:textId="77777777" w:rsidR="00794BC6" w:rsidRDefault="00794B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07042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57B128" w14:textId="042288F2" w:rsidR="00077CD6" w:rsidRDefault="00077C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BD9637" w14:textId="08AB4A8D" w:rsidR="00077CD6" w:rsidRDefault="00077C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F0C5" w14:textId="77777777" w:rsidR="00794BC6" w:rsidRDefault="00794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45D1F" w14:textId="77777777" w:rsidR="00E134E0" w:rsidRDefault="00E134E0" w:rsidP="00265816">
      <w:pPr>
        <w:spacing w:after="0" w:line="240" w:lineRule="auto"/>
      </w:pPr>
      <w:r>
        <w:separator/>
      </w:r>
    </w:p>
  </w:footnote>
  <w:footnote w:type="continuationSeparator" w:id="0">
    <w:p w14:paraId="2D864AE3" w14:textId="77777777" w:rsidR="00E134E0" w:rsidRDefault="00E134E0" w:rsidP="00265816">
      <w:pPr>
        <w:spacing w:after="0" w:line="240" w:lineRule="auto"/>
      </w:pPr>
      <w:r>
        <w:continuationSeparator/>
      </w:r>
    </w:p>
  </w:footnote>
  <w:footnote w:type="continuationNotice" w:id="1">
    <w:p w14:paraId="07C971A9" w14:textId="77777777" w:rsidR="00E134E0" w:rsidRDefault="00E134E0">
      <w:pPr>
        <w:spacing w:after="0" w:line="240" w:lineRule="auto"/>
      </w:pPr>
    </w:p>
  </w:footnote>
  <w:footnote w:id="2">
    <w:p w14:paraId="4897B1FC" w14:textId="26984FD6" w:rsidR="00294308" w:rsidRDefault="0029430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E33C4" w:rsidRPr="00AE33C4">
        <w:t>Michigan Technological University</w:t>
      </w:r>
      <w:r w:rsidR="00AE33C4">
        <w:t xml:space="preserve"> (2021). Update to the Life Cycle Assessment for Asphalt Mixtures in Support of the Emerald Eco Label Environmental Product Declaration Program. Available online at:</w:t>
      </w:r>
      <w:r w:rsidR="00AE33C4" w:rsidRPr="00AE33C4">
        <w:t xml:space="preserve"> </w:t>
      </w:r>
      <w:hyperlink r:id="rId1" w:history="1">
        <w:r w:rsidR="00AE33C4">
          <w:rPr>
            <w:rStyle w:val="Hyperlink"/>
          </w:rPr>
          <w:t>LCA_Asphalt_Mixtures_07_29_2021.pdf (asphaltpavement.org)</w:t>
        </w:r>
      </w:hyperlink>
    </w:p>
  </w:footnote>
  <w:footnote w:id="3">
    <w:p w14:paraId="1D9715AC" w14:textId="448033D8" w:rsidR="002D62B5" w:rsidRDefault="002D62B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D62B5">
        <w:t xml:space="preserve">National Asphalt Paving Association (2021). Asphalt Pavement Industry Survey on Recycled Materials and Warm-Mix Asphalt Usage 2021. Available online at: </w:t>
      </w:r>
      <w:hyperlink r:id="rId2" w:history="1">
        <w:r w:rsidR="00B53D5C">
          <w:rPr>
            <w:rStyle w:val="Hyperlink"/>
          </w:rPr>
          <w:t>NAPA &gt; Shop &gt; Product Catalog &gt; Product Details (asphaltpavement.org)</w:t>
        </w:r>
      </w:hyperlink>
    </w:p>
  </w:footnote>
  <w:footnote w:id="4">
    <w:p w14:paraId="1C6B347C" w14:textId="71BD48CA" w:rsidR="00B53D5C" w:rsidRDefault="00B53D5C">
      <w:pPr>
        <w:pStyle w:val="FootnoteText"/>
      </w:pPr>
      <w:r>
        <w:rPr>
          <w:rStyle w:val="FootnoteReference"/>
        </w:rPr>
        <w:footnoteRef/>
      </w:r>
      <w:r>
        <w:t xml:space="preserve"> Environmental Protection Agency (2024). GHG Emission Factors Hub. Available online at:</w:t>
      </w:r>
      <w:r w:rsidRPr="00B53D5C">
        <w:t xml:space="preserve"> </w:t>
      </w:r>
      <w:hyperlink r:id="rId3" w:history="1">
        <w:r>
          <w:rPr>
            <w:rStyle w:val="Hyperlink"/>
          </w:rPr>
          <w:t>GHG Emission Factors Hub | US EPA</w:t>
        </w:r>
      </w:hyperlink>
    </w:p>
  </w:footnote>
  <w:footnote w:id="5">
    <w:p w14:paraId="209DC9D8" w14:textId="52054D03" w:rsidR="000122EB" w:rsidRDefault="000122EB">
      <w:pPr>
        <w:pStyle w:val="FootnoteText"/>
      </w:pPr>
      <w:r>
        <w:rPr>
          <w:rStyle w:val="FootnoteReference"/>
        </w:rPr>
        <w:footnoteRef/>
      </w:r>
      <w:r>
        <w:t xml:space="preserve"> Environmental Protection Agency (2021). Power Profiler. Available online at:</w:t>
      </w:r>
      <w:r w:rsidRPr="000122EB">
        <w:t xml:space="preserve"> </w:t>
      </w:r>
      <w:hyperlink r:id="rId4" w:anchor="/" w:history="1">
        <w:r>
          <w:rPr>
            <w:rStyle w:val="Hyperlink"/>
          </w:rPr>
          <w:t>Power Profiler | US EPA</w:t>
        </w:r>
      </w:hyperlink>
    </w:p>
  </w:footnote>
  <w:footnote w:id="6">
    <w:p w14:paraId="78280734" w14:textId="05C8B70E" w:rsidR="000122EB" w:rsidRDefault="000122EB">
      <w:pPr>
        <w:pStyle w:val="FootnoteText"/>
      </w:pPr>
      <w:r>
        <w:rPr>
          <w:rStyle w:val="FootnoteReference"/>
        </w:rPr>
        <w:footnoteRef/>
      </w:r>
      <w:r>
        <w:t xml:space="preserve"> National Center for Asphalt Technology (2014). Warm Mix Asphalt: Environmental Issues and Safety Concerns. Available online at: </w:t>
      </w:r>
      <w:hyperlink r:id="rId5" w:history="1">
        <w:r>
          <w:rPr>
            <w:rStyle w:val="Hyperlink"/>
          </w:rPr>
          <w:t>NCAT Pavement Test Track (ctep.ca)</w:t>
        </w:r>
      </w:hyperlink>
    </w:p>
  </w:footnote>
  <w:footnote w:id="7">
    <w:p w14:paraId="6CEFBB49" w14:textId="13489703" w:rsidR="00887062" w:rsidRDefault="00887062">
      <w:pPr>
        <w:pStyle w:val="FootnoteText"/>
      </w:pPr>
      <w:r>
        <w:rPr>
          <w:rStyle w:val="FootnoteReference"/>
        </w:rPr>
        <w:footnoteRef/>
      </w:r>
      <w:r>
        <w:t xml:space="preserve"> Environmental Protection Agency (2024). Climate Pollution Reduction Grants Program: Implementation Grants – General Competition Noti</w:t>
      </w:r>
      <w:r w:rsidR="003A2124">
        <w:t>ce of Funding Opportunity. Available online at:</w:t>
      </w:r>
      <w:r w:rsidR="003A2124" w:rsidRPr="003A2124">
        <w:t xml:space="preserve"> </w:t>
      </w:r>
      <w:hyperlink r:id="rId6" w:history="1">
        <w:r w:rsidR="003A2124">
          <w:rPr>
            <w:rStyle w:val="Hyperlink"/>
          </w:rPr>
          <w:t>cprg-general-competition-correction.pdf (epa.gov)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CC154" w14:textId="77777777" w:rsidR="00794BC6" w:rsidRDefault="00794B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AE09D" w14:textId="675F0B91" w:rsidR="00BB7F04" w:rsidRDefault="00794BC6">
    <w:pPr>
      <w:pStyle w:val="Header"/>
    </w:pPr>
    <w:r>
      <w:t>Techappx</w:t>
    </w:r>
    <w:r w:rsidR="00BB7F04">
      <w:t>_ALDOT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14BF2" w14:textId="77777777" w:rsidR="00794BC6" w:rsidRDefault="00794B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60830"/>
    <w:multiLevelType w:val="hybridMultilevel"/>
    <w:tmpl w:val="96D61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A0D18"/>
    <w:multiLevelType w:val="hybridMultilevel"/>
    <w:tmpl w:val="E51CE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20CA6"/>
    <w:multiLevelType w:val="hybridMultilevel"/>
    <w:tmpl w:val="BC94F4A2"/>
    <w:lvl w:ilvl="0" w:tplc="8508E7A2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59737">
    <w:abstractNumId w:val="1"/>
  </w:num>
  <w:num w:numId="2" w16cid:durableId="1102262997">
    <w:abstractNumId w:val="2"/>
  </w:num>
  <w:num w:numId="3" w16cid:durableId="95062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154"/>
    <w:rsid w:val="00002E37"/>
    <w:rsid w:val="0000717C"/>
    <w:rsid w:val="000122EB"/>
    <w:rsid w:val="00012438"/>
    <w:rsid w:val="00012CB2"/>
    <w:rsid w:val="00015F58"/>
    <w:rsid w:val="000161C2"/>
    <w:rsid w:val="0001666A"/>
    <w:rsid w:val="000206FA"/>
    <w:rsid w:val="0002398C"/>
    <w:rsid w:val="000240FC"/>
    <w:rsid w:val="0002504A"/>
    <w:rsid w:val="00030479"/>
    <w:rsid w:val="000324E4"/>
    <w:rsid w:val="00032B41"/>
    <w:rsid w:val="00032FD7"/>
    <w:rsid w:val="000361CC"/>
    <w:rsid w:val="00040A81"/>
    <w:rsid w:val="000421BD"/>
    <w:rsid w:val="00043870"/>
    <w:rsid w:val="0004470F"/>
    <w:rsid w:val="00046E5A"/>
    <w:rsid w:val="00051CDE"/>
    <w:rsid w:val="0005323A"/>
    <w:rsid w:val="0005343D"/>
    <w:rsid w:val="000561B4"/>
    <w:rsid w:val="00056DB7"/>
    <w:rsid w:val="00057A65"/>
    <w:rsid w:val="00063214"/>
    <w:rsid w:val="0006394C"/>
    <w:rsid w:val="000659E6"/>
    <w:rsid w:val="00065E9C"/>
    <w:rsid w:val="0007214C"/>
    <w:rsid w:val="00077CD6"/>
    <w:rsid w:val="00081500"/>
    <w:rsid w:val="00081F11"/>
    <w:rsid w:val="00082256"/>
    <w:rsid w:val="00092E92"/>
    <w:rsid w:val="00094152"/>
    <w:rsid w:val="000A0555"/>
    <w:rsid w:val="000A3634"/>
    <w:rsid w:val="000A65AE"/>
    <w:rsid w:val="000A6F30"/>
    <w:rsid w:val="000A7E83"/>
    <w:rsid w:val="000B0441"/>
    <w:rsid w:val="000B4A31"/>
    <w:rsid w:val="000B530E"/>
    <w:rsid w:val="000B6AB1"/>
    <w:rsid w:val="000B7382"/>
    <w:rsid w:val="000C0047"/>
    <w:rsid w:val="000C55B3"/>
    <w:rsid w:val="000C650D"/>
    <w:rsid w:val="000D2DC0"/>
    <w:rsid w:val="000D5029"/>
    <w:rsid w:val="000D666A"/>
    <w:rsid w:val="000E578C"/>
    <w:rsid w:val="000E5D0D"/>
    <w:rsid w:val="000E6F91"/>
    <w:rsid w:val="000F2527"/>
    <w:rsid w:val="000F3335"/>
    <w:rsid w:val="000F54BC"/>
    <w:rsid w:val="00100B08"/>
    <w:rsid w:val="00111A00"/>
    <w:rsid w:val="00114B38"/>
    <w:rsid w:val="001155AF"/>
    <w:rsid w:val="001210F9"/>
    <w:rsid w:val="00125BC1"/>
    <w:rsid w:val="00126412"/>
    <w:rsid w:val="00126949"/>
    <w:rsid w:val="00131341"/>
    <w:rsid w:val="00132743"/>
    <w:rsid w:val="00133781"/>
    <w:rsid w:val="00134346"/>
    <w:rsid w:val="00134CD4"/>
    <w:rsid w:val="00134F95"/>
    <w:rsid w:val="0013654E"/>
    <w:rsid w:val="00140D9A"/>
    <w:rsid w:val="00142A38"/>
    <w:rsid w:val="00145789"/>
    <w:rsid w:val="00147C78"/>
    <w:rsid w:val="001503B0"/>
    <w:rsid w:val="00150542"/>
    <w:rsid w:val="00151DDA"/>
    <w:rsid w:val="001533C6"/>
    <w:rsid w:val="00155EA4"/>
    <w:rsid w:val="001644FD"/>
    <w:rsid w:val="0017036A"/>
    <w:rsid w:val="00170EE7"/>
    <w:rsid w:val="00171040"/>
    <w:rsid w:val="001736B0"/>
    <w:rsid w:val="0017413C"/>
    <w:rsid w:val="0017438D"/>
    <w:rsid w:val="001760A5"/>
    <w:rsid w:val="001770A4"/>
    <w:rsid w:val="0018182D"/>
    <w:rsid w:val="0018363E"/>
    <w:rsid w:val="00184D09"/>
    <w:rsid w:val="00186C85"/>
    <w:rsid w:val="001872F0"/>
    <w:rsid w:val="00187E62"/>
    <w:rsid w:val="00190D81"/>
    <w:rsid w:val="00193EE0"/>
    <w:rsid w:val="00194CC9"/>
    <w:rsid w:val="00195351"/>
    <w:rsid w:val="001A26F4"/>
    <w:rsid w:val="001A3737"/>
    <w:rsid w:val="001A4B8C"/>
    <w:rsid w:val="001B00BE"/>
    <w:rsid w:val="001B0749"/>
    <w:rsid w:val="001B1B68"/>
    <w:rsid w:val="001B4DBE"/>
    <w:rsid w:val="001B5133"/>
    <w:rsid w:val="001C471F"/>
    <w:rsid w:val="001C4E5C"/>
    <w:rsid w:val="001C666E"/>
    <w:rsid w:val="001C69B3"/>
    <w:rsid w:val="001C7058"/>
    <w:rsid w:val="001D0374"/>
    <w:rsid w:val="001D2B09"/>
    <w:rsid w:val="001D3236"/>
    <w:rsid w:val="001D6D90"/>
    <w:rsid w:val="001E2D10"/>
    <w:rsid w:val="001F1110"/>
    <w:rsid w:val="001F19F7"/>
    <w:rsid w:val="001F2E8D"/>
    <w:rsid w:val="001F2F8F"/>
    <w:rsid w:val="001F3668"/>
    <w:rsid w:val="001F6F54"/>
    <w:rsid w:val="002014DA"/>
    <w:rsid w:val="002030C8"/>
    <w:rsid w:val="00204781"/>
    <w:rsid w:val="00204896"/>
    <w:rsid w:val="0020540F"/>
    <w:rsid w:val="0021345B"/>
    <w:rsid w:val="00214DEC"/>
    <w:rsid w:val="00216772"/>
    <w:rsid w:val="00217CE5"/>
    <w:rsid w:val="00220B1F"/>
    <w:rsid w:val="00221379"/>
    <w:rsid w:val="00224B95"/>
    <w:rsid w:val="00225438"/>
    <w:rsid w:val="00225B07"/>
    <w:rsid w:val="00225E90"/>
    <w:rsid w:val="00226C42"/>
    <w:rsid w:val="002303B8"/>
    <w:rsid w:val="00235CC1"/>
    <w:rsid w:val="00235DE7"/>
    <w:rsid w:val="00236F2A"/>
    <w:rsid w:val="00242019"/>
    <w:rsid w:val="00244043"/>
    <w:rsid w:val="002466A5"/>
    <w:rsid w:val="00251016"/>
    <w:rsid w:val="002539F5"/>
    <w:rsid w:val="00265816"/>
    <w:rsid w:val="002673E0"/>
    <w:rsid w:val="002704F4"/>
    <w:rsid w:val="0027139A"/>
    <w:rsid w:val="00272AE2"/>
    <w:rsid w:val="0027344A"/>
    <w:rsid w:val="00276A57"/>
    <w:rsid w:val="002814D3"/>
    <w:rsid w:val="00284612"/>
    <w:rsid w:val="002878A9"/>
    <w:rsid w:val="00287E60"/>
    <w:rsid w:val="002930A8"/>
    <w:rsid w:val="00294308"/>
    <w:rsid w:val="00294CE9"/>
    <w:rsid w:val="002A1C2E"/>
    <w:rsid w:val="002A5C22"/>
    <w:rsid w:val="002B1E0F"/>
    <w:rsid w:val="002B2EB9"/>
    <w:rsid w:val="002B4448"/>
    <w:rsid w:val="002B46F9"/>
    <w:rsid w:val="002B6CF9"/>
    <w:rsid w:val="002C089F"/>
    <w:rsid w:val="002C1593"/>
    <w:rsid w:val="002C4041"/>
    <w:rsid w:val="002C5975"/>
    <w:rsid w:val="002C63E0"/>
    <w:rsid w:val="002C7BCA"/>
    <w:rsid w:val="002D5697"/>
    <w:rsid w:val="002D62B5"/>
    <w:rsid w:val="002E04EC"/>
    <w:rsid w:val="002E4A42"/>
    <w:rsid w:val="002F5C61"/>
    <w:rsid w:val="002F61EB"/>
    <w:rsid w:val="002F6536"/>
    <w:rsid w:val="002F761F"/>
    <w:rsid w:val="00300B62"/>
    <w:rsid w:val="00301B2F"/>
    <w:rsid w:val="00301B43"/>
    <w:rsid w:val="00302A9B"/>
    <w:rsid w:val="003030FE"/>
    <w:rsid w:val="00303BE1"/>
    <w:rsid w:val="00304787"/>
    <w:rsid w:val="00315A13"/>
    <w:rsid w:val="003179DC"/>
    <w:rsid w:val="00320259"/>
    <w:rsid w:val="00322519"/>
    <w:rsid w:val="00324024"/>
    <w:rsid w:val="0032682B"/>
    <w:rsid w:val="00327C05"/>
    <w:rsid w:val="003333A3"/>
    <w:rsid w:val="00341DEA"/>
    <w:rsid w:val="003451E6"/>
    <w:rsid w:val="003460D0"/>
    <w:rsid w:val="003461D4"/>
    <w:rsid w:val="00346E6B"/>
    <w:rsid w:val="0035380D"/>
    <w:rsid w:val="00353D55"/>
    <w:rsid w:val="0036256F"/>
    <w:rsid w:val="003626AF"/>
    <w:rsid w:val="00363C13"/>
    <w:rsid w:val="003650BD"/>
    <w:rsid w:val="00367CA8"/>
    <w:rsid w:val="003702A5"/>
    <w:rsid w:val="003712FD"/>
    <w:rsid w:val="0037241B"/>
    <w:rsid w:val="00372612"/>
    <w:rsid w:val="003734B7"/>
    <w:rsid w:val="00374B30"/>
    <w:rsid w:val="003764DE"/>
    <w:rsid w:val="003764ED"/>
    <w:rsid w:val="003807E3"/>
    <w:rsid w:val="003814D3"/>
    <w:rsid w:val="00382692"/>
    <w:rsid w:val="00391835"/>
    <w:rsid w:val="003918E6"/>
    <w:rsid w:val="00392CCB"/>
    <w:rsid w:val="00394A00"/>
    <w:rsid w:val="00394B15"/>
    <w:rsid w:val="00396B2A"/>
    <w:rsid w:val="00397B79"/>
    <w:rsid w:val="003A0B0D"/>
    <w:rsid w:val="003A2124"/>
    <w:rsid w:val="003A4346"/>
    <w:rsid w:val="003A757D"/>
    <w:rsid w:val="003B5807"/>
    <w:rsid w:val="003B63D7"/>
    <w:rsid w:val="003B65B7"/>
    <w:rsid w:val="003B7133"/>
    <w:rsid w:val="003B7583"/>
    <w:rsid w:val="003C11EA"/>
    <w:rsid w:val="003C347C"/>
    <w:rsid w:val="003C3BB2"/>
    <w:rsid w:val="003C50F0"/>
    <w:rsid w:val="003C569A"/>
    <w:rsid w:val="003C66FF"/>
    <w:rsid w:val="003C6BEC"/>
    <w:rsid w:val="003C7201"/>
    <w:rsid w:val="003C7317"/>
    <w:rsid w:val="003D25AC"/>
    <w:rsid w:val="003D2630"/>
    <w:rsid w:val="003D4A48"/>
    <w:rsid w:val="003E46F2"/>
    <w:rsid w:val="003E54B7"/>
    <w:rsid w:val="003E55FD"/>
    <w:rsid w:val="003E660E"/>
    <w:rsid w:val="003E7EA1"/>
    <w:rsid w:val="003F32DE"/>
    <w:rsid w:val="003F5238"/>
    <w:rsid w:val="003F52F9"/>
    <w:rsid w:val="003F6970"/>
    <w:rsid w:val="00404617"/>
    <w:rsid w:val="00405DE2"/>
    <w:rsid w:val="00421FEB"/>
    <w:rsid w:val="00424A97"/>
    <w:rsid w:val="00427F35"/>
    <w:rsid w:val="00433435"/>
    <w:rsid w:val="00435ACA"/>
    <w:rsid w:val="00437899"/>
    <w:rsid w:val="00444A7B"/>
    <w:rsid w:val="00445270"/>
    <w:rsid w:val="00446526"/>
    <w:rsid w:val="00446C54"/>
    <w:rsid w:val="00451401"/>
    <w:rsid w:val="00451AA5"/>
    <w:rsid w:val="00451BC5"/>
    <w:rsid w:val="004525AC"/>
    <w:rsid w:val="0045404F"/>
    <w:rsid w:val="00455632"/>
    <w:rsid w:val="004575D2"/>
    <w:rsid w:val="00467327"/>
    <w:rsid w:val="004715E0"/>
    <w:rsid w:val="00476D28"/>
    <w:rsid w:val="00477E42"/>
    <w:rsid w:val="00480874"/>
    <w:rsid w:val="00481855"/>
    <w:rsid w:val="00481C3D"/>
    <w:rsid w:val="00482058"/>
    <w:rsid w:val="00482CBF"/>
    <w:rsid w:val="00483846"/>
    <w:rsid w:val="004843C3"/>
    <w:rsid w:val="00491527"/>
    <w:rsid w:val="00491BF2"/>
    <w:rsid w:val="00491C58"/>
    <w:rsid w:val="00491FE7"/>
    <w:rsid w:val="004925FC"/>
    <w:rsid w:val="004A1FA2"/>
    <w:rsid w:val="004A24FD"/>
    <w:rsid w:val="004A5DA0"/>
    <w:rsid w:val="004A6293"/>
    <w:rsid w:val="004A7BA6"/>
    <w:rsid w:val="004B34BE"/>
    <w:rsid w:val="004B439B"/>
    <w:rsid w:val="004C4079"/>
    <w:rsid w:val="004C57F1"/>
    <w:rsid w:val="004D1AAF"/>
    <w:rsid w:val="004D4D61"/>
    <w:rsid w:val="004E31F3"/>
    <w:rsid w:val="004E5610"/>
    <w:rsid w:val="004E65B2"/>
    <w:rsid w:val="004F12C3"/>
    <w:rsid w:val="004F278B"/>
    <w:rsid w:val="004F6FD0"/>
    <w:rsid w:val="004F7814"/>
    <w:rsid w:val="005026AC"/>
    <w:rsid w:val="00503D7E"/>
    <w:rsid w:val="00503E92"/>
    <w:rsid w:val="005111C7"/>
    <w:rsid w:val="005126B2"/>
    <w:rsid w:val="0051754C"/>
    <w:rsid w:val="005205F9"/>
    <w:rsid w:val="00525050"/>
    <w:rsid w:val="00530154"/>
    <w:rsid w:val="00540E49"/>
    <w:rsid w:val="00542D91"/>
    <w:rsid w:val="005434AE"/>
    <w:rsid w:val="00545233"/>
    <w:rsid w:val="00547105"/>
    <w:rsid w:val="00550B9A"/>
    <w:rsid w:val="00554486"/>
    <w:rsid w:val="00554541"/>
    <w:rsid w:val="005601F9"/>
    <w:rsid w:val="00562761"/>
    <w:rsid w:val="00564224"/>
    <w:rsid w:val="00565974"/>
    <w:rsid w:val="00571C6F"/>
    <w:rsid w:val="00572B64"/>
    <w:rsid w:val="005730BD"/>
    <w:rsid w:val="00577539"/>
    <w:rsid w:val="0058124C"/>
    <w:rsid w:val="005814F5"/>
    <w:rsid w:val="00583EE3"/>
    <w:rsid w:val="00585E67"/>
    <w:rsid w:val="00586338"/>
    <w:rsid w:val="0059034A"/>
    <w:rsid w:val="00591B8C"/>
    <w:rsid w:val="00596199"/>
    <w:rsid w:val="005A15BD"/>
    <w:rsid w:val="005A2A17"/>
    <w:rsid w:val="005A32C8"/>
    <w:rsid w:val="005B0923"/>
    <w:rsid w:val="005B0C03"/>
    <w:rsid w:val="005B1460"/>
    <w:rsid w:val="005B3048"/>
    <w:rsid w:val="005B3DA3"/>
    <w:rsid w:val="005B4531"/>
    <w:rsid w:val="005B5330"/>
    <w:rsid w:val="005B6291"/>
    <w:rsid w:val="005B64D3"/>
    <w:rsid w:val="005B6774"/>
    <w:rsid w:val="005C2233"/>
    <w:rsid w:val="005C6719"/>
    <w:rsid w:val="005C69FA"/>
    <w:rsid w:val="005C7BC9"/>
    <w:rsid w:val="005D4A74"/>
    <w:rsid w:val="005D5686"/>
    <w:rsid w:val="005D5691"/>
    <w:rsid w:val="005E0870"/>
    <w:rsid w:val="005E12A1"/>
    <w:rsid w:val="005E326D"/>
    <w:rsid w:val="005E3460"/>
    <w:rsid w:val="005E38A3"/>
    <w:rsid w:val="005E46ED"/>
    <w:rsid w:val="005F1476"/>
    <w:rsid w:val="005F180A"/>
    <w:rsid w:val="005F1C3C"/>
    <w:rsid w:val="005F574B"/>
    <w:rsid w:val="005F5ED7"/>
    <w:rsid w:val="00600880"/>
    <w:rsid w:val="00601FD3"/>
    <w:rsid w:val="0060255D"/>
    <w:rsid w:val="006131F5"/>
    <w:rsid w:val="00614222"/>
    <w:rsid w:val="006150C9"/>
    <w:rsid w:val="00615B41"/>
    <w:rsid w:val="00622FC7"/>
    <w:rsid w:val="006322E7"/>
    <w:rsid w:val="006342D3"/>
    <w:rsid w:val="00641F81"/>
    <w:rsid w:val="00642540"/>
    <w:rsid w:val="0065041E"/>
    <w:rsid w:val="006550F3"/>
    <w:rsid w:val="00657609"/>
    <w:rsid w:val="00665C7A"/>
    <w:rsid w:val="00665CB3"/>
    <w:rsid w:val="00666D6D"/>
    <w:rsid w:val="00666F61"/>
    <w:rsid w:val="0067231A"/>
    <w:rsid w:val="00672FF1"/>
    <w:rsid w:val="00675E4F"/>
    <w:rsid w:val="006765B5"/>
    <w:rsid w:val="00680FF2"/>
    <w:rsid w:val="00682F46"/>
    <w:rsid w:val="00684317"/>
    <w:rsid w:val="00686E95"/>
    <w:rsid w:val="00692ECC"/>
    <w:rsid w:val="006954F8"/>
    <w:rsid w:val="0069785B"/>
    <w:rsid w:val="006A107E"/>
    <w:rsid w:val="006A3286"/>
    <w:rsid w:val="006A4D5F"/>
    <w:rsid w:val="006A5FFD"/>
    <w:rsid w:val="006B0567"/>
    <w:rsid w:val="006B5AB7"/>
    <w:rsid w:val="006B6B7C"/>
    <w:rsid w:val="006B7068"/>
    <w:rsid w:val="006B773E"/>
    <w:rsid w:val="006C1657"/>
    <w:rsid w:val="006C1B10"/>
    <w:rsid w:val="006C287C"/>
    <w:rsid w:val="006C5767"/>
    <w:rsid w:val="006D2A02"/>
    <w:rsid w:val="006D32A3"/>
    <w:rsid w:val="006D4B56"/>
    <w:rsid w:val="006D7F89"/>
    <w:rsid w:val="006E47C6"/>
    <w:rsid w:val="006E6570"/>
    <w:rsid w:val="006F042D"/>
    <w:rsid w:val="00703BE2"/>
    <w:rsid w:val="00704062"/>
    <w:rsid w:val="00704558"/>
    <w:rsid w:val="00716CD1"/>
    <w:rsid w:val="00717C53"/>
    <w:rsid w:val="00721BFE"/>
    <w:rsid w:val="0072304E"/>
    <w:rsid w:val="00723F98"/>
    <w:rsid w:val="00727DD9"/>
    <w:rsid w:val="00730BC1"/>
    <w:rsid w:val="00732DFA"/>
    <w:rsid w:val="007404B8"/>
    <w:rsid w:val="00742291"/>
    <w:rsid w:val="00743174"/>
    <w:rsid w:val="007433C9"/>
    <w:rsid w:val="0074412D"/>
    <w:rsid w:val="00745A53"/>
    <w:rsid w:val="00746732"/>
    <w:rsid w:val="007471D7"/>
    <w:rsid w:val="00751655"/>
    <w:rsid w:val="00753D9B"/>
    <w:rsid w:val="00753F67"/>
    <w:rsid w:val="00757388"/>
    <w:rsid w:val="0076221E"/>
    <w:rsid w:val="00763133"/>
    <w:rsid w:val="00764ACC"/>
    <w:rsid w:val="00766156"/>
    <w:rsid w:val="00773C95"/>
    <w:rsid w:val="007751D1"/>
    <w:rsid w:val="00775902"/>
    <w:rsid w:val="00776D4B"/>
    <w:rsid w:val="00783C34"/>
    <w:rsid w:val="0078524B"/>
    <w:rsid w:val="007857D7"/>
    <w:rsid w:val="00786636"/>
    <w:rsid w:val="00786B8B"/>
    <w:rsid w:val="007907C0"/>
    <w:rsid w:val="00790B2B"/>
    <w:rsid w:val="00792A3F"/>
    <w:rsid w:val="00793155"/>
    <w:rsid w:val="007940B2"/>
    <w:rsid w:val="00794BC6"/>
    <w:rsid w:val="00796251"/>
    <w:rsid w:val="007972E7"/>
    <w:rsid w:val="007A5519"/>
    <w:rsid w:val="007A7304"/>
    <w:rsid w:val="007B0AAA"/>
    <w:rsid w:val="007B0E36"/>
    <w:rsid w:val="007B338E"/>
    <w:rsid w:val="007B363F"/>
    <w:rsid w:val="007C2D1A"/>
    <w:rsid w:val="007C33C3"/>
    <w:rsid w:val="007C4795"/>
    <w:rsid w:val="007D0697"/>
    <w:rsid w:val="007D286E"/>
    <w:rsid w:val="007D31E1"/>
    <w:rsid w:val="007D374C"/>
    <w:rsid w:val="007D37F9"/>
    <w:rsid w:val="007D3CA7"/>
    <w:rsid w:val="007D58E2"/>
    <w:rsid w:val="007D6BD3"/>
    <w:rsid w:val="007E2C86"/>
    <w:rsid w:val="007E3380"/>
    <w:rsid w:val="007E4558"/>
    <w:rsid w:val="007E4A73"/>
    <w:rsid w:val="007E6319"/>
    <w:rsid w:val="007E6F23"/>
    <w:rsid w:val="007F33DC"/>
    <w:rsid w:val="007F4B0C"/>
    <w:rsid w:val="007F5507"/>
    <w:rsid w:val="007F776B"/>
    <w:rsid w:val="00801550"/>
    <w:rsid w:val="008021CF"/>
    <w:rsid w:val="00806A13"/>
    <w:rsid w:val="008076FC"/>
    <w:rsid w:val="0081127B"/>
    <w:rsid w:val="0081465A"/>
    <w:rsid w:val="0082187C"/>
    <w:rsid w:val="008225A7"/>
    <w:rsid w:val="0082623B"/>
    <w:rsid w:val="0083093F"/>
    <w:rsid w:val="0083664E"/>
    <w:rsid w:val="00842375"/>
    <w:rsid w:val="00843A37"/>
    <w:rsid w:val="00845CB9"/>
    <w:rsid w:val="008515B7"/>
    <w:rsid w:val="00854B90"/>
    <w:rsid w:val="00855B0B"/>
    <w:rsid w:val="00856449"/>
    <w:rsid w:val="008678FC"/>
    <w:rsid w:val="00867F7F"/>
    <w:rsid w:val="00870340"/>
    <w:rsid w:val="00870C6E"/>
    <w:rsid w:val="008713AF"/>
    <w:rsid w:val="00871E2A"/>
    <w:rsid w:val="00872CB0"/>
    <w:rsid w:val="008768F3"/>
    <w:rsid w:val="00882409"/>
    <w:rsid w:val="00887062"/>
    <w:rsid w:val="00887259"/>
    <w:rsid w:val="008908AF"/>
    <w:rsid w:val="008908C3"/>
    <w:rsid w:val="00893269"/>
    <w:rsid w:val="00894967"/>
    <w:rsid w:val="00895711"/>
    <w:rsid w:val="00896BE3"/>
    <w:rsid w:val="008A701C"/>
    <w:rsid w:val="008A757B"/>
    <w:rsid w:val="008B4334"/>
    <w:rsid w:val="008B4BE6"/>
    <w:rsid w:val="008B6FD5"/>
    <w:rsid w:val="008B7706"/>
    <w:rsid w:val="008C1DDA"/>
    <w:rsid w:val="008C2582"/>
    <w:rsid w:val="008C2E86"/>
    <w:rsid w:val="008C3D2D"/>
    <w:rsid w:val="008C5E1D"/>
    <w:rsid w:val="008C6349"/>
    <w:rsid w:val="008D0F4C"/>
    <w:rsid w:val="008D20D6"/>
    <w:rsid w:val="008D4849"/>
    <w:rsid w:val="008D54FF"/>
    <w:rsid w:val="008D6DD1"/>
    <w:rsid w:val="008E4054"/>
    <w:rsid w:val="008E67A2"/>
    <w:rsid w:val="008E6C1B"/>
    <w:rsid w:val="008E6CBC"/>
    <w:rsid w:val="008E74C0"/>
    <w:rsid w:val="008E7B0C"/>
    <w:rsid w:val="008F4722"/>
    <w:rsid w:val="00901216"/>
    <w:rsid w:val="0090510F"/>
    <w:rsid w:val="009110E2"/>
    <w:rsid w:val="00911418"/>
    <w:rsid w:val="0091240B"/>
    <w:rsid w:val="00914391"/>
    <w:rsid w:val="00914652"/>
    <w:rsid w:val="00916A4A"/>
    <w:rsid w:val="00924BCB"/>
    <w:rsid w:val="00924E96"/>
    <w:rsid w:val="00926670"/>
    <w:rsid w:val="00927ED9"/>
    <w:rsid w:val="00930AA7"/>
    <w:rsid w:val="00930EAA"/>
    <w:rsid w:val="00931A2C"/>
    <w:rsid w:val="009320ED"/>
    <w:rsid w:val="009329A4"/>
    <w:rsid w:val="0093326C"/>
    <w:rsid w:val="0093472E"/>
    <w:rsid w:val="00936597"/>
    <w:rsid w:val="009514D4"/>
    <w:rsid w:val="00952921"/>
    <w:rsid w:val="00952B66"/>
    <w:rsid w:val="0095430B"/>
    <w:rsid w:val="009553D8"/>
    <w:rsid w:val="00955BAA"/>
    <w:rsid w:val="00956E6E"/>
    <w:rsid w:val="009614F2"/>
    <w:rsid w:val="00961C7C"/>
    <w:rsid w:val="00967631"/>
    <w:rsid w:val="009677AF"/>
    <w:rsid w:val="009717DA"/>
    <w:rsid w:val="00976323"/>
    <w:rsid w:val="00976E29"/>
    <w:rsid w:val="0098042C"/>
    <w:rsid w:val="00981134"/>
    <w:rsid w:val="00983B0D"/>
    <w:rsid w:val="00984252"/>
    <w:rsid w:val="009846A4"/>
    <w:rsid w:val="0098738A"/>
    <w:rsid w:val="00990D53"/>
    <w:rsid w:val="0099183E"/>
    <w:rsid w:val="00993B51"/>
    <w:rsid w:val="009A2A52"/>
    <w:rsid w:val="009A2E21"/>
    <w:rsid w:val="009A3746"/>
    <w:rsid w:val="009A4095"/>
    <w:rsid w:val="009A512A"/>
    <w:rsid w:val="009B02C4"/>
    <w:rsid w:val="009B27DA"/>
    <w:rsid w:val="009B46C9"/>
    <w:rsid w:val="009B619E"/>
    <w:rsid w:val="009C1F1C"/>
    <w:rsid w:val="009C5C36"/>
    <w:rsid w:val="009D11A7"/>
    <w:rsid w:val="009D457A"/>
    <w:rsid w:val="009E5148"/>
    <w:rsid w:val="009F138A"/>
    <w:rsid w:val="009F6A43"/>
    <w:rsid w:val="00A0119C"/>
    <w:rsid w:val="00A04611"/>
    <w:rsid w:val="00A059F4"/>
    <w:rsid w:val="00A062A2"/>
    <w:rsid w:val="00A10318"/>
    <w:rsid w:val="00A13F5F"/>
    <w:rsid w:val="00A13F65"/>
    <w:rsid w:val="00A1713C"/>
    <w:rsid w:val="00A213C4"/>
    <w:rsid w:val="00A25187"/>
    <w:rsid w:val="00A261D9"/>
    <w:rsid w:val="00A27AFB"/>
    <w:rsid w:val="00A3199E"/>
    <w:rsid w:val="00A33469"/>
    <w:rsid w:val="00A35AB5"/>
    <w:rsid w:val="00A420EC"/>
    <w:rsid w:val="00A422DD"/>
    <w:rsid w:val="00A43107"/>
    <w:rsid w:val="00A44065"/>
    <w:rsid w:val="00A44E46"/>
    <w:rsid w:val="00A46597"/>
    <w:rsid w:val="00A51B45"/>
    <w:rsid w:val="00A54DA7"/>
    <w:rsid w:val="00A55872"/>
    <w:rsid w:val="00A568D7"/>
    <w:rsid w:val="00A57893"/>
    <w:rsid w:val="00A6224C"/>
    <w:rsid w:val="00A63557"/>
    <w:rsid w:val="00A65631"/>
    <w:rsid w:val="00A67D46"/>
    <w:rsid w:val="00A7325D"/>
    <w:rsid w:val="00A764C7"/>
    <w:rsid w:val="00A76F97"/>
    <w:rsid w:val="00A77F25"/>
    <w:rsid w:val="00A80148"/>
    <w:rsid w:val="00A81C59"/>
    <w:rsid w:val="00A83FFE"/>
    <w:rsid w:val="00A866D5"/>
    <w:rsid w:val="00A86CA0"/>
    <w:rsid w:val="00A86F3D"/>
    <w:rsid w:val="00A8716C"/>
    <w:rsid w:val="00A93A11"/>
    <w:rsid w:val="00A94F3C"/>
    <w:rsid w:val="00A956CE"/>
    <w:rsid w:val="00A95A0E"/>
    <w:rsid w:val="00AA0C54"/>
    <w:rsid w:val="00AA19BA"/>
    <w:rsid w:val="00AA55D0"/>
    <w:rsid w:val="00AA5863"/>
    <w:rsid w:val="00AA5BE5"/>
    <w:rsid w:val="00AA6F4F"/>
    <w:rsid w:val="00AB238C"/>
    <w:rsid w:val="00AB2A37"/>
    <w:rsid w:val="00AB40B2"/>
    <w:rsid w:val="00AB4638"/>
    <w:rsid w:val="00AB582F"/>
    <w:rsid w:val="00AC42C4"/>
    <w:rsid w:val="00AC4649"/>
    <w:rsid w:val="00AC4DA5"/>
    <w:rsid w:val="00AC4F39"/>
    <w:rsid w:val="00AC53D0"/>
    <w:rsid w:val="00AC5D81"/>
    <w:rsid w:val="00AC7D13"/>
    <w:rsid w:val="00AD142B"/>
    <w:rsid w:val="00AD1E12"/>
    <w:rsid w:val="00AD4352"/>
    <w:rsid w:val="00AD64B1"/>
    <w:rsid w:val="00AD7DBD"/>
    <w:rsid w:val="00AE1799"/>
    <w:rsid w:val="00AE2D05"/>
    <w:rsid w:val="00AE33C4"/>
    <w:rsid w:val="00AE78B6"/>
    <w:rsid w:val="00AF02A5"/>
    <w:rsid w:val="00AF1959"/>
    <w:rsid w:val="00AF34E5"/>
    <w:rsid w:val="00AF39A4"/>
    <w:rsid w:val="00AF5336"/>
    <w:rsid w:val="00AF6C00"/>
    <w:rsid w:val="00B018D9"/>
    <w:rsid w:val="00B04497"/>
    <w:rsid w:val="00B0578F"/>
    <w:rsid w:val="00B0660C"/>
    <w:rsid w:val="00B1511B"/>
    <w:rsid w:val="00B16715"/>
    <w:rsid w:val="00B175E3"/>
    <w:rsid w:val="00B17C7D"/>
    <w:rsid w:val="00B233D5"/>
    <w:rsid w:val="00B2380F"/>
    <w:rsid w:val="00B27294"/>
    <w:rsid w:val="00B2796F"/>
    <w:rsid w:val="00B31A73"/>
    <w:rsid w:val="00B32A8F"/>
    <w:rsid w:val="00B34760"/>
    <w:rsid w:val="00B34B19"/>
    <w:rsid w:val="00B372FC"/>
    <w:rsid w:val="00B3766D"/>
    <w:rsid w:val="00B46391"/>
    <w:rsid w:val="00B4676E"/>
    <w:rsid w:val="00B5235B"/>
    <w:rsid w:val="00B5263A"/>
    <w:rsid w:val="00B52AF4"/>
    <w:rsid w:val="00B53D5C"/>
    <w:rsid w:val="00B55740"/>
    <w:rsid w:val="00B575A8"/>
    <w:rsid w:val="00B61CF2"/>
    <w:rsid w:val="00B621A9"/>
    <w:rsid w:val="00B643C9"/>
    <w:rsid w:val="00B65C78"/>
    <w:rsid w:val="00B66D19"/>
    <w:rsid w:val="00B67920"/>
    <w:rsid w:val="00B67D9F"/>
    <w:rsid w:val="00B70475"/>
    <w:rsid w:val="00B70631"/>
    <w:rsid w:val="00B70F75"/>
    <w:rsid w:val="00B747E9"/>
    <w:rsid w:val="00B75165"/>
    <w:rsid w:val="00B776AE"/>
    <w:rsid w:val="00B81706"/>
    <w:rsid w:val="00B84E87"/>
    <w:rsid w:val="00B8622A"/>
    <w:rsid w:val="00B9011F"/>
    <w:rsid w:val="00B9103D"/>
    <w:rsid w:val="00B93401"/>
    <w:rsid w:val="00B95C11"/>
    <w:rsid w:val="00BA3FD6"/>
    <w:rsid w:val="00BA5CAE"/>
    <w:rsid w:val="00BA7D65"/>
    <w:rsid w:val="00BA7E49"/>
    <w:rsid w:val="00BB314B"/>
    <w:rsid w:val="00BB596A"/>
    <w:rsid w:val="00BB7F04"/>
    <w:rsid w:val="00BC1AB1"/>
    <w:rsid w:val="00BC5DD4"/>
    <w:rsid w:val="00BC6F75"/>
    <w:rsid w:val="00BC704B"/>
    <w:rsid w:val="00BC7E12"/>
    <w:rsid w:val="00BD0770"/>
    <w:rsid w:val="00BD1322"/>
    <w:rsid w:val="00BD2033"/>
    <w:rsid w:val="00BD2E76"/>
    <w:rsid w:val="00BD3167"/>
    <w:rsid w:val="00BD488B"/>
    <w:rsid w:val="00BE1767"/>
    <w:rsid w:val="00BE2A7F"/>
    <w:rsid w:val="00BE2AAD"/>
    <w:rsid w:val="00BE2E89"/>
    <w:rsid w:val="00BE3D56"/>
    <w:rsid w:val="00BE4A88"/>
    <w:rsid w:val="00BE574D"/>
    <w:rsid w:val="00BE5F77"/>
    <w:rsid w:val="00BF2565"/>
    <w:rsid w:val="00BF3E72"/>
    <w:rsid w:val="00BF6B68"/>
    <w:rsid w:val="00C0082E"/>
    <w:rsid w:val="00C00C62"/>
    <w:rsid w:val="00C02B68"/>
    <w:rsid w:val="00C03313"/>
    <w:rsid w:val="00C03D1C"/>
    <w:rsid w:val="00C0654D"/>
    <w:rsid w:val="00C06568"/>
    <w:rsid w:val="00C135D5"/>
    <w:rsid w:val="00C16972"/>
    <w:rsid w:val="00C16EC7"/>
    <w:rsid w:val="00C22018"/>
    <w:rsid w:val="00C22053"/>
    <w:rsid w:val="00C23163"/>
    <w:rsid w:val="00C24046"/>
    <w:rsid w:val="00C31EE2"/>
    <w:rsid w:val="00C331F2"/>
    <w:rsid w:val="00C37211"/>
    <w:rsid w:val="00C431BE"/>
    <w:rsid w:val="00C43DB7"/>
    <w:rsid w:val="00C513D2"/>
    <w:rsid w:val="00C513E0"/>
    <w:rsid w:val="00C51BF2"/>
    <w:rsid w:val="00C520DA"/>
    <w:rsid w:val="00C53030"/>
    <w:rsid w:val="00C53076"/>
    <w:rsid w:val="00C534BE"/>
    <w:rsid w:val="00C55823"/>
    <w:rsid w:val="00C5773F"/>
    <w:rsid w:val="00C61EA4"/>
    <w:rsid w:val="00C63345"/>
    <w:rsid w:val="00C651D5"/>
    <w:rsid w:val="00C65E86"/>
    <w:rsid w:val="00C72A91"/>
    <w:rsid w:val="00C732AF"/>
    <w:rsid w:val="00C7381B"/>
    <w:rsid w:val="00C76CF1"/>
    <w:rsid w:val="00C83A06"/>
    <w:rsid w:val="00C84D4A"/>
    <w:rsid w:val="00C86AA1"/>
    <w:rsid w:val="00C932F9"/>
    <w:rsid w:val="00C95803"/>
    <w:rsid w:val="00C96CB2"/>
    <w:rsid w:val="00C96DAD"/>
    <w:rsid w:val="00CA2429"/>
    <w:rsid w:val="00CA2EF7"/>
    <w:rsid w:val="00CA640F"/>
    <w:rsid w:val="00CA6646"/>
    <w:rsid w:val="00CB771E"/>
    <w:rsid w:val="00CC14B5"/>
    <w:rsid w:val="00CC2EAB"/>
    <w:rsid w:val="00CC69B1"/>
    <w:rsid w:val="00CD213C"/>
    <w:rsid w:val="00CD30CD"/>
    <w:rsid w:val="00CE0269"/>
    <w:rsid w:val="00CE755C"/>
    <w:rsid w:val="00CF0AE9"/>
    <w:rsid w:val="00CF257E"/>
    <w:rsid w:val="00CF395A"/>
    <w:rsid w:val="00CF50A1"/>
    <w:rsid w:val="00CF7359"/>
    <w:rsid w:val="00D02685"/>
    <w:rsid w:val="00D04DAB"/>
    <w:rsid w:val="00D13B94"/>
    <w:rsid w:val="00D14E6E"/>
    <w:rsid w:val="00D208C0"/>
    <w:rsid w:val="00D21A53"/>
    <w:rsid w:val="00D2379D"/>
    <w:rsid w:val="00D24977"/>
    <w:rsid w:val="00D25459"/>
    <w:rsid w:val="00D27D97"/>
    <w:rsid w:val="00D300C7"/>
    <w:rsid w:val="00D3094E"/>
    <w:rsid w:val="00D36A41"/>
    <w:rsid w:val="00D36A5C"/>
    <w:rsid w:val="00D413CC"/>
    <w:rsid w:val="00D43ED8"/>
    <w:rsid w:val="00D47640"/>
    <w:rsid w:val="00D4775E"/>
    <w:rsid w:val="00D537A0"/>
    <w:rsid w:val="00D61374"/>
    <w:rsid w:val="00D61BDE"/>
    <w:rsid w:val="00D65097"/>
    <w:rsid w:val="00D65AB2"/>
    <w:rsid w:val="00D67039"/>
    <w:rsid w:val="00D70F18"/>
    <w:rsid w:val="00D72390"/>
    <w:rsid w:val="00D73404"/>
    <w:rsid w:val="00D75E7F"/>
    <w:rsid w:val="00D8058F"/>
    <w:rsid w:val="00D82D56"/>
    <w:rsid w:val="00D8381B"/>
    <w:rsid w:val="00D8542F"/>
    <w:rsid w:val="00D85683"/>
    <w:rsid w:val="00D872AD"/>
    <w:rsid w:val="00D9008D"/>
    <w:rsid w:val="00D934F0"/>
    <w:rsid w:val="00D93AF3"/>
    <w:rsid w:val="00D950C0"/>
    <w:rsid w:val="00D96C30"/>
    <w:rsid w:val="00D96E67"/>
    <w:rsid w:val="00DA0634"/>
    <w:rsid w:val="00DA0DC3"/>
    <w:rsid w:val="00DA3366"/>
    <w:rsid w:val="00DA3A3F"/>
    <w:rsid w:val="00DB1A3B"/>
    <w:rsid w:val="00DB28CD"/>
    <w:rsid w:val="00DB2CEB"/>
    <w:rsid w:val="00DB3646"/>
    <w:rsid w:val="00DB42E6"/>
    <w:rsid w:val="00DB4D12"/>
    <w:rsid w:val="00DC142F"/>
    <w:rsid w:val="00DC2B8B"/>
    <w:rsid w:val="00DC37FF"/>
    <w:rsid w:val="00DD08E6"/>
    <w:rsid w:val="00DD1501"/>
    <w:rsid w:val="00DD1EF5"/>
    <w:rsid w:val="00DD48B5"/>
    <w:rsid w:val="00DD5848"/>
    <w:rsid w:val="00DD5CA9"/>
    <w:rsid w:val="00DD5F11"/>
    <w:rsid w:val="00DE2874"/>
    <w:rsid w:val="00DE46CF"/>
    <w:rsid w:val="00DE477A"/>
    <w:rsid w:val="00DE490B"/>
    <w:rsid w:val="00DF3C85"/>
    <w:rsid w:val="00DF5B0C"/>
    <w:rsid w:val="00E020D9"/>
    <w:rsid w:val="00E028C9"/>
    <w:rsid w:val="00E03295"/>
    <w:rsid w:val="00E12EC0"/>
    <w:rsid w:val="00E134E0"/>
    <w:rsid w:val="00E14B15"/>
    <w:rsid w:val="00E21881"/>
    <w:rsid w:val="00E21B2C"/>
    <w:rsid w:val="00E23243"/>
    <w:rsid w:val="00E25B84"/>
    <w:rsid w:val="00E25D02"/>
    <w:rsid w:val="00E300E6"/>
    <w:rsid w:val="00E32C70"/>
    <w:rsid w:val="00E360F9"/>
    <w:rsid w:val="00E419D4"/>
    <w:rsid w:val="00E43A3D"/>
    <w:rsid w:val="00E442B0"/>
    <w:rsid w:val="00E47FC5"/>
    <w:rsid w:val="00E50077"/>
    <w:rsid w:val="00E50156"/>
    <w:rsid w:val="00E508AF"/>
    <w:rsid w:val="00E522FC"/>
    <w:rsid w:val="00E57020"/>
    <w:rsid w:val="00E576A5"/>
    <w:rsid w:val="00E65626"/>
    <w:rsid w:val="00E704C3"/>
    <w:rsid w:val="00E74805"/>
    <w:rsid w:val="00E74DFD"/>
    <w:rsid w:val="00E8453F"/>
    <w:rsid w:val="00E8495A"/>
    <w:rsid w:val="00E84B7E"/>
    <w:rsid w:val="00E85718"/>
    <w:rsid w:val="00E8623F"/>
    <w:rsid w:val="00E8743B"/>
    <w:rsid w:val="00E94C2C"/>
    <w:rsid w:val="00E9529B"/>
    <w:rsid w:val="00E96FFD"/>
    <w:rsid w:val="00EA022F"/>
    <w:rsid w:val="00EA1308"/>
    <w:rsid w:val="00EA2C17"/>
    <w:rsid w:val="00EA3BDE"/>
    <w:rsid w:val="00EA4185"/>
    <w:rsid w:val="00EB19D5"/>
    <w:rsid w:val="00EB1EF2"/>
    <w:rsid w:val="00EB253D"/>
    <w:rsid w:val="00EB33D8"/>
    <w:rsid w:val="00EB591B"/>
    <w:rsid w:val="00EC2CE4"/>
    <w:rsid w:val="00EC3302"/>
    <w:rsid w:val="00EC7710"/>
    <w:rsid w:val="00EC7E80"/>
    <w:rsid w:val="00EC7ECF"/>
    <w:rsid w:val="00ED3EE5"/>
    <w:rsid w:val="00ED41CC"/>
    <w:rsid w:val="00ED52F0"/>
    <w:rsid w:val="00ED5323"/>
    <w:rsid w:val="00ED7203"/>
    <w:rsid w:val="00EE2FA6"/>
    <w:rsid w:val="00EE33FE"/>
    <w:rsid w:val="00EE5086"/>
    <w:rsid w:val="00EF08A9"/>
    <w:rsid w:val="00EF3827"/>
    <w:rsid w:val="00EF78AE"/>
    <w:rsid w:val="00F07AA6"/>
    <w:rsid w:val="00F07ACA"/>
    <w:rsid w:val="00F1008D"/>
    <w:rsid w:val="00F1444D"/>
    <w:rsid w:val="00F21099"/>
    <w:rsid w:val="00F21809"/>
    <w:rsid w:val="00F30450"/>
    <w:rsid w:val="00F31161"/>
    <w:rsid w:val="00F32711"/>
    <w:rsid w:val="00F342AA"/>
    <w:rsid w:val="00F3562C"/>
    <w:rsid w:val="00F3758D"/>
    <w:rsid w:val="00F4014A"/>
    <w:rsid w:val="00F402E1"/>
    <w:rsid w:val="00F42AF0"/>
    <w:rsid w:val="00F437B7"/>
    <w:rsid w:val="00F45696"/>
    <w:rsid w:val="00F511A2"/>
    <w:rsid w:val="00F52CC3"/>
    <w:rsid w:val="00F52F27"/>
    <w:rsid w:val="00F54606"/>
    <w:rsid w:val="00F54AA4"/>
    <w:rsid w:val="00F57346"/>
    <w:rsid w:val="00F57BDB"/>
    <w:rsid w:val="00F615E2"/>
    <w:rsid w:val="00F61C7F"/>
    <w:rsid w:val="00F63BED"/>
    <w:rsid w:val="00F659DE"/>
    <w:rsid w:val="00F6666B"/>
    <w:rsid w:val="00F67393"/>
    <w:rsid w:val="00F67B66"/>
    <w:rsid w:val="00F71C4D"/>
    <w:rsid w:val="00F74424"/>
    <w:rsid w:val="00F846FE"/>
    <w:rsid w:val="00F847E0"/>
    <w:rsid w:val="00F84C45"/>
    <w:rsid w:val="00F90982"/>
    <w:rsid w:val="00FA0F70"/>
    <w:rsid w:val="00FA126D"/>
    <w:rsid w:val="00FA1369"/>
    <w:rsid w:val="00FA1B40"/>
    <w:rsid w:val="00FA3E1F"/>
    <w:rsid w:val="00FA4871"/>
    <w:rsid w:val="00FA5974"/>
    <w:rsid w:val="00FA5C9C"/>
    <w:rsid w:val="00FA745A"/>
    <w:rsid w:val="00FB1EDB"/>
    <w:rsid w:val="00FB2550"/>
    <w:rsid w:val="00FB2F98"/>
    <w:rsid w:val="00FB6A29"/>
    <w:rsid w:val="00FC062B"/>
    <w:rsid w:val="00FC5A3D"/>
    <w:rsid w:val="00FC7A09"/>
    <w:rsid w:val="00FC7C61"/>
    <w:rsid w:val="00FD29CA"/>
    <w:rsid w:val="00FD7EFA"/>
    <w:rsid w:val="00FE0802"/>
    <w:rsid w:val="00FE0B08"/>
    <w:rsid w:val="00FE21B5"/>
    <w:rsid w:val="00FE5481"/>
    <w:rsid w:val="00FE6015"/>
    <w:rsid w:val="00FE6F42"/>
    <w:rsid w:val="00FF232A"/>
    <w:rsid w:val="00FF4FFF"/>
    <w:rsid w:val="00FF5DF6"/>
    <w:rsid w:val="00FF6A87"/>
    <w:rsid w:val="00FF7205"/>
    <w:rsid w:val="017959B6"/>
    <w:rsid w:val="03884D78"/>
    <w:rsid w:val="081FABE2"/>
    <w:rsid w:val="0835E456"/>
    <w:rsid w:val="0A063A1D"/>
    <w:rsid w:val="0B181CA0"/>
    <w:rsid w:val="0CFC9BAA"/>
    <w:rsid w:val="0EE00434"/>
    <w:rsid w:val="14683039"/>
    <w:rsid w:val="153D3DA8"/>
    <w:rsid w:val="18E141B1"/>
    <w:rsid w:val="190B605F"/>
    <w:rsid w:val="19FBA394"/>
    <w:rsid w:val="1A018C33"/>
    <w:rsid w:val="1F36A093"/>
    <w:rsid w:val="243C6282"/>
    <w:rsid w:val="24B266F3"/>
    <w:rsid w:val="2519E7C9"/>
    <w:rsid w:val="2C470519"/>
    <w:rsid w:val="2DADB89C"/>
    <w:rsid w:val="2E6111BD"/>
    <w:rsid w:val="2FF82230"/>
    <w:rsid w:val="31C1878B"/>
    <w:rsid w:val="32321A3B"/>
    <w:rsid w:val="39D55F0D"/>
    <w:rsid w:val="3CE21E1E"/>
    <w:rsid w:val="3E7DEE7F"/>
    <w:rsid w:val="4019BEE0"/>
    <w:rsid w:val="40E77A5B"/>
    <w:rsid w:val="42ADBF07"/>
    <w:rsid w:val="455FF45A"/>
    <w:rsid w:val="467BF699"/>
    <w:rsid w:val="4909CABD"/>
    <w:rsid w:val="4D280CFE"/>
    <w:rsid w:val="4DC4042A"/>
    <w:rsid w:val="5243A167"/>
    <w:rsid w:val="52EF280D"/>
    <w:rsid w:val="53A962CB"/>
    <w:rsid w:val="5B615A7A"/>
    <w:rsid w:val="5B88A092"/>
    <w:rsid w:val="5F398664"/>
    <w:rsid w:val="5F39B83A"/>
    <w:rsid w:val="61B9818A"/>
    <w:rsid w:val="6279B098"/>
    <w:rsid w:val="6304307F"/>
    <w:rsid w:val="660D81C1"/>
    <w:rsid w:val="6894EB65"/>
    <w:rsid w:val="6A4DDF37"/>
    <w:rsid w:val="6EDC2226"/>
    <w:rsid w:val="70DCD4DD"/>
    <w:rsid w:val="7318C621"/>
    <w:rsid w:val="7ECCD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4D421"/>
  <w15:chartTrackingRefBased/>
  <w15:docId w15:val="{47BB9842-4972-4627-B2A4-DC967F5F7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154"/>
    <w:pPr>
      <w:ind w:left="720"/>
      <w:contextualSpacing/>
    </w:pPr>
  </w:style>
  <w:style w:type="table" w:styleId="TableGrid">
    <w:name w:val="Table Grid"/>
    <w:basedOn w:val="TableNormal"/>
    <w:uiPriority w:val="39"/>
    <w:rsid w:val="005301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5097"/>
    <w:rPr>
      <w:color w:val="666666"/>
    </w:rPr>
  </w:style>
  <w:style w:type="paragraph" w:styleId="NormalWeb">
    <w:name w:val="Normal (Web)"/>
    <w:basedOn w:val="Normal"/>
    <w:uiPriority w:val="99"/>
    <w:unhideWhenUsed/>
    <w:rsid w:val="008C2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8C25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258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6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816"/>
  </w:style>
  <w:style w:type="paragraph" w:styleId="Footer">
    <w:name w:val="footer"/>
    <w:basedOn w:val="Normal"/>
    <w:link w:val="FooterChar"/>
    <w:uiPriority w:val="99"/>
    <w:unhideWhenUsed/>
    <w:rsid w:val="00265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816"/>
  </w:style>
  <w:style w:type="character" w:styleId="CommentReference">
    <w:name w:val="annotation reference"/>
    <w:basedOn w:val="DefaultParagraphFont"/>
    <w:uiPriority w:val="99"/>
    <w:semiHidden/>
    <w:unhideWhenUsed/>
    <w:rsid w:val="00AB58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8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58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8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8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61B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1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D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EC7710"/>
  </w:style>
  <w:style w:type="character" w:customStyle="1" w:styleId="eop">
    <w:name w:val="eop"/>
    <w:basedOn w:val="DefaultParagraphFont"/>
    <w:rsid w:val="00EC7710"/>
  </w:style>
  <w:style w:type="paragraph" w:styleId="FootnoteText">
    <w:name w:val="footnote text"/>
    <w:basedOn w:val="Normal"/>
    <w:link w:val="FootnoteTextChar"/>
    <w:uiPriority w:val="99"/>
    <w:semiHidden/>
    <w:unhideWhenUsed/>
    <w:rsid w:val="002943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943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9430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122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pa.gov/climateleadership/ghg-emission-factors-hub" TargetMode="External"/><Relationship Id="rId2" Type="http://schemas.openxmlformats.org/officeDocument/2006/relationships/hyperlink" Target="https://member.asphaltpavement.org/Shop/Product-Catalog/Product-Details?productid=%7bBDAB6C1D-7D96-ED11-AAD1-0022482A4988%7d" TargetMode="External"/><Relationship Id="rId1" Type="http://schemas.openxmlformats.org/officeDocument/2006/relationships/hyperlink" Target="https://www.asphaltpavement.org/uploads/documents/Programs/Emerald_Eco-Label_EPD_Program/PCR_Public_Comment_Period/LCA_Asphalt_Mixtures_07_29_2021.pdf" TargetMode="External"/><Relationship Id="rId6" Type="http://schemas.openxmlformats.org/officeDocument/2006/relationships/hyperlink" Target="https://www.epa.gov/system/files/documents/2024-01/cprg-general-competition-correction.pdf" TargetMode="External"/><Relationship Id="rId5" Type="http://schemas.openxmlformats.org/officeDocument/2006/relationships/hyperlink" Target="https://ctep.ca/wp-content/uploads/2017/05/Warm-Mix-Asphalt-Environmental-Issues-and-Safety-Concerns-Randy-West.pdf" TargetMode="External"/><Relationship Id="rId4" Type="http://schemas.openxmlformats.org/officeDocument/2006/relationships/hyperlink" Target="https://www.epa.gov/egrid/power-profi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3F909E15FACB42A3DB3F5822986AF3" ma:contentTypeVersion="10" ma:contentTypeDescription="Create a new document." ma:contentTypeScope="" ma:versionID="909c756f7ae168a8c1386d906c5952c9">
  <xsd:schema xmlns:xsd="http://www.w3.org/2001/XMLSchema" xmlns:xs="http://www.w3.org/2001/XMLSchema" xmlns:p="http://schemas.microsoft.com/office/2006/metadata/properties" xmlns:ns2="98364b2a-b1d6-4af5-be67-16f96b3a0a46" xmlns:ns3="ce6d8e51-f846-445b-9b22-0bd60a6405d4" targetNamespace="http://schemas.microsoft.com/office/2006/metadata/properties" ma:root="true" ma:fieldsID="2519d985ed3784fe77d8774b6b5fec18" ns2:_="" ns3:_="">
    <xsd:import namespace="98364b2a-b1d6-4af5-be67-16f96b3a0a46"/>
    <xsd:import namespace="ce6d8e51-f846-445b-9b22-0bd60a640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64b2a-b1d6-4af5-be67-16f96b3a0a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d8e51-f846-445b-9b22-0bd60a6405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460563-1976-43CD-9AE1-62BDF42A4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8E6B64-67C2-4103-8F11-6478AFA96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6FE928-512B-4B87-B2AA-768A3F038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64b2a-b1d6-4af5-be67-16f96b3a0a46"/>
    <ds:schemaRef ds:uri="ce6d8e51-f846-445b-9b22-0bd60a640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70D341-D3E5-483C-BC7F-4842568AD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1936</Words>
  <Characters>11037</Characters>
  <Application>Microsoft Office Word</Application>
  <DocSecurity>0</DocSecurity>
  <Lines>91</Lines>
  <Paragraphs>25</Paragraphs>
  <ScaleCrop>false</ScaleCrop>
  <Company/>
  <LinksUpToDate>false</LinksUpToDate>
  <CharactersWithSpaces>12948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Laurel McCarthy</dc:creator>
  <cp:keywords/>
  <dc:description/>
  <cp:lastModifiedBy>Laurel McCarthy</cp:lastModifiedBy>
  <cp:revision>632</cp:revision>
  <dcterms:created xsi:type="dcterms:W3CDTF">2024-02-23T03:37:00Z</dcterms:created>
  <dcterms:modified xsi:type="dcterms:W3CDTF">2024-03-28T20:48:00Z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0x010100603F909E15FACB42A3DB3F5822986AF3</vt:lpwstr>
  </property>
</Properties>
</file>