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E34A4" w14:textId="3B91C6DF" w:rsidR="00CA5DB0" w:rsidRDefault="003177B9" w:rsidP="00290112">
      <w:pPr>
        <w:jc w:val="center"/>
        <w:rPr>
          <w:b/>
          <w:bCs/>
        </w:rPr>
      </w:pPr>
      <w:r>
        <w:rPr>
          <w:b/>
          <w:bCs/>
        </w:rPr>
        <w:t>Workplan</w:t>
      </w:r>
    </w:p>
    <w:p w14:paraId="3366285C" w14:textId="4F427EF2" w:rsidR="00CA5DB0" w:rsidRPr="003473EB" w:rsidRDefault="00CA5DB0" w:rsidP="00EF485F">
      <w:pPr>
        <w:pStyle w:val="Heading1"/>
        <w:rPr>
          <w:rFonts w:eastAsiaTheme="minorHAnsi"/>
        </w:rPr>
      </w:pPr>
      <w:bookmarkStart w:id="0" w:name="_Toc161741974"/>
      <w:bookmarkStart w:id="1" w:name="_Toc161908252"/>
      <w:bookmarkStart w:id="2" w:name="_Toc161924168"/>
      <w:bookmarkStart w:id="3" w:name="_Toc162606601"/>
      <w:r w:rsidRPr="003473EB">
        <w:rPr>
          <w:rFonts w:eastAsiaTheme="minorHAnsi"/>
        </w:rPr>
        <w:t>Overall Project Summary and Approach</w:t>
      </w:r>
      <w:bookmarkEnd w:id="0"/>
      <w:bookmarkEnd w:id="1"/>
      <w:bookmarkEnd w:id="2"/>
      <w:bookmarkEnd w:id="3"/>
    </w:p>
    <w:p w14:paraId="71270E69" w14:textId="5DD81019" w:rsidR="00CA5DB0" w:rsidRPr="003473EB" w:rsidRDefault="00CA5DB0" w:rsidP="00CA5DB0">
      <w:pPr>
        <w:spacing w:afterLines="60" w:after="144"/>
        <w:rPr>
          <w:rFonts w:asciiTheme="minorHAnsi" w:hAnsiTheme="minorHAnsi" w:cstheme="minorHAnsi"/>
          <w:b/>
          <w:szCs w:val="22"/>
        </w:rPr>
      </w:pPr>
      <w:r w:rsidRPr="003473EB">
        <w:rPr>
          <w:rFonts w:asciiTheme="minorHAnsi" w:hAnsiTheme="minorHAnsi" w:cstheme="minorHAnsi"/>
          <w:b/>
          <w:szCs w:val="22"/>
        </w:rPr>
        <w:t>Summary:</w:t>
      </w:r>
      <w:r w:rsidRPr="003473EB">
        <w:rPr>
          <w:rFonts w:asciiTheme="minorHAnsi" w:hAnsiTheme="minorHAnsi" w:cstheme="minorHAnsi"/>
          <w:szCs w:val="22"/>
        </w:rPr>
        <w:t xml:space="preserve"> This project is both a GHG reduction program and an economic development project for some of the poorest areas of the country. It </w:t>
      </w:r>
      <w:r w:rsidR="00367CF4" w:rsidRPr="003473EB">
        <w:rPr>
          <w:rFonts w:asciiTheme="minorHAnsi" w:hAnsiTheme="minorHAnsi" w:cstheme="minorHAnsi"/>
          <w:szCs w:val="22"/>
        </w:rPr>
        <w:t>directly addresses</w:t>
      </w:r>
      <w:r w:rsidRPr="003473EB">
        <w:rPr>
          <w:rFonts w:asciiTheme="minorHAnsi" w:hAnsiTheme="minorHAnsi" w:cstheme="minorHAnsi"/>
          <w:szCs w:val="22"/>
        </w:rPr>
        <w:t xml:space="preserve"> the larger goals of the Inflation Reduction and complimentary Infrastructure Bill to improve the efficiency, competitiveness, </w:t>
      </w:r>
      <w:r w:rsidR="00DE00D7" w:rsidRPr="003473EB">
        <w:rPr>
          <w:rFonts w:asciiTheme="minorHAnsi" w:hAnsiTheme="minorHAnsi" w:cstheme="minorHAnsi"/>
          <w:szCs w:val="22"/>
        </w:rPr>
        <w:t>sustainability,</w:t>
      </w:r>
      <w:r w:rsidRPr="003473EB">
        <w:rPr>
          <w:rFonts w:asciiTheme="minorHAnsi" w:hAnsiTheme="minorHAnsi" w:cstheme="minorHAnsi"/>
          <w:szCs w:val="22"/>
        </w:rPr>
        <w:t xml:space="preserve"> and resilience of the U.S. economy. The goal of this project is to reduce GHG emissions in Alabama by implementing a sustainable solar solution to on-farm irrigation energy needs in Alabama, with particular focus on historically excluded areas in central Alabama. Irrigation is necessary for market competitiveness. Irrigation expansion in Alabama has not always been equitable for areas where a lack of investment resources or insufficient electrical grid infrastructure exist. As discussed below, irrigation is a conservation measure and sustainable climate adaptation in Alabama. It is simply more efficient in terms of land used, fuel spent, time and fertilizer run-off per bushels produced. However, it can add significant power usage to the farm operation. We propose to implement solar arrays to drive center pivots and other drip irrigation needs. This will enable climate resilient and environmentally sustainable agricultural practices.</w:t>
      </w:r>
    </w:p>
    <w:p w14:paraId="0260CCCE" w14:textId="6BE5E7D6" w:rsidR="00CA5DB0" w:rsidRPr="003473EB" w:rsidRDefault="00CA5DB0" w:rsidP="00CA5DB0">
      <w:pPr>
        <w:pStyle w:val="NormalWeb"/>
        <w:spacing w:before="0" w:beforeAutospacing="0" w:afterLines="60" w:after="144" w:afterAutospacing="0"/>
        <w:rPr>
          <w:rFonts w:asciiTheme="minorHAnsi" w:hAnsiTheme="minorHAnsi" w:cstheme="minorHAnsi"/>
          <w:b/>
          <w:bCs/>
          <w:szCs w:val="22"/>
        </w:rPr>
      </w:pPr>
      <w:r w:rsidRPr="003473EB">
        <w:rPr>
          <w:rFonts w:asciiTheme="minorHAnsi" w:hAnsiTheme="minorHAnsi" w:cstheme="minorHAnsi"/>
          <w:szCs w:val="22"/>
        </w:rPr>
        <w:t>As part of this program, we expect a reduction in GHG from employing solar center pivot irrigation through on farm savings and replacing fossil electric power or diesel on farm generation.  The project will also reduce N</w:t>
      </w:r>
      <w:r w:rsidRPr="003473EB">
        <w:rPr>
          <w:rFonts w:asciiTheme="minorHAnsi" w:hAnsiTheme="minorHAnsi" w:cstheme="minorHAnsi"/>
          <w:szCs w:val="22"/>
          <w:vertAlign w:val="subscript"/>
        </w:rPr>
        <w:t>2</w:t>
      </w:r>
      <w:r w:rsidRPr="003473EB">
        <w:rPr>
          <w:rFonts w:asciiTheme="minorHAnsi" w:hAnsiTheme="minorHAnsi" w:cstheme="minorHAnsi"/>
          <w:szCs w:val="22"/>
        </w:rPr>
        <w:t xml:space="preserve">O GHG emissions via irrigation and farm practices. Additionally, it will reduce GHG in the transportation sector by reducing the need to import grain from the Midwest into Alabama to support its poultry industry.  </w:t>
      </w:r>
      <w:r w:rsidRPr="003473EB">
        <w:rPr>
          <w:rFonts w:asciiTheme="minorHAnsi" w:hAnsiTheme="minorHAnsi" w:cstheme="minorHAnsi"/>
          <w:bCs/>
          <w:szCs w:val="22"/>
        </w:rPr>
        <w:t xml:space="preserve">In total this project should reduce GHG by </w:t>
      </w:r>
      <w:r w:rsidR="0046323E">
        <w:rPr>
          <w:rFonts w:asciiTheme="minorHAnsi" w:hAnsiTheme="minorHAnsi" w:cstheme="minorHAnsi"/>
          <w:b/>
          <w:szCs w:val="22"/>
        </w:rPr>
        <w:t xml:space="preserve">5,187 </w:t>
      </w:r>
      <w:r w:rsidRPr="003473EB">
        <w:rPr>
          <w:rFonts w:asciiTheme="minorHAnsi" w:hAnsiTheme="minorHAnsi" w:cstheme="minorHAnsi"/>
          <w:b/>
          <w:szCs w:val="22"/>
        </w:rPr>
        <w:t>metric tons CO</w:t>
      </w:r>
      <w:r w:rsidRPr="003473EB">
        <w:rPr>
          <w:rFonts w:asciiTheme="minorHAnsi" w:hAnsiTheme="minorHAnsi" w:cstheme="minorHAnsi"/>
          <w:b/>
          <w:szCs w:val="22"/>
          <w:vertAlign w:val="subscript"/>
        </w:rPr>
        <w:t>2</w:t>
      </w:r>
      <w:r w:rsidRPr="003473EB">
        <w:rPr>
          <w:rFonts w:asciiTheme="minorHAnsi" w:hAnsiTheme="minorHAnsi" w:cstheme="minorHAnsi"/>
          <w:b/>
          <w:szCs w:val="22"/>
        </w:rPr>
        <w:t xml:space="preserve"> eq</w:t>
      </w:r>
      <w:r w:rsidRPr="003473EB">
        <w:rPr>
          <w:rFonts w:asciiTheme="minorHAnsi" w:hAnsiTheme="minorHAnsi" w:cstheme="minorHAnsi"/>
          <w:bCs/>
          <w:szCs w:val="22"/>
        </w:rPr>
        <w:t xml:space="preserve"> by 2030 and</w:t>
      </w:r>
      <w:r w:rsidRPr="003473EB">
        <w:rPr>
          <w:rFonts w:asciiTheme="minorHAnsi" w:hAnsiTheme="minorHAnsi" w:cstheme="minorHAnsi"/>
          <w:b/>
          <w:bCs/>
          <w:szCs w:val="22"/>
        </w:rPr>
        <w:t xml:space="preserve"> </w:t>
      </w:r>
      <w:r w:rsidR="0046323E">
        <w:rPr>
          <w:rFonts w:asciiTheme="minorHAnsi" w:hAnsiTheme="minorHAnsi" w:cstheme="minorHAnsi"/>
          <w:b/>
          <w:bCs/>
          <w:szCs w:val="22"/>
        </w:rPr>
        <w:t>78,108</w:t>
      </w:r>
      <w:r w:rsidRPr="003473EB">
        <w:rPr>
          <w:rFonts w:asciiTheme="minorHAnsi" w:hAnsiTheme="minorHAnsi" w:cstheme="minorHAnsi"/>
          <w:b/>
          <w:bCs/>
          <w:szCs w:val="22"/>
        </w:rPr>
        <w:t xml:space="preserve"> </w:t>
      </w:r>
      <w:r w:rsidRPr="003473EB">
        <w:rPr>
          <w:rFonts w:asciiTheme="minorHAnsi" w:hAnsiTheme="minorHAnsi" w:cstheme="minorHAnsi"/>
          <w:b/>
          <w:szCs w:val="22"/>
        </w:rPr>
        <w:t>metric tons CO</w:t>
      </w:r>
      <w:r w:rsidRPr="003473EB">
        <w:rPr>
          <w:rFonts w:asciiTheme="minorHAnsi" w:hAnsiTheme="minorHAnsi" w:cstheme="minorHAnsi"/>
          <w:b/>
          <w:szCs w:val="22"/>
          <w:vertAlign w:val="subscript"/>
        </w:rPr>
        <w:t>2</w:t>
      </w:r>
      <w:r w:rsidRPr="003473EB">
        <w:rPr>
          <w:rFonts w:asciiTheme="minorHAnsi" w:hAnsiTheme="minorHAnsi" w:cstheme="minorHAnsi"/>
          <w:b/>
          <w:szCs w:val="22"/>
        </w:rPr>
        <w:t xml:space="preserve"> eq</w:t>
      </w:r>
      <w:r w:rsidRPr="003473EB">
        <w:rPr>
          <w:rFonts w:asciiTheme="minorHAnsi" w:hAnsiTheme="minorHAnsi" w:cstheme="minorHAnsi"/>
          <w:bCs/>
          <w:szCs w:val="22"/>
        </w:rPr>
        <w:t xml:space="preserve"> through 2050. Solar powered center pivot irrigation is new to Alabama and the Southeast and could be transformative in its impact.</w:t>
      </w:r>
    </w:p>
    <w:p w14:paraId="569DBBA6" w14:textId="127168C1" w:rsidR="00CA5DB0" w:rsidRPr="003473EB" w:rsidRDefault="00CA5DB0" w:rsidP="00CA5DB0">
      <w:pPr>
        <w:spacing w:afterLines="60" w:after="144"/>
        <w:rPr>
          <w:rFonts w:asciiTheme="minorHAnsi" w:hAnsiTheme="minorHAnsi" w:cstheme="minorHAnsi"/>
          <w:szCs w:val="22"/>
        </w:rPr>
      </w:pPr>
      <w:r w:rsidRPr="003473EB">
        <w:rPr>
          <w:rFonts w:asciiTheme="minorHAnsi" w:hAnsiTheme="minorHAnsi" w:cstheme="minorHAnsi"/>
          <w:szCs w:val="22"/>
        </w:rPr>
        <w:t xml:space="preserve">Note this project will not support the irrigation infrastructure but only the solar and charging infrastructure. It will complement an on-going USDA funded program managed by the lead agency of this proposal, the Alabama Soil Water Conservation Committee. The USDA program provides cost share support to eligible farms for irrigation infrastructure. However, the USDA program will not support improvements in electrical grids which is a major hindrance to expansion of irrigation in poor rural areas. The present CPRG project will use solar power to provide the electrical needs. We will also pursue programs with the </w:t>
      </w:r>
      <w:r w:rsidR="00053992">
        <w:rPr>
          <w:rFonts w:asciiTheme="minorHAnsi" w:hAnsiTheme="minorHAnsi" w:cstheme="minorHAnsi"/>
          <w:szCs w:val="22"/>
        </w:rPr>
        <w:t xml:space="preserve">electrical utilities </w:t>
      </w:r>
      <w:r w:rsidRPr="003473EB">
        <w:rPr>
          <w:rFonts w:asciiTheme="minorHAnsi" w:hAnsiTheme="minorHAnsi" w:cstheme="minorHAnsi"/>
          <w:szCs w:val="22"/>
        </w:rPr>
        <w:t xml:space="preserve">to use the available solar power not used on-farm. </w:t>
      </w:r>
      <w:r w:rsidR="00053992">
        <w:rPr>
          <w:rFonts w:asciiTheme="minorHAnsi" w:hAnsiTheme="minorHAnsi" w:cstheme="minorHAnsi"/>
          <w:szCs w:val="22"/>
        </w:rPr>
        <w:t>It will address the Electrical, Agricultural and Transportation CPRG Sectors.</w:t>
      </w:r>
    </w:p>
    <w:p w14:paraId="7C34ADB7" w14:textId="0F6FFE33" w:rsidR="00CA5DB0" w:rsidRPr="003473EB" w:rsidRDefault="00CA5DB0" w:rsidP="00CA5DB0">
      <w:pPr>
        <w:pStyle w:val="NormalWeb"/>
        <w:spacing w:before="0" w:beforeAutospacing="0" w:afterLines="60" w:after="144" w:afterAutospacing="0"/>
        <w:rPr>
          <w:rFonts w:asciiTheme="minorHAnsi" w:hAnsiTheme="minorHAnsi" w:cstheme="minorHAnsi"/>
          <w:szCs w:val="22"/>
        </w:rPr>
      </w:pPr>
      <w:r w:rsidRPr="003473EB">
        <w:rPr>
          <w:rFonts w:asciiTheme="minorHAnsi" w:eastAsiaTheme="majorEastAsia" w:hAnsiTheme="minorHAnsi" w:cstheme="minorHAnsi"/>
          <w:szCs w:val="22"/>
        </w:rPr>
        <w:t xml:space="preserve">While the program discusses irrigation expansion as an economic benefit, </w:t>
      </w:r>
      <w:r w:rsidRPr="003473EB">
        <w:rPr>
          <w:rFonts w:asciiTheme="minorHAnsi" w:eastAsiaTheme="majorEastAsia" w:hAnsiTheme="minorHAnsi" w:cstheme="minorHAnsi"/>
          <w:b/>
          <w:bCs/>
          <w:szCs w:val="22"/>
        </w:rPr>
        <w:t xml:space="preserve">it will </w:t>
      </w:r>
      <w:r w:rsidR="006D670C">
        <w:rPr>
          <w:rFonts w:asciiTheme="minorHAnsi" w:eastAsiaTheme="majorEastAsia" w:hAnsiTheme="minorHAnsi" w:cstheme="minorHAnsi"/>
          <w:b/>
          <w:bCs/>
          <w:szCs w:val="22"/>
        </w:rPr>
        <w:t>also provide</w:t>
      </w:r>
      <w:r w:rsidRPr="003473EB">
        <w:rPr>
          <w:rFonts w:asciiTheme="minorHAnsi" w:eastAsiaTheme="majorEastAsia" w:hAnsiTheme="minorHAnsi" w:cstheme="minorHAnsi"/>
          <w:b/>
          <w:bCs/>
          <w:szCs w:val="22"/>
        </w:rPr>
        <w:t xml:space="preserve"> a GHG reduction</w:t>
      </w:r>
      <w:r w:rsidRPr="003473EB">
        <w:rPr>
          <w:rFonts w:asciiTheme="minorHAnsi" w:eastAsiaTheme="majorEastAsia" w:hAnsiTheme="minorHAnsi" w:cstheme="minorHAnsi"/>
          <w:szCs w:val="22"/>
        </w:rPr>
        <w:t xml:space="preserve">. This is because new pivots funded under the USDA program (with funds already in place) will be built but they will not go into the poorest areas where the electrical grid is lacking or use solar. Thus, this project by building the pivots in these areas rather than other areas will reduce future GHG emissions. </w:t>
      </w:r>
    </w:p>
    <w:p w14:paraId="0BF9313B" w14:textId="397E5171" w:rsidR="00CA5DB0" w:rsidRPr="003473EB" w:rsidRDefault="002C2D68" w:rsidP="00CA5DB0">
      <w:pPr>
        <w:pStyle w:val="BodyText"/>
        <w:spacing w:afterLines="60" w:after="144"/>
        <w:rPr>
          <w:rFonts w:asciiTheme="minorHAnsi" w:hAnsiTheme="minorHAnsi" w:cstheme="minorHAnsi"/>
          <w:szCs w:val="22"/>
        </w:rPr>
      </w:pPr>
      <w:r>
        <w:rPr>
          <w:rFonts w:asciiTheme="minorHAnsi" w:hAnsiTheme="minorHAnsi" w:cstheme="minorHAnsi"/>
          <w:szCs w:val="22"/>
        </w:rPr>
        <w:t xml:space="preserve">The history shows that climate variability on the scale of 5-10 years can alter the economic and social structure of a region. </w:t>
      </w:r>
      <w:r w:rsidR="00CA5DB0" w:rsidRPr="003473EB">
        <w:rPr>
          <w:rFonts w:asciiTheme="minorHAnsi" w:hAnsiTheme="minorHAnsi" w:cstheme="minorHAnsi"/>
          <w:szCs w:val="22"/>
        </w:rPr>
        <w:t xml:space="preserve">This project also will have external environmental benefits by reducing water demands on river systems serving irrigation and public supply in the arid west. It will support a more distributed geography of grain production in the U.S. that will be more climate change resilient. It can reduce fertilizer run-off in the upper Mississippi basin which is overwhelming the assimilative capacity of its streams and rivers. </w:t>
      </w:r>
    </w:p>
    <w:p w14:paraId="71E25FB3" w14:textId="1AC9481C" w:rsidR="00CA5DB0" w:rsidRDefault="00CA5DB0" w:rsidP="00CA5DB0">
      <w:pPr>
        <w:pStyle w:val="BodyText"/>
        <w:spacing w:afterLines="60" w:after="144"/>
        <w:rPr>
          <w:rStyle w:val="Hyperlink"/>
          <w:rFonts w:asciiTheme="minorHAnsi" w:hAnsiTheme="minorHAnsi" w:cstheme="minorHAnsi"/>
          <w:i/>
          <w:iCs/>
          <w:szCs w:val="22"/>
        </w:rPr>
      </w:pPr>
      <w:r w:rsidRPr="003473EB">
        <w:rPr>
          <w:rFonts w:asciiTheme="minorHAnsi" w:hAnsiTheme="minorHAnsi" w:cstheme="minorHAnsi"/>
          <w:i/>
          <w:iCs/>
          <w:szCs w:val="22"/>
        </w:rPr>
        <w:t xml:space="preserve">Below we provide information on the competitiveness of agricultural production since this appears to be the basis of the poverty in these rural areas. Inflation Reduction Act 2022 and complimentary Infrastructure Bill 2021 are </w:t>
      </w:r>
      <w:bookmarkStart w:id="4" w:name="_Hlk158274288"/>
      <w:r w:rsidRPr="003473EB">
        <w:rPr>
          <w:rFonts w:asciiTheme="minorHAnsi" w:hAnsiTheme="minorHAnsi" w:cstheme="minorHAnsi"/>
          <w:i/>
          <w:iCs/>
          <w:szCs w:val="22"/>
        </w:rPr>
        <w:t xml:space="preserve">to improve the efficiency, competitiveness, </w:t>
      </w:r>
      <w:r w:rsidR="00D95ABC" w:rsidRPr="003473EB">
        <w:rPr>
          <w:rFonts w:asciiTheme="minorHAnsi" w:hAnsiTheme="minorHAnsi" w:cstheme="minorHAnsi"/>
          <w:i/>
          <w:iCs/>
          <w:szCs w:val="22"/>
        </w:rPr>
        <w:t>sustainability,</w:t>
      </w:r>
      <w:r w:rsidRPr="003473EB">
        <w:rPr>
          <w:rFonts w:asciiTheme="minorHAnsi" w:hAnsiTheme="minorHAnsi" w:cstheme="minorHAnsi"/>
          <w:i/>
          <w:iCs/>
          <w:szCs w:val="22"/>
        </w:rPr>
        <w:t xml:space="preserve"> and resilience of the U.S. economy. </w:t>
      </w:r>
      <w:bookmarkEnd w:id="4"/>
      <w:r w:rsidRPr="003473EB">
        <w:rPr>
          <w:rFonts w:asciiTheme="minorHAnsi" w:hAnsiTheme="minorHAnsi" w:cstheme="minorHAnsi"/>
          <w:i/>
          <w:iCs/>
          <w:szCs w:val="22"/>
        </w:rPr>
        <w:t xml:space="preserve">Thus, we have discussed these issues in detail below. The following describes the underlying assumptions, </w:t>
      </w:r>
      <w:r w:rsidR="00D95ABC" w:rsidRPr="003473EB">
        <w:rPr>
          <w:rFonts w:asciiTheme="minorHAnsi" w:hAnsiTheme="minorHAnsi" w:cstheme="minorHAnsi"/>
          <w:i/>
          <w:iCs/>
          <w:szCs w:val="22"/>
        </w:rPr>
        <w:t>risks,</w:t>
      </w:r>
      <w:r w:rsidRPr="003473EB">
        <w:rPr>
          <w:rFonts w:asciiTheme="minorHAnsi" w:hAnsiTheme="minorHAnsi" w:cstheme="minorHAnsi"/>
          <w:i/>
          <w:iCs/>
          <w:szCs w:val="22"/>
        </w:rPr>
        <w:t xml:space="preserve"> and uncertainties in the approach. The background draws from the work of the Alabama University Irrigation Initiative (the AUII) </w:t>
      </w:r>
      <w:hyperlink r:id="rId8" w:history="1">
        <w:r w:rsidRPr="003473EB">
          <w:rPr>
            <w:rStyle w:val="Hyperlink"/>
            <w:rFonts w:asciiTheme="minorHAnsi" w:hAnsiTheme="minorHAnsi" w:cstheme="minorHAnsi"/>
            <w:i/>
            <w:iCs/>
            <w:szCs w:val="22"/>
          </w:rPr>
          <w:t>Alabama University Irrigation Initiative Background</w:t>
        </w:r>
      </w:hyperlink>
      <w:r w:rsidRPr="003473EB">
        <w:rPr>
          <w:rFonts w:asciiTheme="minorHAnsi" w:hAnsiTheme="minorHAnsi" w:cstheme="minorHAnsi"/>
          <w:i/>
          <w:iCs/>
          <w:szCs w:val="22"/>
        </w:rPr>
        <w:t xml:space="preserve"> and also an AUII initiative -  an NSF Workshop on Migration of Agriculture in Boulder, CO </w:t>
      </w:r>
      <w:hyperlink r:id="rId9" w:history="1">
        <w:r w:rsidRPr="003473EB">
          <w:rPr>
            <w:rStyle w:val="Hyperlink"/>
            <w:rFonts w:asciiTheme="minorHAnsi" w:hAnsiTheme="minorHAnsi" w:cstheme="minorHAnsi"/>
            <w:i/>
            <w:iCs/>
            <w:szCs w:val="22"/>
          </w:rPr>
          <w:t>https://www.nsstc.uah.edu/few.workshop/index.html</w:t>
        </w:r>
      </w:hyperlink>
      <w:r w:rsidRPr="003473EB">
        <w:rPr>
          <w:rFonts w:asciiTheme="minorHAnsi" w:hAnsiTheme="minorHAnsi" w:cstheme="minorHAnsi"/>
          <w:i/>
          <w:iCs/>
          <w:szCs w:val="22"/>
        </w:rPr>
        <w:t xml:space="preserve"> and the </w:t>
      </w:r>
      <w:hyperlink r:id="rId10" w:history="1">
        <w:r w:rsidRPr="003473EB">
          <w:rPr>
            <w:rStyle w:val="Hyperlink"/>
            <w:rFonts w:asciiTheme="minorHAnsi" w:hAnsiTheme="minorHAnsi" w:cstheme="minorHAnsi"/>
            <w:i/>
            <w:iCs/>
            <w:szCs w:val="22"/>
          </w:rPr>
          <w:t>NSF Workshop Report</w:t>
        </w:r>
      </w:hyperlink>
    </w:p>
    <w:p w14:paraId="4ACDB40F" w14:textId="608C311E" w:rsidR="00D27010" w:rsidRDefault="00D27010" w:rsidP="008D2072">
      <w:pPr>
        <w:pStyle w:val="Heading2"/>
        <w:rPr>
          <w:rStyle w:val="Hyperlink"/>
          <w:color w:val="auto"/>
          <w:u w:val="none"/>
        </w:rPr>
      </w:pPr>
      <w:bookmarkStart w:id="5" w:name="_Toc161908253"/>
      <w:bookmarkStart w:id="6" w:name="_Toc161924169"/>
      <w:bookmarkStart w:id="7" w:name="_Toc162606602"/>
      <w:r w:rsidRPr="00283269">
        <w:rPr>
          <w:rStyle w:val="Hyperlink"/>
          <w:color w:val="auto"/>
          <w:u w:val="none"/>
        </w:rPr>
        <w:lastRenderedPageBreak/>
        <w:t>Description o</w:t>
      </w:r>
      <w:r w:rsidR="00235C61" w:rsidRPr="00283269">
        <w:rPr>
          <w:rStyle w:val="Hyperlink"/>
          <w:color w:val="auto"/>
          <w:u w:val="none"/>
        </w:rPr>
        <w:t>f GHG Reduction Measures</w:t>
      </w:r>
      <w:bookmarkEnd w:id="5"/>
      <w:bookmarkEnd w:id="6"/>
      <w:bookmarkEnd w:id="7"/>
    </w:p>
    <w:p w14:paraId="76F6FF3D" w14:textId="74A8B96C" w:rsidR="00EE43A6" w:rsidRPr="001A4882" w:rsidRDefault="00EE43A6" w:rsidP="00EE43A6">
      <w:pPr>
        <w:pStyle w:val="BodyText"/>
      </w:pPr>
      <w:r>
        <w:t xml:space="preserve">The </w:t>
      </w:r>
      <w:r w:rsidR="00457AEA">
        <w:t xml:space="preserve">single </w:t>
      </w:r>
      <w:r w:rsidR="00AC1BB2">
        <w:t xml:space="preserve">GHG reduction measure under this project </w:t>
      </w:r>
      <w:r w:rsidR="00AA673D">
        <w:t>is the installation of solar powered irrigation systems</w:t>
      </w:r>
      <w:r w:rsidR="00DD70E1">
        <w:t xml:space="preserve">. This will lead to </w:t>
      </w:r>
      <w:r w:rsidR="001A4882">
        <w:t>reductions in GHG through reduced fossil fuel power, reductions in grain/vegetable transport and N</w:t>
      </w:r>
      <w:r w:rsidR="001A4882">
        <w:rPr>
          <w:vertAlign w:val="subscript"/>
        </w:rPr>
        <w:t>2</w:t>
      </w:r>
      <w:r w:rsidR="001A4882">
        <w:t>O emissions due to irrigation</w:t>
      </w:r>
      <w:r w:rsidR="00D57EAC">
        <w:t>.</w:t>
      </w:r>
      <w:r w:rsidR="00AD6715">
        <w:t xml:space="preserve"> The GHG calculations and assumptions are given in Section 2.</w:t>
      </w:r>
    </w:p>
    <w:p w14:paraId="147E49DF" w14:textId="77777777" w:rsidR="00CA5DB0" w:rsidRPr="003473EB" w:rsidRDefault="00CA5DB0" w:rsidP="008D2072">
      <w:pPr>
        <w:pStyle w:val="Heading3"/>
      </w:pPr>
      <w:r w:rsidRPr="003473EB">
        <w:t xml:space="preserve"> </w:t>
      </w:r>
      <w:bookmarkStart w:id="8" w:name="_Toc161741975"/>
      <w:bookmarkStart w:id="9" w:name="_Toc161908254"/>
      <w:bookmarkStart w:id="10" w:name="_Toc161924170"/>
      <w:bookmarkStart w:id="11" w:name="_Toc162606603"/>
      <w:r w:rsidRPr="003473EB">
        <w:t>Historical Background</w:t>
      </w:r>
      <w:bookmarkEnd w:id="8"/>
      <w:bookmarkEnd w:id="9"/>
      <w:bookmarkEnd w:id="10"/>
      <w:bookmarkEnd w:id="11"/>
    </w:p>
    <w:p w14:paraId="1C584FFC" w14:textId="257C3A6D" w:rsidR="00CA5DB0" w:rsidRPr="003473EB" w:rsidRDefault="00CA5DB0" w:rsidP="00552D96">
      <w:pPr>
        <w:spacing w:after="60"/>
        <w:rPr>
          <w:rFonts w:asciiTheme="minorHAnsi" w:hAnsiTheme="minorHAnsi" w:cstheme="minorHAnsi"/>
          <w:szCs w:val="22"/>
        </w:rPr>
      </w:pPr>
      <w:r w:rsidRPr="003473EB">
        <w:rPr>
          <w:rFonts w:asciiTheme="minorHAnsi" w:hAnsiTheme="minorHAnsi" w:cstheme="minorHAnsi"/>
          <w:szCs w:val="22"/>
        </w:rPr>
        <w:t xml:space="preserve">The underlying assumptions about the need for solar powered irrigation under this proposed project </w:t>
      </w:r>
      <w:r w:rsidR="00367CF4" w:rsidRPr="003473EB">
        <w:rPr>
          <w:rFonts w:asciiTheme="minorHAnsi" w:hAnsiTheme="minorHAnsi" w:cstheme="minorHAnsi"/>
          <w:szCs w:val="22"/>
        </w:rPr>
        <w:t>must</w:t>
      </w:r>
      <w:r w:rsidRPr="003473EB">
        <w:rPr>
          <w:rFonts w:asciiTheme="minorHAnsi" w:hAnsiTheme="minorHAnsi" w:cstheme="minorHAnsi"/>
          <w:szCs w:val="22"/>
        </w:rPr>
        <w:t xml:space="preserve"> be made within the historical context of the need for irrigation and power in Alabama.  It shows that collapse of row crop agriculture is a large part of the rural poverty seen in Alabama.</w:t>
      </w:r>
      <w:r w:rsidR="002C2D68">
        <w:rPr>
          <w:rFonts w:asciiTheme="minorHAnsi" w:hAnsiTheme="minorHAnsi" w:cstheme="minorHAnsi"/>
          <w:szCs w:val="22"/>
        </w:rPr>
        <w:t xml:space="preserve"> It also shows that climate variability on timescales of 5-10 years can impact the economics and social structure of a region. </w:t>
      </w:r>
    </w:p>
    <w:p w14:paraId="03012515" w14:textId="176C2EFE" w:rsidR="00CA5DB0" w:rsidRPr="003473EB" w:rsidRDefault="00CA5DB0" w:rsidP="00552D96">
      <w:pPr>
        <w:spacing w:after="60"/>
        <w:rPr>
          <w:rFonts w:asciiTheme="minorHAnsi" w:hAnsiTheme="minorHAnsi" w:cstheme="minorHAnsi"/>
          <w:szCs w:val="22"/>
        </w:rPr>
      </w:pPr>
      <w:r w:rsidRPr="003473EB">
        <w:rPr>
          <w:rFonts w:asciiTheme="minorHAnsi" w:hAnsiTheme="minorHAnsi" w:cstheme="minorHAnsi"/>
          <w:b/>
          <w:bCs/>
          <w:szCs w:val="22"/>
        </w:rPr>
        <w:t>Collapse of Alabama Row Crop Agriculture:</w:t>
      </w:r>
      <w:r w:rsidRPr="003473EB">
        <w:rPr>
          <w:rFonts w:asciiTheme="minorHAnsi" w:hAnsiTheme="minorHAnsi" w:cstheme="minorHAnsi"/>
          <w:szCs w:val="22"/>
        </w:rPr>
        <w:t xml:space="preserve"> </w:t>
      </w:r>
      <w:r w:rsidRPr="003473EB">
        <w:rPr>
          <w:rFonts w:asciiTheme="minorHAnsi" w:hAnsiTheme="minorHAnsi" w:cstheme="minorHAnsi"/>
          <w:bCs/>
          <w:szCs w:val="22"/>
        </w:rPr>
        <w:t xml:space="preserve">In the last century Alabama’s agriculture was devastated by competition from irrigated cotton in the arid West and by farmers in the Midwest growing corn and other grains.  Irrigation in the West and deep-water-holding soils of the Midwest avoided the drought losses plaguing Alabama rain-fed farmers with their shallow soils. </w:t>
      </w:r>
      <w:r w:rsidRPr="003473EB">
        <w:rPr>
          <w:rFonts w:asciiTheme="minorHAnsi" w:hAnsiTheme="minorHAnsi" w:cstheme="minorHAnsi"/>
          <w:szCs w:val="22"/>
        </w:rPr>
        <w:t xml:space="preserve">Shell (2013) noted “Mini-droughts during the primary growing months of May, June, July and August probably have always been the single most important problem limiting crop production in Alabama.”  </w:t>
      </w:r>
      <w:r w:rsidRPr="003473EB">
        <w:rPr>
          <w:rFonts w:asciiTheme="minorHAnsi" w:hAnsiTheme="minorHAnsi" w:cstheme="minorHAnsi"/>
          <w:bCs/>
          <w:szCs w:val="22"/>
        </w:rPr>
        <w:t>The lack of competitive yields by Alabama farmers, coupled with improved transportation allowed Midwestern farmers to ship corn into the region which helped drive Alabama farmers out of business. Figure 1-1 shows the decline in corn and cotton planted since 1950. Cotton acreage declines started earlier in the 1930’s in part because of the boll weevil</w:t>
      </w:r>
      <w:r w:rsidR="00552D96">
        <w:rPr>
          <w:rFonts w:asciiTheme="minorHAnsi" w:hAnsiTheme="minorHAnsi" w:cstheme="minorHAnsi"/>
          <w:bCs/>
          <w:szCs w:val="22"/>
        </w:rPr>
        <w:t xml:space="preserve"> and collapse of tenant farming</w:t>
      </w:r>
      <w:r w:rsidRPr="003473EB">
        <w:rPr>
          <w:rFonts w:asciiTheme="minorHAnsi" w:hAnsiTheme="minorHAnsi" w:cstheme="minorHAnsi"/>
          <w:bCs/>
          <w:szCs w:val="22"/>
        </w:rPr>
        <w:t xml:space="preserve">. However, after the boll weevil could be controlled, the decline continued. Higher yields in irrigated cotton in California, Arizona, and New Mexico allowed western farmers to accept a lower price than Southeastern farmers (see below). </w:t>
      </w:r>
    </w:p>
    <w:p w14:paraId="5DF84263" w14:textId="77777777" w:rsidR="00CA5DB0" w:rsidRPr="003473EB" w:rsidRDefault="00CA5DB0" w:rsidP="00CA5DB0">
      <w:pPr>
        <w:pStyle w:val="BodyText"/>
        <w:spacing w:afterLines="120" w:after="288"/>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685376" behindDoc="0" locked="0" layoutInCell="1" allowOverlap="1" wp14:anchorId="56B38805" wp14:editId="40761D74">
                <wp:simplePos x="0" y="0"/>
                <wp:positionH relativeFrom="column">
                  <wp:posOffset>13566</wp:posOffset>
                </wp:positionH>
                <wp:positionV relativeFrom="paragraph">
                  <wp:posOffset>8774</wp:posOffset>
                </wp:positionV>
                <wp:extent cx="5507181" cy="2500746"/>
                <wp:effectExtent l="0" t="0" r="0" b="0"/>
                <wp:wrapNone/>
                <wp:docPr id="20" name="Text Box 20"/>
                <wp:cNvGraphicFramePr/>
                <a:graphic xmlns:a="http://schemas.openxmlformats.org/drawingml/2006/main">
                  <a:graphicData uri="http://schemas.microsoft.com/office/word/2010/wordprocessingShape">
                    <wps:wsp>
                      <wps:cNvSpPr txBox="1"/>
                      <wps:spPr>
                        <a:xfrm>
                          <a:off x="0" y="0"/>
                          <a:ext cx="5507181" cy="2500746"/>
                        </a:xfrm>
                        <a:prstGeom prst="rect">
                          <a:avLst/>
                        </a:prstGeom>
                        <a:solidFill>
                          <a:schemeClr val="lt1"/>
                        </a:solidFill>
                        <a:ln w="6350">
                          <a:noFill/>
                        </a:ln>
                      </wps:spPr>
                      <wps:txbx>
                        <w:txbxContent>
                          <w:p w14:paraId="5AA122E9" w14:textId="77777777" w:rsidR="00CA5DB0" w:rsidRDefault="00CA5DB0" w:rsidP="00CA5DB0">
                            <w:pPr>
                              <w:jc w:val="center"/>
                            </w:pPr>
                            <w:r w:rsidRPr="00CD1613">
                              <w:rPr>
                                <w:noProof/>
                              </w:rPr>
                              <w:drawing>
                                <wp:inline distT="0" distB="0" distL="0" distR="0" wp14:anchorId="45B1467E" wp14:editId="3CEA2844">
                                  <wp:extent cx="4391660" cy="19812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1660" cy="1981200"/>
                                          </a:xfrm>
                                          <a:prstGeom prst="rect">
                                            <a:avLst/>
                                          </a:prstGeom>
                                          <a:noFill/>
                                          <a:ln>
                                            <a:noFill/>
                                          </a:ln>
                                        </pic:spPr>
                                      </pic:pic>
                                    </a:graphicData>
                                  </a:graphic>
                                </wp:inline>
                              </w:drawing>
                            </w:r>
                          </w:p>
                          <w:p w14:paraId="72C53D0D" w14:textId="18958C1E" w:rsidR="00CA5DB0" w:rsidRPr="00010FD4" w:rsidRDefault="00CA5DB0" w:rsidP="00CA5DB0">
                            <w:pPr>
                              <w:pStyle w:val="Caption"/>
                              <w:rPr>
                                <w:rFonts w:eastAsia="SimSun"/>
                                <w:lang w:eastAsia="zh-CN"/>
                              </w:rPr>
                            </w:pPr>
                            <w:r>
                              <w:t>Figure 1</w:t>
                            </w:r>
                            <w:r>
                              <w:noBreakHyphen/>
                            </w:r>
                            <w:fldSimple w:instr=" SEQ Figure \* ARABIC \s 1 ">
                              <w:r>
                                <w:rPr>
                                  <w:noProof/>
                                </w:rPr>
                                <w:t>1</w:t>
                              </w:r>
                            </w:fldSimple>
                            <w:r>
                              <w:t xml:space="preserve"> Historical trends in planted acreages for corn (left) and cotton (right). Data from USDA  NASS state acreages.</w:t>
                            </w:r>
                            <w:r w:rsidR="00385D19">
                              <w:t xml:space="preserve"> </w:t>
                            </w:r>
                          </w:p>
                          <w:p w14:paraId="13C417F5" w14:textId="77777777" w:rsidR="00CA5DB0" w:rsidRDefault="00CA5DB0" w:rsidP="00CA5DB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B38805" id="_x0000_t202" coordsize="21600,21600" o:spt="202" path="m,l,21600r21600,l21600,xe">
                <v:stroke joinstyle="miter"/>
                <v:path gradientshapeok="t" o:connecttype="rect"/>
              </v:shapetype>
              <v:shape id="Text Box 20" o:spid="_x0000_s1026" type="#_x0000_t202" style="position:absolute;margin-left:1.05pt;margin-top:.7pt;width:433.65pt;height:196.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" fillcolor="white [3201]" stroked="f" strokeweight=".5pt">
                <v:textbox>
                  <w:txbxContent>
                    <w:p w14:paraId="5AA122E9" w14:textId="77777777" w:rsidR="00CA5DB0" w:rsidRDefault="00CA5DB0" w:rsidP="00CA5DB0">
                      <w:pPr>
                        <w:jc w:val="center"/>
                      </w:pPr>
                      <w:r w:rsidRPr="00CD1613">
                        <w:rPr>
                          <w:noProof/>
                        </w:rPr>
                        <w:drawing>
                          <wp:inline distT="0" distB="0" distL="0" distR="0" wp14:anchorId="45B1467E" wp14:editId="3CEA2844">
                            <wp:extent cx="4391660" cy="19812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1660" cy="1981200"/>
                                    </a:xfrm>
                                    <a:prstGeom prst="rect">
                                      <a:avLst/>
                                    </a:prstGeom>
                                    <a:noFill/>
                                    <a:ln>
                                      <a:noFill/>
                                    </a:ln>
                                  </pic:spPr>
                                </pic:pic>
                              </a:graphicData>
                            </a:graphic>
                          </wp:inline>
                        </w:drawing>
                      </w:r>
                    </w:p>
                    <w:p w14:paraId="72C53D0D" w14:textId="18958C1E" w:rsidR="00CA5DB0" w:rsidRPr="00010FD4" w:rsidRDefault="00CA5DB0" w:rsidP="00CA5DB0">
                      <w:pPr>
                        <w:pStyle w:val="Caption"/>
                        <w:rPr>
                          <w:rFonts w:eastAsia="SimSun"/>
                          <w:lang w:eastAsia="zh-CN"/>
                        </w:rPr>
                      </w:pPr>
                      <w:r>
                        <w:t>Figure 1</w:t>
                      </w:r>
                      <w:r>
                        <w:noBreakHyphen/>
                      </w:r>
                      <w:fldSimple w:instr=" SEQ Figure \* ARABIC \s 1 ">
                        <w:r>
                          <w:rPr>
                            <w:noProof/>
                          </w:rPr>
                          <w:t>1</w:t>
                        </w:r>
                      </w:fldSimple>
                      <w:r>
                        <w:t xml:space="preserve"> Historical trends in planted acreages for corn (left) and cotton (right). Data from USDA  NASS state acreages.</w:t>
                      </w:r>
                      <w:r w:rsidR="00385D19">
                        <w:t xml:space="preserve"> </w:t>
                      </w:r>
                    </w:p>
                    <w:p w14:paraId="13C417F5" w14:textId="77777777" w:rsidR="00CA5DB0" w:rsidRDefault="00CA5DB0" w:rsidP="00CA5DB0">
                      <w:pPr>
                        <w:jc w:val="center"/>
                      </w:pPr>
                    </w:p>
                  </w:txbxContent>
                </v:textbox>
              </v:shape>
            </w:pict>
          </mc:Fallback>
        </mc:AlternateContent>
      </w:r>
    </w:p>
    <w:p w14:paraId="1817ACCE" w14:textId="77777777" w:rsidR="00CA5DB0" w:rsidRPr="003473EB" w:rsidRDefault="00CA5DB0" w:rsidP="00CA5DB0">
      <w:pPr>
        <w:pStyle w:val="BodyText"/>
        <w:spacing w:afterLines="120" w:after="288"/>
        <w:rPr>
          <w:rFonts w:asciiTheme="minorHAnsi" w:hAnsiTheme="minorHAnsi" w:cstheme="minorHAnsi"/>
          <w:szCs w:val="22"/>
        </w:rPr>
      </w:pPr>
    </w:p>
    <w:p w14:paraId="5F4D2756" w14:textId="77777777" w:rsidR="00CA5DB0" w:rsidRPr="003473EB" w:rsidRDefault="00CA5DB0" w:rsidP="00CA5DB0">
      <w:pPr>
        <w:pStyle w:val="BodyText"/>
        <w:spacing w:afterLines="120" w:after="288"/>
        <w:rPr>
          <w:rFonts w:asciiTheme="minorHAnsi" w:hAnsiTheme="minorHAnsi" w:cstheme="minorHAnsi"/>
          <w:szCs w:val="22"/>
        </w:rPr>
      </w:pPr>
    </w:p>
    <w:p w14:paraId="2DEAF98A" w14:textId="77777777" w:rsidR="00CA5DB0" w:rsidRPr="003473EB" w:rsidRDefault="00CA5DB0" w:rsidP="00CA5DB0">
      <w:pPr>
        <w:keepNext/>
        <w:spacing w:afterLines="120" w:after="288"/>
        <w:jc w:val="center"/>
        <w:rPr>
          <w:rFonts w:asciiTheme="minorHAnsi" w:hAnsiTheme="minorHAnsi" w:cstheme="minorHAnsi"/>
          <w:szCs w:val="22"/>
        </w:rPr>
      </w:pPr>
    </w:p>
    <w:p w14:paraId="2A74012B" w14:textId="77777777" w:rsidR="00CA5DB0" w:rsidRPr="003473EB" w:rsidRDefault="00CA5DB0" w:rsidP="00CA5DB0">
      <w:pPr>
        <w:pStyle w:val="Caption"/>
        <w:spacing w:before="0" w:afterLines="120" w:after="288"/>
        <w:rPr>
          <w:rFonts w:asciiTheme="minorHAnsi" w:hAnsiTheme="minorHAnsi" w:cstheme="minorHAnsi"/>
          <w:sz w:val="22"/>
          <w:szCs w:val="22"/>
        </w:rPr>
      </w:pPr>
    </w:p>
    <w:p w14:paraId="3F5DA6E3" w14:textId="77777777" w:rsidR="00CA5DB0" w:rsidRPr="003473EB" w:rsidRDefault="00CA5DB0" w:rsidP="00CA5DB0">
      <w:pPr>
        <w:pStyle w:val="Caption"/>
        <w:spacing w:before="0" w:afterLines="120" w:after="288"/>
        <w:rPr>
          <w:rFonts w:asciiTheme="minorHAnsi" w:hAnsiTheme="minorHAnsi" w:cstheme="minorHAnsi"/>
          <w:sz w:val="22"/>
          <w:szCs w:val="22"/>
        </w:rPr>
      </w:pPr>
    </w:p>
    <w:p w14:paraId="06D82B42" w14:textId="77777777" w:rsidR="00CA5DB0" w:rsidRPr="003473EB" w:rsidRDefault="00CA5DB0" w:rsidP="00CA5DB0">
      <w:pPr>
        <w:pStyle w:val="Caption"/>
        <w:spacing w:before="0" w:after="0"/>
        <w:rPr>
          <w:rFonts w:asciiTheme="minorHAnsi" w:hAnsiTheme="minorHAnsi" w:cstheme="minorHAnsi"/>
          <w:sz w:val="22"/>
          <w:szCs w:val="22"/>
        </w:rPr>
      </w:pPr>
    </w:p>
    <w:p w14:paraId="2E003FD2" w14:textId="77777777" w:rsidR="00CA5DB0" w:rsidRPr="003473EB" w:rsidRDefault="00CA5DB0" w:rsidP="00CA5DB0">
      <w:pPr>
        <w:pStyle w:val="BodyText"/>
        <w:spacing w:after="0"/>
        <w:rPr>
          <w:rFonts w:asciiTheme="minorHAnsi" w:hAnsiTheme="minorHAnsi" w:cstheme="minorHAnsi"/>
          <w:szCs w:val="22"/>
        </w:rPr>
      </w:pPr>
    </w:p>
    <w:p w14:paraId="28819F8E" w14:textId="43CBE56C" w:rsidR="00AD6715" w:rsidRPr="003473EB" w:rsidRDefault="00CA5DB0" w:rsidP="002C2D68">
      <w:pPr>
        <w:pStyle w:val="BodyText"/>
        <w:spacing w:afterLines="60" w:after="144"/>
        <w:rPr>
          <w:rFonts w:asciiTheme="minorHAnsi" w:hAnsiTheme="minorHAnsi" w:cstheme="minorHAnsi"/>
          <w:szCs w:val="22"/>
        </w:rPr>
      </w:pPr>
      <w:r w:rsidRPr="003473EB">
        <w:rPr>
          <w:rFonts w:asciiTheme="minorHAnsi" w:hAnsiTheme="minorHAnsi" w:cstheme="minorHAnsi"/>
          <w:szCs w:val="22"/>
        </w:rPr>
        <w:t xml:space="preserve">Historically, Alabama farmers grew corn for local consumption by livestock and poultry. The lack of soil moisture buffering capacity and short periods without rain significantly reduced average corn yields. By the 1950’s locks and dams constructed on the upper Mississippi and Tennessee Rivers allowed Midwest farmers to ship their corn and other grains into Alabama. Before 1950 Alabama farmers were only competing with themselves in a local market. By the mid-1950s the improvements in transportation had largely created a national price for corn.  With the price now being set by Midwest yields, Alabama farmers couldn’t compete with their lower yields. The decline in corn production seen in figure 1-1 is ironic since Alabama’s poultry industry which was consuming corn grew even faster than the decline in Alabama corn production. </w:t>
      </w:r>
    </w:p>
    <w:p w14:paraId="5920A649" w14:textId="303AE3C0" w:rsidR="00CA5DB0" w:rsidRPr="003473EB" w:rsidRDefault="00552D96" w:rsidP="002C2D68">
      <w:pPr>
        <w:pStyle w:val="BodyText"/>
        <w:spacing w:afterLines="60" w:after="144"/>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659264" behindDoc="0" locked="0" layoutInCell="1" allowOverlap="1" wp14:anchorId="0E54CBBA" wp14:editId="3C6C3E08">
                <wp:simplePos x="0" y="0"/>
                <wp:positionH relativeFrom="margin">
                  <wp:posOffset>171115</wp:posOffset>
                </wp:positionH>
                <wp:positionV relativeFrom="paragraph">
                  <wp:posOffset>1343191</wp:posOffset>
                </wp:positionV>
                <wp:extent cx="5812589" cy="3785937"/>
                <wp:effectExtent l="0" t="0" r="0" b="5080"/>
                <wp:wrapNone/>
                <wp:docPr id="26" name="Text Box 26"/>
                <wp:cNvGraphicFramePr/>
                <a:graphic xmlns:a="http://schemas.openxmlformats.org/drawingml/2006/main">
                  <a:graphicData uri="http://schemas.microsoft.com/office/word/2010/wordprocessingShape">
                    <wps:wsp>
                      <wps:cNvSpPr txBox="1"/>
                      <wps:spPr>
                        <a:xfrm>
                          <a:off x="0" y="0"/>
                          <a:ext cx="5812589" cy="3785937"/>
                        </a:xfrm>
                        <a:prstGeom prst="rect">
                          <a:avLst/>
                        </a:prstGeom>
                        <a:noFill/>
                        <a:ln w="6350">
                          <a:noFill/>
                        </a:ln>
                      </wps:spPr>
                      <wps:txbx>
                        <w:txbxContent>
                          <w:p w14:paraId="7E178008" w14:textId="77777777" w:rsidR="00CA5DB0" w:rsidRDefault="00CA5DB0" w:rsidP="00CA5DB0">
                            <w:pPr>
                              <w:jc w:val="center"/>
                            </w:pPr>
                          </w:p>
                          <w:p w14:paraId="6697B01C" w14:textId="77777777" w:rsidR="00CA5DB0" w:rsidRDefault="00CA5DB0" w:rsidP="00CA5DB0">
                            <w:pPr>
                              <w:pStyle w:val="BodyText"/>
                              <w:rPr>
                                <w:i/>
                                <w:iCs/>
                              </w:rPr>
                            </w:pPr>
                          </w:p>
                          <w:p w14:paraId="644C1017" w14:textId="77777777" w:rsidR="00CA5DB0" w:rsidRDefault="00CA5DB0" w:rsidP="00CA5DB0">
                            <w:pPr>
                              <w:pStyle w:val="BodyText"/>
                              <w:rPr>
                                <w:i/>
                                <w:iCs/>
                              </w:rPr>
                            </w:pPr>
                          </w:p>
                          <w:p w14:paraId="55122E1A" w14:textId="77777777" w:rsidR="00CA5DB0" w:rsidRDefault="00CA5DB0" w:rsidP="00CA5DB0">
                            <w:pPr>
                              <w:pStyle w:val="BodyText"/>
                              <w:rPr>
                                <w:i/>
                                <w:iCs/>
                              </w:rPr>
                            </w:pPr>
                          </w:p>
                          <w:p w14:paraId="357F7CEE" w14:textId="77777777" w:rsidR="00CA5DB0" w:rsidRDefault="00CA5DB0" w:rsidP="00CA5DB0">
                            <w:pPr>
                              <w:pStyle w:val="BodyText"/>
                              <w:rPr>
                                <w:i/>
                                <w:iCs/>
                              </w:rPr>
                            </w:pPr>
                          </w:p>
                          <w:p w14:paraId="76E875FF" w14:textId="77777777" w:rsidR="00CA5DB0" w:rsidRDefault="00CA5DB0" w:rsidP="00CA5DB0">
                            <w:pPr>
                              <w:pStyle w:val="BodyText"/>
                              <w:rPr>
                                <w:i/>
                                <w:iCs/>
                              </w:rPr>
                            </w:pPr>
                          </w:p>
                          <w:p w14:paraId="4F03B90A" w14:textId="77777777" w:rsidR="00CA5DB0" w:rsidRDefault="00CA5DB0" w:rsidP="00CA5DB0">
                            <w:pPr>
                              <w:pStyle w:val="BodyText"/>
                              <w:rPr>
                                <w:i/>
                                <w:iCs/>
                              </w:rPr>
                            </w:pPr>
                          </w:p>
                          <w:p w14:paraId="5CDE82C8" w14:textId="77777777" w:rsidR="00CA5DB0" w:rsidRDefault="00CA5DB0" w:rsidP="00CA5DB0">
                            <w:pPr>
                              <w:pStyle w:val="BodyText"/>
                              <w:rPr>
                                <w:i/>
                                <w:iCs/>
                              </w:rPr>
                            </w:pPr>
                          </w:p>
                          <w:p w14:paraId="5F4C1DCD" w14:textId="77777777" w:rsidR="00CA5DB0" w:rsidRDefault="00CA5DB0" w:rsidP="00CA5DB0">
                            <w:pPr>
                              <w:pStyle w:val="BodyText"/>
                              <w:rPr>
                                <w:i/>
                                <w:iCs/>
                              </w:rPr>
                            </w:pPr>
                          </w:p>
                          <w:p w14:paraId="062037F0" w14:textId="77777777" w:rsidR="00CA5DB0" w:rsidRDefault="00CA5DB0" w:rsidP="00CA5DB0">
                            <w:pPr>
                              <w:pStyle w:val="BodyText"/>
                              <w:rPr>
                                <w:i/>
                                <w:iCs/>
                              </w:rPr>
                            </w:pPr>
                          </w:p>
                          <w:p w14:paraId="1D0EAC56" w14:textId="39BD216B" w:rsidR="00CA5DB0" w:rsidRPr="00DF3E74" w:rsidRDefault="00CA5DB0" w:rsidP="00CA5DB0">
                            <w:pPr>
                              <w:pStyle w:val="BodyText"/>
                              <w:rPr>
                                <w:b/>
                                <w:bCs/>
                                <w:i/>
                                <w:iCs/>
                              </w:rPr>
                            </w:pPr>
                            <w:r w:rsidRPr="00DF3E74">
                              <w:rPr>
                                <w:i/>
                                <w:iCs/>
                              </w:rPr>
                              <w:t xml:space="preserve">Figure </w:t>
                            </w:r>
                            <w:r>
                              <w:rPr>
                                <w:i/>
                                <w:iCs/>
                              </w:rPr>
                              <w:t xml:space="preserve">1-2 </w:t>
                            </w:r>
                            <w:r w:rsidRPr="00DF3E74">
                              <w:rPr>
                                <w:i/>
                                <w:iCs/>
                              </w:rPr>
                              <w:t xml:space="preserve"> </w:t>
                            </w:r>
                            <w:r w:rsidR="00552D96">
                              <w:rPr>
                                <w:i/>
                                <w:iCs/>
                              </w:rPr>
                              <w:t>H</w:t>
                            </w:r>
                            <w:r w:rsidRPr="00DF3E74">
                              <w:rPr>
                                <w:i/>
                                <w:iCs/>
                              </w:rPr>
                              <w:t xml:space="preserve">istorical Alabama corn acreage lost compared to profit from corn developed from a crop model. The profit in the crop model depends only on weather (mostly rainfall). In order to smooth out variability, acreage and profit are based on a running seven-year value. </w:t>
                            </w:r>
                            <w:r w:rsidRPr="00DF3E74">
                              <w:rPr>
                                <w:b/>
                                <w:bCs/>
                                <w:i/>
                                <w:iCs/>
                              </w:rPr>
                              <w:t>It shows that when profit is down (less rainfall) then with a little lag (it takes time to go out of business) Alabama loses acreage. When profit improves then Alabama’s loss of acreage slows.</w:t>
                            </w:r>
                            <w:r w:rsidR="00552D96">
                              <w:rPr>
                                <w:b/>
                                <w:bCs/>
                                <w:i/>
                                <w:iCs/>
                              </w:rPr>
                              <w:t xml:space="preserve"> This also shows the importance of short- term climate variability in impacting the economics of a region.</w:t>
                            </w:r>
                          </w:p>
                          <w:p w14:paraId="56F610EB" w14:textId="77777777" w:rsidR="00CA5DB0" w:rsidRDefault="00CA5DB0" w:rsidP="00CA5DB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CBBA" id="Text Box 26" o:spid="_x0000_s1027" type="#_x0000_t202" style="position:absolute;margin-left:13.45pt;margin-top:105.75pt;width:457.7pt;height:298.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" filled="f" stroked="f" strokeweight=".5pt">
                <v:textbox>
                  <w:txbxContent>
                    <w:p w14:paraId="7E178008" w14:textId="77777777" w:rsidR="00CA5DB0" w:rsidRDefault="00CA5DB0" w:rsidP="00CA5DB0">
                      <w:pPr>
                        <w:jc w:val="center"/>
                      </w:pPr>
                    </w:p>
                    <w:p w14:paraId="6697B01C" w14:textId="77777777" w:rsidR="00CA5DB0" w:rsidRDefault="00CA5DB0" w:rsidP="00CA5DB0">
                      <w:pPr>
                        <w:pStyle w:val="BodyText"/>
                        <w:rPr>
                          <w:i/>
                          <w:iCs/>
                        </w:rPr>
                      </w:pPr>
                    </w:p>
                    <w:p w14:paraId="644C1017" w14:textId="77777777" w:rsidR="00CA5DB0" w:rsidRDefault="00CA5DB0" w:rsidP="00CA5DB0">
                      <w:pPr>
                        <w:pStyle w:val="BodyText"/>
                        <w:rPr>
                          <w:i/>
                          <w:iCs/>
                        </w:rPr>
                      </w:pPr>
                    </w:p>
                    <w:p w14:paraId="55122E1A" w14:textId="77777777" w:rsidR="00CA5DB0" w:rsidRDefault="00CA5DB0" w:rsidP="00CA5DB0">
                      <w:pPr>
                        <w:pStyle w:val="BodyText"/>
                        <w:rPr>
                          <w:i/>
                          <w:iCs/>
                        </w:rPr>
                      </w:pPr>
                    </w:p>
                    <w:p w14:paraId="357F7CEE" w14:textId="77777777" w:rsidR="00CA5DB0" w:rsidRDefault="00CA5DB0" w:rsidP="00CA5DB0">
                      <w:pPr>
                        <w:pStyle w:val="BodyText"/>
                        <w:rPr>
                          <w:i/>
                          <w:iCs/>
                        </w:rPr>
                      </w:pPr>
                    </w:p>
                    <w:p w14:paraId="76E875FF" w14:textId="77777777" w:rsidR="00CA5DB0" w:rsidRDefault="00CA5DB0" w:rsidP="00CA5DB0">
                      <w:pPr>
                        <w:pStyle w:val="BodyText"/>
                        <w:rPr>
                          <w:i/>
                          <w:iCs/>
                        </w:rPr>
                      </w:pPr>
                    </w:p>
                    <w:p w14:paraId="4F03B90A" w14:textId="77777777" w:rsidR="00CA5DB0" w:rsidRDefault="00CA5DB0" w:rsidP="00CA5DB0">
                      <w:pPr>
                        <w:pStyle w:val="BodyText"/>
                        <w:rPr>
                          <w:i/>
                          <w:iCs/>
                        </w:rPr>
                      </w:pPr>
                    </w:p>
                    <w:p w14:paraId="5CDE82C8" w14:textId="77777777" w:rsidR="00CA5DB0" w:rsidRDefault="00CA5DB0" w:rsidP="00CA5DB0">
                      <w:pPr>
                        <w:pStyle w:val="BodyText"/>
                        <w:rPr>
                          <w:i/>
                          <w:iCs/>
                        </w:rPr>
                      </w:pPr>
                    </w:p>
                    <w:p w14:paraId="5F4C1DCD" w14:textId="77777777" w:rsidR="00CA5DB0" w:rsidRDefault="00CA5DB0" w:rsidP="00CA5DB0">
                      <w:pPr>
                        <w:pStyle w:val="BodyText"/>
                        <w:rPr>
                          <w:i/>
                          <w:iCs/>
                        </w:rPr>
                      </w:pPr>
                    </w:p>
                    <w:p w14:paraId="062037F0" w14:textId="77777777" w:rsidR="00CA5DB0" w:rsidRDefault="00CA5DB0" w:rsidP="00CA5DB0">
                      <w:pPr>
                        <w:pStyle w:val="BodyText"/>
                        <w:rPr>
                          <w:i/>
                          <w:iCs/>
                        </w:rPr>
                      </w:pPr>
                    </w:p>
                    <w:p w14:paraId="1D0EAC56" w14:textId="39BD216B" w:rsidR="00CA5DB0" w:rsidRPr="00DF3E74" w:rsidRDefault="00CA5DB0" w:rsidP="00CA5DB0">
                      <w:pPr>
                        <w:pStyle w:val="BodyText"/>
                        <w:rPr>
                          <w:b/>
                          <w:bCs/>
                          <w:i/>
                          <w:iCs/>
                        </w:rPr>
                      </w:pPr>
                      <w:r w:rsidRPr="00DF3E74">
                        <w:rPr>
                          <w:i/>
                          <w:iCs/>
                        </w:rPr>
                        <w:t xml:space="preserve">Figure </w:t>
                      </w:r>
                      <w:r>
                        <w:rPr>
                          <w:i/>
                          <w:iCs/>
                        </w:rPr>
                        <w:t xml:space="preserve">1-2 </w:t>
                      </w:r>
                      <w:r w:rsidRPr="00DF3E74">
                        <w:rPr>
                          <w:i/>
                          <w:iCs/>
                        </w:rPr>
                        <w:t xml:space="preserve"> </w:t>
                      </w:r>
                      <w:r w:rsidR="00552D96">
                        <w:rPr>
                          <w:i/>
                          <w:iCs/>
                        </w:rPr>
                        <w:t>H</w:t>
                      </w:r>
                      <w:r w:rsidRPr="00DF3E74">
                        <w:rPr>
                          <w:i/>
                          <w:iCs/>
                        </w:rPr>
                        <w:t xml:space="preserve">istorical Alabama corn acreage lost compared to profit from corn developed from a crop model. The profit in the crop model depends only on weather (mostly rainfall). In order to smooth out variability, acreage and profit are based on a running seven-year value. </w:t>
                      </w:r>
                      <w:r w:rsidRPr="00DF3E74">
                        <w:rPr>
                          <w:b/>
                          <w:bCs/>
                          <w:i/>
                          <w:iCs/>
                        </w:rPr>
                        <w:t>It shows that when profit is down (less rainfall) then with a little lag (it takes time to go out of business) Alabama loses acreage. When profit improves then Alabama’s loss of acreage slows.</w:t>
                      </w:r>
                      <w:r w:rsidR="00552D96">
                        <w:rPr>
                          <w:b/>
                          <w:bCs/>
                          <w:i/>
                          <w:iCs/>
                        </w:rPr>
                        <w:t xml:space="preserve"> This also shows the importance of short- term climate variability in impacting the economics of a region.</w:t>
                      </w:r>
                    </w:p>
                    <w:p w14:paraId="56F610EB" w14:textId="77777777" w:rsidR="00CA5DB0" w:rsidRDefault="00CA5DB0" w:rsidP="00CA5DB0">
                      <w:pPr>
                        <w:jc w:val="center"/>
                      </w:pPr>
                    </w:p>
                  </w:txbxContent>
                </v:textbox>
                <w10:wrap anchorx="margin"/>
              </v:shape>
            </w:pict>
          </mc:Fallback>
        </mc:AlternateContent>
      </w:r>
      <w:r w:rsidR="00CA5DB0" w:rsidRPr="003473EB">
        <w:rPr>
          <w:rFonts w:asciiTheme="minorHAnsi" w:hAnsiTheme="minorHAnsi" w:cstheme="minorHAnsi"/>
          <w:szCs w:val="22"/>
        </w:rPr>
        <w:t xml:space="preserve">Figure 1-2 illustrates the lack of competitiveness and role of rainfall in the decline of corn acreage seen in figure 1-1. It shows a historical time series of profit based on a crop model growing corn in Alabama soils. Also, super-imposed is a smoothed version of the corn acres planted in Alabama from figure 1. In the profit calculation, the </w:t>
      </w:r>
      <w:r w:rsidR="00CA5DB0" w:rsidRPr="003473EB">
        <w:rPr>
          <w:rFonts w:asciiTheme="minorHAnsi" w:hAnsiTheme="minorHAnsi" w:cstheme="minorHAnsi"/>
          <w:szCs w:val="22"/>
        </w:rPr>
        <w:lastRenderedPageBreak/>
        <w:t>price is set as a constant national price and input costs are fixed. Thus, the profit in the crop model depends only on weather (mostly rainfall). It shows that when profit is down (less yield due to less rainfall) then, with a little lag Alabama, loses acreage. The lag is due to the fact it takes a while for farmers to go out of business. When profit improves then Alabama’s loss of acreage slows.</w:t>
      </w:r>
    </w:p>
    <w:p w14:paraId="54981536" w14:textId="7182566F" w:rsidR="00CA5DB0" w:rsidRPr="003473EB" w:rsidRDefault="00CA5DB0" w:rsidP="00CA5DB0">
      <w:pPr>
        <w:keepNext/>
        <w:spacing w:afterLines="120" w:after="288"/>
        <w:jc w:val="center"/>
        <w:rPr>
          <w:rFonts w:asciiTheme="minorHAnsi" w:hAnsiTheme="minorHAnsi" w:cstheme="minorHAnsi"/>
          <w:szCs w:val="22"/>
        </w:rPr>
      </w:pPr>
      <w:r w:rsidRPr="003473EB">
        <w:rPr>
          <w:rFonts w:asciiTheme="minorHAnsi" w:hAnsiTheme="minorHAnsi" w:cstheme="minorHAnsi"/>
          <w:noProof/>
          <w:szCs w:val="22"/>
        </w:rPr>
        <w:drawing>
          <wp:inline distT="0" distB="0" distL="0" distR="0" wp14:anchorId="4ED6BF1B" wp14:editId="1F6E5EC1">
            <wp:extent cx="3571153" cy="245918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3962" cy="2468003"/>
                    </a:xfrm>
                    <a:prstGeom prst="rect">
                      <a:avLst/>
                    </a:prstGeom>
                    <a:noFill/>
                    <a:ln>
                      <a:noFill/>
                    </a:ln>
                  </pic:spPr>
                </pic:pic>
              </a:graphicData>
            </a:graphic>
          </wp:inline>
        </w:drawing>
      </w:r>
    </w:p>
    <w:p w14:paraId="69729886" w14:textId="77777777" w:rsidR="00CA5DB0" w:rsidRPr="003473EB" w:rsidRDefault="00CA5DB0" w:rsidP="00CA5DB0">
      <w:pPr>
        <w:keepNext/>
        <w:spacing w:afterLines="120" w:after="288"/>
        <w:jc w:val="center"/>
        <w:rPr>
          <w:rFonts w:asciiTheme="minorHAnsi" w:hAnsiTheme="minorHAnsi" w:cstheme="minorHAnsi"/>
          <w:szCs w:val="22"/>
        </w:rPr>
      </w:pPr>
    </w:p>
    <w:p w14:paraId="6C5239B3" w14:textId="77777777" w:rsidR="00CA5DB0" w:rsidRPr="003473EB" w:rsidRDefault="00CA5DB0" w:rsidP="00CA5DB0">
      <w:pPr>
        <w:keepNext/>
        <w:spacing w:afterLines="120" w:after="288"/>
        <w:jc w:val="center"/>
        <w:rPr>
          <w:rFonts w:asciiTheme="minorHAnsi" w:hAnsiTheme="minorHAnsi" w:cstheme="minorHAnsi"/>
          <w:szCs w:val="22"/>
        </w:rPr>
      </w:pPr>
    </w:p>
    <w:p w14:paraId="2569E076" w14:textId="29FAB81F" w:rsidR="00CA5DB0" w:rsidRPr="003473EB" w:rsidRDefault="00CA5DB0" w:rsidP="00552D96">
      <w:pPr>
        <w:keepNext/>
        <w:spacing w:afterLines="120" w:after="288"/>
        <w:jc w:val="center"/>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751936" behindDoc="1" locked="0" layoutInCell="1" allowOverlap="1" wp14:anchorId="6835D3D3" wp14:editId="6B4E90E4">
                <wp:simplePos x="0" y="0"/>
                <wp:positionH relativeFrom="margin">
                  <wp:posOffset>284480</wp:posOffset>
                </wp:positionH>
                <wp:positionV relativeFrom="paragraph">
                  <wp:posOffset>437916</wp:posOffset>
                </wp:positionV>
                <wp:extent cx="5462905" cy="1673860"/>
                <wp:effectExtent l="0" t="0" r="23495" b="21590"/>
                <wp:wrapTight wrapText="bothSides">
                  <wp:wrapPolygon edited="0">
                    <wp:start x="0" y="0"/>
                    <wp:lineTo x="0" y="21633"/>
                    <wp:lineTo x="21618" y="21633"/>
                    <wp:lineTo x="21618"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5462905" cy="1673860"/>
                        </a:xfrm>
                        <a:prstGeom prst="rect">
                          <a:avLst/>
                        </a:prstGeom>
                        <a:noFill/>
                        <a:ln w="6350">
                          <a:solidFill>
                            <a:prstClr val="black"/>
                          </a:solidFill>
                        </a:ln>
                      </wps:spPr>
                      <wps:txbx>
                        <w:txbxContent>
                          <w:p w14:paraId="018929F9" w14:textId="77777777" w:rsidR="00CA5DB0" w:rsidRPr="00874E3E" w:rsidRDefault="00CA5DB0" w:rsidP="00CA5DB0">
                            <w:pPr>
                              <w:jc w:val="center"/>
                            </w:pPr>
                            <w:r w:rsidRPr="005560EA">
                              <w:rPr>
                                <w:noProof/>
                              </w:rPr>
                              <w:drawing>
                                <wp:inline distT="0" distB="0" distL="0" distR="0" wp14:anchorId="345D9233" wp14:editId="09C00E4C">
                                  <wp:extent cx="4168726" cy="1393351"/>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8297" cy="1413262"/>
                                          </a:xfrm>
                                          <a:prstGeom prst="rect">
                                            <a:avLst/>
                                          </a:prstGeom>
                                          <a:noFill/>
                                          <a:ln>
                                            <a:noFill/>
                                          </a:ln>
                                        </pic:spPr>
                                      </pic:pic>
                                    </a:graphicData>
                                  </a:graphic>
                                </wp:inline>
                              </w:drawing>
                            </w:r>
                          </w:p>
                          <w:p w14:paraId="74AD6E0F" w14:textId="77777777" w:rsidR="00CA5DB0" w:rsidRPr="0059377D" w:rsidRDefault="00CA5DB0" w:rsidP="00CA5DB0">
                            <w:pPr>
                              <w:rPr>
                                <w:b/>
                              </w:rPr>
                            </w:pPr>
                            <w:r w:rsidRPr="0059377D">
                              <w:t xml:space="preserve">Figure 1 – </w:t>
                            </w:r>
                            <w:r>
                              <w:t>3</w:t>
                            </w:r>
                            <w:r w:rsidRPr="0059377D">
                              <w:t xml:space="preserve"> </w:t>
                            </w:r>
                            <w:r>
                              <w:t>C</w:t>
                            </w:r>
                            <w:r w:rsidRPr="0059377D">
                              <w:t>hange</w:t>
                            </w:r>
                            <w:r>
                              <w:t xml:space="preserve">s in the </w:t>
                            </w:r>
                            <w:r w:rsidRPr="0059377D">
                              <w:t>geography of poultry production 1929-1987</w:t>
                            </w:r>
                          </w:p>
                          <w:p w14:paraId="3C642F17" w14:textId="77777777" w:rsidR="00CA5DB0" w:rsidRDefault="00CA5DB0" w:rsidP="00CA5DB0">
                            <w:pPr>
                              <w:jc w:val="center"/>
                            </w:pPr>
                          </w:p>
                          <w:p w14:paraId="6A6F66AF" w14:textId="77777777" w:rsidR="00CA5DB0" w:rsidRDefault="00CA5DB0" w:rsidP="00CA5DB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5D3D3" id="Text Box 28" o:spid="_x0000_s1028" type="#_x0000_t202" style="position:absolute;left:0;text-align:left;margin-left:22.4pt;margin-top:34.5pt;width:430.15pt;height:131.8pt;z-index:-251564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" filled="f" strokeweight=".5pt">
                <v:textbox>
                  <w:txbxContent>
                    <w:p w14:paraId="018929F9" w14:textId="77777777" w:rsidR="00CA5DB0" w:rsidRPr="00874E3E" w:rsidRDefault="00CA5DB0" w:rsidP="00CA5DB0">
                      <w:pPr>
                        <w:jc w:val="center"/>
                      </w:pPr>
                      <w:r w:rsidRPr="005560EA">
                        <w:rPr>
                          <w:noProof/>
                        </w:rPr>
                        <w:drawing>
                          <wp:inline distT="0" distB="0" distL="0" distR="0" wp14:anchorId="345D9233" wp14:editId="09C00E4C">
                            <wp:extent cx="4168726" cy="1393351"/>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8297" cy="1413262"/>
                                    </a:xfrm>
                                    <a:prstGeom prst="rect">
                                      <a:avLst/>
                                    </a:prstGeom>
                                    <a:noFill/>
                                    <a:ln>
                                      <a:noFill/>
                                    </a:ln>
                                  </pic:spPr>
                                </pic:pic>
                              </a:graphicData>
                            </a:graphic>
                          </wp:inline>
                        </w:drawing>
                      </w:r>
                    </w:p>
                    <w:p w14:paraId="74AD6E0F" w14:textId="77777777" w:rsidR="00CA5DB0" w:rsidRPr="0059377D" w:rsidRDefault="00CA5DB0" w:rsidP="00CA5DB0">
                      <w:pPr>
                        <w:rPr>
                          <w:b/>
                        </w:rPr>
                      </w:pPr>
                      <w:r w:rsidRPr="0059377D">
                        <w:t xml:space="preserve">Figure 1 – </w:t>
                      </w:r>
                      <w:r>
                        <w:t>3</w:t>
                      </w:r>
                      <w:r w:rsidRPr="0059377D">
                        <w:t xml:space="preserve"> </w:t>
                      </w:r>
                      <w:r>
                        <w:t>C</w:t>
                      </w:r>
                      <w:r w:rsidRPr="0059377D">
                        <w:t>hange</w:t>
                      </w:r>
                      <w:r>
                        <w:t xml:space="preserve">s in the </w:t>
                      </w:r>
                      <w:r w:rsidRPr="0059377D">
                        <w:t>geography of poultry production 1929-1987</w:t>
                      </w:r>
                    </w:p>
                    <w:p w14:paraId="3C642F17" w14:textId="77777777" w:rsidR="00CA5DB0" w:rsidRDefault="00CA5DB0" w:rsidP="00CA5DB0">
                      <w:pPr>
                        <w:jc w:val="center"/>
                      </w:pPr>
                    </w:p>
                    <w:p w14:paraId="6A6F66AF" w14:textId="77777777" w:rsidR="00CA5DB0" w:rsidRDefault="00CA5DB0" w:rsidP="00CA5DB0">
                      <w:pPr>
                        <w:jc w:val="center"/>
                      </w:pPr>
                    </w:p>
                  </w:txbxContent>
                </v:textbox>
                <w10:wrap type="tight" anchorx="margin"/>
              </v:shape>
            </w:pict>
          </mc:Fallback>
        </mc:AlternateContent>
      </w:r>
    </w:p>
    <w:p w14:paraId="69D4D7D8" w14:textId="5FE255ED" w:rsidR="00CA5DB0" w:rsidRPr="003473EB" w:rsidRDefault="00CA5DB0" w:rsidP="00CA5DB0">
      <w:pPr>
        <w:pStyle w:val="BodyText"/>
        <w:spacing w:after="120"/>
        <w:rPr>
          <w:rFonts w:asciiTheme="minorHAnsi" w:hAnsiTheme="minorHAnsi" w:cstheme="minorHAnsi"/>
          <w:noProof/>
          <w:szCs w:val="22"/>
        </w:rPr>
      </w:pPr>
      <w:r w:rsidRPr="003473EB">
        <w:rPr>
          <w:rFonts w:asciiTheme="minorHAnsi" w:hAnsiTheme="minorHAnsi" w:cstheme="minorHAnsi"/>
          <w:szCs w:val="22"/>
        </w:rPr>
        <w:t>The shift of grain production to the Midwest was part of a massive change in the geography of U.S grain and poultry production (</w:t>
      </w:r>
      <w:hyperlink r:id="rId14" w:history="1">
        <w:r w:rsidRPr="003473EB">
          <w:rPr>
            <w:rStyle w:val="Hyperlink"/>
            <w:rFonts w:asciiTheme="minorHAnsi" w:hAnsiTheme="minorHAnsi" w:cstheme="minorHAnsi"/>
            <w:i/>
            <w:iCs/>
            <w:szCs w:val="22"/>
          </w:rPr>
          <w:t>NSF Workshop Report</w:t>
        </w:r>
      </w:hyperlink>
      <w:r w:rsidRPr="003473EB">
        <w:rPr>
          <w:rFonts w:asciiTheme="minorHAnsi" w:hAnsiTheme="minorHAnsi" w:cstheme="minorHAnsi"/>
          <w:szCs w:val="22"/>
        </w:rPr>
        <w:t xml:space="preserve"> ). As transportation improved, especially refrigerated transport, poultry production shifted to the south due to lower energy demands to keep poultry houses warm.  See figure 1-3.  </w:t>
      </w:r>
    </w:p>
    <w:p w14:paraId="25697687" w14:textId="77777777" w:rsidR="00CA5DB0" w:rsidRPr="003473EB" w:rsidRDefault="00CA5DB0" w:rsidP="00CA5DB0">
      <w:pPr>
        <w:spacing w:after="120"/>
        <w:rPr>
          <w:rFonts w:asciiTheme="minorHAnsi" w:hAnsiTheme="minorHAnsi" w:cstheme="minorHAnsi"/>
          <w:szCs w:val="22"/>
        </w:rPr>
      </w:pPr>
      <w:r w:rsidRPr="003473EB">
        <w:rPr>
          <w:rFonts w:asciiTheme="minorHAnsi" w:hAnsiTheme="minorHAnsi" w:cstheme="minorHAnsi"/>
          <w:szCs w:val="22"/>
        </w:rPr>
        <w:t xml:space="preserve">The result today (figure 1-4) is that nearly 90% of the nation’s corn production is concentrated in the upper Midwest in an area about the size of Texas. Alabama ranks #2 in national poultry yet over 90% of the grains required are imported from the Midwest. </w:t>
      </w:r>
    </w:p>
    <w:p w14:paraId="59F4D296" w14:textId="3572B8DB" w:rsidR="00CA5DB0" w:rsidRPr="003473EB" w:rsidRDefault="00CA5DB0" w:rsidP="00CA5DB0">
      <w:pPr>
        <w:keepNext/>
        <w:spacing w:after="120"/>
        <w:rPr>
          <w:rFonts w:asciiTheme="minorHAnsi" w:hAnsiTheme="minorHAnsi" w:cstheme="minorHAnsi"/>
          <w:szCs w:val="22"/>
        </w:rPr>
      </w:pPr>
      <w:r w:rsidRPr="003473EB">
        <w:rPr>
          <w:rFonts w:asciiTheme="minorHAnsi" w:hAnsiTheme="minorHAnsi" w:cstheme="minorHAnsi"/>
          <w:noProof/>
          <w:szCs w:val="22"/>
        </w:rPr>
        <w:lastRenderedPageBreak/>
        <mc:AlternateContent>
          <mc:Choice Requires="wps">
            <w:drawing>
              <wp:anchor distT="0" distB="0" distL="114300" distR="114300" simplePos="0" relativeHeight="251699712" behindDoc="1" locked="0" layoutInCell="1" allowOverlap="1" wp14:anchorId="11D8C2A9" wp14:editId="43B09626">
                <wp:simplePos x="0" y="0"/>
                <wp:positionH relativeFrom="margin">
                  <wp:posOffset>2901950</wp:posOffset>
                </wp:positionH>
                <wp:positionV relativeFrom="paragraph">
                  <wp:posOffset>50165</wp:posOffset>
                </wp:positionV>
                <wp:extent cx="3143250" cy="2419350"/>
                <wp:effectExtent l="0" t="0" r="19050" b="19050"/>
                <wp:wrapTight wrapText="bothSides">
                  <wp:wrapPolygon edited="0">
                    <wp:start x="0" y="0"/>
                    <wp:lineTo x="0" y="21600"/>
                    <wp:lineTo x="21600" y="21600"/>
                    <wp:lineTo x="21600" y="0"/>
                    <wp:lineTo x="0" y="0"/>
                  </wp:wrapPolygon>
                </wp:wrapTight>
                <wp:docPr id="30" name="Text Box 30"/>
                <wp:cNvGraphicFramePr/>
                <a:graphic xmlns:a="http://schemas.openxmlformats.org/drawingml/2006/main">
                  <a:graphicData uri="http://schemas.microsoft.com/office/word/2010/wordprocessingShape">
                    <wps:wsp>
                      <wps:cNvSpPr txBox="1"/>
                      <wps:spPr>
                        <a:xfrm>
                          <a:off x="0" y="0"/>
                          <a:ext cx="3143250" cy="2419350"/>
                        </a:xfrm>
                        <a:prstGeom prst="rect">
                          <a:avLst/>
                        </a:prstGeom>
                        <a:noFill/>
                        <a:ln w="6350">
                          <a:solidFill>
                            <a:prstClr val="black"/>
                          </a:solidFill>
                        </a:ln>
                      </wps:spPr>
                      <wps:txbx>
                        <w:txbxContent>
                          <w:p w14:paraId="1AA2456C" w14:textId="77777777" w:rsidR="00CA5DB0" w:rsidRDefault="00CA5DB0" w:rsidP="00CA5DB0">
                            <w:pPr>
                              <w:rPr>
                                <w:sz w:val="20"/>
                              </w:rPr>
                            </w:pPr>
                            <w:r w:rsidRPr="005560EA">
                              <w:rPr>
                                <w:noProof/>
                              </w:rPr>
                              <w:drawing>
                                <wp:inline distT="0" distB="0" distL="0" distR="0" wp14:anchorId="011396A8" wp14:editId="67875FA1">
                                  <wp:extent cx="2834640" cy="1866197"/>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4640" cy="1866197"/>
                                          </a:xfrm>
                                          <a:prstGeom prst="rect">
                                            <a:avLst/>
                                          </a:prstGeom>
                                          <a:noFill/>
                                          <a:ln>
                                            <a:noFill/>
                                          </a:ln>
                                        </pic:spPr>
                                      </pic:pic>
                                    </a:graphicData>
                                  </a:graphic>
                                </wp:inline>
                              </w:drawing>
                            </w:r>
                          </w:p>
                          <w:p w14:paraId="5E4DF0F0" w14:textId="77777777" w:rsidR="00CA5DB0" w:rsidRPr="00C66290" w:rsidRDefault="00CA5DB0" w:rsidP="00CA5DB0">
                            <w:r w:rsidRPr="000867A5">
                              <w:rPr>
                                <w:sz w:val="20"/>
                              </w:rPr>
                              <w:t>Figure 1</w:t>
                            </w:r>
                            <w:r w:rsidRPr="000867A5">
                              <w:rPr>
                                <w:sz w:val="20"/>
                              </w:rPr>
                              <w:noBreakHyphen/>
                              <w:t xml:space="preserve">4 </w:t>
                            </w:r>
                            <w:r w:rsidRPr="000867A5">
                              <w:rPr>
                                <w:iCs/>
                                <w:sz w:val="20"/>
                              </w:rPr>
                              <w:t>National distribution of corn production 2000-2004. Yellow numbers give the percent produced by the state (USDA).</w:t>
                            </w:r>
                          </w:p>
                          <w:p w14:paraId="6F210392" w14:textId="77777777" w:rsidR="00CA5DB0" w:rsidRDefault="00CA5DB0" w:rsidP="00CA5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8C2A9" id="Text Box 30" o:spid="_x0000_s1029" type="#_x0000_t202" style="position:absolute;margin-left:228.5pt;margin-top:3.95pt;width:247.5pt;height:190.5pt;z-index:-25161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" filled="f" strokeweight=".5pt">
                <v:textbox>
                  <w:txbxContent>
                    <w:p w14:paraId="1AA2456C" w14:textId="77777777" w:rsidR="00CA5DB0" w:rsidRDefault="00CA5DB0" w:rsidP="00CA5DB0">
                      <w:pPr>
                        <w:rPr>
                          <w:sz w:val="20"/>
                        </w:rPr>
                      </w:pPr>
                      <w:r w:rsidRPr="005560EA">
                        <w:rPr>
                          <w:noProof/>
                        </w:rPr>
                        <w:drawing>
                          <wp:inline distT="0" distB="0" distL="0" distR="0" wp14:anchorId="011396A8" wp14:editId="67875FA1">
                            <wp:extent cx="2834640" cy="1866197"/>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4640" cy="1866197"/>
                                    </a:xfrm>
                                    <a:prstGeom prst="rect">
                                      <a:avLst/>
                                    </a:prstGeom>
                                    <a:noFill/>
                                    <a:ln>
                                      <a:noFill/>
                                    </a:ln>
                                  </pic:spPr>
                                </pic:pic>
                              </a:graphicData>
                            </a:graphic>
                          </wp:inline>
                        </w:drawing>
                      </w:r>
                    </w:p>
                    <w:p w14:paraId="5E4DF0F0" w14:textId="77777777" w:rsidR="00CA5DB0" w:rsidRPr="00C66290" w:rsidRDefault="00CA5DB0" w:rsidP="00CA5DB0">
                      <w:r w:rsidRPr="000867A5">
                        <w:rPr>
                          <w:sz w:val="20"/>
                        </w:rPr>
                        <w:t>Figure 1</w:t>
                      </w:r>
                      <w:r w:rsidRPr="000867A5">
                        <w:rPr>
                          <w:sz w:val="20"/>
                        </w:rPr>
                        <w:noBreakHyphen/>
                        <w:t xml:space="preserve">4 </w:t>
                      </w:r>
                      <w:r w:rsidRPr="000867A5">
                        <w:rPr>
                          <w:iCs/>
                          <w:sz w:val="20"/>
                        </w:rPr>
                        <w:t>National distribution of corn production 2000-2004. Yellow numbers give the percent produced by the state (USDA).</w:t>
                      </w:r>
                    </w:p>
                    <w:p w14:paraId="6F210392" w14:textId="77777777" w:rsidR="00CA5DB0" w:rsidRDefault="00CA5DB0" w:rsidP="00CA5DB0"/>
                  </w:txbxContent>
                </v:textbox>
                <w10:wrap type="tight" anchorx="margin"/>
              </v:shape>
            </w:pict>
          </mc:Fallback>
        </mc:AlternateContent>
      </w:r>
      <w:r w:rsidRPr="003473EB">
        <w:rPr>
          <w:rFonts w:asciiTheme="minorHAnsi" w:hAnsiTheme="minorHAnsi" w:cstheme="minorHAnsi"/>
          <w:szCs w:val="22"/>
        </w:rPr>
        <w:t xml:space="preserve">In Alabama, the collapse of row cropping devastated the economies in rural areas. When farmers are row cropping, they are contributing over $800 - $1,200 per acre per year in the local economy. Other uses such as timber farming or conservation set asides provide less than $150 per acre a year. The loss of revenue devasted the small towns and retail economy which depended on farmers buying fuel, equipment, seeds etc. The decline in economic turn-over, reflected in the drop in corn and cotton acreage in figure 1-1 amounts to an overall loss to the Alabama economy of $2.2 billion per year (corn 114 bu/ac at price of $5.50/bu and cotton 600 lbs/ac at $0.94/ lb). </w:t>
      </w:r>
      <w:r w:rsidR="00D95ABC" w:rsidRPr="003473EB">
        <w:rPr>
          <w:rFonts w:asciiTheme="minorHAnsi" w:hAnsiTheme="minorHAnsi" w:cstheme="minorHAnsi"/>
          <w:szCs w:val="22"/>
        </w:rPr>
        <w:t>The result</w:t>
      </w:r>
      <w:r w:rsidRPr="003473EB">
        <w:rPr>
          <w:rFonts w:asciiTheme="minorHAnsi" w:hAnsiTheme="minorHAnsi" w:cstheme="minorHAnsi"/>
          <w:szCs w:val="22"/>
        </w:rPr>
        <w:t xml:space="preserve"> is that many areas of rural Alabama are among the poorest areas in the country (see also Section 4). Summers and Lee (2003) have documented what they describe as the intense rural poverty away from the interstate corridors.  This is especially true in the minority dominated demographics of central and southwest Alabama. </w:t>
      </w:r>
    </w:p>
    <w:p w14:paraId="203FB184" w14:textId="77777777" w:rsidR="00CA5DB0" w:rsidRPr="003473EB" w:rsidRDefault="00CA5DB0" w:rsidP="008D2072">
      <w:pPr>
        <w:pStyle w:val="Heading3"/>
      </w:pPr>
      <w:r w:rsidRPr="003473EB">
        <w:t xml:space="preserve"> </w:t>
      </w:r>
      <w:bookmarkStart w:id="12" w:name="_Toc161741976"/>
      <w:bookmarkStart w:id="13" w:name="_Toc161908255"/>
      <w:bookmarkStart w:id="14" w:name="_Toc161924171"/>
      <w:bookmarkStart w:id="15" w:name="_Toc162606604"/>
      <w:r w:rsidRPr="003473EB">
        <w:t>Role of Irrigation</w:t>
      </w:r>
      <w:bookmarkEnd w:id="12"/>
      <w:bookmarkEnd w:id="13"/>
      <w:bookmarkEnd w:id="14"/>
      <w:bookmarkEnd w:id="15"/>
      <w:r w:rsidRPr="003473EB">
        <w:t xml:space="preserve"> </w:t>
      </w:r>
    </w:p>
    <w:p w14:paraId="4689D371" w14:textId="77777777" w:rsidR="00CA5DB0" w:rsidRPr="003473EB" w:rsidRDefault="00CA5DB0" w:rsidP="00CA5DB0">
      <w:pPr>
        <w:rPr>
          <w:rFonts w:asciiTheme="minorHAnsi" w:hAnsiTheme="minorHAnsi" w:cstheme="minorHAnsi"/>
          <w:i/>
          <w:iCs/>
          <w:szCs w:val="22"/>
        </w:rPr>
      </w:pPr>
      <w:r w:rsidRPr="003473EB">
        <w:rPr>
          <w:rFonts w:asciiTheme="minorHAnsi" w:hAnsiTheme="minorHAnsi" w:cstheme="minorHAnsi"/>
          <w:szCs w:val="22"/>
        </w:rPr>
        <w:t xml:space="preserve">As noted above, with poor soil moisture buffering, mini droughts during the growing season are a major factor in the decline of row crop agriculture in Alabama.  It is ironic that Alabama, with more run-off than almost every other state, is near the bottom in the amount of its farmland under irrigation.  In the last 15 years a coalition of Alabama universities and State agencies has undertaken a long-term program to expand irrigation in the State as an economic development and conservation initiative. This initiative is known as the Alabama Irrigation Initiative (AUII).  </w:t>
      </w:r>
      <w:hyperlink r:id="rId16" w:history="1">
        <w:r w:rsidRPr="003473EB">
          <w:rPr>
            <w:rStyle w:val="Hyperlink"/>
            <w:rFonts w:asciiTheme="minorHAnsi" w:hAnsiTheme="minorHAnsi" w:cstheme="minorHAnsi"/>
            <w:i/>
            <w:iCs/>
            <w:szCs w:val="22"/>
          </w:rPr>
          <w:t>Alabama University Irrigation Initiative Background</w:t>
        </w:r>
      </w:hyperlink>
    </w:p>
    <w:p w14:paraId="308182A0" w14:textId="508CD9EA"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szCs w:val="22"/>
        </w:rPr>
        <w:t xml:space="preserve">While irrigation has sometimes been viewed with skepticism by </w:t>
      </w:r>
      <w:r w:rsidR="00014932">
        <w:rPr>
          <w:rFonts w:asciiTheme="minorHAnsi" w:hAnsiTheme="minorHAnsi" w:cstheme="minorHAnsi"/>
          <w:szCs w:val="22"/>
        </w:rPr>
        <w:t xml:space="preserve">the </w:t>
      </w:r>
      <w:r w:rsidRPr="003473EB">
        <w:rPr>
          <w:rFonts w:asciiTheme="minorHAnsi" w:hAnsiTheme="minorHAnsi" w:cstheme="minorHAnsi"/>
          <w:szCs w:val="22"/>
        </w:rPr>
        <w:t>environmental</w:t>
      </w:r>
      <w:r w:rsidR="00014932">
        <w:rPr>
          <w:rFonts w:asciiTheme="minorHAnsi" w:hAnsiTheme="minorHAnsi" w:cstheme="minorHAnsi"/>
          <w:szCs w:val="22"/>
        </w:rPr>
        <w:t xml:space="preserve"> community</w:t>
      </w:r>
      <w:r w:rsidRPr="003473EB">
        <w:rPr>
          <w:rFonts w:asciiTheme="minorHAnsi" w:hAnsiTheme="minorHAnsi" w:cstheme="minorHAnsi"/>
          <w:szCs w:val="22"/>
        </w:rPr>
        <w:t xml:space="preserve"> (see below), in areas such as Alabama where water is plentiful it is a conservation measure. Without irrigation, when droughts occur and crops fail, all the time, fuel, seed, fertilizers etc. are wasted. Also, when the crops can’t take up the fertilizer because of a lack of moisture, the fertilizer stays in the soil until it runs off when rains do finally come. Today in Alabama, where rainfed farmers know that climatologically dry May and June may hurt their crops, they struggle to plant early. However, this can lead to problems in that it can be too wet or too cold. That means farmers have to replant with all the additional time, fuel and seeds.  In short, irrigated agriculture is simply more efficient. Less land is needed since yields of corn and other crops such as </w:t>
      </w:r>
      <w:r w:rsidR="008964E6" w:rsidRPr="003473EB">
        <w:rPr>
          <w:rFonts w:asciiTheme="minorHAnsi" w:hAnsiTheme="minorHAnsi" w:cstheme="minorHAnsi"/>
          <w:szCs w:val="22"/>
        </w:rPr>
        <w:t>soybeans</w:t>
      </w:r>
      <w:r w:rsidRPr="003473EB">
        <w:rPr>
          <w:rFonts w:asciiTheme="minorHAnsi" w:hAnsiTheme="minorHAnsi" w:cstheme="minorHAnsi"/>
          <w:szCs w:val="22"/>
        </w:rPr>
        <w:t xml:space="preserve"> and cotton are nearly doubled. Farmers can better control when they plant and apply water only when it is needed. It can extend the growing season through normally dry months of August- October allowing for double cropping.  In summary irrigation is conservation activity in that it is more efficient in terms of land required, energy used and run-off of fertilizers per bushel of </w:t>
      </w:r>
      <w:r w:rsidR="008964E6" w:rsidRPr="003473EB">
        <w:rPr>
          <w:rFonts w:asciiTheme="minorHAnsi" w:hAnsiTheme="minorHAnsi" w:cstheme="minorHAnsi"/>
          <w:szCs w:val="22"/>
        </w:rPr>
        <w:t>production.</w:t>
      </w:r>
      <w:r w:rsidRPr="003473EB">
        <w:rPr>
          <w:rFonts w:asciiTheme="minorHAnsi" w:hAnsiTheme="minorHAnsi" w:cstheme="minorHAnsi"/>
          <w:szCs w:val="22"/>
        </w:rPr>
        <w:t xml:space="preserve"> </w:t>
      </w:r>
    </w:p>
    <w:p w14:paraId="737CEF2A" w14:textId="774094D0"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noProof/>
          <w:szCs w:val="22"/>
        </w:rPr>
        <w:lastRenderedPageBreak/>
        <mc:AlternateContent>
          <mc:Choice Requires="wps">
            <w:drawing>
              <wp:anchor distT="0" distB="0" distL="114300" distR="114300" simplePos="0" relativeHeight="251706880" behindDoc="1" locked="0" layoutInCell="1" allowOverlap="1" wp14:anchorId="687D17F4" wp14:editId="27A7BA1C">
                <wp:simplePos x="0" y="0"/>
                <wp:positionH relativeFrom="column">
                  <wp:posOffset>3648075</wp:posOffset>
                </wp:positionH>
                <wp:positionV relativeFrom="paragraph">
                  <wp:posOffset>0</wp:posOffset>
                </wp:positionV>
                <wp:extent cx="2501900" cy="3816350"/>
                <wp:effectExtent l="0" t="0" r="12700" b="12700"/>
                <wp:wrapTight wrapText="bothSides">
                  <wp:wrapPolygon edited="0">
                    <wp:start x="0" y="0"/>
                    <wp:lineTo x="0" y="21564"/>
                    <wp:lineTo x="21545" y="21564"/>
                    <wp:lineTo x="21545" y="0"/>
                    <wp:lineTo x="0" y="0"/>
                  </wp:wrapPolygon>
                </wp:wrapTight>
                <wp:docPr id="6" name="Text Box 6"/>
                <wp:cNvGraphicFramePr/>
                <a:graphic xmlns:a="http://schemas.openxmlformats.org/drawingml/2006/main">
                  <a:graphicData uri="http://schemas.microsoft.com/office/word/2010/wordprocessingShape">
                    <wps:wsp>
                      <wps:cNvSpPr txBox="1"/>
                      <wps:spPr>
                        <a:xfrm>
                          <a:off x="0" y="0"/>
                          <a:ext cx="2501900" cy="3816350"/>
                        </a:xfrm>
                        <a:prstGeom prst="rect">
                          <a:avLst/>
                        </a:prstGeom>
                        <a:solidFill>
                          <a:schemeClr val="lt1"/>
                        </a:solidFill>
                        <a:ln w="6350">
                          <a:solidFill>
                            <a:prstClr val="black"/>
                          </a:solidFill>
                        </a:ln>
                      </wps:spPr>
                      <wps:txbx>
                        <w:txbxContent>
                          <w:p w14:paraId="4F6C90F6" w14:textId="77777777" w:rsidR="00CA5DB0" w:rsidRDefault="00CA5DB0" w:rsidP="00CA5DB0">
                            <w:r w:rsidRPr="00285C5E">
                              <w:rPr>
                                <w:noProof/>
                              </w:rPr>
                              <w:drawing>
                                <wp:inline distT="0" distB="0" distL="0" distR="0" wp14:anchorId="29A0ACA4" wp14:editId="140BC5FB">
                                  <wp:extent cx="2286000" cy="293212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932121"/>
                                          </a:xfrm>
                                          <a:prstGeom prst="rect">
                                            <a:avLst/>
                                          </a:prstGeom>
                                          <a:noFill/>
                                          <a:ln>
                                            <a:noFill/>
                                          </a:ln>
                                        </pic:spPr>
                                      </pic:pic>
                                    </a:graphicData>
                                  </a:graphic>
                                </wp:inline>
                              </w:drawing>
                            </w:r>
                          </w:p>
                          <w:p w14:paraId="1301FAC5" w14:textId="77777777" w:rsidR="00CA5DB0" w:rsidRDefault="00CA5DB0" w:rsidP="00CA5DB0">
                            <w:r w:rsidRPr="00285C5E">
                              <w:rPr>
                                <w:noProof/>
                              </w:rPr>
                              <w:drawing>
                                <wp:inline distT="0" distB="0" distL="0" distR="0" wp14:anchorId="22B6DCB7" wp14:editId="5C3E2A9A">
                                  <wp:extent cx="2266950" cy="7283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298" cy="73456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D17F4" id="Text Box 6" o:spid="_x0000_s1030" type="#_x0000_t202" style="position:absolute;margin-left:287.25pt;margin-top:0;width:197pt;height:300.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" fillcolor="white [3201]" strokeweight=".5pt">
                <v:textbox>
                  <w:txbxContent>
                    <w:p w14:paraId="4F6C90F6" w14:textId="77777777" w:rsidR="00CA5DB0" w:rsidRDefault="00CA5DB0" w:rsidP="00CA5DB0">
                      <w:r w:rsidRPr="00285C5E">
                        <w:rPr>
                          <w:noProof/>
                        </w:rPr>
                        <w:drawing>
                          <wp:inline distT="0" distB="0" distL="0" distR="0" wp14:anchorId="29A0ACA4" wp14:editId="140BC5FB">
                            <wp:extent cx="2286000" cy="293212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932121"/>
                                    </a:xfrm>
                                    <a:prstGeom prst="rect">
                                      <a:avLst/>
                                    </a:prstGeom>
                                    <a:noFill/>
                                    <a:ln>
                                      <a:noFill/>
                                    </a:ln>
                                  </pic:spPr>
                                </pic:pic>
                              </a:graphicData>
                            </a:graphic>
                          </wp:inline>
                        </w:drawing>
                      </w:r>
                    </w:p>
                    <w:p w14:paraId="1301FAC5" w14:textId="77777777" w:rsidR="00CA5DB0" w:rsidRDefault="00CA5DB0" w:rsidP="00CA5DB0">
                      <w:r w:rsidRPr="00285C5E">
                        <w:rPr>
                          <w:noProof/>
                        </w:rPr>
                        <w:drawing>
                          <wp:inline distT="0" distB="0" distL="0" distR="0" wp14:anchorId="22B6DCB7" wp14:editId="5C3E2A9A">
                            <wp:extent cx="2266950" cy="7283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298" cy="734561"/>
                                    </a:xfrm>
                                    <a:prstGeom prst="rect">
                                      <a:avLst/>
                                    </a:prstGeom>
                                    <a:noFill/>
                                    <a:ln>
                                      <a:noFill/>
                                    </a:ln>
                                  </pic:spPr>
                                </pic:pic>
                              </a:graphicData>
                            </a:graphic>
                          </wp:inline>
                        </w:drawing>
                      </w:r>
                    </w:p>
                  </w:txbxContent>
                </v:textbox>
                <w10:wrap type="tight"/>
              </v:shape>
            </w:pict>
          </mc:Fallback>
        </mc:AlternateContent>
      </w:r>
      <w:r w:rsidRPr="003473EB">
        <w:rPr>
          <w:rFonts w:asciiTheme="minorHAnsi" w:hAnsiTheme="minorHAnsi" w:cstheme="minorHAnsi"/>
          <w:szCs w:val="22"/>
        </w:rPr>
        <w:t xml:space="preserve">At the outset, the AUII held meetings with environmental groups to discuss the vision of a sustainable irrigation expansion. </w:t>
      </w:r>
      <w:r w:rsidR="00014932">
        <w:rPr>
          <w:rFonts w:asciiTheme="minorHAnsi" w:hAnsiTheme="minorHAnsi" w:cstheme="minorHAnsi"/>
          <w:szCs w:val="22"/>
        </w:rPr>
        <w:t>The environmental community</w:t>
      </w:r>
      <w:r w:rsidRPr="003473EB">
        <w:rPr>
          <w:rFonts w:asciiTheme="minorHAnsi" w:hAnsiTheme="minorHAnsi" w:cstheme="minorHAnsi"/>
          <w:szCs w:val="22"/>
        </w:rPr>
        <w:t xml:space="preserve"> did not oppose the AUII initiative in large part because it embraced environmental protection of water resources.  The State’s </w:t>
      </w:r>
      <w:r w:rsidR="00014932">
        <w:rPr>
          <w:rFonts w:asciiTheme="minorHAnsi" w:hAnsiTheme="minorHAnsi" w:cstheme="minorHAnsi"/>
          <w:szCs w:val="22"/>
        </w:rPr>
        <w:t>environmental community</w:t>
      </w:r>
      <w:r w:rsidRPr="003473EB">
        <w:rPr>
          <w:rFonts w:asciiTheme="minorHAnsi" w:hAnsiTheme="minorHAnsi" w:cstheme="minorHAnsi"/>
          <w:szCs w:val="22"/>
        </w:rPr>
        <w:t xml:space="preserve"> had also seen the harm that unrestrained expansion of irrigation had in the arid west. The AUII committed to establishing limits on irrigation growth so as to not pass the critical metrics for ecosystem harm such as the U.S. Fish and Wildlife (USFW) and U.S EPA instream-flow criteria and U.S. Forestry Service demand to supply ratios (Caldwell et al. 2012). Modeling studies were carried out by the AUII (e.g. Srivastava et al. 2010, Handyside et al. 2009) indicating irrigation covering less than 20-30% of a watershed would meet USFW/EPA environmental instream flow metrics.  This approach has continued under the present USDA Watershed Program (see below). Today most all of Alabama is far from these limits especially the areas in west central Alabama which are the focus of this proposal. See figure 1-5.</w:t>
      </w:r>
    </w:p>
    <w:p w14:paraId="1AF0238F" w14:textId="6CEA738F" w:rsidR="00CA5DB0" w:rsidRPr="003473EB" w:rsidRDefault="00CA5DB0" w:rsidP="00CA5DB0">
      <w:pPr>
        <w:pStyle w:val="BodyText"/>
        <w:spacing w:afterLines="120" w:after="288"/>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649536" behindDoc="1" locked="0" layoutInCell="1" allowOverlap="1" wp14:anchorId="61C3F18A" wp14:editId="12AB0F66">
                <wp:simplePos x="0" y="0"/>
                <wp:positionH relativeFrom="column">
                  <wp:posOffset>2308225</wp:posOffset>
                </wp:positionH>
                <wp:positionV relativeFrom="paragraph">
                  <wp:posOffset>1000760</wp:posOffset>
                </wp:positionV>
                <wp:extent cx="3833495" cy="2167890"/>
                <wp:effectExtent l="0" t="0" r="14605" b="22860"/>
                <wp:wrapTight wrapText="bothSides">
                  <wp:wrapPolygon edited="0">
                    <wp:start x="0" y="0"/>
                    <wp:lineTo x="0" y="21638"/>
                    <wp:lineTo x="21575" y="21638"/>
                    <wp:lineTo x="21575" y="0"/>
                    <wp:lineTo x="0" y="0"/>
                  </wp:wrapPolygon>
                </wp:wrapTight>
                <wp:docPr id="48" name="Text Box 48"/>
                <wp:cNvGraphicFramePr/>
                <a:graphic xmlns:a="http://schemas.openxmlformats.org/drawingml/2006/main">
                  <a:graphicData uri="http://schemas.microsoft.com/office/word/2010/wordprocessingShape">
                    <wps:wsp>
                      <wps:cNvSpPr txBox="1"/>
                      <wps:spPr>
                        <a:xfrm>
                          <a:off x="0" y="0"/>
                          <a:ext cx="3833495" cy="2167890"/>
                        </a:xfrm>
                        <a:prstGeom prst="rect">
                          <a:avLst/>
                        </a:prstGeom>
                        <a:solidFill>
                          <a:schemeClr val="lt1"/>
                        </a:solidFill>
                        <a:ln w="6350">
                          <a:solidFill>
                            <a:prstClr val="black"/>
                          </a:solidFill>
                        </a:ln>
                      </wps:spPr>
                      <wps:txbx>
                        <w:txbxContent>
                          <w:p w14:paraId="57F532C8" w14:textId="59AE0900" w:rsidR="00CA5DB0" w:rsidRDefault="00CA5DB0" w:rsidP="00CA5DB0">
                            <w:r w:rsidRPr="00285C5E">
                              <w:rPr>
                                <w:noProof/>
                              </w:rPr>
                              <w:drawing>
                                <wp:inline distT="0" distB="0" distL="0" distR="0" wp14:anchorId="6DE3BAB6" wp14:editId="547EB76D">
                                  <wp:extent cx="3657600" cy="1763724"/>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763724"/>
                                          </a:xfrm>
                                          <a:prstGeom prst="rect">
                                            <a:avLst/>
                                          </a:prstGeom>
                                          <a:noFill/>
                                          <a:ln>
                                            <a:noFill/>
                                          </a:ln>
                                        </pic:spPr>
                                      </pic:pic>
                                    </a:graphicData>
                                  </a:graphic>
                                </wp:inline>
                              </w:drawing>
                            </w:r>
                          </w:p>
                          <w:p w14:paraId="74A9FE84" w14:textId="77777777" w:rsidR="00CA5DB0" w:rsidRDefault="00CA5DB0" w:rsidP="00CA5DB0">
                            <w:r w:rsidRPr="00285C5E">
                              <w:rPr>
                                <w:noProof/>
                              </w:rPr>
                              <w:drawing>
                                <wp:inline distT="0" distB="0" distL="0" distR="0" wp14:anchorId="1C4FAC3D" wp14:editId="378F5942">
                                  <wp:extent cx="3549319" cy="36714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3079" cy="3944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3F18A" id="Text Box 48" o:spid="_x0000_s1031" type="#_x0000_t202" style="position:absolute;margin-left:181.75pt;margin-top:78.8pt;width:301.85pt;height:170.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" fillcolor="white [3201]" strokeweight=".5pt">
                <v:textbox>
                  <w:txbxContent>
                    <w:p w14:paraId="57F532C8" w14:textId="59AE0900" w:rsidR="00CA5DB0" w:rsidRDefault="00CA5DB0" w:rsidP="00CA5DB0">
                      <w:r w:rsidRPr="00285C5E">
                        <w:rPr>
                          <w:noProof/>
                        </w:rPr>
                        <w:drawing>
                          <wp:inline distT="0" distB="0" distL="0" distR="0" wp14:anchorId="6DE3BAB6" wp14:editId="547EB76D">
                            <wp:extent cx="3657600" cy="1763724"/>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763724"/>
                                    </a:xfrm>
                                    <a:prstGeom prst="rect">
                                      <a:avLst/>
                                    </a:prstGeom>
                                    <a:noFill/>
                                    <a:ln>
                                      <a:noFill/>
                                    </a:ln>
                                  </pic:spPr>
                                </pic:pic>
                              </a:graphicData>
                            </a:graphic>
                          </wp:inline>
                        </w:drawing>
                      </w:r>
                    </w:p>
                    <w:p w14:paraId="74A9FE84" w14:textId="77777777" w:rsidR="00CA5DB0" w:rsidRDefault="00CA5DB0" w:rsidP="00CA5DB0">
                      <w:r w:rsidRPr="00285C5E">
                        <w:rPr>
                          <w:noProof/>
                        </w:rPr>
                        <w:drawing>
                          <wp:inline distT="0" distB="0" distL="0" distR="0" wp14:anchorId="1C4FAC3D" wp14:editId="378F5942">
                            <wp:extent cx="3549319" cy="36714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3079" cy="394430"/>
                                    </a:xfrm>
                                    <a:prstGeom prst="rect">
                                      <a:avLst/>
                                    </a:prstGeom>
                                    <a:noFill/>
                                    <a:ln>
                                      <a:noFill/>
                                    </a:ln>
                                  </pic:spPr>
                                </pic:pic>
                              </a:graphicData>
                            </a:graphic>
                          </wp:inline>
                        </w:drawing>
                      </w:r>
                    </w:p>
                  </w:txbxContent>
                </v:textbox>
                <w10:wrap type="tight"/>
              </v:shape>
            </w:pict>
          </mc:Fallback>
        </mc:AlternateContent>
      </w:r>
      <w:r w:rsidRPr="003473EB">
        <w:rPr>
          <w:rFonts w:asciiTheme="minorHAnsi" w:hAnsiTheme="minorHAnsi" w:cstheme="minorHAnsi"/>
          <w:szCs w:val="22"/>
        </w:rPr>
        <w:t xml:space="preserve">As mentioned earlier, </w:t>
      </w:r>
      <w:r w:rsidR="00014932">
        <w:rPr>
          <w:rFonts w:asciiTheme="minorHAnsi" w:hAnsiTheme="minorHAnsi" w:cstheme="minorHAnsi"/>
          <w:szCs w:val="22"/>
        </w:rPr>
        <w:t>the environmental community</w:t>
      </w:r>
      <w:r w:rsidRPr="003473EB">
        <w:rPr>
          <w:rFonts w:asciiTheme="minorHAnsi" w:hAnsiTheme="minorHAnsi" w:cstheme="minorHAnsi"/>
          <w:szCs w:val="22"/>
        </w:rPr>
        <w:t xml:space="preserve"> have been skeptical of irrigation in large part due to irrigation experiences in the arid West. There, projects dammed and diverted streams using almost all the available water. In California and in parts of the High Plains ground water irrigation has dropped ground water levels significantly. In the arid west most all of the water has to be supplied by irrigation and 2-5 ft of water are required depending on the crop. However, in Alabama, natural rain-fall means only 6-9 inches of irrigation water are needed each year. Furthermore, rivers and streams in Alabama are mostly not consumed. For example, from USGS statistics, the Tennessee River is one of the least consumed major rivers in the country with an average of only about 2% consumed. Major rivers in Alabama – e.g. the Alabama, Tombigbee and Conecuh/Escambia rivers also have less than 2% consumed. There have been a few areas in the Southeast where intense irrigation from aquifers have impacted ground water levels. The Mississippi alluvial aquifer in the Delta region of Mississippi, Arkansas and Louisiana has shown a decline in aquifer levels (USGS). To a lesser extent, groundwater levels in the Floridian Aquifer in the intense irrigation area in South Georgia have shown temporary declines. </w:t>
      </w:r>
    </w:p>
    <w:p w14:paraId="0990DDD3" w14:textId="47DC8F8E"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noProof/>
          <w:szCs w:val="22"/>
        </w:rPr>
        <w:lastRenderedPageBreak/>
        <mc:AlternateContent>
          <mc:Choice Requires="wps">
            <w:drawing>
              <wp:anchor distT="0" distB="0" distL="114300" distR="114300" simplePos="0" relativeHeight="251656704" behindDoc="1" locked="0" layoutInCell="1" allowOverlap="1" wp14:anchorId="2E6B40E2" wp14:editId="63A4F9E3">
                <wp:simplePos x="0" y="0"/>
                <wp:positionH relativeFrom="column">
                  <wp:posOffset>3033857</wp:posOffset>
                </wp:positionH>
                <wp:positionV relativeFrom="paragraph">
                  <wp:posOffset>103448</wp:posOffset>
                </wp:positionV>
                <wp:extent cx="3110230" cy="2832735"/>
                <wp:effectExtent l="0" t="0" r="13970" b="24765"/>
                <wp:wrapTight wrapText="bothSides">
                  <wp:wrapPolygon edited="0">
                    <wp:start x="0" y="0"/>
                    <wp:lineTo x="0" y="21644"/>
                    <wp:lineTo x="21565" y="21644"/>
                    <wp:lineTo x="21565" y="0"/>
                    <wp:lineTo x="0" y="0"/>
                  </wp:wrapPolygon>
                </wp:wrapTight>
                <wp:docPr id="8" name="Text Box 8"/>
                <wp:cNvGraphicFramePr/>
                <a:graphic xmlns:a="http://schemas.openxmlformats.org/drawingml/2006/main">
                  <a:graphicData uri="http://schemas.microsoft.com/office/word/2010/wordprocessingShape">
                    <wps:wsp>
                      <wps:cNvSpPr txBox="1"/>
                      <wps:spPr>
                        <a:xfrm>
                          <a:off x="0" y="0"/>
                          <a:ext cx="3110230" cy="2832735"/>
                        </a:xfrm>
                        <a:prstGeom prst="rect">
                          <a:avLst/>
                        </a:prstGeom>
                        <a:solidFill>
                          <a:schemeClr val="lt1"/>
                        </a:solidFill>
                        <a:ln w="6350">
                          <a:solidFill>
                            <a:prstClr val="black"/>
                          </a:solidFill>
                        </a:ln>
                      </wps:spPr>
                      <wps:txbx>
                        <w:txbxContent>
                          <w:p w14:paraId="115FFC31" w14:textId="77777777" w:rsidR="00CA5DB0" w:rsidRDefault="00CA5DB0" w:rsidP="00CA5DB0">
                            <w:r w:rsidRPr="003C3C34">
                              <w:rPr>
                                <w:noProof/>
                              </w:rPr>
                              <w:drawing>
                                <wp:inline distT="0" distB="0" distL="0" distR="0" wp14:anchorId="25FD4473" wp14:editId="0037B10B">
                                  <wp:extent cx="2834640" cy="219209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640" cy="2192093"/>
                                          </a:xfrm>
                                          <a:prstGeom prst="rect">
                                            <a:avLst/>
                                          </a:prstGeom>
                                          <a:noFill/>
                                          <a:ln>
                                            <a:noFill/>
                                          </a:ln>
                                        </pic:spPr>
                                      </pic:pic>
                                    </a:graphicData>
                                  </a:graphic>
                                </wp:inline>
                              </w:drawing>
                            </w:r>
                          </w:p>
                          <w:p w14:paraId="2A5A94A8" w14:textId="77777777" w:rsidR="00CA5DB0" w:rsidRDefault="00CA5DB0" w:rsidP="00CA5DB0">
                            <w:r>
                              <w:t>Figure 1-7 Depiction of center pivots in Alabama and Georgia. Pivots in Alabama were identified using aerial photography.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B40E2" id="Text Box 8" o:spid="_x0000_s1032" type="#_x0000_t202" style="position:absolute;margin-left:238.9pt;margin-top:8.15pt;width:244.9pt;height:223.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" fillcolor="white [3201]" strokeweight=".5pt">
                <v:textbox>
                  <w:txbxContent>
                    <w:p w14:paraId="115FFC31" w14:textId="77777777" w:rsidR="00CA5DB0" w:rsidRDefault="00CA5DB0" w:rsidP="00CA5DB0">
                      <w:r w:rsidRPr="003C3C34">
                        <w:rPr>
                          <w:noProof/>
                        </w:rPr>
                        <w:drawing>
                          <wp:inline distT="0" distB="0" distL="0" distR="0" wp14:anchorId="25FD4473" wp14:editId="0037B10B">
                            <wp:extent cx="2834640" cy="219209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640" cy="2192093"/>
                                    </a:xfrm>
                                    <a:prstGeom prst="rect">
                                      <a:avLst/>
                                    </a:prstGeom>
                                    <a:noFill/>
                                    <a:ln>
                                      <a:noFill/>
                                    </a:ln>
                                  </pic:spPr>
                                </pic:pic>
                              </a:graphicData>
                            </a:graphic>
                          </wp:inline>
                        </w:drawing>
                      </w:r>
                    </w:p>
                    <w:p w14:paraId="2A5A94A8" w14:textId="77777777" w:rsidR="00CA5DB0" w:rsidRDefault="00CA5DB0" w:rsidP="00CA5DB0">
                      <w:r>
                        <w:t>Figure 1-7 Depiction of center pivots in Alabama and Georgia. Pivots in Alabama were identified using aerial photography.</w:t>
                      </w:r>
                    </w:p>
                  </w:txbxContent>
                </v:textbox>
                <w10:wrap type="tight"/>
              </v:shape>
            </w:pict>
          </mc:Fallback>
        </mc:AlternateContent>
      </w:r>
      <w:r w:rsidRPr="003473EB">
        <w:rPr>
          <w:rFonts w:asciiTheme="minorHAnsi" w:hAnsiTheme="minorHAnsi" w:cstheme="minorHAnsi"/>
          <w:szCs w:val="22"/>
        </w:rPr>
        <w:t xml:space="preserve">Since the founding of the AUII irrigated </w:t>
      </w:r>
      <w:r w:rsidR="00BF099E" w:rsidRPr="003473EB">
        <w:rPr>
          <w:rFonts w:asciiTheme="minorHAnsi" w:hAnsiTheme="minorHAnsi" w:cstheme="minorHAnsi"/>
          <w:szCs w:val="22"/>
        </w:rPr>
        <w:t>farmland</w:t>
      </w:r>
      <w:r w:rsidRPr="003473EB">
        <w:rPr>
          <w:rFonts w:asciiTheme="minorHAnsi" w:hAnsiTheme="minorHAnsi" w:cstheme="minorHAnsi"/>
          <w:szCs w:val="22"/>
        </w:rPr>
        <w:t xml:space="preserve"> has increased in Alabama by nearly a factor of three (see figure 1-6). However, Alabama substantially lags its neighboring states in irrigated land. Alabama currently has about 150,000 acres irrigated with 6% of its land irrigated. Mississippi has about 1,800,000 acres irrigated with 43% of its land irrigated. Georgia has about 1,300,000 acres irrigated with 35% of its land irrigated. Figure 1-7 shows the distinct difference between the intensity and amount of irrigated land in Alabama and Georgia.  </w:t>
      </w:r>
    </w:p>
    <w:p w14:paraId="159A95F6" w14:textId="77777777" w:rsidR="00CA5DB0" w:rsidRPr="003473EB" w:rsidRDefault="00CA5DB0" w:rsidP="008D2072">
      <w:pPr>
        <w:pStyle w:val="Heading3"/>
      </w:pPr>
      <w:bookmarkStart w:id="16" w:name="_Toc161741977"/>
      <w:r w:rsidRPr="003473EB">
        <w:t xml:space="preserve"> </w:t>
      </w:r>
      <w:bookmarkStart w:id="17" w:name="_Toc161908256"/>
      <w:bookmarkStart w:id="18" w:name="_Toc161924172"/>
      <w:bookmarkStart w:id="19" w:name="_Toc162606605"/>
      <w:r w:rsidRPr="003473EB">
        <w:t>Irrigation and Agricultural Competitiveness</w:t>
      </w:r>
      <w:bookmarkEnd w:id="16"/>
      <w:bookmarkEnd w:id="17"/>
      <w:bookmarkEnd w:id="18"/>
      <w:bookmarkEnd w:id="19"/>
    </w:p>
    <w:p w14:paraId="6677BB95" w14:textId="2A6BB2F6"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728384" behindDoc="1" locked="0" layoutInCell="1" allowOverlap="1" wp14:anchorId="4B1366DC" wp14:editId="425DE741">
                <wp:simplePos x="0" y="0"/>
                <wp:positionH relativeFrom="margin">
                  <wp:posOffset>2884533</wp:posOffset>
                </wp:positionH>
                <wp:positionV relativeFrom="paragraph">
                  <wp:posOffset>4032885</wp:posOffset>
                </wp:positionV>
                <wp:extent cx="2966085" cy="1600200"/>
                <wp:effectExtent l="0" t="0" r="24765" b="19050"/>
                <wp:wrapTight wrapText="bothSides">
                  <wp:wrapPolygon edited="0">
                    <wp:start x="0" y="0"/>
                    <wp:lineTo x="0" y="21600"/>
                    <wp:lineTo x="21642" y="21600"/>
                    <wp:lineTo x="21642" y="0"/>
                    <wp:lineTo x="0" y="0"/>
                  </wp:wrapPolygon>
                </wp:wrapTight>
                <wp:docPr id="9" name="Text Box 9"/>
                <wp:cNvGraphicFramePr/>
                <a:graphic xmlns:a="http://schemas.openxmlformats.org/drawingml/2006/main">
                  <a:graphicData uri="http://schemas.microsoft.com/office/word/2010/wordprocessingShape">
                    <wps:wsp>
                      <wps:cNvSpPr txBox="1"/>
                      <wps:spPr>
                        <a:xfrm>
                          <a:off x="0" y="0"/>
                          <a:ext cx="2966085" cy="1600200"/>
                        </a:xfrm>
                        <a:prstGeom prst="rect">
                          <a:avLst/>
                        </a:prstGeom>
                        <a:solidFill>
                          <a:schemeClr val="lt1"/>
                        </a:solidFill>
                        <a:ln w="6350">
                          <a:solidFill>
                            <a:prstClr val="black"/>
                          </a:solidFill>
                        </a:ln>
                      </wps:spPr>
                      <wps:txbx>
                        <w:txbxContent>
                          <w:p w14:paraId="738FAE7D" w14:textId="77777777" w:rsidR="00CA5DB0" w:rsidRDefault="00CA5DB0" w:rsidP="00CA5DB0">
                            <w:pPr>
                              <w:jc w:val="center"/>
                            </w:pPr>
                            <w:r w:rsidRPr="00F63608">
                              <w:rPr>
                                <w:noProof/>
                              </w:rPr>
                              <w:drawing>
                                <wp:inline distT="0" distB="0" distL="0" distR="0" wp14:anchorId="761E5D25" wp14:editId="05E848CF">
                                  <wp:extent cx="2454910" cy="111061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4910" cy="1110615"/>
                                          </a:xfrm>
                                          <a:prstGeom prst="rect">
                                            <a:avLst/>
                                          </a:prstGeom>
                                          <a:noFill/>
                                          <a:ln>
                                            <a:noFill/>
                                          </a:ln>
                                        </pic:spPr>
                                      </pic:pic>
                                    </a:graphicData>
                                  </a:graphic>
                                </wp:inline>
                              </w:drawing>
                            </w:r>
                          </w:p>
                          <w:p w14:paraId="6A25D3CA" w14:textId="77777777" w:rsidR="00CA5DB0" w:rsidRDefault="00CA5DB0" w:rsidP="00CA5DB0"/>
                          <w:p w14:paraId="483AE7A4" w14:textId="57695096" w:rsidR="00CA5DB0" w:rsidRPr="00812EA8" w:rsidRDefault="00CA5DB0" w:rsidP="00CA5DB0">
                            <w:pPr>
                              <w:rPr>
                                <w:sz w:val="20"/>
                              </w:rPr>
                            </w:pPr>
                            <w:r w:rsidRPr="00812EA8">
                              <w:rPr>
                                <w:sz w:val="20"/>
                              </w:rPr>
                              <w:t xml:space="preserve">Table 1-1 Profit considering transportation </w:t>
                            </w:r>
                            <w:r w:rsidR="008964E6" w:rsidRPr="00812EA8">
                              <w:rPr>
                                <w:sz w:val="20"/>
                              </w:rPr>
                              <w:t>basis.</w:t>
                            </w:r>
                            <w:r w:rsidRPr="00812EA8">
                              <w:rPr>
                                <w:sz w:val="20"/>
                              </w:rPr>
                              <w:t xml:space="preserve"> </w:t>
                            </w:r>
                          </w:p>
                          <w:p w14:paraId="16D550B4" w14:textId="77777777" w:rsidR="00CA5DB0" w:rsidRDefault="00CA5DB0" w:rsidP="00CA5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366DC" id="Text Box 9" o:spid="_x0000_s1033" type="#_x0000_t202" style="position:absolute;margin-left:227.15pt;margin-top:317.55pt;width:233.55pt;height:126pt;z-index:-25158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" fillcolor="white [3201]" strokeweight=".5pt">
                <v:textbox>
                  <w:txbxContent>
                    <w:p w14:paraId="738FAE7D" w14:textId="77777777" w:rsidR="00CA5DB0" w:rsidRDefault="00CA5DB0" w:rsidP="00CA5DB0">
                      <w:pPr>
                        <w:jc w:val="center"/>
                      </w:pPr>
                      <w:r w:rsidRPr="00F63608">
                        <w:rPr>
                          <w:noProof/>
                        </w:rPr>
                        <w:drawing>
                          <wp:inline distT="0" distB="0" distL="0" distR="0" wp14:anchorId="761E5D25" wp14:editId="05E848CF">
                            <wp:extent cx="2454910" cy="111061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4910" cy="1110615"/>
                                    </a:xfrm>
                                    <a:prstGeom prst="rect">
                                      <a:avLst/>
                                    </a:prstGeom>
                                    <a:noFill/>
                                    <a:ln>
                                      <a:noFill/>
                                    </a:ln>
                                  </pic:spPr>
                                </pic:pic>
                              </a:graphicData>
                            </a:graphic>
                          </wp:inline>
                        </w:drawing>
                      </w:r>
                    </w:p>
                    <w:p w14:paraId="6A25D3CA" w14:textId="77777777" w:rsidR="00CA5DB0" w:rsidRDefault="00CA5DB0" w:rsidP="00CA5DB0"/>
                    <w:p w14:paraId="483AE7A4" w14:textId="57695096" w:rsidR="00CA5DB0" w:rsidRPr="00812EA8" w:rsidRDefault="00CA5DB0" w:rsidP="00CA5DB0">
                      <w:pPr>
                        <w:rPr>
                          <w:sz w:val="20"/>
                        </w:rPr>
                      </w:pPr>
                      <w:r w:rsidRPr="00812EA8">
                        <w:rPr>
                          <w:sz w:val="20"/>
                        </w:rPr>
                        <w:t xml:space="preserve">Table 1-1 Profit considering transportation </w:t>
                      </w:r>
                      <w:r w:rsidR="008964E6" w:rsidRPr="00812EA8">
                        <w:rPr>
                          <w:sz w:val="20"/>
                        </w:rPr>
                        <w:t>basis.</w:t>
                      </w:r>
                      <w:r w:rsidRPr="00812EA8">
                        <w:rPr>
                          <w:sz w:val="20"/>
                        </w:rPr>
                        <w:t xml:space="preserve"> </w:t>
                      </w:r>
                    </w:p>
                    <w:p w14:paraId="16D550B4" w14:textId="77777777" w:rsidR="00CA5DB0" w:rsidRDefault="00CA5DB0" w:rsidP="00CA5DB0"/>
                  </w:txbxContent>
                </v:textbox>
                <w10:wrap type="tight" anchorx="margin"/>
              </v:shape>
            </w:pict>
          </mc:Fallback>
        </mc:AlternateContent>
      </w:r>
      <w:r w:rsidRPr="003473EB">
        <w:rPr>
          <w:rFonts w:asciiTheme="minorHAnsi" w:hAnsiTheme="minorHAnsi" w:cstheme="minorHAnsi"/>
          <w:noProof/>
          <w:szCs w:val="22"/>
        </w:rPr>
        <mc:AlternateContent>
          <mc:Choice Requires="wps">
            <w:drawing>
              <wp:anchor distT="0" distB="0" distL="114300" distR="114300" simplePos="0" relativeHeight="251663872" behindDoc="1" locked="0" layoutInCell="1" allowOverlap="1" wp14:anchorId="277D8095" wp14:editId="14BA910C">
                <wp:simplePos x="0" y="0"/>
                <wp:positionH relativeFrom="column">
                  <wp:posOffset>2405380</wp:posOffset>
                </wp:positionH>
                <wp:positionV relativeFrom="paragraph">
                  <wp:posOffset>789215</wp:posOffset>
                </wp:positionV>
                <wp:extent cx="3851275" cy="3069590"/>
                <wp:effectExtent l="0" t="0" r="15875" b="16510"/>
                <wp:wrapTight wrapText="bothSides">
                  <wp:wrapPolygon edited="0">
                    <wp:start x="0" y="0"/>
                    <wp:lineTo x="0" y="21582"/>
                    <wp:lineTo x="21582" y="21582"/>
                    <wp:lineTo x="21582" y="0"/>
                    <wp:lineTo x="0" y="0"/>
                  </wp:wrapPolygon>
                </wp:wrapTight>
                <wp:docPr id="53" name="Text Box 53"/>
                <wp:cNvGraphicFramePr/>
                <a:graphic xmlns:a="http://schemas.openxmlformats.org/drawingml/2006/main">
                  <a:graphicData uri="http://schemas.microsoft.com/office/word/2010/wordprocessingShape">
                    <wps:wsp>
                      <wps:cNvSpPr txBox="1"/>
                      <wps:spPr>
                        <a:xfrm>
                          <a:off x="0" y="0"/>
                          <a:ext cx="3851275" cy="3069590"/>
                        </a:xfrm>
                        <a:prstGeom prst="rect">
                          <a:avLst/>
                        </a:prstGeom>
                        <a:solidFill>
                          <a:schemeClr val="lt1"/>
                        </a:solidFill>
                        <a:ln w="6350">
                          <a:solidFill>
                            <a:prstClr val="black"/>
                          </a:solidFill>
                        </a:ln>
                      </wps:spPr>
                      <wps:txbx>
                        <w:txbxContent>
                          <w:p w14:paraId="3B3DE41F" w14:textId="77777777" w:rsidR="00CA5DB0" w:rsidRDefault="00CA5DB0" w:rsidP="00CA5DB0">
                            <w:r w:rsidRPr="006E7E3D">
                              <w:rPr>
                                <w:noProof/>
                              </w:rPr>
                              <w:drawing>
                                <wp:inline distT="0" distB="0" distL="0" distR="0" wp14:anchorId="384509E9" wp14:editId="4B9A06DC">
                                  <wp:extent cx="3657600" cy="246317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2463172"/>
                                          </a:xfrm>
                                          <a:prstGeom prst="rect">
                                            <a:avLst/>
                                          </a:prstGeom>
                                          <a:noFill/>
                                          <a:ln>
                                            <a:noFill/>
                                          </a:ln>
                                        </pic:spPr>
                                      </pic:pic>
                                    </a:graphicData>
                                  </a:graphic>
                                </wp:inline>
                              </w:drawing>
                            </w:r>
                          </w:p>
                          <w:p w14:paraId="50655892" w14:textId="77777777" w:rsidR="00CA5DB0" w:rsidRPr="0086195E" w:rsidRDefault="00CA5DB0" w:rsidP="00CA5DB0">
                            <w:pPr>
                              <w:rPr>
                                <w:i/>
                              </w:rPr>
                            </w:pPr>
                            <w:r>
                              <w:rPr>
                                <w:i/>
                              </w:rPr>
                              <w:t xml:space="preserve">Figure 1-8 </w:t>
                            </w:r>
                            <w:r w:rsidRPr="0086195E">
                              <w:rPr>
                                <w:i/>
                              </w:rPr>
                              <w:t>Model simulations of irrigated and rainfall for corn at Marion Jct. in the Blackbelt. Red line shows average Midwest yields circa 2010.</w:t>
                            </w:r>
                          </w:p>
                          <w:p w14:paraId="5B03B4AD" w14:textId="77777777" w:rsidR="00CA5DB0" w:rsidRDefault="00CA5DB0" w:rsidP="00CA5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095" id="Text Box 53" o:spid="_x0000_s1034" type="#_x0000_t202" style="position:absolute;margin-left:189.4pt;margin-top:62.15pt;width:303.25pt;height:241.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" fillcolor="white [3201]" strokeweight=".5pt">
                <v:textbox>
                  <w:txbxContent>
                    <w:p w14:paraId="3B3DE41F" w14:textId="77777777" w:rsidR="00CA5DB0" w:rsidRDefault="00CA5DB0" w:rsidP="00CA5DB0">
                      <w:r w:rsidRPr="006E7E3D">
                        <w:rPr>
                          <w:noProof/>
                        </w:rPr>
                        <w:drawing>
                          <wp:inline distT="0" distB="0" distL="0" distR="0" wp14:anchorId="384509E9" wp14:editId="4B9A06DC">
                            <wp:extent cx="3657600" cy="246317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2463172"/>
                                    </a:xfrm>
                                    <a:prstGeom prst="rect">
                                      <a:avLst/>
                                    </a:prstGeom>
                                    <a:noFill/>
                                    <a:ln>
                                      <a:noFill/>
                                    </a:ln>
                                  </pic:spPr>
                                </pic:pic>
                              </a:graphicData>
                            </a:graphic>
                          </wp:inline>
                        </w:drawing>
                      </w:r>
                    </w:p>
                    <w:p w14:paraId="50655892" w14:textId="77777777" w:rsidR="00CA5DB0" w:rsidRPr="0086195E" w:rsidRDefault="00CA5DB0" w:rsidP="00CA5DB0">
                      <w:pPr>
                        <w:rPr>
                          <w:i/>
                        </w:rPr>
                      </w:pPr>
                      <w:r>
                        <w:rPr>
                          <w:i/>
                        </w:rPr>
                        <w:t xml:space="preserve">Figure 1-8 </w:t>
                      </w:r>
                      <w:r w:rsidRPr="0086195E">
                        <w:rPr>
                          <w:i/>
                        </w:rPr>
                        <w:t>Model simulations of irrigated and rainfall for corn at Marion Jct. in the Blackbelt. Red line shows average Midwest yields circa 2010.</w:t>
                      </w:r>
                    </w:p>
                    <w:p w14:paraId="5B03B4AD" w14:textId="77777777" w:rsidR="00CA5DB0" w:rsidRDefault="00CA5DB0" w:rsidP="00CA5DB0"/>
                  </w:txbxContent>
                </v:textbox>
                <w10:wrap type="tight"/>
              </v:shape>
            </w:pict>
          </mc:Fallback>
        </mc:AlternateContent>
      </w:r>
      <w:r w:rsidRPr="003473EB">
        <w:rPr>
          <w:rFonts w:asciiTheme="minorHAnsi" w:hAnsiTheme="minorHAnsi" w:cstheme="minorHAnsi"/>
          <w:szCs w:val="22"/>
        </w:rPr>
        <w:t xml:space="preserve">As discussed above, </w:t>
      </w:r>
      <w:r w:rsidR="00BF099E" w:rsidRPr="003473EB">
        <w:rPr>
          <w:rFonts w:asciiTheme="minorHAnsi" w:hAnsiTheme="minorHAnsi" w:cstheme="minorHAnsi"/>
          <w:szCs w:val="22"/>
        </w:rPr>
        <w:t>mini droughts</w:t>
      </w:r>
      <w:r w:rsidRPr="003473EB">
        <w:rPr>
          <w:rFonts w:asciiTheme="minorHAnsi" w:hAnsiTheme="minorHAnsi" w:cstheme="minorHAnsi"/>
          <w:szCs w:val="22"/>
        </w:rPr>
        <w:t xml:space="preserve"> during the growing season are the main difference between reduced yields by Alabama farmers and those of Western cotton growers and Midwest grain producers. Irrigation can eliminate these </w:t>
      </w:r>
      <w:r w:rsidR="00BF099E" w:rsidRPr="003473EB">
        <w:rPr>
          <w:rFonts w:asciiTheme="minorHAnsi" w:hAnsiTheme="minorHAnsi" w:cstheme="minorHAnsi"/>
          <w:szCs w:val="22"/>
        </w:rPr>
        <w:t>mini droughts</w:t>
      </w:r>
      <w:r w:rsidRPr="003473EB">
        <w:rPr>
          <w:rFonts w:asciiTheme="minorHAnsi" w:hAnsiTheme="minorHAnsi" w:cstheme="minorHAnsi"/>
          <w:szCs w:val="22"/>
        </w:rPr>
        <w:t>. The AUII spent considerable effort in understanding the competitiveness of irrigated agriculture in Alabama. Figure 1-8 shows the simulated difference between rain-fed yields and irrigated yields at a site in the Blackbelt of Alabama. The Blackbelt is a geographical area of Alabama that was a natural prairie and got its name from the black soil in the region. This area in the early 20</w:t>
      </w:r>
      <w:r w:rsidRPr="003473EB">
        <w:rPr>
          <w:rFonts w:asciiTheme="minorHAnsi" w:hAnsiTheme="minorHAnsi" w:cstheme="minorHAnsi"/>
          <w:szCs w:val="22"/>
          <w:vertAlign w:val="superscript"/>
        </w:rPr>
        <w:t>th</w:t>
      </w:r>
      <w:r w:rsidRPr="003473EB">
        <w:rPr>
          <w:rFonts w:asciiTheme="minorHAnsi" w:hAnsiTheme="minorHAnsi" w:cstheme="minorHAnsi"/>
          <w:szCs w:val="22"/>
        </w:rPr>
        <w:t xml:space="preserve"> century was one of the richest parts of the State and was a major cotton growing area. However, the soils have a clay component that swells when wet and cracks when dry. When the soils crack, they can no longer deliver water to the roots of plants. Note this is illustrated in in the wild swings year to year in the rain-fed yields. </w:t>
      </w:r>
    </w:p>
    <w:p w14:paraId="1A642C55" w14:textId="77777777"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szCs w:val="22"/>
        </w:rPr>
        <w:t xml:space="preserve">However, when irrigated they are very productive. The Blackbelt area of Alabama lost more row crop acreage than other areas in the State which is part at the heart of its poverty. The main question the AUII addressed was – “Can irrigation make Alabama farmers competitive with Midwest grain farmers and Western cotton growers?”  Average irrigated yields in Alabama are greater than Midwest rainfed yields. However, this </w:t>
      </w:r>
      <w:r w:rsidRPr="003473EB">
        <w:rPr>
          <w:rFonts w:asciiTheme="minorHAnsi" w:hAnsiTheme="minorHAnsi" w:cstheme="minorHAnsi"/>
          <w:szCs w:val="22"/>
        </w:rPr>
        <w:lastRenderedPageBreak/>
        <w:t xml:space="preserve">comes with the added cost of the irrigation infrastructure and irrigation operating expenses. When these costs are considered, the Midwest still maintains a slight competitive advantage. But there are transportation costs to ship grain into Alabama </w:t>
      </w:r>
      <w:r w:rsidRPr="003473EB">
        <w:rPr>
          <w:rFonts w:asciiTheme="minorHAnsi" w:hAnsiTheme="minorHAnsi" w:cstheme="minorHAnsi"/>
          <w:noProof/>
          <w:szCs w:val="22"/>
        </w:rPr>
        <mc:AlternateContent>
          <mc:Choice Requires="wps">
            <w:drawing>
              <wp:anchor distT="0" distB="0" distL="114300" distR="114300" simplePos="0" relativeHeight="251671040" behindDoc="1" locked="0" layoutInCell="1" allowOverlap="1" wp14:anchorId="545B46AF" wp14:editId="4CB392CC">
                <wp:simplePos x="0" y="0"/>
                <wp:positionH relativeFrom="column">
                  <wp:posOffset>3082290</wp:posOffset>
                </wp:positionH>
                <wp:positionV relativeFrom="paragraph">
                  <wp:posOffset>103505</wp:posOffset>
                </wp:positionV>
                <wp:extent cx="2749550" cy="4343400"/>
                <wp:effectExtent l="0" t="0" r="12700" b="19050"/>
                <wp:wrapTight wrapText="bothSides">
                  <wp:wrapPolygon edited="0">
                    <wp:start x="0" y="0"/>
                    <wp:lineTo x="0" y="21600"/>
                    <wp:lineTo x="21550" y="21600"/>
                    <wp:lineTo x="21550" y="0"/>
                    <wp:lineTo x="0" y="0"/>
                  </wp:wrapPolygon>
                </wp:wrapTight>
                <wp:docPr id="55" name="Text Box 55"/>
                <wp:cNvGraphicFramePr/>
                <a:graphic xmlns:a="http://schemas.openxmlformats.org/drawingml/2006/main">
                  <a:graphicData uri="http://schemas.microsoft.com/office/word/2010/wordprocessingShape">
                    <wps:wsp>
                      <wps:cNvSpPr txBox="1"/>
                      <wps:spPr>
                        <a:xfrm>
                          <a:off x="0" y="0"/>
                          <a:ext cx="2749550" cy="4343400"/>
                        </a:xfrm>
                        <a:prstGeom prst="rect">
                          <a:avLst/>
                        </a:prstGeom>
                        <a:solidFill>
                          <a:schemeClr val="lt1"/>
                        </a:solidFill>
                        <a:ln w="6350">
                          <a:solidFill>
                            <a:prstClr val="black"/>
                          </a:solidFill>
                        </a:ln>
                      </wps:spPr>
                      <wps:txbx>
                        <w:txbxContent>
                          <w:p w14:paraId="6F06103E" w14:textId="77777777" w:rsidR="00CA5DB0" w:rsidRDefault="00CA5DB0" w:rsidP="00CA5DB0">
                            <w:r w:rsidRPr="006E7E3D">
                              <w:rPr>
                                <w:noProof/>
                              </w:rPr>
                              <w:drawing>
                                <wp:inline distT="0" distB="0" distL="0" distR="0" wp14:anchorId="5EC77ADB" wp14:editId="25C1106E">
                                  <wp:extent cx="2583873" cy="3651123"/>
                                  <wp:effectExtent l="0" t="0" r="698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14748" cy="3694751"/>
                                          </a:xfrm>
                                          <a:prstGeom prst="rect">
                                            <a:avLst/>
                                          </a:prstGeom>
                                          <a:noFill/>
                                          <a:ln>
                                            <a:noFill/>
                                          </a:ln>
                                        </pic:spPr>
                                      </pic:pic>
                                    </a:graphicData>
                                  </a:graphic>
                                </wp:inline>
                              </w:drawing>
                            </w:r>
                          </w:p>
                          <w:p w14:paraId="56AA110F" w14:textId="77777777" w:rsidR="00CA5DB0" w:rsidRPr="009C7342" w:rsidRDefault="00CA5DB0" w:rsidP="00CA5DB0">
                            <w:pPr>
                              <w:pStyle w:val="Caption"/>
                              <w:rPr>
                                <w:rFonts w:eastAsia="SimSun"/>
                                <w:lang w:eastAsia="zh-CN"/>
                              </w:rPr>
                            </w:pPr>
                            <w:r>
                              <w:t>Figure 1-9 Top-California cotton acreage 1910 -2010. Bottom – Alabama cotton acreage 1910 -2010</w:t>
                            </w:r>
                          </w:p>
                          <w:p w14:paraId="555D5413" w14:textId="77777777" w:rsidR="00CA5DB0" w:rsidRDefault="00CA5DB0" w:rsidP="00CA5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B46AF" id="Text Box 55" o:spid="_x0000_s1035" type="#_x0000_t202" style="position:absolute;margin-left:242.7pt;margin-top:8.15pt;width:216.5pt;height:34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" fillcolor="white [3201]" strokeweight=".5pt">
                <v:textbox>
                  <w:txbxContent>
                    <w:p w14:paraId="6F06103E" w14:textId="77777777" w:rsidR="00CA5DB0" w:rsidRDefault="00CA5DB0" w:rsidP="00CA5DB0">
                      <w:r w:rsidRPr="006E7E3D">
                        <w:rPr>
                          <w:noProof/>
                        </w:rPr>
                        <w:drawing>
                          <wp:inline distT="0" distB="0" distL="0" distR="0" wp14:anchorId="5EC77ADB" wp14:editId="25C1106E">
                            <wp:extent cx="2583873" cy="3651123"/>
                            <wp:effectExtent l="0" t="0" r="698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14748" cy="3694751"/>
                                    </a:xfrm>
                                    <a:prstGeom prst="rect">
                                      <a:avLst/>
                                    </a:prstGeom>
                                    <a:noFill/>
                                    <a:ln>
                                      <a:noFill/>
                                    </a:ln>
                                  </pic:spPr>
                                </pic:pic>
                              </a:graphicData>
                            </a:graphic>
                          </wp:inline>
                        </w:drawing>
                      </w:r>
                    </w:p>
                    <w:p w14:paraId="56AA110F" w14:textId="77777777" w:rsidR="00CA5DB0" w:rsidRPr="009C7342" w:rsidRDefault="00CA5DB0" w:rsidP="00CA5DB0">
                      <w:pPr>
                        <w:pStyle w:val="Caption"/>
                        <w:rPr>
                          <w:rFonts w:eastAsia="SimSun"/>
                          <w:lang w:eastAsia="zh-CN"/>
                        </w:rPr>
                      </w:pPr>
                      <w:r>
                        <w:t>Figure 1-9 Top-California cotton acreage 1910 -2010. Bottom – Alabama cotton acreage 1910 -2010</w:t>
                      </w:r>
                    </w:p>
                    <w:p w14:paraId="555D5413" w14:textId="77777777" w:rsidR="00CA5DB0" w:rsidRDefault="00CA5DB0" w:rsidP="00CA5DB0"/>
                  </w:txbxContent>
                </v:textbox>
                <w10:wrap type="tight"/>
              </v:shape>
            </w:pict>
          </mc:Fallback>
        </mc:AlternateContent>
      </w:r>
      <w:r w:rsidRPr="003473EB">
        <w:rPr>
          <w:rFonts w:asciiTheme="minorHAnsi" w:hAnsiTheme="minorHAnsi" w:cstheme="minorHAnsi"/>
          <w:szCs w:val="22"/>
        </w:rPr>
        <w:t>where it is consumed by the poultry industry. Midwest farmers basically pay this cost by receiving a lower price for their corn than farmers closer to the consumption. This difference from Chicago Board of Trade Price is called a “basis”.  Iowa farmers receive $0.50 -0.75 less per bushel than an Alabama farmer. The difference is even greater for other states in the Midwest. Table 1-1 shows the farmer’s profit when this basis difference is considered. It shows that Alabama can be competitive with the Midwest.</w:t>
      </w:r>
    </w:p>
    <w:p w14:paraId="10056D42" w14:textId="77777777" w:rsidR="00CA5DB0" w:rsidRPr="003473EB" w:rsidRDefault="00CA5DB0" w:rsidP="00CA5DB0">
      <w:pPr>
        <w:spacing w:afterLines="120" w:after="288"/>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714048" behindDoc="0" locked="0" layoutInCell="1" allowOverlap="1" wp14:anchorId="2013732E" wp14:editId="253661BC">
                <wp:simplePos x="0" y="0"/>
                <wp:positionH relativeFrom="margin">
                  <wp:align>right</wp:align>
                </wp:positionH>
                <wp:positionV relativeFrom="paragraph">
                  <wp:posOffset>2534829</wp:posOffset>
                </wp:positionV>
                <wp:extent cx="3303905" cy="2174875"/>
                <wp:effectExtent l="0" t="0" r="10795" b="15875"/>
                <wp:wrapSquare wrapText="bothSides"/>
                <wp:docPr id="11" name="Text Box 11"/>
                <wp:cNvGraphicFramePr/>
                <a:graphic xmlns:a="http://schemas.openxmlformats.org/drawingml/2006/main">
                  <a:graphicData uri="http://schemas.microsoft.com/office/word/2010/wordprocessingShape">
                    <wps:wsp>
                      <wps:cNvSpPr txBox="1"/>
                      <wps:spPr>
                        <a:xfrm>
                          <a:off x="0" y="0"/>
                          <a:ext cx="3303905" cy="2174875"/>
                        </a:xfrm>
                        <a:prstGeom prst="rect">
                          <a:avLst/>
                        </a:prstGeom>
                        <a:noFill/>
                        <a:ln w="6350">
                          <a:solidFill>
                            <a:prstClr val="black"/>
                          </a:solidFill>
                        </a:ln>
                      </wps:spPr>
                      <wps:txbx>
                        <w:txbxContent>
                          <w:p w14:paraId="7AA022E0" w14:textId="77777777" w:rsidR="00CA5DB0" w:rsidRDefault="00CA5DB0" w:rsidP="00CA5DB0">
                            <w:pPr>
                              <w:pStyle w:val="BodyText"/>
                              <w:rPr>
                                <w:rFonts w:eastAsia="SimSun"/>
                              </w:rPr>
                            </w:pPr>
                            <w:r w:rsidRPr="00602F86">
                              <w:rPr>
                                <w:rFonts w:eastAsia="SimSun"/>
                                <w:noProof/>
                              </w:rPr>
                              <w:drawing>
                                <wp:inline distT="0" distB="0" distL="0" distR="0" wp14:anchorId="7031206E" wp14:editId="27B60889">
                                  <wp:extent cx="3082637" cy="1658601"/>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a:extLst>
                                              <a:ext uri="{28A0092B-C50C-407E-A947-70E740481C1C}">
                                                <a14:useLocalDpi xmlns:a14="http://schemas.microsoft.com/office/drawing/2010/main" val="0"/>
                                              </a:ext>
                                            </a:extLst>
                                          </a:blip>
                                          <a:srcRect r="6132"/>
                                          <a:stretch/>
                                        </pic:blipFill>
                                        <pic:spPr bwMode="auto">
                                          <a:xfrm>
                                            <a:off x="0" y="0"/>
                                            <a:ext cx="3124108" cy="1680914"/>
                                          </a:xfrm>
                                          <a:prstGeom prst="rect">
                                            <a:avLst/>
                                          </a:prstGeom>
                                          <a:noFill/>
                                          <a:ln>
                                            <a:noFill/>
                                          </a:ln>
                                          <a:extLst>
                                            <a:ext uri="{53640926-AAD7-44D8-BBD7-CCE9431645EC}">
                                              <a14:shadowObscured xmlns:a14="http://schemas.microsoft.com/office/drawing/2010/main"/>
                                            </a:ext>
                                          </a:extLst>
                                        </pic:spPr>
                                      </pic:pic>
                                    </a:graphicData>
                                  </a:graphic>
                                </wp:inline>
                              </w:drawing>
                            </w:r>
                          </w:p>
                          <w:p w14:paraId="6C66E030" w14:textId="77777777" w:rsidR="00CA5DB0" w:rsidRPr="006573B7" w:rsidRDefault="00CA5DB0" w:rsidP="00CA5DB0">
                            <w:pPr>
                              <w:rPr>
                                <w:i/>
                                <w:iCs/>
                              </w:rPr>
                            </w:pPr>
                            <w:r w:rsidRPr="006573B7">
                              <w:rPr>
                                <w:i/>
                                <w:iCs/>
                              </w:rPr>
                              <w:t xml:space="preserve">Figure 1-10 Cotton yields for California irrigated and Alabama rainfed </w:t>
                            </w:r>
                            <w:r>
                              <w:rPr>
                                <w:i/>
                                <w:iCs/>
                              </w:rPr>
                              <w:t xml:space="preserve">and </w:t>
                            </w:r>
                            <w:r w:rsidRPr="006573B7">
                              <w:rPr>
                                <w:i/>
                                <w:iCs/>
                              </w:rPr>
                              <w:t xml:space="preserve"> with Alabama irrigated</w:t>
                            </w:r>
                          </w:p>
                          <w:p w14:paraId="41B3722C" w14:textId="77777777" w:rsidR="00CA5DB0" w:rsidRPr="00FC2C03" w:rsidRDefault="00CA5DB0" w:rsidP="00CA5DB0">
                            <w:pPr>
                              <w:pStyle w:val="BodyText"/>
                              <w:rPr>
                                <w:rFonts w:eastAsia="SimSu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3732E" id="Text Box 11" o:spid="_x0000_s1036" type="#_x0000_t202" style="position:absolute;margin-left:208.95pt;margin-top:199.6pt;width:260.15pt;height:171.25pt;z-index:251714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" filled="f" strokeweight=".5pt">
                <v:textbox>
                  <w:txbxContent>
                    <w:p w14:paraId="7AA022E0" w14:textId="77777777" w:rsidR="00CA5DB0" w:rsidRDefault="00CA5DB0" w:rsidP="00CA5DB0">
                      <w:pPr>
                        <w:pStyle w:val="BodyText"/>
                        <w:rPr>
                          <w:rFonts w:eastAsia="SimSun"/>
                        </w:rPr>
                      </w:pPr>
                      <w:r w:rsidRPr="00602F86">
                        <w:rPr>
                          <w:rFonts w:eastAsia="SimSun"/>
                          <w:noProof/>
                        </w:rPr>
                        <w:drawing>
                          <wp:inline distT="0" distB="0" distL="0" distR="0" wp14:anchorId="7031206E" wp14:editId="27B60889">
                            <wp:extent cx="3082637" cy="1658601"/>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a:extLst>
                                        <a:ext uri="{28A0092B-C50C-407E-A947-70E740481C1C}">
                                          <a14:useLocalDpi xmlns:a14="http://schemas.microsoft.com/office/drawing/2010/main" val="0"/>
                                        </a:ext>
                                      </a:extLst>
                                    </a:blip>
                                    <a:srcRect r="6132"/>
                                    <a:stretch/>
                                  </pic:blipFill>
                                  <pic:spPr bwMode="auto">
                                    <a:xfrm>
                                      <a:off x="0" y="0"/>
                                      <a:ext cx="3124108" cy="1680914"/>
                                    </a:xfrm>
                                    <a:prstGeom prst="rect">
                                      <a:avLst/>
                                    </a:prstGeom>
                                    <a:noFill/>
                                    <a:ln>
                                      <a:noFill/>
                                    </a:ln>
                                    <a:extLst>
                                      <a:ext uri="{53640926-AAD7-44D8-BBD7-CCE9431645EC}">
                                        <a14:shadowObscured xmlns:a14="http://schemas.microsoft.com/office/drawing/2010/main"/>
                                      </a:ext>
                                    </a:extLst>
                                  </pic:spPr>
                                </pic:pic>
                              </a:graphicData>
                            </a:graphic>
                          </wp:inline>
                        </w:drawing>
                      </w:r>
                    </w:p>
                    <w:p w14:paraId="6C66E030" w14:textId="77777777" w:rsidR="00CA5DB0" w:rsidRPr="006573B7" w:rsidRDefault="00CA5DB0" w:rsidP="00CA5DB0">
                      <w:pPr>
                        <w:rPr>
                          <w:i/>
                          <w:iCs/>
                        </w:rPr>
                      </w:pPr>
                      <w:r w:rsidRPr="006573B7">
                        <w:rPr>
                          <w:i/>
                          <w:iCs/>
                        </w:rPr>
                        <w:t xml:space="preserve">Figure 1-10 Cotton yields for California irrigated and Alabama rainfed </w:t>
                      </w:r>
                      <w:r>
                        <w:rPr>
                          <w:i/>
                          <w:iCs/>
                        </w:rPr>
                        <w:t xml:space="preserve">and </w:t>
                      </w:r>
                      <w:r w:rsidRPr="006573B7">
                        <w:rPr>
                          <w:i/>
                          <w:iCs/>
                        </w:rPr>
                        <w:t xml:space="preserve"> with Alabama irrigated</w:t>
                      </w:r>
                    </w:p>
                    <w:p w14:paraId="41B3722C" w14:textId="77777777" w:rsidR="00CA5DB0" w:rsidRPr="00FC2C03" w:rsidRDefault="00CA5DB0" w:rsidP="00CA5DB0">
                      <w:pPr>
                        <w:pStyle w:val="BodyText"/>
                        <w:rPr>
                          <w:rFonts w:eastAsia="SimSun"/>
                        </w:rPr>
                      </w:pPr>
                    </w:p>
                  </w:txbxContent>
                </v:textbox>
                <w10:wrap type="square" anchorx="margin"/>
              </v:shape>
            </w:pict>
          </mc:Fallback>
        </mc:AlternateContent>
      </w:r>
      <w:r w:rsidRPr="003473EB">
        <w:rPr>
          <w:rFonts w:asciiTheme="minorHAnsi" w:hAnsiTheme="minorHAnsi" w:cstheme="minorHAnsi"/>
          <w:szCs w:val="22"/>
        </w:rPr>
        <w:t>In terms of cotton competitiveness, Alabama farmers first began to deal with western irrigated cotton farmers in the 1920-30’s. Figure 1-9 shows Alabama’s decline in cotton acreage was mirrored by an increase in California acreage up until the 1980’s. Figure 1-10 shows the yields that led to the competitive disadvantage Alabama rainfed farmers faced. The plot also shows with irrigation Alabama farmers are much more competitive. However, yields are still below California yields. The difference is in part due to other weather issues such as rain in the latter part of cotton development and nighttime temperatures. During the period 1930 – 1970 western water projects delivered water essentially free to the edge of a farmer’s field. However, by the 1980’s with water becoming more expensive and other costs increasing in California such as energy, taxes, labor etc. the profit picture began to turn in Alabama’s favor. Figure 1-11 shows the profit picture today. It shows that today Alabama farmers can be competitive. In fact, the decline in California production seen in figure 1-9 is the result of the profit competition as irrigation water was diverted to other higher value uses. It is expected that other cotton growing areas in the arid west in Arizona, New Mexico and West Texas facing similar competition with higher value uses of water will continue to decline in the future.</w:t>
      </w:r>
    </w:p>
    <w:p w14:paraId="3B3D2F2E" w14:textId="77777777" w:rsidR="00CA5DB0" w:rsidRDefault="00CA5DB0" w:rsidP="00CA5DB0">
      <w:pPr>
        <w:rPr>
          <w:rFonts w:asciiTheme="minorHAnsi" w:hAnsiTheme="minorHAnsi" w:cstheme="minorHAnsi"/>
          <w:szCs w:val="22"/>
        </w:rPr>
      </w:pPr>
    </w:p>
    <w:p w14:paraId="3DCAF73C" w14:textId="77777777" w:rsidR="006374CE" w:rsidRDefault="006374CE" w:rsidP="00CA5DB0">
      <w:pPr>
        <w:rPr>
          <w:rFonts w:asciiTheme="minorHAnsi" w:hAnsiTheme="minorHAnsi" w:cstheme="minorHAnsi"/>
          <w:szCs w:val="22"/>
        </w:rPr>
      </w:pPr>
    </w:p>
    <w:p w14:paraId="52D849DD" w14:textId="77777777" w:rsidR="006374CE" w:rsidRDefault="006374CE" w:rsidP="00CA5DB0">
      <w:pPr>
        <w:rPr>
          <w:rFonts w:asciiTheme="minorHAnsi" w:hAnsiTheme="minorHAnsi" w:cstheme="minorHAnsi"/>
          <w:szCs w:val="22"/>
        </w:rPr>
      </w:pPr>
    </w:p>
    <w:p w14:paraId="155FC4C5" w14:textId="77777777" w:rsidR="006374CE" w:rsidRDefault="006374CE" w:rsidP="00CA5DB0">
      <w:pPr>
        <w:rPr>
          <w:rFonts w:asciiTheme="minorHAnsi" w:hAnsiTheme="minorHAnsi" w:cstheme="minorHAnsi"/>
          <w:szCs w:val="22"/>
        </w:rPr>
      </w:pPr>
    </w:p>
    <w:p w14:paraId="54182032" w14:textId="77777777" w:rsidR="006374CE" w:rsidRPr="003473EB" w:rsidRDefault="006374CE" w:rsidP="00CA5DB0">
      <w:pPr>
        <w:rPr>
          <w:rFonts w:asciiTheme="minorHAnsi" w:hAnsiTheme="minorHAnsi" w:cstheme="minorHAnsi"/>
          <w:szCs w:val="22"/>
        </w:rPr>
      </w:pPr>
    </w:p>
    <w:p w14:paraId="3547C603" w14:textId="08BCDA75" w:rsidR="00CA5DB0" w:rsidRPr="003473EB" w:rsidRDefault="00CA5DB0" w:rsidP="00526869">
      <w:pPr>
        <w:pStyle w:val="Heading2"/>
        <w:rPr>
          <w:rFonts w:eastAsiaTheme="minorHAnsi"/>
        </w:rPr>
      </w:pPr>
      <w:bookmarkStart w:id="20" w:name="_Toc161741978"/>
      <w:bookmarkStart w:id="21" w:name="_Toc161908257"/>
      <w:bookmarkStart w:id="22" w:name="_Toc161924173"/>
      <w:bookmarkStart w:id="23" w:name="_Toc162606606"/>
      <w:r w:rsidRPr="003473EB">
        <w:rPr>
          <w:rFonts w:eastAsiaTheme="minorHAnsi"/>
        </w:rPr>
        <w:lastRenderedPageBreak/>
        <w:t>Demonstration of Funding Need</w:t>
      </w:r>
      <w:bookmarkEnd w:id="20"/>
      <w:bookmarkEnd w:id="21"/>
      <w:bookmarkEnd w:id="22"/>
      <w:bookmarkEnd w:id="23"/>
    </w:p>
    <w:p w14:paraId="1D8433D0" w14:textId="61CA88CE" w:rsidR="00CA5DB0" w:rsidRPr="003473EB" w:rsidRDefault="00CA5DB0" w:rsidP="00CA5DB0">
      <w:pPr>
        <w:pStyle w:val="BodyText"/>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678208" behindDoc="1" locked="0" layoutInCell="1" allowOverlap="1" wp14:anchorId="325041B7" wp14:editId="4BF5C9D8">
                <wp:simplePos x="0" y="0"/>
                <wp:positionH relativeFrom="column">
                  <wp:posOffset>2163445</wp:posOffset>
                </wp:positionH>
                <wp:positionV relativeFrom="paragraph">
                  <wp:posOffset>376646</wp:posOffset>
                </wp:positionV>
                <wp:extent cx="3645535" cy="3170555"/>
                <wp:effectExtent l="0" t="0" r="12065" b="10795"/>
                <wp:wrapTight wrapText="bothSides">
                  <wp:wrapPolygon edited="0">
                    <wp:start x="0" y="0"/>
                    <wp:lineTo x="0" y="21544"/>
                    <wp:lineTo x="21559" y="21544"/>
                    <wp:lineTo x="21559" y="0"/>
                    <wp:lineTo x="0" y="0"/>
                  </wp:wrapPolygon>
                </wp:wrapTight>
                <wp:docPr id="58" name="Text Box 58"/>
                <wp:cNvGraphicFramePr/>
                <a:graphic xmlns:a="http://schemas.openxmlformats.org/drawingml/2006/main">
                  <a:graphicData uri="http://schemas.microsoft.com/office/word/2010/wordprocessingShape">
                    <wps:wsp>
                      <wps:cNvSpPr txBox="1"/>
                      <wps:spPr>
                        <a:xfrm>
                          <a:off x="0" y="0"/>
                          <a:ext cx="3645535" cy="3170555"/>
                        </a:xfrm>
                        <a:prstGeom prst="rect">
                          <a:avLst/>
                        </a:prstGeom>
                        <a:solidFill>
                          <a:schemeClr val="lt1"/>
                        </a:solidFill>
                        <a:ln w="6350">
                          <a:solidFill>
                            <a:prstClr val="black"/>
                          </a:solidFill>
                        </a:ln>
                      </wps:spPr>
                      <wps:txbx>
                        <w:txbxContent>
                          <w:p w14:paraId="0D722AE4" w14:textId="77777777" w:rsidR="00CA5DB0" w:rsidRDefault="00CA5DB0" w:rsidP="00CA5DB0">
                            <w:r w:rsidRPr="00602F86">
                              <w:rPr>
                                <w:noProof/>
                              </w:rPr>
                              <w:drawing>
                                <wp:inline distT="0" distB="0" distL="0" distR="0" wp14:anchorId="5CBFECAD" wp14:editId="49E7895B">
                                  <wp:extent cx="2938145" cy="20180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8145" cy="2018030"/>
                                          </a:xfrm>
                                          <a:prstGeom prst="rect">
                                            <a:avLst/>
                                          </a:prstGeom>
                                          <a:noFill/>
                                          <a:ln>
                                            <a:noFill/>
                                          </a:ln>
                                        </pic:spPr>
                                      </pic:pic>
                                    </a:graphicData>
                                  </a:graphic>
                                </wp:inline>
                              </w:drawing>
                            </w:r>
                          </w:p>
                          <w:p w14:paraId="6FE42C5D" w14:textId="10DE7190" w:rsidR="00CA5DB0" w:rsidRPr="00602F86" w:rsidRDefault="00CA5DB0" w:rsidP="00CA5DB0">
                            <w:pPr>
                              <w:rPr>
                                <w:i/>
                                <w:iCs/>
                              </w:rPr>
                            </w:pPr>
                            <w:r w:rsidRPr="00602F86">
                              <w:rPr>
                                <w:i/>
                                <w:iCs/>
                              </w:rPr>
                              <w:t xml:space="preserve">Figure 1-11 </w:t>
                            </w:r>
                            <w:r>
                              <w:rPr>
                                <w:i/>
                                <w:iCs/>
                              </w:rPr>
                              <w:t>Cotton p</w:t>
                            </w:r>
                            <w:r w:rsidRPr="00602F86">
                              <w:rPr>
                                <w:i/>
                                <w:iCs/>
                              </w:rPr>
                              <w:t>rofit picture today with expenses having increased in California especially water cost. In the 1930’s water costs were negligible. These plots were made at a water cost of $100/acre -ft but the going rate in California today approaches $300/acre-ft. Water is being diverted to higher value crops such as fruits and vegetables</w:t>
                            </w:r>
                            <w:r w:rsidR="008964E6">
                              <w:rPr>
                                <w:i/>
                                <w:iCs/>
                              </w:rPr>
                              <w:t>.</w:t>
                            </w:r>
                          </w:p>
                          <w:p w14:paraId="1F86ED30" w14:textId="77777777" w:rsidR="00CA5DB0" w:rsidRDefault="00CA5DB0" w:rsidP="00CA5DB0"/>
                          <w:p w14:paraId="16461897" w14:textId="77777777" w:rsidR="00CA5DB0" w:rsidRDefault="00CA5DB0" w:rsidP="00CA5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041B7" id="Text Box 58" o:spid="_x0000_s1037" type="#_x0000_t202" style="position:absolute;margin-left:170.35pt;margin-top:29.65pt;width:287.05pt;height:249.6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" fillcolor="white [3201]" strokeweight=".5pt">
                <v:textbox>
                  <w:txbxContent>
                    <w:p w14:paraId="0D722AE4" w14:textId="77777777" w:rsidR="00CA5DB0" w:rsidRDefault="00CA5DB0" w:rsidP="00CA5DB0">
                      <w:r w:rsidRPr="00602F86">
                        <w:rPr>
                          <w:noProof/>
                        </w:rPr>
                        <w:drawing>
                          <wp:inline distT="0" distB="0" distL="0" distR="0" wp14:anchorId="5CBFECAD" wp14:editId="49E7895B">
                            <wp:extent cx="2938145" cy="20180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8145" cy="2018030"/>
                                    </a:xfrm>
                                    <a:prstGeom prst="rect">
                                      <a:avLst/>
                                    </a:prstGeom>
                                    <a:noFill/>
                                    <a:ln>
                                      <a:noFill/>
                                    </a:ln>
                                  </pic:spPr>
                                </pic:pic>
                              </a:graphicData>
                            </a:graphic>
                          </wp:inline>
                        </w:drawing>
                      </w:r>
                    </w:p>
                    <w:p w14:paraId="6FE42C5D" w14:textId="10DE7190" w:rsidR="00CA5DB0" w:rsidRPr="00602F86" w:rsidRDefault="00CA5DB0" w:rsidP="00CA5DB0">
                      <w:pPr>
                        <w:rPr>
                          <w:i/>
                          <w:iCs/>
                        </w:rPr>
                      </w:pPr>
                      <w:r w:rsidRPr="00602F86">
                        <w:rPr>
                          <w:i/>
                          <w:iCs/>
                        </w:rPr>
                        <w:t xml:space="preserve">Figure 1-11 </w:t>
                      </w:r>
                      <w:r>
                        <w:rPr>
                          <w:i/>
                          <w:iCs/>
                        </w:rPr>
                        <w:t>Cotton p</w:t>
                      </w:r>
                      <w:r w:rsidRPr="00602F86">
                        <w:rPr>
                          <w:i/>
                          <w:iCs/>
                        </w:rPr>
                        <w:t>rofit picture today with expenses having increased in California especially water cost. In the 1930’s water costs were negligible. These plots were made at a water cost of $100/acre -ft but the going rate in California today approaches $300/acre-ft. Water is being diverted to higher value crops such as fruits and vegetables</w:t>
                      </w:r>
                      <w:r w:rsidR="008964E6">
                        <w:rPr>
                          <w:i/>
                          <w:iCs/>
                        </w:rPr>
                        <w:t>.</w:t>
                      </w:r>
                    </w:p>
                    <w:p w14:paraId="1F86ED30" w14:textId="77777777" w:rsidR="00CA5DB0" w:rsidRDefault="00CA5DB0" w:rsidP="00CA5DB0"/>
                    <w:p w14:paraId="16461897" w14:textId="77777777" w:rsidR="00CA5DB0" w:rsidRDefault="00CA5DB0" w:rsidP="00CA5DB0"/>
                  </w:txbxContent>
                </v:textbox>
                <w10:wrap type="tight"/>
              </v:shape>
            </w:pict>
          </mc:Fallback>
        </mc:AlternateContent>
      </w:r>
      <w:r w:rsidRPr="003473EB">
        <w:rPr>
          <w:rFonts w:asciiTheme="minorHAnsi" w:hAnsiTheme="minorHAnsi" w:cstheme="minorHAnsi"/>
          <w:szCs w:val="22"/>
        </w:rPr>
        <w:t xml:space="preserve">The above shows that Alabama farmers can be competitive in national markets if they can embrace irrigation. The AUII has succeeded in increasing irrigated land </w:t>
      </w:r>
      <w:r w:rsidR="00056867" w:rsidRPr="003473EB">
        <w:rPr>
          <w:rFonts w:asciiTheme="minorHAnsi" w:hAnsiTheme="minorHAnsi" w:cstheme="minorHAnsi"/>
          <w:szCs w:val="22"/>
        </w:rPr>
        <w:t>(see figure 1-7)</w:t>
      </w:r>
      <w:r w:rsidR="00AD31A6">
        <w:rPr>
          <w:rFonts w:asciiTheme="minorHAnsi" w:hAnsiTheme="minorHAnsi" w:cstheme="minorHAnsi"/>
          <w:szCs w:val="22"/>
        </w:rPr>
        <w:t xml:space="preserve"> </w:t>
      </w:r>
      <w:r w:rsidRPr="003473EB">
        <w:rPr>
          <w:rFonts w:asciiTheme="minorHAnsi" w:hAnsiTheme="minorHAnsi" w:cstheme="minorHAnsi"/>
          <w:szCs w:val="22"/>
        </w:rPr>
        <w:t xml:space="preserve">but many of the poorest areas have not benefitted from this expansion.  This is in part due to a lack of investment resources for irrigation, but, also because the electrical grid and infrastructure in many areas cannot support the power needs of irrigation.  The present proposal addresses this lack of electrical infrastructure with use of solar arrays in these underserved electrical areas. It also includes on-farm charging infrastructure and expansion of power grids.   It will also support smaller solar energy arrays to support pumps for drip irrigation for vegetable production in central Alabama.  This relatively new vegetable growing industry serves primarily the metropolitan areas of Montgomery and Birmingham. However, production and quality has been limited due to a lack of irrigation. </w:t>
      </w:r>
    </w:p>
    <w:p w14:paraId="73C47A6A" w14:textId="77777777" w:rsidR="00CA5DB0" w:rsidRPr="003473EB" w:rsidRDefault="00CA5DB0" w:rsidP="00CA5DB0">
      <w:pPr>
        <w:pStyle w:val="BodyText"/>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721216" behindDoc="1" locked="0" layoutInCell="1" allowOverlap="1" wp14:anchorId="2F4D3E6F" wp14:editId="4160EF6E">
                <wp:simplePos x="0" y="0"/>
                <wp:positionH relativeFrom="column">
                  <wp:posOffset>3216275</wp:posOffset>
                </wp:positionH>
                <wp:positionV relativeFrom="paragraph">
                  <wp:posOffset>883285</wp:posOffset>
                </wp:positionV>
                <wp:extent cx="2677795" cy="3592195"/>
                <wp:effectExtent l="0" t="0" r="27305" b="27305"/>
                <wp:wrapTight wrapText="bothSides">
                  <wp:wrapPolygon edited="0">
                    <wp:start x="0" y="0"/>
                    <wp:lineTo x="0" y="21650"/>
                    <wp:lineTo x="21667" y="21650"/>
                    <wp:lineTo x="21667" y="0"/>
                    <wp:lineTo x="0" y="0"/>
                  </wp:wrapPolygon>
                </wp:wrapTight>
                <wp:docPr id="21" name="Text Box 21"/>
                <wp:cNvGraphicFramePr/>
                <a:graphic xmlns:a="http://schemas.openxmlformats.org/drawingml/2006/main">
                  <a:graphicData uri="http://schemas.microsoft.com/office/word/2010/wordprocessingShape">
                    <wps:wsp>
                      <wps:cNvSpPr txBox="1"/>
                      <wps:spPr>
                        <a:xfrm>
                          <a:off x="0" y="0"/>
                          <a:ext cx="2677795" cy="3592195"/>
                        </a:xfrm>
                        <a:prstGeom prst="rect">
                          <a:avLst/>
                        </a:prstGeom>
                        <a:solidFill>
                          <a:schemeClr val="lt1"/>
                        </a:solidFill>
                        <a:ln w="6350">
                          <a:solidFill>
                            <a:prstClr val="black"/>
                          </a:solidFill>
                        </a:ln>
                      </wps:spPr>
                      <wps:txbx>
                        <w:txbxContent>
                          <w:p w14:paraId="0FE0E955" w14:textId="20138E0D" w:rsidR="00CA5DB0" w:rsidRPr="00806035" w:rsidRDefault="00B72B4C" w:rsidP="00CA5DB0">
                            <w:pPr>
                              <w:rPr>
                                <w:sz w:val="20"/>
                              </w:rPr>
                            </w:pPr>
                            <w:r w:rsidRPr="00B72B4C">
                              <w:rPr>
                                <w:noProof/>
                              </w:rPr>
                              <w:drawing>
                                <wp:inline distT="0" distB="0" distL="0" distR="0" wp14:anchorId="57EE4EAB" wp14:editId="38368EDD">
                                  <wp:extent cx="2379345" cy="303149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79345" cy="3031490"/>
                                          </a:xfrm>
                                          <a:prstGeom prst="rect">
                                            <a:avLst/>
                                          </a:prstGeom>
                                          <a:noFill/>
                                          <a:ln>
                                            <a:noFill/>
                                          </a:ln>
                                        </pic:spPr>
                                      </pic:pic>
                                    </a:graphicData>
                                  </a:graphic>
                                </wp:inline>
                              </w:drawing>
                            </w:r>
                            <w:r w:rsidR="00CA5DB0" w:rsidRPr="00806035">
                              <w:rPr>
                                <w:sz w:val="20"/>
                              </w:rPr>
                              <w:t xml:space="preserve">Figure 1-12 Illustration of watersheds selected under the </w:t>
                            </w:r>
                            <w:r w:rsidR="00CA5DB0">
                              <w:rPr>
                                <w:sz w:val="20"/>
                              </w:rPr>
                              <w:t xml:space="preserve">USDA NRCS watershed irrigation program in Alabama.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D3E6F" id="Text Box 21" o:spid="_x0000_s1038" type="#_x0000_t202" style="position:absolute;margin-left:253.25pt;margin-top:69.55pt;width:210.85pt;height:282.8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" fillcolor="white [3201]" strokeweight=".5pt">
                <v:textbox>
                  <w:txbxContent>
                    <w:p w14:paraId="0FE0E955" w14:textId="20138E0D" w:rsidR="00CA5DB0" w:rsidRPr="00806035" w:rsidRDefault="00B72B4C" w:rsidP="00CA5DB0">
                      <w:pPr>
                        <w:rPr>
                          <w:sz w:val="20"/>
                        </w:rPr>
                      </w:pPr>
                      <w:r w:rsidRPr="00B72B4C">
                        <w:rPr>
                          <w:noProof/>
                        </w:rPr>
                        <w:drawing>
                          <wp:inline distT="0" distB="0" distL="0" distR="0" wp14:anchorId="57EE4EAB" wp14:editId="38368EDD">
                            <wp:extent cx="2379345" cy="303149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79345" cy="3031490"/>
                                    </a:xfrm>
                                    <a:prstGeom prst="rect">
                                      <a:avLst/>
                                    </a:prstGeom>
                                    <a:noFill/>
                                    <a:ln>
                                      <a:noFill/>
                                    </a:ln>
                                  </pic:spPr>
                                </pic:pic>
                              </a:graphicData>
                            </a:graphic>
                          </wp:inline>
                        </w:drawing>
                      </w:r>
                      <w:r w:rsidR="00CA5DB0" w:rsidRPr="00806035">
                        <w:rPr>
                          <w:sz w:val="20"/>
                        </w:rPr>
                        <w:t xml:space="preserve">Figure 1-12 Illustration of watersheds selected under the </w:t>
                      </w:r>
                      <w:r w:rsidR="00CA5DB0">
                        <w:rPr>
                          <w:sz w:val="20"/>
                        </w:rPr>
                        <w:t xml:space="preserve">USDA NRCS watershed irrigation program in Alabama. </w:t>
                      </w:r>
                    </w:p>
                  </w:txbxContent>
                </v:textbox>
                <w10:wrap type="tight"/>
              </v:shape>
            </w:pict>
          </mc:Fallback>
        </mc:AlternateContent>
      </w:r>
      <w:r w:rsidRPr="003473EB">
        <w:rPr>
          <w:rFonts w:asciiTheme="minorHAnsi" w:hAnsiTheme="minorHAnsi" w:cstheme="minorHAnsi"/>
          <w:b/>
          <w:bCs/>
          <w:szCs w:val="22"/>
        </w:rPr>
        <w:t>USDA National Resource Conservation Service (NRCS) Watershed Plans:</w:t>
      </w:r>
      <w:r w:rsidRPr="003473EB">
        <w:rPr>
          <w:rFonts w:asciiTheme="minorHAnsi" w:hAnsiTheme="minorHAnsi" w:cstheme="minorHAnsi"/>
          <w:szCs w:val="22"/>
        </w:rPr>
        <w:t xml:space="preserve"> The present proposal compliments an ongoing USDA watershed project that was developed to provide funding for irrigation infrastructure in rural Alabama. The purpose of this project is to minimize damage to plant health and vigor, improve soil health, and protect basin water quality, all of which are resources of concern associated with rainfed farming in Alabama. Climate change projections vary, but generally with more precipitation but greater evaporation due to increased temperatures. The uncertainty of climate model predictions supports the need for a reliable source of water, as risks to land, labor, and resources may occur.</w:t>
      </w:r>
    </w:p>
    <w:p w14:paraId="53993C21" w14:textId="77777777" w:rsidR="00CA5DB0" w:rsidRPr="003473EB" w:rsidRDefault="00CA5DB0" w:rsidP="00CA5DB0">
      <w:pPr>
        <w:pStyle w:val="BodyText"/>
        <w:rPr>
          <w:rFonts w:asciiTheme="minorHAnsi" w:hAnsiTheme="minorHAnsi" w:cstheme="minorHAnsi"/>
          <w:szCs w:val="22"/>
        </w:rPr>
      </w:pPr>
      <w:r w:rsidRPr="003473EB">
        <w:rPr>
          <w:rFonts w:asciiTheme="minorHAnsi" w:hAnsiTheme="minorHAnsi" w:cstheme="minorHAnsi"/>
          <w:szCs w:val="22"/>
        </w:rPr>
        <w:t xml:space="preserve">This program is needed even in the present climate to address untimely and inadequate precipitation in the growing season, which results in less biomass development and impacts to plant health and vigor. Reduced biomass limits the incorporation of critical organic matter into the soil, reducing soil health. Nutrient use efficiency is decreased when plant health and vigor is impacted, which increases nutrients available for export. By developing diffuse or decentralized on-farm irrigation systems suitable for the farming practices in the watersheds resilience of the agricultural resources of concern is enhanced and the risk of damages can be greatly reduced. Figure 1-12 shows the watersheds that have been selected to date. Most all of Central and </w:t>
      </w:r>
      <w:r w:rsidRPr="003473EB">
        <w:rPr>
          <w:rFonts w:asciiTheme="minorHAnsi" w:hAnsiTheme="minorHAnsi" w:cstheme="minorHAnsi"/>
          <w:szCs w:val="22"/>
        </w:rPr>
        <w:lastRenderedPageBreak/>
        <w:t>Southwest Alabama are expected to be included in the next 5 years. The program in terms of selecting and funding farmers is carried out by the Alabama Soil and Water Conservation Committee (ALSWC). This is the same agency leading this EPA proposal.</w:t>
      </w:r>
    </w:p>
    <w:p w14:paraId="38A48F23" w14:textId="3DC0669A" w:rsidR="00CA5DB0" w:rsidRPr="003473EB" w:rsidRDefault="00CA5DB0" w:rsidP="00CA5DB0">
      <w:pPr>
        <w:pStyle w:val="BodyText"/>
        <w:rPr>
          <w:rFonts w:asciiTheme="minorHAnsi" w:hAnsiTheme="minorHAnsi" w:cstheme="minorHAnsi"/>
          <w:szCs w:val="22"/>
        </w:rPr>
      </w:pPr>
      <w:r w:rsidRPr="003473EB">
        <w:rPr>
          <w:rFonts w:asciiTheme="minorHAnsi" w:hAnsiTheme="minorHAnsi" w:cstheme="minorHAnsi"/>
          <w:szCs w:val="22"/>
        </w:rPr>
        <w:t xml:space="preserve">In this program the USDA provides partial funding for irrigation infrastructure which is then owned by the farmer. However, USDA determined that the program could not support improvements in electrical grid infrastructure in part because of a lack of clarity on who would own this infrastructure – the farmer or the power provider. The solar power option included under the present project reduces the need for expanding the three-phase power grid infrastructure. While USDA has not </w:t>
      </w:r>
      <w:r w:rsidR="008D454D" w:rsidRPr="003473EB">
        <w:rPr>
          <w:rFonts w:asciiTheme="minorHAnsi" w:hAnsiTheme="minorHAnsi" w:cstheme="minorHAnsi"/>
          <w:szCs w:val="22"/>
        </w:rPr>
        <w:t>decided</w:t>
      </w:r>
      <w:r w:rsidRPr="003473EB">
        <w:rPr>
          <w:rFonts w:asciiTheme="minorHAnsi" w:hAnsiTheme="minorHAnsi" w:cstheme="minorHAnsi"/>
          <w:szCs w:val="22"/>
        </w:rPr>
        <w:t xml:space="preserve"> on support of solar arrays supporting irrigation, there are complications in that including the cost of added solar increases the cost of the system so that other applicants that didn’t need the solar power would be at an advantage. This would put some of Alabama’s poorest communities at a disadvantage as they do not have access to the electrical grid infrastructure needed for irrigated farming. Also, there would be uncertainty about how excess energy generated might be counted in cost/benefit calculations. In short, it seems this EPA project can best support the solar energy infrastructure and USDA can support the actual irrigation infrastructure. </w:t>
      </w:r>
    </w:p>
    <w:p w14:paraId="1C1400B1" w14:textId="77777777" w:rsidR="00CA5DB0" w:rsidRPr="003473EB" w:rsidRDefault="00CA5DB0" w:rsidP="00CA5DB0">
      <w:pPr>
        <w:pStyle w:val="BodyText"/>
        <w:rPr>
          <w:rFonts w:asciiTheme="minorHAnsi" w:hAnsiTheme="minorHAnsi" w:cstheme="minorHAnsi"/>
          <w:szCs w:val="22"/>
        </w:rPr>
      </w:pPr>
      <w:r w:rsidRPr="003473EB">
        <w:rPr>
          <w:rFonts w:asciiTheme="minorHAnsi" w:hAnsiTheme="minorHAnsi" w:cstheme="minorHAnsi"/>
          <w:szCs w:val="22"/>
        </w:rPr>
        <w:t>There are other programs that have supported installation of solar arrays for power. For example, EPA’s Solar for All, (</w:t>
      </w:r>
      <w:hyperlink r:id="rId28" w:history="1">
        <w:r w:rsidRPr="003473EB">
          <w:rPr>
            <w:rStyle w:val="Hyperlink"/>
            <w:rFonts w:asciiTheme="minorHAnsi" w:hAnsiTheme="minorHAnsi" w:cstheme="minorHAnsi"/>
            <w:szCs w:val="22"/>
          </w:rPr>
          <w:t>https://www.epa.gov/system/files/documents/2023-11/20230712_solar-for-all-nofo-webinar_website_0.pdf</w:t>
        </w:r>
      </w:hyperlink>
      <w:r w:rsidRPr="003473EB">
        <w:rPr>
          <w:rFonts w:asciiTheme="minorHAnsi" w:hAnsiTheme="minorHAnsi" w:cstheme="minorHAnsi"/>
          <w:szCs w:val="22"/>
        </w:rPr>
        <w:t xml:space="preserve">)  was designed to spur the deployment of residential distributed solar energy to lower energy bills  in low-income and disadvantaged communities. However, the Solar for All project is geared to individual residential applicants. While areas considered for the present proposal are disadvantaged, commercial activities of farming considered here would appear not to be eligible. </w:t>
      </w:r>
    </w:p>
    <w:p w14:paraId="466B4B03" w14:textId="27BE65B0" w:rsidR="00CA5DB0" w:rsidRPr="003473EB" w:rsidRDefault="00CA5DB0" w:rsidP="00526869">
      <w:pPr>
        <w:pStyle w:val="Heading2"/>
      </w:pPr>
      <w:bookmarkStart w:id="24" w:name="_Toc161741979"/>
      <w:bookmarkStart w:id="25" w:name="_Toc161908258"/>
      <w:bookmarkStart w:id="26" w:name="_Toc161924174"/>
      <w:bookmarkStart w:id="27" w:name="_Toc162606607"/>
      <w:r w:rsidRPr="003473EB">
        <w:t>Transformative Impacts</w:t>
      </w:r>
      <w:bookmarkEnd w:id="24"/>
      <w:bookmarkEnd w:id="25"/>
      <w:bookmarkEnd w:id="26"/>
      <w:bookmarkEnd w:id="27"/>
    </w:p>
    <w:p w14:paraId="1D297B39" w14:textId="77777777" w:rsidR="00CA5DB0" w:rsidRPr="003473EB" w:rsidRDefault="00CA5DB0" w:rsidP="00CA5DB0">
      <w:pPr>
        <w:autoSpaceDE w:val="0"/>
        <w:autoSpaceDN w:val="0"/>
        <w:adjustRightInd w:val="0"/>
        <w:spacing w:after="120"/>
        <w:rPr>
          <w:rFonts w:asciiTheme="minorHAnsi" w:hAnsiTheme="minorHAnsi" w:cstheme="minorHAnsi"/>
          <w:szCs w:val="22"/>
        </w:rPr>
      </w:pPr>
      <w:r w:rsidRPr="003473EB">
        <w:rPr>
          <w:rFonts w:asciiTheme="minorHAnsi" w:eastAsiaTheme="minorHAnsi" w:hAnsiTheme="minorHAnsi" w:cstheme="minorHAnsi"/>
          <w:b/>
          <w:bCs/>
          <w:szCs w:val="22"/>
        </w:rPr>
        <w:t xml:space="preserve">Market transformations and adoption of emerging technologies or practices: </w:t>
      </w:r>
      <w:r w:rsidRPr="003473EB">
        <w:rPr>
          <w:rFonts w:asciiTheme="minorHAnsi" w:eastAsiaTheme="minorHAnsi" w:hAnsiTheme="minorHAnsi" w:cstheme="minorHAnsi"/>
          <w:szCs w:val="22"/>
        </w:rPr>
        <w:t xml:space="preserve">Solar powered irrigation is new in Alabama and to the Southeast. In the past, in places where the electrical grid could not handle the demands of irrigation, the only solution was diesel on field generators. These added cost to the irrigation system. Getting diesel delivered to the field added to production costs. While farmers may not have GHG reductions as a top priority they will recognize that solar power is a better solution than diesel. We </w:t>
      </w:r>
      <w:r w:rsidRPr="003473EB">
        <w:rPr>
          <w:rFonts w:asciiTheme="minorHAnsi" w:hAnsiTheme="minorHAnsi" w:cstheme="minorHAnsi"/>
          <w:szCs w:val="22"/>
        </w:rPr>
        <w:t xml:space="preserve">expect the pivots installed under this project to spur additional irrigation development. Farmers often learn best from neighbors. This seems especially true of irrigation since pockets of irrigation adoption spread over time See figure 1-6.  As the successes of these systems are apparent, we believe that other farmers will embrace both irrigation and solar power so that the benefit of this project will be multiplied. </w:t>
      </w:r>
    </w:p>
    <w:p w14:paraId="5B68F7F9" w14:textId="0157347E" w:rsidR="00CA5DB0" w:rsidRPr="003473EB" w:rsidRDefault="00CA5DB0" w:rsidP="00CA5DB0">
      <w:pPr>
        <w:spacing w:after="120"/>
        <w:rPr>
          <w:rFonts w:asciiTheme="minorHAnsi" w:hAnsiTheme="minorHAnsi" w:cstheme="minorHAnsi"/>
          <w:szCs w:val="22"/>
        </w:rPr>
      </w:pPr>
      <w:r w:rsidRPr="003473EB">
        <w:rPr>
          <w:rFonts w:asciiTheme="minorHAnsi" w:hAnsiTheme="minorHAnsi" w:cstheme="minorHAnsi"/>
          <w:b/>
          <w:bCs/>
          <w:szCs w:val="22"/>
        </w:rPr>
        <w:t xml:space="preserve">Alabama’s Rural Poverty and Economic Impact of the Present GHG Proposal: </w:t>
      </w:r>
      <w:r w:rsidRPr="003473EB">
        <w:rPr>
          <w:rFonts w:asciiTheme="minorHAnsi" w:hAnsiTheme="minorHAnsi" w:cstheme="minorHAnsi"/>
          <w:szCs w:val="22"/>
        </w:rPr>
        <w:t xml:space="preserve">Rural poverty in Alabama has been a persistent problem since the collapse of its row crop industry especially in the central part of Alabama. </w:t>
      </w:r>
      <w:r w:rsidR="003A51D3">
        <w:rPr>
          <w:rFonts w:asciiTheme="minorHAnsi" w:hAnsiTheme="minorHAnsi" w:cstheme="minorHAnsi"/>
          <w:szCs w:val="22"/>
        </w:rPr>
        <w:t xml:space="preserve">(see Section 4). </w:t>
      </w:r>
      <w:r w:rsidRPr="003473EB">
        <w:rPr>
          <w:rFonts w:asciiTheme="minorHAnsi" w:hAnsiTheme="minorHAnsi" w:cstheme="minorHAnsi"/>
          <w:szCs w:val="22"/>
        </w:rPr>
        <w:t xml:space="preserve">As discussed above, irrigation can make Alabama farmers competitive with western cotton farmers and Midwest grain farmers.  However, adoption of irrigation has lagged in many areas in part due to a lack of the capacity of the power grids to support the power needs of the pumps associated with the irrigation infrastructure. Also, cotton and grain markets and infrastructure (e.g. cotton gins) are already in place.  </w:t>
      </w:r>
    </w:p>
    <w:p w14:paraId="64FDE31F" w14:textId="28643D28" w:rsidR="00CA5DB0" w:rsidRPr="003473EB" w:rsidRDefault="00CA5DB0" w:rsidP="00CA5DB0">
      <w:pPr>
        <w:pStyle w:val="BodyText"/>
        <w:spacing w:after="120"/>
        <w:rPr>
          <w:rFonts w:asciiTheme="minorHAnsi" w:hAnsiTheme="minorHAnsi" w:cstheme="minorHAnsi"/>
          <w:szCs w:val="22"/>
        </w:rPr>
      </w:pPr>
      <w:r w:rsidRPr="003473EB">
        <w:rPr>
          <w:rFonts w:asciiTheme="minorHAnsi" w:hAnsiTheme="minorHAnsi" w:cstheme="minorHAnsi"/>
          <w:szCs w:val="22"/>
        </w:rPr>
        <w:t xml:space="preserve">The economic impact of even this single project can be important. Here we estimate the economic impact of expanded irrigation using solar powered pivots. Since vegetable production gross receipts are highly variable, we will use irrigated corn in estimating economic impact. But, based on other areas (e.g. California, Georgia and Florida) vegetable economic impacts are generally higher than row crops so this is a conservative estimate.  At a price of $6.00/bu, irrigated land can turn-over $1200/ac in the local economy. Using-the GAO Multiplier for U.S Agricultural of 2.64 this would mean an economic impact of over $3,100 per acre per year. As will be discussed below the present project plans to support the equivalent of twelve 140-acre center pivot systems. This would mean the total economic impact of this proposal would be over </w:t>
      </w:r>
      <w:r w:rsidRPr="003473EB">
        <w:rPr>
          <w:rFonts w:asciiTheme="minorHAnsi" w:hAnsiTheme="minorHAnsi" w:cstheme="minorHAnsi"/>
          <w:b/>
          <w:bCs/>
          <w:szCs w:val="22"/>
        </w:rPr>
        <w:t>$6 million per year</w:t>
      </w:r>
      <w:r w:rsidRPr="003473EB">
        <w:rPr>
          <w:rFonts w:asciiTheme="minorHAnsi" w:hAnsiTheme="minorHAnsi" w:cstheme="minorHAnsi"/>
          <w:szCs w:val="22"/>
        </w:rPr>
        <w:t xml:space="preserve">. Further, the construction costs of the </w:t>
      </w:r>
      <w:r w:rsidR="00E0207B" w:rsidRPr="003473EB">
        <w:rPr>
          <w:rFonts w:asciiTheme="minorHAnsi" w:hAnsiTheme="minorHAnsi" w:cstheme="minorHAnsi"/>
          <w:szCs w:val="22"/>
        </w:rPr>
        <w:t>pivots (</w:t>
      </w:r>
      <w:r w:rsidRPr="003473EB">
        <w:rPr>
          <w:rFonts w:asciiTheme="minorHAnsi" w:hAnsiTheme="minorHAnsi" w:cstheme="minorHAnsi"/>
          <w:szCs w:val="22"/>
        </w:rPr>
        <w:t>~$1,200 per acre) and solar panels (~$1,400</w:t>
      </w:r>
      <w:r w:rsidR="005E4928">
        <w:rPr>
          <w:rFonts w:asciiTheme="minorHAnsi" w:hAnsiTheme="minorHAnsi" w:cstheme="minorHAnsi"/>
          <w:szCs w:val="22"/>
        </w:rPr>
        <w:t xml:space="preserve"> per acre</w:t>
      </w:r>
      <w:r w:rsidRPr="003473EB">
        <w:rPr>
          <w:rFonts w:asciiTheme="minorHAnsi" w:hAnsiTheme="minorHAnsi" w:cstheme="minorHAnsi"/>
          <w:szCs w:val="22"/>
        </w:rPr>
        <w:t xml:space="preserve">) would provide a one-time impact of </w:t>
      </w:r>
      <w:r w:rsidRPr="003473EB">
        <w:rPr>
          <w:rFonts w:asciiTheme="minorHAnsi" w:hAnsiTheme="minorHAnsi" w:cstheme="minorHAnsi"/>
          <w:szCs w:val="22"/>
        </w:rPr>
        <w:lastRenderedPageBreak/>
        <w:t xml:space="preserve">over </w:t>
      </w:r>
      <w:r w:rsidRPr="003473EB">
        <w:rPr>
          <w:rFonts w:asciiTheme="minorHAnsi" w:hAnsiTheme="minorHAnsi" w:cstheme="minorHAnsi"/>
          <w:b/>
          <w:bCs/>
          <w:szCs w:val="22"/>
        </w:rPr>
        <w:t xml:space="preserve">$9 million </w:t>
      </w:r>
      <w:r w:rsidRPr="003473EB">
        <w:rPr>
          <w:rFonts w:asciiTheme="minorHAnsi" w:hAnsiTheme="minorHAnsi" w:cstheme="minorHAnsi"/>
          <w:szCs w:val="22"/>
        </w:rPr>
        <w:t>using the GOA multiplier. To put this in the economic perspective of the region, in 2017 Perry County had a total of all agricultural receipts of only $37 million (see (</w:t>
      </w:r>
      <w:hyperlink r:id="rId29" w:history="1">
        <w:r w:rsidRPr="003473EB">
          <w:rPr>
            <w:rStyle w:val="Hyperlink"/>
            <w:rFonts w:asciiTheme="minorHAnsi" w:hAnsiTheme="minorHAnsi" w:cstheme="minorHAnsi"/>
            <w:szCs w:val="22"/>
          </w:rPr>
          <w:t>https://www.nass.usda.gov/Publications/AgCensus/2017/Online_Resources/County_Profiles/Alabama/cp01105.pdf</w:t>
        </w:r>
      </w:hyperlink>
      <w:r w:rsidRPr="003473EB">
        <w:rPr>
          <w:rFonts w:asciiTheme="minorHAnsi" w:hAnsiTheme="minorHAnsi" w:cstheme="minorHAnsi"/>
          <w:szCs w:val="22"/>
        </w:rPr>
        <w:t xml:space="preserve">) Over the 25-year life-time of the systems this would mean </w:t>
      </w:r>
      <w:r w:rsidRPr="003473EB">
        <w:rPr>
          <w:rFonts w:asciiTheme="minorHAnsi" w:hAnsiTheme="minorHAnsi" w:cstheme="minorHAnsi"/>
          <w:b/>
          <w:bCs/>
          <w:szCs w:val="22"/>
        </w:rPr>
        <w:t>$150 million</w:t>
      </w:r>
      <w:r w:rsidRPr="003473EB">
        <w:rPr>
          <w:rFonts w:asciiTheme="minorHAnsi" w:hAnsiTheme="minorHAnsi" w:cstheme="minorHAnsi"/>
          <w:szCs w:val="22"/>
        </w:rPr>
        <w:t xml:space="preserve"> impact on the local economy.  Thus, in these poor areas even this start will be transformative. We believe the impact will be multiplied as other farmers adopt the solar technology, especially if future cost share programs within EPA or USDA are available. </w:t>
      </w:r>
    </w:p>
    <w:p w14:paraId="7AFF0A07" w14:textId="691D8940" w:rsidR="00CA5DB0" w:rsidRPr="00766DC6" w:rsidRDefault="00CA5DB0" w:rsidP="00EF485F">
      <w:pPr>
        <w:pStyle w:val="Heading1"/>
      </w:pPr>
      <w:bookmarkStart w:id="28" w:name="_Toc161741980"/>
      <w:bookmarkStart w:id="29" w:name="_Toc161908259"/>
      <w:bookmarkStart w:id="30" w:name="_Toc161924175"/>
      <w:bookmarkStart w:id="31" w:name="_Toc162606608"/>
      <w:r w:rsidRPr="00766DC6">
        <w:t>GHG Reductions and Calculations</w:t>
      </w:r>
      <w:bookmarkEnd w:id="28"/>
      <w:bookmarkEnd w:id="29"/>
      <w:bookmarkEnd w:id="30"/>
      <w:bookmarkEnd w:id="31"/>
    </w:p>
    <w:p w14:paraId="2530B2B8" w14:textId="5275EBA8" w:rsidR="00CA5DB0" w:rsidRPr="003473EB" w:rsidRDefault="00CA5DB0" w:rsidP="001024A0">
      <w:r w:rsidRPr="003473EB">
        <w:t xml:space="preserve">The amount of irrigated land in Alabama has increased (see figure 1-6) but many of the poorest areas have not benefitted from this expansion. This is in part due to a lack of investment resources for irrigation, </w:t>
      </w:r>
      <w:r w:rsidR="008964E6" w:rsidRPr="003473EB">
        <w:t>but</w:t>
      </w:r>
      <w:r w:rsidRPr="003473EB">
        <w:t xml:space="preserve"> also because the electrical grid and infrastructure in many areas cannot support the power needs of irrigation. The USDA NRCS Watershed Program provides some of the </w:t>
      </w:r>
      <w:r w:rsidR="003B3629">
        <w:t xml:space="preserve">irrigation </w:t>
      </w:r>
      <w:r w:rsidRPr="003473EB">
        <w:t xml:space="preserve">investment needs.  The present proposal addresses this lack of electrical infrastructure with use of solar arrays in these underserved electrical areas.  The section below describes the GHG reductions due to solar use and the overall reduction of GHG due to the increased efficiency of the irrigated system in the rainfall environment of Alabama. </w:t>
      </w:r>
      <w:r w:rsidRPr="003473EB">
        <w:rPr>
          <w:rFonts w:eastAsiaTheme="majorEastAsia"/>
        </w:rPr>
        <w:t xml:space="preserve">We note that while the program discusses irrigation expansion as an economic benefit, </w:t>
      </w:r>
      <w:r w:rsidRPr="003473EB">
        <w:rPr>
          <w:rFonts w:eastAsiaTheme="majorEastAsia"/>
          <w:b/>
          <w:bCs/>
        </w:rPr>
        <w:t>it will be a GHG reduction</w:t>
      </w:r>
      <w:r w:rsidRPr="003473EB">
        <w:rPr>
          <w:rFonts w:eastAsiaTheme="majorEastAsia"/>
        </w:rPr>
        <w:t xml:space="preserve">. This is because </w:t>
      </w:r>
      <w:r w:rsidR="00A96FAA">
        <w:rPr>
          <w:rFonts w:eastAsiaTheme="majorEastAsia"/>
        </w:rPr>
        <w:t xml:space="preserve">for those installations funded </w:t>
      </w:r>
      <w:r w:rsidRPr="003473EB">
        <w:rPr>
          <w:rFonts w:eastAsiaTheme="majorEastAsia"/>
        </w:rPr>
        <w:t xml:space="preserve">under the USDA program (with funds already in place) </w:t>
      </w:r>
      <w:r w:rsidR="0024704B">
        <w:rPr>
          <w:rFonts w:eastAsiaTheme="majorEastAsia"/>
        </w:rPr>
        <w:t xml:space="preserve">they </w:t>
      </w:r>
      <w:r w:rsidRPr="003473EB">
        <w:rPr>
          <w:rFonts w:eastAsiaTheme="majorEastAsia"/>
        </w:rPr>
        <w:t>will be built</w:t>
      </w:r>
      <w:r w:rsidR="00A96FAA">
        <w:rPr>
          <w:rFonts w:eastAsiaTheme="majorEastAsia"/>
        </w:rPr>
        <w:t xml:space="preserve">.  However, </w:t>
      </w:r>
      <w:r w:rsidRPr="003473EB">
        <w:rPr>
          <w:rFonts w:eastAsiaTheme="majorEastAsia"/>
        </w:rPr>
        <w:t xml:space="preserve">they will not go into the poorest areas where the electrical grid is lacking or use solar. </w:t>
      </w:r>
      <w:r w:rsidRPr="003473EB">
        <w:rPr>
          <w:rFonts w:eastAsiaTheme="majorEastAsia"/>
          <w:b/>
          <w:bCs/>
        </w:rPr>
        <w:t>Thus, this project will reduce future GHG emissions.</w:t>
      </w:r>
      <w:r w:rsidRPr="003473EB">
        <w:rPr>
          <w:rFonts w:eastAsiaTheme="majorEastAsia"/>
        </w:rPr>
        <w:t xml:space="preserve"> </w:t>
      </w:r>
      <w:r w:rsidR="00A96FAA" w:rsidRPr="00014932">
        <w:rPr>
          <w:rFonts w:eastAsiaTheme="majorEastAsia"/>
        </w:rPr>
        <w:t>Some solar installations may be made on existing irrigation systems. These will also be a reduction.</w:t>
      </w:r>
      <w:r w:rsidR="00A96FAA">
        <w:rPr>
          <w:rFonts w:eastAsiaTheme="majorEastAsia"/>
        </w:rPr>
        <w:t xml:space="preserve"> </w:t>
      </w:r>
    </w:p>
    <w:p w14:paraId="20639C5D" w14:textId="105F2247" w:rsidR="003B3629" w:rsidRDefault="00CA5DB0" w:rsidP="003B3629">
      <w:pPr>
        <w:spacing w:after="60"/>
      </w:pPr>
      <w:r w:rsidRPr="003473EB">
        <w:t xml:space="preserve">The present project only has </w:t>
      </w:r>
      <w:r w:rsidRPr="0024704B">
        <w:rPr>
          <w:b/>
          <w:bCs/>
        </w:rPr>
        <w:t>one GHG reduction measure</w:t>
      </w:r>
      <w:r w:rsidRPr="003473EB">
        <w:t xml:space="preserve"> (solar powered irrigation) but this leads to three GHG reduction components</w:t>
      </w:r>
      <w:r w:rsidR="003B3629">
        <w:t>:</w:t>
      </w:r>
    </w:p>
    <w:p w14:paraId="66D27508" w14:textId="77777777" w:rsidR="003B3629" w:rsidRDefault="003B3629" w:rsidP="003B3629">
      <w:pPr>
        <w:spacing w:after="60"/>
        <w:ind w:left="540" w:hanging="270"/>
      </w:pPr>
      <w:r>
        <w:t>(1) S</w:t>
      </w:r>
      <w:r w:rsidR="00472AB9">
        <w:t xml:space="preserve">avings in energy to </w:t>
      </w:r>
      <w:r>
        <w:t>drive irrigation pumps and equipment</w:t>
      </w:r>
    </w:p>
    <w:p w14:paraId="42DF7814" w14:textId="11CA6459" w:rsidR="00CA5DB0" w:rsidRPr="003473EB" w:rsidRDefault="003B3629" w:rsidP="003B3629">
      <w:pPr>
        <w:spacing w:after="60"/>
        <w:ind w:left="540" w:hanging="270"/>
      </w:pPr>
      <w:r>
        <w:t xml:space="preserve">(2) </w:t>
      </w:r>
      <w:r w:rsidR="00CA5DB0" w:rsidRPr="003473EB">
        <w:t xml:space="preserve">Savings in </w:t>
      </w:r>
      <w:r>
        <w:t>t</w:t>
      </w:r>
      <w:r w:rsidR="00CA5DB0" w:rsidRPr="003473EB">
        <w:t xml:space="preserve">ransportation </w:t>
      </w:r>
      <w:r>
        <w:t xml:space="preserve">energy </w:t>
      </w:r>
      <w:r w:rsidR="00CA5DB0" w:rsidRPr="003473EB">
        <w:t xml:space="preserve">for </w:t>
      </w:r>
      <w:r>
        <w:t>i</w:t>
      </w:r>
      <w:r w:rsidR="00CA5DB0" w:rsidRPr="003473EB">
        <w:t xml:space="preserve">mporting </w:t>
      </w:r>
      <w:r>
        <w:t>g</w:t>
      </w:r>
      <w:r w:rsidR="00CA5DB0" w:rsidRPr="003473EB">
        <w:t xml:space="preserve">rain for </w:t>
      </w:r>
      <w:r>
        <w:t>based on i</w:t>
      </w:r>
      <w:r w:rsidR="00CA5DB0" w:rsidRPr="003473EB">
        <w:t xml:space="preserve">rrigated </w:t>
      </w:r>
      <w:r>
        <w:t>y</w:t>
      </w:r>
      <w:r w:rsidR="00CA5DB0" w:rsidRPr="003473EB">
        <w:t>ields</w:t>
      </w:r>
    </w:p>
    <w:p w14:paraId="4D814BC7" w14:textId="42DF8AD5" w:rsidR="003B3629" w:rsidRPr="003473EB" w:rsidRDefault="003B3629" w:rsidP="003B3629">
      <w:pPr>
        <w:spacing w:after="60"/>
        <w:ind w:left="540" w:hanging="270"/>
      </w:pPr>
      <w:r>
        <w:t>(3) S</w:t>
      </w:r>
      <w:r w:rsidR="00CA5DB0" w:rsidRPr="003473EB">
        <w:t>avings in N</w:t>
      </w:r>
      <w:r w:rsidR="00CA5DB0" w:rsidRPr="003473EB">
        <w:rPr>
          <w:vertAlign w:val="subscript"/>
        </w:rPr>
        <w:t>2</w:t>
      </w:r>
      <w:r w:rsidR="00CA5DB0" w:rsidRPr="003473EB">
        <w:t xml:space="preserve">O missions </w:t>
      </w:r>
      <w:r>
        <w:t>d</w:t>
      </w:r>
      <w:r w:rsidR="00CA5DB0" w:rsidRPr="003473EB">
        <w:t>ue to Irrigation</w:t>
      </w:r>
      <w:r>
        <w:t>.</w:t>
      </w:r>
    </w:p>
    <w:p w14:paraId="6D9A40FF" w14:textId="0F3B64B5" w:rsidR="00CA5DB0" w:rsidRPr="003473EB" w:rsidRDefault="00EC5545" w:rsidP="00C854FE">
      <w:pPr>
        <w:spacing w:afterLines="60" w:after="144"/>
      </w:pPr>
      <w:r>
        <w:t xml:space="preserve">It will address the Electrical, Agricultural and Transportation CPRG Sectors. </w:t>
      </w:r>
      <w:r w:rsidR="00CA5DB0" w:rsidRPr="003473EB">
        <w:t xml:space="preserve">As discussed </w:t>
      </w:r>
      <w:r w:rsidR="003B3629">
        <w:t xml:space="preserve">in detail </w:t>
      </w:r>
      <w:r w:rsidR="00CA5DB0" w:rsidRPr="003473EB">
        <w:t xml:space="preserve">below GHG solar powered pivot savings along with transportation and reduced nitrous oxides will produce an overall GHG cumulative reduction of </w:t>
      </w:r>
      <w:r w:rsidR="0046323E" w:rsidRPr="00014932">
        <w:rPr>
          <w:b/>
          <w:bCs/>
        </w:rPr>
        <w:t xml:space="preserve">5,187 </w:t>
      </w:r>
      <w:r w:rsidR="00CA5DB0" w:rsidRPr="00014932">
        <w:rPr>
          <w:b/>
          <w:bCs/>
        </w:rPr>
        <w:t>metric tons</w:t>
      </w:r>
      <w:r w:rsidR="00CA5DB0" w:rsidRPr="00014932">
        <w:t xml:space="preserve"> by 20</w:t>
      </w:r>
      <w:r w:rsidR="00CA5DB0" w:rsidRPr="003473EB">
        <w:t xml:space="preserve">30 and cumulative reduction of </w:t>
      </w:r>
      <w:r w:rsidR="00CA5DB0" w:rsidRPr="00014932">
        <w:rPr>
          <w:b/>
          <w:bCs/>
        </w:rPr>
        <w:t>7</w:t>
      </w:r>
      <w:r w:rsidR="0046323E" w:rsidRPr="00014932">
        <w:rPr>
          <w:b/>
          <w:bCs/>
        </w:rPr>
        <w:t>8,108</w:t>
      </w:r>
      <w:r w:rsidR="00CA5DB0" w:rsidRPr="00014932">
        <w:rPr>
          <w:b/>
          <w:bCs/>
        </w:rPr>
        <w:t xml:space="preserve"> metric tons</w:t>
      </w:r>
      <w:r w:rsidR="00CA5DB0" w:rsidRPr="00014932">
        <w:t xml:space="preserve"> b</w:t>
      </w:r>
      <w:r w:rsidR="00CA5DB0" w:rsidRPr="003473EB">
        <w:t>y 2050.</w:t>
      </w:r>
      <w:bookmarkStart w:id="32" w:name="_Toc161738058"/>
      <w:bookmarkStart w:id="33" w:name="_Toc161738342"/>
      <w:bookmarkStart w:id="34" w:name="_Toc161738482"/>
      <w:bookmarkStart w:id="35" w:name="_Toc161739505"/>
      <w:bookmarkStart w:id="36" w:name="_Toc161739900"/>
      <w:bookmarkStart w:id="37" w:name="_Toc161740545"/>
      <w:bookmarkStart w:id="38" w:name="_Toc161741364"/>
      <w:bookmarkStart w:id="39" w:name="_Toc161741706"/>
      <w:bookmarkStart w:id="40" w:name="_Toc161741837"/>
      <w:bookmarkStart w:id="41" w:name="_Toc161741981"/>
      <w:bookmarkStart w:id="42" w:name="_Toc161907552"/>
      <w:bookmarkStart w:id="43" w:name="_Toc161907678"/>
      <w:bookmarkStart w:id="44" w:name="_Toc161908176"/>
      <w:bookmarkStart w:id="45" w:name="_Toc161908203"/>
      <w:bookmarkStart w:id="46" w:name="_Toc161908260"/>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1BC65D4" w14:textId="51F18263" w:rsidR="00CA5DB0" w:rsidRPr="003473EB" w:rsidRDefault="00CA5DB0" w:rsidP="00C854FE">
      <w:pPr>
        <w:spacing w:afterLines="60" w:after="144"/>
      </w:pPr>
      <w:r w:rsidRPr="00465CF1">
        <w:rPr>
          <w:b/>
          <w:bCs/>
        </w:rPr>
        <w:t>Solar Powered Center Pivots:</w:t>
      </w:r>
      <w:r w:rsidRPr="003473EB">
        <w:t xml:space="preserve"> Center pivots are the most efficient method for irrigating row crops such as corn, </w:t>
      </w:r>
      <w:r w:rsidR="00E0207B" w:rsidRPr="003473EB">
        <w:t>cotton,</w:t>
      </w:r>
      <w:r w:rsidRPr="003473EB">
        <w:t xml:space="preserve"> and soybeans. There are two components to the power requirements for the pivots. The first is the pumping of water - whether surface water from a stream or river or from ground water to the pivot. For surface water the power needed depends on the desired pressure (in psi), horizontal distance the surface water has to be pumped due head loss (friction) in the pipe and also any vertical lifting from surface water source.  Each additional 10 psi pressure requires approximately 10 horsepower. For ground water the power needs largely depend on how deep the well is (or how high the water has to be lifted). Here the pump motors can be 25 -50 hp or more. </w:t>
      </w:r>
    </w:p>
    <w:p w14:paraId="439B6522" w14:textId="77777777" w:rsidR="00CA5DB0" w:rsidRPr="003473EB" w:rsidRDefault="00CA5DB0" w:rsidP="00465CF1">
      <w:pPr>
        <w:spacing w:after="60"/>
      </w:pPr>
      <w:r w:rsidRPr="003473EB">
        <w:t xml:space="preserve">The second power need is for the motors which move the pivot in a circular motion. The power needed for these small motors is usually smaller than the pumping cost. Typically, the motors are within the range ½ to 1 ½ hp. </w:t>
      </w:r>
    </w:p>
    <w:p w14:paraId="3B83B181" w14:textId="407753D7" w:rsidR="00CA5DB0" w:rsidRPr="003473EB" w:rsidRDefault="00CA5DB0" w:rsidP="00465CF1">
      <w:pPr>
        <w:spacing w:after="60"/>
      </w:pPr>
      <w:r w:rsidRPr="003473EB">
        <w:t xml:space="preserve">In general, the pumping requirements control the power needs. Because of the size of the pump motors three-phase power is usually </w:t>
      </w:r>
      <w:r w:rsidR="00014932">
        <w:t>preferred</w:t>
      </w:r>
      <w:r w:rsidRPr="003473EB">
        <w:t>. This can be rare in many spar</w:t>
      </w:r>
      <w:r w:rsidR="00014932">
        <w:t>s</w:t>
      </w:r>
      <w:r w:rsidRPr="003473EB">
        <w:t xml:space="preserve">ely settled rural areas away from large commercial and industrial users. See Figure 2-1 Three-phase systems can transmit three times the power of </w:t>
      </w:r>
      <w:r w:rsidR="00014932" w:rsidRPr="003473EB">
        <w:t>single-phase</w:t>
      </w:r>
      <w:r w:rsidRPr="003473EB">
        <w:t xml:space="preserve"> systems. There are phase converters which can convert single phase to three</w:t>
      </w:r>
      <w:r w:rsidR="0024704B">
        <w:t>-</w:t>
      </w:r>
      <w:r w:rsidRPr="003473EB">
        <w:t xml:space="preserve">phase power to drive </w:t>
      </w:r>
      <w:r w:rsidRPr="003473EB">
        <w:lastRenderedPageBreak/>
        <w:t xml:space="preserve">the pivot </w:t>
      </w:r>
      <w:r w:rsidR="00014932">
        <w:t xml:space="preserve">and </w:t>
      </w:r>
      <w:r w:rsidRPr="003473EB">
        <w:t xml:space="preserve">pumps. </w:t>
      </w:r>
      <w:r w:rsidRPr="003473EB">
        <w:rPr>
          <w:color w:val="212121"/>
        </w:rPr>
        <w:t xml:space="preserve">However, because of peaks and valleys in voltage as the pumps </w:t>
      </w:r>
      <w:r w:rsidRPr="003473EB">
        <w:rPr>
          <w:noProof/>
          <w:color w:val="212121"/>
        </w:rPr>
        <mc:AlternateContent>
          <mc:Choice Requires="wps">
            <w:drawing>
              <wp:anchor distT="0" distB="0" distL="114300" distR="114300" simplePos="0" relativeHeight="251736576" behindDoc="1" locked="0" layoutInCell="1" allowOverlap="1" wp14:anchorId="3ECE3743" wp14:editId="082AD930">
                <wp:simplePos x="0" y="0"/>
                <wp:positionH relativeFrom="margin">
                  <wp:posOffset>4076700</wp:posOffset>
                </wp:positionH>
                <wp:positionV relativeFrom="paragraph">
                  <wp:posOffset>0</wp:posOffset>
                </wp:positionV>
                <wp:extent cx="1736090" cy="2492375"/>
                <wp:effectExtent l="0" t="0" r="16510" b="22225"/>
                <wp:wrapTight wrapText="bothSides">
                  <wp:wrapPolygon edited="0">
                    <wp:start x="0" y="0"/>
                    <wp:lineTo x="0" y="21628"/>
                    <wp:lineTo x="21568" y="21628"/>
                    <wp:lineTo x="21568"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1736090" cy="2492375"/>
                        </a:xfrm>
                        <a:prstGeom prst="rect">
                          <a:avLst/>
                        </a:prstGeom>
                        <a:solidFill>
                          <a:schemeClr val="lt1"/>
                        </a:solidFill>
                        <a:ln w="6350">
                          <a:solidFill>
                            <a:prstClr val="black"/>
                          </a:solidFill>
                        </a:ln>
                      </wps:spPr>
                      <wps:txbx>
                        <w:txbxContent>
                          <w:p w14:paraId="6D44992D" w14:textId="77777777" w:rsidR="00CA5DB0" w:rsidRDefault="00CA5DB0" w:rsidP="00CA5DB0">
                            <w:r w:rsidRPr="00DC7AB4">
                              <w:rPr>
                                <w:noProof/>
                              </w:rPr>
                              <w:drawing>
                                <wp:inline distT="0" distB="0" distL="0" distR="0" wp14:anchorId="5F4B6EA6" wp14:editId="6BE0D0CF">
                                  <wp:extent cx="1554480" cy="2039356"/>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21925" r="20999"/>
                                          <a:stretch/>
                                        </pic:blipFill>
                                        <pic:spPr bwMode="auto">
                                          <a:xfrm>
                                            <a:off x="0" y="0"/>
                                            <a:ext cx="1554480" cy="2039356"/>
                                          </a:xfrm>
                                          <a:prstGeom prst="rect">
                                            <a:avLst/>
                                          </a:prstGeom>
                                          <a:noFill/>
                                          <a:ln>
                                            <a:noFill/>
                                          </a:ln>
                                          <a:extLst>
                                            <a:ext uri="{53640926-AAD7-44D8-BBD7-CCE9431645EC}">
                                              <a14:shadowObscured xmlns:a14="http://schemas.microsoft.com/office/drawing/2010/main"/>
                                            </a:ext>
                                          </a:extLst>
                                        </pic:spPr>
                                      </pic:pic>
                                    </a:graphicData>
                                  </a:graphic>
                                </wp:inline>
                              </w:drawing>
                            </w:r>
                          </w:p>
                          <w:p w14:paraId="7BB55425" w14:textId="77777777" w:rsidR="00CA5DB0" w:rsidRPr="00DC7AB4" w:rsidRDefault="00CA5DB0" w:rsidP="00CA5DB0">
                            <w:pPr>
                              <w:rPr>
                                <w:i/>
                                <w:iCs/>
                                <w:sz w:val="20"/>
                              </w:rPr>
                            </w:pPr>
                            <w:r w:rsidRPr="00DC7AB4">
                              <w:rPr>
                                <w:i/>
                                <w:iCs/>
                                <w:sz w:val="20"/>
                              </w:rPr>
                              <w:t xml:space="preserve">Figure 2-1 Image of major transmission lines.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E3743" id="Text Box 22" o:spid="_x0000_s1039" type="#_x0000_t202" style="position:absolute;margin-left:321pt;margin-top:0;width:136.7pt;height:196.25pt;z-index:-251579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" fillcolor="white [3201]" strokeweight=".5pt">
                <v:textbox>
                  <w:txbxContent>
                    <w:p w14:paraId="6D44992D" w14:textId="77777777" w:rsidR="00CA5DB0" w:rsidRDefault="00CA5DB0" w:rsidP="00CA5DB0">
                      <w:r w:rsidRPr="00DC7AB4">
                        <w:rPr>
                          <w:noProof/>
                        </w:rPr>
                        <w:drawing>
                          <wp:inline distT="0" distB="0" distL="0" distR="0" wp14:anchorId="5F4B6EA6" wp14:editId="6BE0D0CF">
                            <wp:extent cx="1554480" cy="2039356"/>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21925" r="20999"/>
                                    <a:stretch/>
                                  </pic:blipFill>
                                  <pic:spPr bwMode="auto">
                                    <a:xfrm>
                                      <a:off x="0" y="0"/>
                                      <a:ext cx="1554480" cy="2039356"/>
                                    </a:xfrm>
                                    <a:prstGeom prst="rect">
                                      <a:avLst/>
                                    </a:prstGeom>
                                    <a:noFill/>
                                    <a:ln>
                                      <a:noFill/>
                                    </a:ln>
                                    <a:extLst>
                                      <a:ext uri="{53640926-AAD7-44D8-BBD7-CCE9431645EC}">
                                        <a14:shadowObscured xmlns:a14="http://schemas.microsoft.com/office/drawing/2010/main"/>
                                      </a:ext>
                                    </a:extLst>
                                  </pic:spPr>
                                </pic:pic>
                              </a:graphicData>
                            </a:graphic>
                          </wp:inline>
                        </w:drawing>
                      </w:r>
                    </w:p>
                    <w:p w14:paraId="7BB55425" w14:textId="77777777" w:rsidR="00CA5DB0" w:rsidRPr="00DC7AB4" w:rsidRDefault="00CA5DB0" w:rsidP="00CA5DB0">
                      <w:pPr>
                        <w:rPr>
                          <w:i/>
                          <w:iCs/>
                          <w:sz w:val="20"/>
                        </w:rPr>
                      </w:pPr>
                      <w:r w:rsidRPr="00DC7AB4">
                        <w:rPr>
                          <w:i/>
                          <w:iCs/>
                          <w:sz w:val="20"/>
                        </w:rPr>
                        <w:t xml:space="preserve">Figure 2-1 Image of major transmission lines. </w:t>
                      </w:r>
                    </w:p>
                  </w:txbxContent>
                </v:textbox>
                <w10:wrap type="tight" anchorx="margin"/>
              </v:shape>
            </w:pict>
          </mc:Fallback>
        </mc:AlternateContent>
      </w:r>
      <w:r w:rsidRPr="003473EB">
        <w:rPr>
          <w:color w:val="212121"/>
        </w:rPr>
        <w:t xml:space="preserve">operate a single-phase power supply simply does not offer the same consistency as a three-phase power supply. </w:t>
      </w:r>
      <w:r w:rsidRPr="003473EB">
        <w:t xml:space="preserve">In many areas this can add loads to the single-phase electrical grid which </w:t>
      </w:r>
      <w:r w:rsidR="00014932">
        <w:t>is not ideal</w:t>
      </w:r>
      <w:r w:rsidRPr="003473EB">
        <w:t xml:space="preserve">. </w:t>
      </w:r>
    </w:p>
    <w:p w14:paraId="463D67C5" w14:textId="77777777" w:rsidR="00CA5DB0" w:rsidRPr="003473EB" w:rsidRDefault="00CA5DB0" w:rsidP="00465CF1">
      <w:pPr>
        <w:spacing w:after="60"/>
      </w:pPr>
      <w:r w:rsidRPr="003473EB">
        <w:t xml:space="preserve">Power needs of pivots have become a major obstacle to irrigation expansion especially in the poorer parts of central Alabama. In the past diesel power generators provided the only option for power. However, diesel power was more expensive than electric power and there were additional costs of getting the diesel to the pivot site. Solar power to run the pivots and pumps provides a solution around the lack of three-phase power. To provide power both a solar array and battery storage are needed sized to the area of the pivot and well pumping. The following describes the power needs, size of the solar array and GHG reduction calculations. </w:t>
      </w:r>
    </w:p>
    <w:p w14:paraId="08A53021" w14:textId="165F8C19" w:rsidR="00465CF1" w:rsidRPr="003473EB" w:rsidRDefault="00CA5DB0" w:rsidP="0048044E">
      <w:pPr>
        <w:spacing w:after="60"/>
      </w:pPr>
      <w:r w:rsidRPr="003473EB">
        <w:t xml:space="preserve">The basic system will be a 100-150 acre center pivot system driven by a solar array. Valley Irrigation in conjunction with its solar partner has installed a solar powered center pivot in </w:t>
      </w:r>
      <w:r w:rsidR="00014932">
        <w:t>Illinois</w:t>
      </w:r>
      <w:r w:rsidRPr="003473EB">
        <w:t xml:space="preserve"> and has installed </w:t>
      </w:r>
      <w:r w:rsidR="00D760A4">
        <w:t>hundreds of</w:t>
      </w:r>
      <w:r w:rsidR="00465CF1">
        <w:t xml:space="preserve"> </w:t>
      </w:r>
      <w:r w:rsidRPr="003473EB">
        <w:t xml:space="preserve">systems around the world. See figure 2-2. The spokesman for Valley, Matt Gunderson with Farmers National Company, indicated that pivot and water pump could be supported by a </w:t>
      </w:r>
      <w:r w:rsidR="00D760A4" w:rsidRPr="003473EB">
        <w:t>1-acre</w:t>
      </w:r>
      <w:r w:rsidRPr="003473EB">
        <w:t xml:space="preserve"> solar array. See figure 2-2 for an image of the system.</w:t>
      </w:r>
    </w:p>
    <w:p w14:paraId="1A908A4A" w14:textId="24558BCC" w:rsidR="00CA5DB0" w:rsidRPr="003473EB" w:rsidRDefault="008D454D" w:rsidP="001024A0">
      <w:r w:rsidRPr="003473EB">
        <w:rPr>
          <w:noProof/>
        </w:rPr>
        <mc:AlternateContent>
          <mc:Choice Requires="wps">
            <w:drawing>
              <wp:anchor distT="45720" distB="45720" distL="114300" distR="114300" simplePos="0" relativeHeight="251744768" behindDoc="0" locked="0" layoutInCell="1" allowOverlap="1" wp14:anchorId="6EDAC3BA" wp14:editId="79E21BAF">
                <wp:simplePos x="0" y="0"/>
                <wp:positionH relativeFrom="column">
                  <wp:posOffset>19050</wp:posOffset>
                </wp:positionH>
                <wp:positionV relativeFrom="paragraph">
                  <wp:posOffset>245110</wp:posOffset>
                </wp:positionV>
                <wp:extent cx="5943600" cy="271462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714625"/>
                        </a:xfrm>
                        <a:prstGeom prst="rect">
                          <a:avLst/>
                        </a:prstGeom>
                        <a:solidFill>
                          <a:srgbClr val="FFFFFF"/>
                        </a:solidFill>
                        <a:ln w="9525">
                          <a:solidFill>
                            <a:srgbClr val="000000"/>
                          </a:solidFill>
                          <a:miter lim="800000"/>
                          <a:headEnd/>
                          <a:tailEnd/>
                        </a:ln>
                      </wps:spPr>
                      <wps:txbx>
                        <w:txbxContent>
                          <w:p w14:paraId="2AB794BB" w14:textId="77777777" w:rsidR="00CA5DB0" w:rsidRPr="000913F1" w:rsidRDefault="00CA5DB0" w:rsidP="00CA5DB0">
                            <w:r>
                              <w:rPr>
                                <w:noProof/>
                              </w:rPr>
                              <w:drawing>
                                <wp:inline distT="0" distB="0" distL="0" distR="0" wp14:anchorId="4F3EA091" wp14:editId="30A2C6E0">
                                  <wp:extent cx="5615305" cy="188875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5305" cy="1888750"/>
                                          </a:xfrm>
                                          <a:prstGeom prst="rect">
                                            <a:avLst/>
                                          </a:prstGeom>
                                          <a:noFill/>
                                        </pic:spPr>
                                      </pic:pic>
                                    </a:graphicData>
                                  </a:graphic>
                                </wp:inline>
                              </w:drawing>
                            </w:r>
                          </w:p>
                          <w:p w14:paraId="5FD18367" w14:textId="77777777" w:rsidR="00CA5DB0" w:rsidRDefault="00CA5DB0" w:rsidP="00CA5DB0">
                            <w:r w:rsidRPr="00240563">
                              <w:rPr>
                                <w:i/>
                                <w:iCs/>
                              </w:rPr>
                              <w:t>Figure 2-</w:t>
                            </w:r>
                            <w:r>
                              <w:rPr>
                                <w:i/>
                                <w:iCs/>
                              </w:rPr>
                              <w:t>2</w:t>
                            </w:r>
                            <w:r w:rsidRPr="00240563">
                              <w:rPr>
                                <w:i/>
                                <w:iCs/>
                              </w:rPr>
                              <w:t xml:space="preserve"> (left) Schematic of center pivot/solar array power system that shows the linkage of the components from the solar array (light blue) to the power converter (dark blue) to on farm uses (green) and to the electric power grid (orange).  (right) The actual solar array with center pivot in</w:t>
                            </w:r>
                            <w:r>
                              <w:t xml:space="preserve"> the background.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DAC3BA" id="Text Box 2" o:spid="_x0000_s1040" type="#_x0000_t202" style="position:absolute;margin-left:1.5pt;margin-top:19.3pt;width:468pt;height:213.75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">
                <v:textbox>
                  <w:txbxContent>
                    <w:p w14:paraId="2AB794BB" w14:textId="77777777" w:rsidR="00CA5DB0" w:rsidRPr="000913F1" w:rsidRDefault="00CA5DB0" w:rsidP="00CA5DB0">
                      <w:r>
                        <w:rPr>
                          <w:noProof/>
                        </w:rPr>
                        <w:drawing>
                          <wp:inline distT="0" distB="0" distL="0" distR="0" wp14:anchorId="4F3EA091" wp14:editId="30A2C6E0">
                            <wp:extent cx="5615305" cy="188875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5305" cy="1888750"/>
                                    </a:xfrm>
                                    <a:prstGeom prst="rect">
                                      <a:avLst/>
                                    </a:prstGeom>
                                    <a:noFill/>
                                  </pic:spPr>
                                </pic:pic>
                              </a:graphicData>
                            </a:graphic>
                          </wp:inline>
                        </w:drawing>
                      </w:r>
                    </w:p>
                    <w:p w14:paraId="5FD18367" w14:textId="77777777" w:rsidR="00CA5DB0" w:rsidRDefault="00CA5DB0" w:rsidP="00CA5DB0">
                      <w:r w:rsidRPr="00240563">
                        <w:rPr>
                          <w:i/>
                          <w:iCs/>
                        </w:rPr>
                        <w:t>Figure 2-</w:t>
                      </w:r>
                      <w:r>
                        <w:rPr>
                          <w:i/>
                          <w:iCs/>
                        </w:rPr>
                        <w:t>2</w:t>
                      </w:r>
                      <w:r w:rsidRPr="00240563">
                        <w:rPr>
                          <w:i/>
                          <w:iCs/>
                        </w:rPr>
                        <w:t xml:space="preserve"> (left) Schematic of center pivot/solar array power system that shows the linkage of the components from the solar array (light blue) to the power converter (dark blue) to on farm uses (green) and to the electric power grid (orange).  (right) The actual solar array with center pivot in</w:t>
                      </w:r>
                      <w:r>
                        <w:t xml:space="preserve"> the background. </w:t>
                      </w:r>
                    </w:p>
                  </w:txbxContent>
                </v:textbox>
                <w10:wrap type="square"/>
              </v:shape>
            </w:pict>
          </mc:Fallback>
        </mc:AlternateContent>
      </w:r>
      <w:r w:rsidR="00CA5DB0" w:rsidRPr="003473EB">
        <w:rPr>
          <w:b/>
          <w:bCs/>
        </w:rPr>
        <w:t xml:space="preserve">Small Scale Drip/sprinkler Irrigation Systems for vegetable production: </w:t>
      </w:r>
      <w:r w:rsidR="00CA5DB0" w:rsidRPr="003473EB">
        <w:t>While the major part of this project will install solar powered center pivots a significant effort will be given to building small solar powered drip and sprinkler irrigation systems to serve vegetable farmers in central Alabama. Figure 2-3 provides a schematic of such systems. The major need electrical in the rural areas where vegetables are grown is not three phase power. Here single</w:t>
      </w:r>
      <w:r w:rsidR="00A96FAA">
        <w:t>-</w:t>
      </w:r>
      <w:r w:rsidR="00CA5DB0" w:rsidRPr="003473EB">
        <w:t xml:space="preserve">phase power will work for these smaller pumps and irrigation systems. But running power out to where the vegetable fields </w:t>
      </w:r>
      <w:r w:rsidRPr="003473EB">
        <w:t>can be</w:t>
      </w:r>
      <w:r w:rsidR="00CA5DB0" w:rsidRPr="003473EB">
        <w:t xml:space="preserve"> expensive. This is especially true if their fields are not contingent with their home. Thus, many vegetable farmers do without irrigation harming both yields and quality. Distributive small solar irrigation system would fill an important need. </w:t>
      </w:r>
    </w:p>
    <w:p w14:paraId="3615F02E" w14:textId="77777777" w:rsidR="00CA5DB0" w:rsidRPr="003473EB" w:rsidRDefault="00CA5DB0" w:rsidP="001024A0">
      <w:r w:rsidRPr="003473EB">
        <w:rPr>
          <w:noProof/>
        </w:rPr>
        <w:lastRenderedPageBreak/>
        <mc:AlternateContent>
          <mc:Choice Requires="wps">
            <w:drawing>
              <wp:anchor distT="0" distB="0" distL="114300" distR="114300" simplePos="0" relativeHeight="251642368" behindDoc="0" locked="0" layoutInCell="1" allowOverlap="1" wp14:anchorId="1070775B" wp14:editId="459F979A">
                <wp:simplePos x="0" y="0"/>
                <wp:positionH relativeFrom="margin">
                  <wp:align>left</wp:align>
                </wp:positionH>
                <wp:positionV relativeFrom="paragraph">
                  <wp:posOffset>1275022</wp:posOffset>
                </wp:positionV>
                <wp:extent cx="6206837" cy="471055"/>
                <wp:effectExtent l="0" t="0" r="3810" b="5715"/>
                <wp:wrapNone/>
                <wp:docPr id="23" name="Text Box 23"/>
                <wp:cNvGraphicFramePr/>
                <a:graphic xmlns:a="http://schemas.openxmlformats.org/drawingml/2006/main">
                  <a:graphicData uri="http://schemas.microsoft.com/office/word/2010/wordprocessingShape">
                    <wps:wsp>
                      <wps:cNvSpPr txBox="1"/>
                      <wps:spPr>
                        <a:xfrm>
                          <a:off x="0" y="0"/>
                          <a:ext cx="6206837" cy="471055"/>
                        </a:xfrm>
                        <a:prstGeom prst="rect">
                          <a:avLst/>
                        </a:prstGeom>
                        <a:solidFill>
                          <a:schemeClr val="lt1"/>
                        </a:solidFill>
                        <a:ln w="6350">
                          <a:noFill/>
                        </a:ln>
                      </wps:spPr>
                      <wps:txbx>
                        <w:txbxContent>
                          <w:p w14:paraId="6FB43DF0" w14:textId="77777777" w:rsidR="00CA5DB0" w:rsidRDefault="00CA5DB0" w:rsidP="00CA5DB0">
                            <w:r>
                              <w:t>Figure 2-3 Schematic of small scale solar powered vegetable irrigation systems. Image courtesy of RPS Solar Pumps (</w:t>
                            </w:r>
                            <w:hyperlink r:id="rId32" w:history="1">
                              <w:r w:rsidRPr="002E409C">
                                <w:rPr>
                                  <w:rStyle w:val="Hyperlink"/>
                                </w:rPr>
                                <w:t>see https://www.rpssolarpumps.com/)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70775B" id="Text Box 23" o:spid="_x0000_s1041" type="#_x0000_t202" style="position:absolute;margin-left:0;margin-top:100.4pt;width:488.75pt;height:37.1pt;z-index:251642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" fillcolor="white [3201]" stroked="f" strokeweight=".5pt">
                <v:textbox>
                  <w:txbxContent>
                    <w:p w14:paraId="6FB43DF0" w14:textId="77777777" w:rsidR="00CA5DB0" w:rsidRDefault="00CA5DB0" w:rsidP="00CA5DB0">
                      <w:r>
                        <w:t>Figure 2-3 Schematic of small scale solar powered vegetable irrigation systems. Image courtesy of RPS Solar Pumps (</w:t>
                      </w:r>
                      <w:hyperlink r:id="rId33" w:history="1">
                        <w:r w:rsidRPr="002E409C">
                          <w:rPr>
                            <w:rStyle w:val="Hyperlink"/>
                          </w:rPr>
                          <w:t>see https://www.rpssolarpumps.com/)</w:t>
                        </w:r>
                      </w:hyperlink>
                    </w:p>
                  </w:txbxContent>
                </v:textbox>
                <w10:wrap anchorx="margin"/>
              </v:shape>
            </w:pict>
          </mc:Fallback>
        </mc:AlternateContent>
      </w:r>
      <w:r w:rsidRPr="003473EB">
        <w:rPr>
          <w:noProof/>
        </w:rPr>
        <w:drawing>
          <wp:inline distT="0" distB="0" distL="0" distR="0" wp14:anchorId="1687DBF8" wp14:editId="750E7795">
            <wp:extent cx="5852160" cy="1498124"/>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1498124"/>
                    </a:xfrm>
                    <a:prstGeom prst="rect">
                      <a:avLst/>
                    </a:prstGeom>
                    <a:noFill/>
                  </pic:spPr>
                </pic:pic>
              </a:graphicData>
            </a:graphic>
          </wp:inline>
        </w:drawing>
      </w:r>
    </w:p>
    <w:p w14:paraId="02ABF081" w14:textId="77777777" w:rsidR="00CA5DB0" w:rsidRPr="003473EB" w:rsidRDefault="00CA5DB0" w:rsidP="001024A0"/>
    <w:p w14:paraId="31529D55" w14:textId="77777777" w:rsidR="00465CF1" w:rsidRDefault="00465CF1" w:rsidP="001024A0">
      <w:pPr>
        <w:rPr>
          <w:b/>
          <w:bCs/>
        </w:rPr>
      </w:pPr>
    </w:p>
    <w:p w14:paraId="19362589" w14:textId="196F498E" w:rsidR="00CA5DB0" w:rsidRPr="003473EB" w:rsidRDefault="00CA5DB0" w:rsidP="001024A0">
      <w:pPr>
        <w:rPr>
          <w:b/>
          <w:bCs/>
        </w:rPr>
      </w:pPr>
      <w:r w:rsidRPr="003473EB">
        <w:rPr>
          <w:b/>
          <w:bCs/>
        </w:rPr>
        <w:t xml:space="preserve">GHG savings using the solar array only for supplying the pivot: </w:t>
      </w:r>
      <w:r w:rsidRPr="003473EB">
        <w:rPr>
          <w:color w:val="000000"/>
          <w:shd w:val="clear" w:color="auto" w:fill="FFFFFF"/>
        </w:rPr>
        <w:t>To make the calculation of solar energy required</w:t>
      </w:r>
      <w:r w:rsidRPr="003473EB">
        <w:t xml:space="preserve">, we assume a </w:t>
      </w:r>
      <w:r w:rsidR="008D454D" w:rsidRPr="003473EB">
        <w:t>140-acre</w:t>
      </w:r>
      <w:r w:rsidRPr="003473EB">
        <w:t xml:space="preserve"> center pivot applying 10 inches of water per year. Estimates of solar energy required were based on back calculating power needs from irrigation power costs.  Previous estimates by the Alabama University Irrigation Initiative (AUII) found power costs per acre of $70 -$79 for applying 10 inches water. Using 2023 costs in Alabama of 14.36 cents per kWh the total power to run a </w:t>
      </w:r>
      <w:r w:rsidR="008D454D" w:rsidRPr="003473EB">
        <w:t>140-acre</w:t>
      </w:r>
      <w:r w:rsidRPr="003473EB">
        <w:t xml:space="preserve"> single pivot was calculated to be 518.8 kWh/acre for a season. If we multiply by the number of pivots in the present proposal that would give 871,588 kWh needed for the season. </w:t>
      </w:r>
    </w:p>
    <w:p w14:paraId="45DE48A1" w14:textId="608D267D" w:rsidR="00CA5DB0" w:rsidRPr="003473EB" w:rsidRDefault="00CA5DB0" w:rsidP="00465CF1">
      <w:pPr>
        <w:spacing w:after="60"/>
      </w:pPr>
      <w:r w:rsidRPr="003473EB">
        <w:t xml:space="preserve">If on-farm diesel generators were employed rather than </w:t>
      </w:r>
      <w:r w:rsidR="008D454D" w:rsidRPr="003473EB">
        <w:t>electricity,</w:t>
      </w:r>
      <w:r w:rsidRPr="003473EB">
        <w:t xml:space="preserve"> then the number of gallons per acre needed for applying 10 inches of water per acre would be 31.25 gal/acre. Then, for a 140 acres farm that would give 4,375 gallons/farm and for twelve </w:t>
      </w:r>
      <w:r w:rsidR="00C61DAC" w:rsidRPr="003473EB">
        <w:t>140-acre</w:t>
      </w:r>
      <w:r w:rsidRPr="003473EB">
        <w:t xml:space="preserve"> systems that would be 52,500 gal/year. These estimates are based on the data from University of Georgia as detailed in the </w:t>
      </w:r>
      <w:r w:rsidR="00217EE1">
        <w:t>Technical A</w:t>
      </w:r>
      <w:r w:rsidR="00160991">
        <w:t>ppendix</w:t>
      </w:r>
      <w:r w:rsidRPr="003473EB">
        <w:t>.</w:t>
      </w:r>
    </w:p>
    <w:p w14:paraId="2361218B" w14:textId="101C9E79" w:rsidR="00CA5DB0" w:rsidRPr="003473EB" w:rsidRDefault="00CA5DB0" w:rsidP="00465CF1">
      <w:pPr>
        <w:spacing w:after="60"/>
        <w:rPr>
          <w:color w:val="000000"/>
        </w:rPr>
      </w:pPr>
      <w:r w:rsidRPr="003473EB">
        <w:t>In terms of GHG savings the emission factors for electric generation in Alabama (a mix of coal and natural gas) is .794 lbs/kWh. This gives 794 lbs/kWh x 871,588 kWh =</w:t>
      </w:r>
      <w:r w:rsidRPr="003473EB">
        <w:rPr>
          <w:color w:val="000000"/>
        </w:rPr>
        <w:t xml:space="preserve"> 692,041 lbs CO</w:t>
      </w:r>
      <w:r w:rsidRPr="003473EB">
        <w:rPr>
          <w:color w:val="000000"/>
          <w:vertAlign w:val="subscript"/>
        </w:rPr>
        <w:t>2</w:t>
      </w:r>
      <w:r w:rsidRPr="003473EB">
        <w:rPr>
          <w:color w:val="000000"/>
        </w:rPr>
        <w:t xml:space="preserve"> saved or </w:t>
      </w:r>
      <w:r w:rsidRPr="003473EB">
        <w:rPr>
          <w:b/>
          <w:bCs/>
          <w:color w:val="000000"/>
        </w:rPr>
        <w:t xml:space="preserve">       </w:t>
      </w:r>
      <w:r w:rsidRPr="003473EB">
        <w:rPr>
          <w:color w:val="000000"/>
        </w:rPr>
        <w:t>313,904 kg</w:t>
      </w:r>
      <w:r w:rsidRPr="003473EB">
        <w:rPr>
          <w:b/>
          <w:bCs/>
          <w:color w:val="000000"/>
        </w:rPr>
        <w:t>/</w:t>
      </w:r>
      <w:r w:rsidRPr="003473EB">
        <w:rPr>
          <w:color w:val="000000"/>
        </w:rPr>
        <w:t xml:space="preserve">year or </w:t>
      </w:r>
      <w:r w:rsidRPr="003473EB">
        <w:rPr>
          <w:b/>
          <w:bCs/>
          <w:color w:val="000000"/>
        </w:rPr>
        <w:t>313.9 metric tons/year</w:t>
      </w:r>
      <w:r w:rsidRPr="003473EB">
        <w:rPr>
          <w:color w:val="000000"/>
        </w:rPr>
        <w:t>.  For diesel using 10.2 kg CO</w:t>
      </w:r>
      <w:r w:rsidRPr="003473EB">
        <w:rPr>
          <w:color w:val="000000"/>
          <w:vertAlign w:val="subscript"/>
        </w:rPr>
        <w:t>2</w:t>
      </w:r>
      <w:r w:rsidRPr="003473EB">
        <w:rPr>
          <w:color w:val="000000"/>
        </w:rPr>
        <w:t>/gal this yields 534,975 kg</w:t>
      </w:r>
      <w:r w:rsidRPr="003473EB">
        <w:rPr>
          <w:b/>
          <w:bCs/>
          <w:color w:val="000000"/>
        </w:rPr>
        <w:t xml:space="preserve"> </w:t>
      </w:r>
      <w:r w:rsidRPr="003473EB">
        <w:rPr>
          <w:color w:val="000000"/>
        </w:rPr>
        <w:t>CO</w:t>
      </w:r>
      <w:r w:rsidRPr="003473EB">
        <w:rPr>
          <w:color w:val="000000"/>
          <w:vertAlign w:val="subscript"/>
        </w:rPr>
        <w:t>2</w:t>
      </w:r>
      <w:r w:rsidRPr="003473EB">
        <w:rPr>
          <w:color w:val="000000"/>
        </w:rPr>
        <w:t xml:space="preserve">/year or </w:t>
      </w:r>
      <w:r w:rsidRPr="003473EB">
        <w:rPr>
          <w:b/>
          <w:bCs/>
          <w:color w:val="000000"/>
        </w:rPr>
        <w:t xml:space="preserve">535 metric tons/year. </w:t>
      </w:r>
      <w:r w:rsidRPr="003473EB">
        <w:rPr>
          <w:color w:val="000000"/>
        </w:rPr>
        <w:t>We note that not having to pay for electricity or diesel to run the pivot would save the farmer about $80-110 per acre. So</w:t>
      </w:r>
      <w:r w:rsidR="00EF5910">
        <w:rPr>
          <w:color w:val="000000"/>
        </w:rPr>
        <w:t>,</w:t>
      </w:r>
      <w:r w:rsidRPr="003473EB">
        <w:rPr>
          <w:color w:val="000000"/>
        </w:rPr>
        <w:t xml:space="preserve"> this would increase the profit (if corn was $5.00 per bushel) by about 25% making the farmer even more competitive with the Midwest grains (see table 1-1).</w:t>
      </w:r>
    </w:p>
    <w:p w14:paraId="6050965B" w14:textId="3C96C602" w:rsidR="00CA5DB0" w:rsidRDefault="00CA5DB0" w:rsidP="00465CF1">
      <w:pPr>
        <w:spacing w:after="60"/>
      </w:pPr>
      <w:r w:rsidRPr="003473EB">
        <w:rPr>
          <w:b/>
          <w:bCs/>
        </w:rPr>
        <w:t xml:space="preserve">GHG savings for using solar array all year by putting energy onto the electric grid: </w:t>
      </w:r>
      <w:r w:rsidRPr="003473EB">
        <w:t xml:space="preserve">While the main reason for using solar is to provide power for pivots where electrical capacity is lacking, the pivots are only employed for a small amount of time per year. the real value of the solar array would be to use its output over the entire year. The excess energy (over what was needed for the pivot and other on farm usage) would be added to the electric grid. In this way the GHG savings would then be the total solar output of the on-farm solar array since the pivot, on-farm usage and energy provided to grid would all save on fossil generation. In Alabama there are currently mixed rules for putting energy back onto the grid. In the TVA service area in North </w:t>
      </w:r>
      <w:r w:rsidR="00A53EB9" w:rsidRPr="003473EB">
        <w:t>Alabama,</w:t>
      </w:r>
      <w:r w:rsidRPr="003473EB">
        <w:t xml:space="preserve"> they have been more receptive to having </w:t>
      </w:r>
      <w:r w:rsidR="00C61DAC" w:rsidRPr="003473EB">
        <w:t>homeowners</w:t>
      </w:r>
      <w:r w:rsidRPr="003473EB">
        <w:t xml:space="preserve"> put excess power back on to the grid. In south Alabama, the providers - Alabama Power Company and local Electric Cooperatives have been less willing to accept power back to the grid. As discussed below we believe that with the professionally installed bigger systems here they will be more willing to accept the power. Also, </w:t>
      </w:r>
      <w:r w:rsidR="00EF5910">
        <w:t xml:space="preserve">these irrigated farming operations </w:t>
      </w:r>
      <w:r w:rsidRPr="003473EB">
        <w:t>under this program</w:t>
      </w:r>
      <w:r w:rsidR="00EF5910">
        <w:t xml:space="preserve"> represent a substantial economic benefit to their service area which is not true for residential</w:t>
      </w:r>
      <w:r w:rsidRPr="003473EB">
        <w:t xml:space="preserve">. </w:t>
      </w:r>
      <w:r w:rsidR="00EF5910">
        <w:t xml:space="preserve"> Also, with present </w:t>
      </w:r>
      <w:r w:rsidR="001F3281">
        <w:t xml:space="preserve">increased </w:t>
      </w:r>
      <w:r w:rsidR="00EF5910">
        <w:t xml:space="preserve">need for power in the U.S. and Southeast, power providers should </w:t>
      </w:r>
      <w:r w:rsidR="001F3281">
        <w:t xml:space="preserve">be </w:t>
      </w:r>
      <w:r w:rsidR="00EF5910">
        <w:t xml:space="preserve">relieved to get the power. </w:t>
      </w:r>
      <w:r w:rsidR="001F3281">
        <w:t>I</w:t>
      </w:r>
      <w:r w:rsidRPr="003473EB">
        <w:t xml:space="preserve">t is not the intent to have the power providers pay the farmer for </w:t>
      </w:r>
      <w:r w:rsidR="001F3281">
        <w:t xml:space="preserve">all </w:t>
      </w:r>
      <w:r w:rsidRPr="003473EB">
        <w:t>the power they put back on the grid</w:t>
      </w:r>
      <w:r w:rsidR="001F3281">
        <w:t xml:space="preserve"> but that a reasonable amount can be negotiated. The exact route forward for dealing with power providers is not clear </w:t>
      </w:r>
      <w:r w:rsidR="003D0AA3">
        <w:t>currently</w:t>
      </w:r>
      <w:r w:rsidR="001F3281">
        <w:t xml:space="preserve">. Under, this project we will first work in the TVA service district since they have been more open to accept power. </w:t>
      </w:r>
      <w:r w:rsidR="00921130">
        <w:t xml:space="preserve">This may be transformative and </w:t>
      </w:r>
      <w:r w:rsidR="001F3281">
        <w:t xml:space="preserve">open the door to </w:t>
      </w:r>
      <w:r w:rsidR="00921130">
        <w:t xml:space="preserve">other farmers buying their own solar arrays for irrigation </w:t>
      </w:r>
      <w:r w:rsidR="001F3281">
        <w:t xml:space="preserve">and </w:t>
      </w:r>
      <w:r w:rsidR="00921130">
        <w:t>potentially sell</w:t>
      </w:r>
      <w:r w:rsidR="001F3281">
        <w:t xml:space="preserve">ing </w:t>
      </w:r>
      <w:r w:rsidR="00921130">
        <w:t xml:space="preserve">power back to the grid. </w:t>
      </w:r>
    </w:p>
    <w:p w14:paraId="7F641BC6" w14:textId="53C84AE2" w:rsidR="00A22590" w:rsidRPr="00A22590" w:rsidRDefault="00A22590" w:rsidP="00A22590">
      <w:pPr>
        <w:spacing w:after="60"/>
      </w:pPr>
      <w:r w:rsidRPr="00A22590">
        <w:rPr>
          <w:b/>
          <w:bCs/>
        </w:rPr>
        <w:lastRenderedPageBreak/>
        <w:t>Calculations of Annual Power Production of the Pivot Solar Arrays</w:t>
      </w:r>
      <w:r>
        <w:rPr>
          <w:b/>
          <w:bCs/>
        </w:rPr>
        <w:t xml:space="preserve">: </w:t>
      </w:r>
      <w:r w:rsidRPr="00A22590">
        <w:t>The global formula to estimate the electricity generated in output of a photovoltaic system is:</w:t>
      </w:r>
    </w:p>
    <w:p w14:paraId="5F63B2F6" w14:textId="16809BDB" w:rsidR="00A22590" w:rsidRPr="00A22590" w:rsidRDefault="00A22590" w:rsidP="00A22590">
      <w:pPr>
        <w:spacing w:after="60"/>
      </w:pPr>
      <w:r w:rsidRPr="00A22590">
        <w:t>E = A * r * H * PR</w:t>
      </w:r>
      <w:r w:rsidR="0048044E">
        <w:t xml:space="preserve"> </w:t>
      </w:r>
      <w:r w:rsidR="0024704B">
        <w:t>w</w:t>
      </w:r>
      <w:r w:rsidRPr="00A22590">
        <w:t>here</w:t>
      </w:r>
    </w:p>
    <w:p w14:paraId="0ED57A4F" w14:textId="77777777" w:rsidR="00A22590" w:rsidRPr="00A22590" w:rsidRDefault="00A22590" w:rsidP="00A22590">
      <w:pPr>
        <w:spacing w:after="60"/>
      </w:pPr>
      <w:r w:rsidRPr="00A22590">
        <w:t>E = Energy (kWh)</w:t>
      </w:r>
    </w:p>
    <w:p w14:paraId="2EC1F49A" w14:textId="77777777" w:rsidR="00A22590" w:rsidRPr="00A22590" w:rsidRDefault="00A22590" w:rsidP="00A22590">
      <w:pPr>
        <w:spacing w:after="60"/>
      </w:pPr>
      <w:r w:rsidRPr="00A22590">
        <w:t>A = Total solar panel Area (m2)</w:t>
      </w:r>
    </w:p>
    <w:p w14:paraId="61D191DC" w14:textId="7D5517B5" w:rsidR="00A22590" w:rsidRPr="00A22590" w:rsidRDefault="00A22590" w:rsidP="00A22590">
      <w:pPr>
        <w:spacing w:after="60"/>
      </w:pPr>
      <w:r w:rsidRPr="00A22590">
        <w:t>r = solar panel yield or efficiency (</w:t>
      </w:r>
      <w:r w:rsidR="00F3462F">
        <w:t>20</w:t>
      </w:r>
      <w:r w:rsidRPr="00A22590">
        <w:t xml:space="preserve">%) </w:t>
      </w:r>
    </w:p>
    <w:p w14:paraId="3FD57D90" w14:textId="0CB2A3EF" w:rsidR="00A22590" w:rsidRPr="00A22590" w:rsidRDefault="00A22590" w:rsidP="00A22590">
      <w:pPr>
        <w:spacing w:after="60"/>
      </w:pPr>
      <w:r w:rsidRPr="00A22590">
        <w:t>H = Annual average solar radiation on tilted panels (shadings not included)</w:t>
      </w:r>
      <w:r w:rsidR="00F3462F">
        <w:t xml:space="preserve"> for Alabama H or PSH is 4.5</w:t>
      </w:r>
    </w:p>
    <w:p w14:paraId="7C3ED294" w14:textId="711FD31B" w:rsidR="00A22590" w:rsidRDefault="00A22590" w:rsidP="00A22590">
      <w:pPr>
        <w:spacing w:after="60"/>
      </w:pPr>
      <w:r w:rsidRPr="00A22590">
        <w:t>PR = Performance ratio, coefficient for losses (range between 0.5 and 0.9, default value = 0.75)</w:t>
      </w:r>
    </w:p>
    <w:p w14:paraId="6CF294AA" w14:textId="3592A033" w:rsidR="00A22590" w:rsidRDefault="00A22590" w:rsidP="00A22590">
      <w:pPr>
        <w:spacing w:after="60"/>
      </w:pPr>
      <w:r>
        <w:t xml:space="preserve">Here we will assume the </w:t>
      </w:r>
      <w:r w:rsidR="00F3462F">
        <w:t xml:space="preserve">A is </w:t>
      </w:r>
      <w:r>
        <w:t xml:space="preserve">area is based on 12 systems </w:t>
      </w:r>
      <w:r w:rsidR="00E0207B">
        <w:t>1.5-acre</w:t>
      </w:r>
      <w:r w:rsidR="00F3462F">
        <w:t xml:space="preserve"> solar arrays </w:t>
      </w:r>
      <w:r>
        <w:t xml:space="preserve">supporting 140 irrigated acres. </w:t>
      </w:r>
    </w:p>
    <w:p w14:paraId="243BFB4F" w14:textId="45EDA495" w:rsidR="00F3462F" w:rsidRDefault="00F3462F" w:rsidP="00A22590">
      <w:pPr>
        <w:spacing w:after="60"/>
      </w:pPr>
      <w:r>
        <w:t xml:space="preserve">E= (12 farms) * (1.5 acre/farm) * (4046.9 m^2/acre) * (4.5 kWh/m^2/day) * (365 days/year) * (0.001 MWh/kWh) * (0.20) * (.75) = </w:t>
      </w:r>
      <w:r w:rsidRPr="00FC0F60">
        <w:t>17</w:t>
      </w:r>
      <w:r>
        <w:t>,</w:t>
      </w:r>
      <w:r w:rsidRPr="00FC0F60">
        <w:t>947.4</w:t>
      </w:r>
      <w:r>
        <w:t xml:space="preserve"> MWh/year</w:t>
      </w:r>
    </w:p>
    <w:p w14:paraId="49EDD2C5" w14:textId="50F46FDD" w:rsidR="00A22590" w:rsidRPr="00604CB8" w:rsidRDefault="00F3462F" w:rsidP="00465CF1">
      <w:pPr>
        <w:spacing w:after="60"/>
      </w:pPr>
      <w:r>
        <w:t xml:space="preserve">See Technical Appendix for more details and references for the numbers. </w:t>
      </w:r>
    </w:p>
    <w:p w14:paraId="1CF43A98" w14:textId="4EFD23E4" w:rsidR="00CA5DB0" w:rsidRPr="00F3462F" w:rsidRDefault="00CA5DB0" w:rsidP="00465CF1">
      <w:pPr>
        <w:spacing w:afterLines="60" w:after="144"/>
        <w:rPr>
          <w:b/>
          <w:bCs/>
          <w:color w:val="000000"/>
        </w:rPr>
      </w:pPr>
      <w:r w:rsidRPr="003473EB">
        <w:rPr>
          <w:color w:val="000000"/>
        </w:rPr>
        <w:t xml:space="preserve">Using the emission rate of fossil fuel mix in Alabama </w:t>
      </w:r>
      <w:r w:rsidRPr="003473EB">
        <w:t>(a mix of coal and natural gas),</w:t>
      </w:r>
      <w:r w:rsidR="00921130">
        <w:t>0</w:t>
      </w:r>
      <w:r w:rsidRPr="003473EB">
        <w:t>.794 lbs/kWh</w:t>
      </w:r>
      <w:r w:rsidRPr="003473EB">
        <w:rPr>
          <w:color w:val="000000"/>
        </w:rPr>
        <w:t xml:space="preserve"> or .360 kg/kWh, this would save</w:t>
      </w:r>
      <w:r w:rsidRPr="003473EB">
        <w:rPr>
          <w:b/>
          <w:bCs/>
          <w:color w:val="000000"/>
        </w:rPr>
        <w:t xml:space="preserve"> </w:t>
      </w:r>
      <w:r w:rsidR="00F3462F">
        <w:rPr>
          <w:b/>
          <w:bCs/>
          <w:color w:val="000000"/>
        </w:rPr>
        <w:t xml:space="preserve">6, 443 </w:t>
      </w:r>
      <w:r w:rsidRPr="003473EB">
        <w:rPr>
          <w:b/>
          <w:bCs/>
          <w:color w:val="000000"/>
        </w:rPr>
        <w:t xml:space="preserve">metric </w:t>
      </w:r>
      <w:r w:rsidR="00F3462F">
        <w:rPr>
          <w:b/>
          <w:bCs/>
          <w:color w:val="000000"/>
        </w:rPr>
        <w:t>t</w:t>
      </w:r>
      <w:r w:rsidRPr="003473EB">
        <w:rPr>
          <w:b/>
          <w:bCs/>
          <w:color w:val="000000"/>
        </w:rPr>
        <w:t>ons/year</w:t>
      </w:r>
      <w:r w:rsidR="00F3462F">
        <w:rPr>
          <w:b/>
          <w:bCs/>
          <w:color w:val="000000"/>
        </w:rPr>
        <w:t xml:space="preserve"> CO</w:t>
      </w:r>
      <w:r w:rsidR="00F3462F" w:rsidRPr="00B97BE8">
        <w:rPr>
          <w:b/>
          <w:bCs/>
          <w:color w:val="000000"/>
          <w:vertAlign w:val="subscript"/>
        </w:rPr>
        <w:t>2</w:t>
      </w:r>
      <w:r w:rsidR="00F3462F">
        <w:rPr>
          <w:b/>
          <w:bCs/>
          <w:color w:val="000000"/>
        </w:rPr>
        <w:t xml:space="preserve"> eq</w:t>
      </w:r>
      <w:r w:rsidRPr="003473EB">
        <w:rPr>
          <w:color w:val="000000"/>
        </w:rPr>
        <w:t>. This option would provide the best and highest utility of the solar array. However, some utilities have resisted having home solar arrays providing power back to their grid. In Alabama the Tennessee Valley Authority, serving the northern part of the State has been more receptive to receiving and paying for power than Alabama Power or Electric Cooperatives serving the middle and southern parts of the State. However, as discussed above, we believe that</w:t>
      </w:r>
      <w:r w:rsidR="00B97BE8">
        <w:rPr>
          <w:color w:val="000000"/>
        </w:rPr>
        <w:t>,</w:t>
      </w:r>
      <w:r w:rsidRPr="003473EB">
        <w:rPr>
          <w:color w:val="000000"/>
        </w:rPr>
        <w:t xml:space="preserve"> because this project serves a commercial operation and provides economic development</w:t>
      </w:r>
      <w:r w:rsidR="00B97BE8">
        <w:rPr>
          <w:color w:val="000000"/>
        </w:rPr>
        <w:t xml:space="preserve">, </w:t>
      </w:r>
      <w:r w:rsidRPr="003473EB">
        <w:rPr>
          <w:color w:val="000000"/>
        </w:rPr>
        <w:t xml:space="preserve">it will be received favorably by the power providers. Also, since it will be professionally installed and is of larger size than home solar arrays it can better handle the grid safety concerns of power providers. </w:t>
      </w:r>
      <w:r w:rsidR="00B97BE8">
        <w:rPr>
          <w:color w:val="000000"/>
        </w:rPr>
        <w:t xml:space="preserve">However, to be conservative in our GHG reductions we will assume only six of the pivots can put power back to the grid. This, then leads to a blended reduction of just pivot power needs and power back to the grid of </w:t>
      </w:r>
      <w:r w:rsidR="00B97BE8">
        <w:rPr>
          <w:rFonts w:eastAsiaTheme="minorHAnsi" w:cs="Calibri"/>
          <w:b/>
          <w:bCs/>
          <w:color w:val="000000"/>
          <w:szCs w:val="22"/>
        </w:rPr>
        <w:t>3,377 metric tons/year CO</w:t>
      </w:r>
      <w:r w:rsidR="00B97BE8" w:rsidRPr="00B97BE8">
        <w:rPr>
          <w:rFonts w:eastAsiaTheme="minorHAnsi" w:cs="Calibri"/>
          <w:b/>
          <w:bCs/>
          <w:color w:val="000000"/>
          <w:szCs w:val="22"/>
          <w:vertAlign w:val="subscript"/>
        </w:rPr>
        <w:t>2</w:t>
      </w:r>
      <w:r w:rsidR="00B97BE8">
        <w:rPr>
          <w:rFonts w:eastAsiaTheme="minorHAnsi" w:cs="Calibri"/>
          <w:b/>
          <w:bCs/>
          <w:color w:val="000000"/>
          <w:szCs w:val="22"/>
        </w:rPr>
        <w:t xml:space="preserve"> eq. </w:t>
      </w:r>
    </w:p>
    <w:p w14:paraId="1EC920EC" w14:textId="2444DE5E" w:rsidR="00017622" w:rsidRDefault="00CA5DB0" w:rsidP="00465CF1">
      <w:pPr>
        <w:spacing w:afterLines="60" w:after="144"/>
      </w:pPr>
      <w:r w:rsidRPr="003473EB">
        <w:t xml:space="preserve">As discussed above, we expect that arrangements can be made for the solar array to provide power back to the grid. However, if in cases this cannot be arranged then other on farm uses of the available power can be employed. This can be in the form of drying for grains or electric charging stations for the farmer and community. Electric tractors and hauling trucks can be employed. For the present we will go forward with the scenario that </w:t>
      </w:r>
      <w:r w:rsidR="00B97BE8">
        <w:t xml:space="preserve">some </w:t>
      </w:r>
      <w:r w:rsidRPr="003473EB">
        <w:t xml:space="preserve">power can be returned to the grid.  But an option is on-farm uses. </w:t>
      </w:r>
      <w:r w:rsidR="00B97BE8">
        <w:t>See Technical Appendix for calculation details.</w:t>
      </w:r>
    </w:p>
    <w:p w14:paraId="0BE57866" w14:textId="064757DB" w:rsidR="00CA5DB0" w:rsidRPr="00465CF1" w:rsidRDefault="00465CF1" w:rsidP="00465CF1">
      <w:pPr>
        <w:rPr>
          <w:b/>
          <w:bCs/>
        </w:rPr>
      </w:pPr>
      <w:bookmarkStart w:id="47" w:name="_Toc161741983"/>
      <w:bookmarkStart w:id="48" w:name="_Toc161908262"/>
      <w:r w:rsidRPr="00465CF1">
        <w:rPr>
          <w:b/>
          <w:bCs/>
        </w:rPr>
        <w:t xml:space="preserve">(2) </w:t>
      </w:r>
      <w:r w:rsidR="00CA5DB0" w:rsidRPr="00465CF1">
        <w:rPr>
          <w:b/>
          <w:bCs/>
        </w:rPr>
        <w:t>Reduction in GHG from Savings in Transport Energy in Importing Grain/Vegetables</w:t>
      </w:r>
      <w:bookmarkEnd w:id="47"/>
      <w:bookmarkEnd w:id="48"/>
    </w:p>
    <w:p w14:paraId="7D48A2FD" w14:textId="77777777" w:rsidR="00CA5DB0" w:rsidRPr="003473EB" w:rsidRDefault="00CA5DB0" w:rsidP="001024A0">
      <w:pPr>
        <w:rPr>
          <w:color w:val="000000"/>
          <w:shd w:val="clear" w:color="auto" w:fill="FFFFFF"/>
        </w:rPr>
      </w:pPr>
      <w:r w:rsidRPr="003473EB">
        <w:rPr>
          <w:color w:val="000000"/>
          <w:shd w:val="clear" w:color="auto" w:fill="FFFFFF"/>
        </w:rPr>
        <w:t xml:space="preserve">It is ironic that while Alabama production of corn dropped by almost 90% from 1950 levels, its poultry industry, a major consumer of corn, grew significantly. Alabama ranks #2 nationally in poultry production. So that today it imports over 90% of the corn required by the poultry industry. Most of the imports are from the upper Midwest. The following carries out an analysis of the GHG transportation savings if local Alabama production replaced imported grain from the Midwest. </w:t>
      </w:r>
    </w:p>
    <w:p w14:paraId="66A1BE1E" w14:textId="77777777" w:rsidR="00CA5DB0" w:rsidRDefault="00CA5DB0" w:rsidP="001024A0">
      <w:pPr>
        <w:rPr>
          <w:color w:val="000000"/>
          <w:shd w:val="clear" w:color="auto" w:fill="FFFFFF"/>
        </w:rPr>
      </w:pPr>
      <w:r w:rsidRPr="003473EB">
        <w:rPr>
          <w:color w:val="000000"/>
          <w:shd w:val="clear" w:color="auto" w:fill="FFFFFF"/>
        </w:rPr>
        <w:t xml:space="preserve">One aspect of this proposal, as discussed above, is the use of small solar arrays to support vegetable production in central Alabama to serve the Montgomery/Birmingham market. This will also reduce transport energy of importing vegetable into Alabama. However, estimating the transport cost for vegetables is more uncertain than the cost of importing grain (see below). </w:t>
      </w:r>
      <w:r w:rsidRPr="003473EB">
        <w:t xml:space="preserve">At present there is not a complete system to access transportation of fruits and vegetables on GHG since the source region can have a different energy production impact.  </w:t>
      </w:r>
      <w:r w:rsidRPr="003473EB">
        <w:rPr>
          <w:color w:val="000000"/>
          <w:shd w:val="clear" w:color="auto" w:fill="FFFFFF"/>
        </w:rPr>
        <w:t xml:space="preserve">The transport cost for vegetables is higher per ton than dried grain. Grain transport is largely in bulk by barge between major river ports in the Midwest and in Alabama. Vegetable transport is largely by truck (sometimes refrigerated) mostly from California and Florida. Efficiency for truck ton-miles (249 loaded) is less than barge </w:t>
      </w:r>
      <w:r w:rsidRPr="003473EB">
        <w:rPr>
          <w:color w:val="000000"/>
          <w:shd w:val="clear" w:color="auto" w:fill="FFFFFF"/>
        </w:rPr>
        <w:lastRenderedPageBreak/>
        <w:t xml:space="preserve">ton-miles (953 loaded) (see Baumel et al. 1985). Thus, here for simplicity we assume the transport energy savings for vegetables is the same as for corn so there is not a separate calculation. </w:t>
      </w:r>
    </w:p>
    <w:p w14:paraId="7F4077CD" w14:textId="77777777" w:rsidR="00014932" w:rsidRPr="003473EB" w:rsidRDefault="00014932" w:rsidP="001024A0">
      <w:pPr>
        <w:rPr>
          <w:color w:val="000000"/>
          <w:shd w:val="clear" w:color="auto" w:fill="FFFFFF"/>
        </w:rPr>
      </w:pPr>
    </w:p>
    <w:p w14:paraId="660768A0" w14:textId="6D061967" w:rsidR="00CA5DB0" w:rsidRPr="003473EB" w:rsidRDefault="00CA5DB0" w:rsidP="001024A0">
      <w:pPr>
        <w:rPr>
          <w:color w:val="000000"/>
          <w:shd w:val="clear" w:color="auto" w:fill="FFFFFF"/>
        </w:rPr>
      </w:pPr>
      <w:r w:rsidRPr="003473EB">
        <w:rPr>
          <w:color w:val="000000"/>
          <w:shd w:val="clear" w:color="auto" w:fill="FFFFFF"/>
        </w:rPr>
        <w:t xml:space="preserve">For transportation calculations, we make an estimate of diesel fuel saved by reducing barge miles in importing grain to Alabama. In the analysis, we use barge transport from Davenport, IA (a port on the Mississippi River) to Guntersville, AL (a major grain port on the Tennessee, River). Baumel et al, 1985 (here after Baumel85) carried out an analysis of cost ton-miles per gallon for barge transport on the Mississippi River. Note we did not include truck or rail transport cost from Alabama farms to feed mills since we did not calculate similar truck/rail costs in Iowa to Davenport.  Baumel85 found the following on ton-miles for shipping of grain on the Mississippi in the first two columns of table 2-1. </w:t>
      </w:r>
    </w:p>
    <w:p w14:paraId="4545B943" w14:textId="77777777" w:rsidR="00CA5DB0" w:rsidRDefault="00CA5DB0" w:rsidP="001024A0">
      <w:pPr>
        <w:rPr>
          <w:color w:val="000000"/>
          <w:shd w:val="clear" w:color="auto" w:fill="FFFFFF"/>
        </w:rPr>
      </w:pPr>
      <w:r w:rsidRPr="003473EB">
        <w:rPr>
          <w:color w:val="000000"/>
          <w:shd w:val="clear" w:color="auto" w:fill="FFFFFF"/>
        </w:rPr>
        <w:t>Because the barges are mostly empty for the northbound segment of the journey, this also counts into the import cost. Baumel85 used a 37% backhaul rate, i.e. barges were 37% filled. We used the same numbers but note that barges returning from Guntersville are likely mostly empty since Alabama has few bulk exports. The gross entries include the weight of the barge and tow. Below we will use net as more representative as did Baumel85.</w:t>
      </w:r>
    </w:p>
    <w:p w14:paraId="55F6891D" w14:textId="77777777" w:rsidR="00014932" w:rsidRPr="003473EB" w:rsidRDefault="00014932" w:rsidP="001024A0">
      <w:pPr>
        <w:rPr>
          <w:color w:val="000000"/>
          <w:shd w:val="clear" w:color="auto" w:fill="FFFFFF"/>
        </w:rPr>
      </w:pPr>
    </w:p>
    <w:p w14:paraId="1EE111D7" w14:textId="77777777" w:rsidR="00CA5DB0" w:rsidRPr="003473EB" w:rsidRDefault="00CA5DB0" w:rsidP="001024A0">
      <w:pPr>
        <w:rPr>
          <w:color w:val="000000"/>
          <w:shd w:val="clear" w:color="auto" w:fill="FFFFFF"/>
        </w:rPr>
      </w:pPr>
      <w:r w:rsidRPr="003473EB">
        <w:rPr>
          <w:color w:val="000000"/>
          <w:shd w:val="clear" w:color="auto" w:fill="FFFFFF"/>
        </w:rPr>
        <w:t xml:space="preserve">We note the Baumel 1985 estimates are older but provide the necessary information to make our calculations.  More recent studies have shown increased barge efficiency. For example, a 2017 </w:t>
      </w:r>
      <w:r w:rsidRPr="003473EB">
        <w:rPr>
          <w:color w:val="333333"/>
          <w:shd w:val="clear" w:color="auto" w:fill="FFFFFF"/>
        </w:rPr>
        <w:t>article  (</w:t>
      </w:r>
      <w:hyperlink r:id="rId35" w:history="1">
        <w:r w:rsidRPr="003473EB">
          <w:rPr>
            <w:rStyle w:val="Hyperlink"/>
            <w:rFonts w:asciiTheme="minorHAnsi" w:hAnsiTheme="minorHAnsi" w:cstheme="minorHAnsi"/>
            <w:szCs w:val="22"/>
            <w:shd w:val="clear" w:color="auto" w:fill="FFFFFF"/>
          </w:rPr>
          <w:t>https://maritime-executive.com/article/barge-transport-wins-on-fuel-efficiency</w:t>
        </w:r>
      </w:hyperlink>
      <w:r w:rsidRPr="003473EB">
        <w:rPr>
          <w:color w:val="000000"/>
          <w:shd w:val="clear" w:color="auto" w:fill="FFFFFF"/>
        </w:rPr>
        <w:t xml:space="preserve">) </w:t>
      </w:r>
      <w:r w:rsidRPr="003473EB">
        <w:rPr>
          <w:color w:val="333333"/>
          <w:shd w:val="clear" w:color="auto" w:fill="FFFFFF"/>
        </w:rPr>
        <w:t xml:space="preserve">reported that barges had 647 ton-miles/gal efficiency in 2014. However, the study was not as complete as Baumel 85 in terms of down-stream versus upstream or in net loads. </w:t>
      </w:r>
      <w:r w:rsidRPr="003473EB">
        <w:rPr>
          <w:color w:val="000000"/>
          <w:shd w:val="clear" w:color="auto" w:fill="FFFFFF"/>
        </w:rPr>
        <w:t xml:space="preserve">While barge diesel efficiency may be greater today the barge traffic is higher. This can cause delays especially in waiting at locks and in loading/unloading. For simplicity and lack of more recent complete information we will use the Baumel85 ton-mile numbers. </w:t>
      </w:r>
    </w:p>
    <w:p w14:paraId="3B76180F" w14:textId="5C080DC7" w:rsidR="00CA5DB0" w:rsidRDefault="00CA5DB0" w:rsidP="001024A0">
      <w:pPr>
        <w:rPr>
          <w:color w:val="000000"/>
          <w:shd w:val="clear" w:color="auto" w:fill="FFFFFF"/>
        </w:rPr>
      </w:pPr>
      <w:r w:rsidRPr="003473EB">
        <w:rPr>
          <w:color w:val="000000"/>
          <w:shd w:val="clear" w:color="auto" w:fill="FFFFFF"/>
        </w:rPr>
        <w:t xml:space="preserve">We next calculated the river miles from Davenport to the mouth of the Ohio (580 mi) from Ohio to mouth of Tennessee (49 mi) from mouth of Tennessee to Guntersville </w:t>
      </w:r>
      <w:r w:rsidR="00E0207B" w:rsidRPr="003473EB">
        <w:rPr>
          <w:color w:val="000000"/>
          <w:shd w:val="clear" w:color="auto" w:fill="FFFFFF"/>
        </w:rPr>
        <w:t>(349</w:t>
      </w:r>
      <w:r w:rsidRPr="003473EB">
        <w:rPr>
          <w:color w:val="000000"/>
          <w:shd w:val="clear" w:color="auto" w:fill="FFFFFF"/>
        </w:rPr>
        <w:t xml:space="preserve"> mi) for a total of 978 miles. We then calculated the tons/gal based on these miles. </w:t>
      </w:r>
    </w:p>
    <w:p w14:paraId="38F832F7" w14:textId="77777777" w:rsidR="00014932" w:rsidRPr="003473EB" w:rsidRDefault="00014932" w:rsidP="001024A0">
      <w:pPr>
        <w:rPr>
          <w:color w:val="000000"/>
          <w:shd w:val="clear" w:color="auto" w:fill="FFFFFF"/>
        </w:rPr>
      </w:pPr>
    </w:p>
    <w:p w14:paraId="3C85BEB5" w14:textId="065B6D4D" w:rsidR="00CA5DB0" w:rsidRPr="003473EB" w:rsidRDefault="00CA5DB0" w:rsidP="001024A0">
      <w:pPr>
        <w:rPr>
          <w:color w:val="000000"/>
          <w:shd w:val="clear" w:color="auto" w:fill="FFFFFF"/>
        </w:rPr>
      </w:pPr>
      <w:r w:rsidRPr="003473EB">
        <w:rPr>
          <w:color w:val="000000"/>
          <w:shd w:val="clear" w:color="auto" w:fill="FFFFFF"/>
        </w:rPr>
        <w:t xml:space="preserve">As mentioned above we will not make separate calculations for the transport of vegetables. But, assume that corn estimates will be equal to or lower than vegetable transport. We now make estimates of the amount of corn the present project will add. This is based on the amount of corn an irrigated acre will produce in Alabama. From past analyses (See McNider et al. 2015) the average for the State is about 204 bu/acre or using 39.368 bu/ton we obtain 5.18 tons/acre.  Under this project we expect to add the equivalent of twelve </w:t>
      </w:r>
      <w:r w:rsidR="00E0207B" w:rsidRPr="003473EB">
        <w:rPr>
          <w:color w:val="000000"/>
          <w:shd w:val="clear" w:color="auto" w:fill="FFFFFF"/>
        </w:rPr>
        <w:t>140-acre</w:t>
      </w:r>
      <w:r w:rsidRPr="003473EB">
        <w:rPr>
          <w:color w:val="000000"/>
          <w:shd w:val="clear" w:color="auto" w:fill="FFFFFF"/>
        </w:rPr>
        <w:t xml:space="preserve"> systems. We will assume one half of this is new production. The total added corn is then 12 x 140 acres x 5.18 tons/acre = 4,353 tons.  Using this in table 2-2 we estimate the round trip, using the backhaul rate by Baumel85, a total savings of </w:t>
      </w:r>
      <w:r w:rsidRPr="003473EB">
        <w:rPr>
          <w:b/>
          <w:bCs/>
          <w:color w:val="000000"/>
          <w:shd w:val="clear" w:color="auto" w:fill="FFFFFF"/>
        </w:rPr>
        <w:t xml:space="preserve">15,269 </w:t>
      </w:r>
      <w:r w:rsidRPr="003473EB">
        <w:rPr>
          <w:color w:val="000000"/>
          <w:shd w:val="clear" w:color="auto" w:fill="FFFFFF"/>
        </w:rPr>
        <w:t>gallons saved.</w:t>
      </w:r>
    </w:p>
    <w:p w14:paraId="71F1F5A0" w14:textId="77777777" w:rsidR="00CA5DB0" w:rsidRPr="003473EB" w:rsidRDefault="00CA5DB0" w:rsidP="001024A0">
      <w:pPr>
        <w:rPr>
          <w:b/>
          <w:bCs/>
          <w:color w:val="000000"/>
          <w:shd w:val="clear" w:color="auto" w:fill="FFFFFF"/>
        </w:rPr>
      </w:pPr>
    </w:p>
    <w:p w14:paraId="6A68ED17" w14:textId="77777777" w:rsidR="00CA5DB0" w:rsidRPr="003473EB" w:rsidRDefault="00CA5DB0" w:rsidP="001024A0">
      <w:pPr>
        <w:rPr>
          <w:color w:val="000000"/>
          <w:shd w:val="clear" w:color="auto" w:fill="FFFFFF"/>
        </w:rPr>
      </w:pPr>
      <w:r w:rsidRPr="003473EB">
        <w:rPr>
          <w:noProof/>
        </w:rPr>
        <w:drawing>
          <wp:inline distT="0" distB="0" distL="0" distR="0" wp14:anchorId="470E7BB3" wp14:editId="11AC6383">
            <wp:extent cx="5943600" cy="990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990600"/>
                    </a:xfrm>
                    <a:prstGeom prst="rect">
                      <a:avLst/>
                    </a:prstGeom>
                    <a:noFill/>
                    <a:ln>
                      <a:noFill/>
                    </a:ln>
                  </pic:spPr>
                </pic:pic>
              </a:graphicData>
            </a:graphic>
          </wp:inline>
        </w:drawing>
      </w:r>
    </w:p>
    <w:p w14:paraId="565C6FD5" w14:textId="77777777" w:rsidR="00CA5DB0" w:rsidRPr="003473EB" w:rsidRDefault="00CA5DB0" w:rsidP="001024A0">
      <w:pPr>
        <w:rPr>
          <w:color w:val="000000"/>
          <w:shd w:val="clear" w:color="auto" w:fill="FFFFFF"/>
        </w:rPr>
      </w:pPr>
    </w:p>
    <w:p w14:paraId="333B2E79" w14:textId="77777777" w:rsidR="00CA5DB0" w:rsidRPr="003473EB" w:rsidRDefault="00CA5DB0" w:rsidP="001024A0">
      <w:pPr>
        <w:rPr>
          <w:b/>
          <w:bCs/>
        </w:rPr>
      </w:pPr>
      <w:r w:rsidRPr="003473EB">
        <w:rPr>
          <w:b/>
          <w:bCs/>
        </w:rPr>
        <w:t>Table 2-2 Calculation of total gallons saved by reducing transport of corn to Alabama</w:t>
      </w:r>
    </w:p>
    <w:p w14:paraId="0072A79C" w14:textId="77777777" w:rsidR="00CA5DB0" w:rsidRPr="003473EB" w:rsidRDefault="00CA5DB0" w:rsidP="001024A0">
      <w:pPr>
        <w:rPr>
          <w:b/>
          <w:bCs/>
          <w:color w:val="000000"/>
        </w:rPr>
      </w:pPr>
      <w:r w:rsidRPr="003473EB">
        <w:rPr>
          <w:color w:val="000000"/>
          <w:shd w:val="clear" w:color="auto" w:fill="FFFFFF"/>
        </w:rPr>
        <w:t>Next, we calculate the equivalent reduction in GHG as CO</w:t>
      </w:r>
      <w:r w:rsidRPr="003473EB">
        <w:rPr>
          <w:color w:val="000000"/>
          <w:shd w:val="clear" w:color="auto" w:fill="FFFFFF"/>
          <w:vertAlign w:val="subscript"/>
        </w:rPr>
        <w:t>2</w:t>
      </w:r>
      <w:r w:rsidRPr="003473EB">
        <w:rPr>
          <w:color w:val="000000"/>
          <w:shd w:val="clear" w:color="auto" w:fill="FFFFFF"/>
        </w:rPr>
        <w:t xml:space="preserve">. Using the 15,269 gallons of diesel above and using an emission factor 10.19 (kg CO2)/(gallon of diesel) we arrive at 10.19 x 15,269 = </w:t>
      </w:r>
      <w:r w:rsidRPr="003473EB">
        <w:rPr>
          <w:b/>
          <w:bCs/>
          <w:color w:val="000000"/>
        </w:rPr>
        <w:t xml:space="preserve">                       155,269 </w:t>
      </w:r>
      <w:r w:rsidRPr="003473EB">
        <w:rPr>
          <w:b/>
          <w:bCs/>
          <w:color w:val="000000"/>
          <w:shd w:val="clear" w:color="auto" w:fill="FFFFFF"/>
        </w:rPr>
        <w:t>Kg CO2</w:t>
      </w:r>
      <w:r w:rsidRPr="003473EB">
        <w:rPr>
          <w:color w:val="000000"/>
          <w:shd w:val="clear" w:color="auto" w:fill="FFFFFF"/>
        </w:rPr>
        <w:t xml:space="preserve"> saved per year. Thus, reducing barge transport of corn transport from the new pivots to be installed is </w:t>
      </w:r>
      <w:r w:rsidRPr="003473EB">
        <w:rPr>
          <w:b/>
          <w:bCs/>
          <w:color w:val="000000"/>
        </w:rPr>
        <w:t xml:space="preserve">156 </w:t>
      </w:r>
      <w:r w:rsidRPr="003473EB">
        <w:rPr>
          <w:b/>
          <w:bCs/>
          <w:color w:val="000000"/>
          <w:shd w:val="clear" w:color="auto" w:fill="FFFFFF"/>
        </w:rPr>
        <w:t>metric tons CO2 saved per year</w:t>
      </w:r>
      <w:r w:rsidRPr="003473EB">
        <w:rPr>
          <w:color w:val="000000"/>
          <w:shd w:val="clear" w:color="auto" w:fill="FFFFFF"/>
        </w:rPr>
        <w:t xml:space="preserve">. </w:t>
      </w:r>
    </w:p>
    <w:p w14:paraId="4994C25F" w14:textId="61EDD720" w:rsidR="00CA5DB0" w:rsidRDefault="00CA5DB0" w:rsidP="001024A0">
      <w:pPr>
        <w:rPr>
          <w:color w:val="000000"/>
          <w:shd w:val="clear" w:color="auto" w:fill="FFFFFF"/>
        </w:rPr>
      </w:pPr>
      <w:r w:rsidRPr="003473EB">
        <w:rPr>
          <w:color w:val="000000"/>
          <w:shd w:val="clear" w:color="auto" w:fill="FFFFFF"/>
        </w:rPr>
        <w:lastRenderedPageBreak/>
        <w:t xml:space="preserve">In absolute terms the impact of this CPRG project may not be large. The added irrigated land is expected to only be about 1,700 irrigated acres. The over-all goal of the AUII is to add an additional 400,000 acres of irrigated land in Alabama. Farmers do learn and follow other successful farmers. Thus, we think this project will directly and indirectly (through success of the solar pivot systems) help meet that AUII goal. If so the overall GHG reduction could be close to 75,000 metric tons per year. </w:t>
      </w:r>
    </w:p>
    <w:p w14:paraId="7C62C242" w14:textId="77777777" w:rsidR="00821CED" w:rsidRPr="003473EB" w:rsidRDefault="00821CED" w:rsidP="001024A0">
      <w:pPr>
        <w:rPr>
          <w:color w:val="000000"/>
          <w:shd w:val="clear" w:color="auto" w:fill="FFFFFF"/>
        </w:rPr>
      </w:pPr>
    </w:p>
    <w:p w14:paraId="6AF180EA" w14:textId="6102A69B" w:rsidR="00CA5DB0" w:rsidRPr="00821CED" w:rsidRDefault="00465CF1" w:rsidP="001024A0">
      <w:pPr>
        <w:rPr>
          <w:b/>
          <w:bCs/>
        </w:rPr>
      </w:pPr>
      <w:bookmarkStart w:id="49" w:name="_Toc161741984"/>
      <w:bookmarkStart w:id="50" w:name="_Toc161908263"/>
      <w:r w:rsidRPr="00821CED">
        <w:rPr>
          <w:b/>
          <w:bCs/>
        </w:rPr>
        <w:t xml:space="preserve">(3) </w:t>
      </w:r>
      <w:r w:rsidR="00CA5DB0" w:rsidRPr="00821CED">
        <w:rPr>
          <w:b/>
          <w:bCs/>
        </w:rPr>
        <w:t>Reduction in Nitrous Oxides (N</w:t>
      </w:r>
      <w:r w:rsidR="00CA5DB0" w:rsidRPr="00821CED">
        <w:rPr>
          <w:b/>
          <w:bCs/>
          <w:vertAlign w:val="subscript"/>
        </w:rPr>
        <w:t>2</w:t>
      </w:r>
      <w:r w:rsidR="00CA5DB0" w:rsidRPr="00821CED">
        <w:rPr>
          <w:b/>
          <w:bCs/>
        </w:rPr>
        <w:t>O) Use of Irrigation and Farm Practices</w:t>
      </w:r>
      <w:bookmarkEnd w:id="49"/>
      <w:bookmarkEnd w:id="50"/>
    </w:p>
    <w:p w14:paraId="4DEB8479" w14:textId="77777777" w:rsidR="00CA5DB0" w:rsidRPr="003473EB" w:rsidRDefault="00CA5DB0" w:rsidP="001024A0">
      <w:r w:rsidRPr="003473EB">
        <w:t>As noted in the CPRG call nitrous oxides (N</w:t>
      </w:r>
      <w:r w:rsidRPr="003473EB">
        <w:rPr>
          <w:vertAlign w:val="subscript"/>
        </w:rPr>
        <w:t>2</w:t>
      </w:r>
      <w:r w:rsidRPr="003473EB">
        <w:t>O) are an extremely effective GHG gas having over 200 times the effect of that of CO</w:t>
      </w:r>
      <w:r w:rsidRPr="003473EB">
        <w:rPr>
          <w:vertAlign w:val="subscript"/>
        </w:rPr>
        <w:t>2</w:t>
      </w:r>
      <w:r w:rsidRPr="003473EB">
        <w:t>. As discussed in the USDA Greenhouse Gas Inventory 1990-2018 document (</w:t>
      </w:r>
      <w:hyperlink r:id="rId37" w:history="1">
        <w:r w:rsidRPr="003473EB">
          <w:rPr>
            <w:rStyle w:val="Hyperlink"/>
            <w:rFonts w:asciiTheme="minorHAnsi" w:hAnsiTheme="minorHAnsi" w:cstheme="minorHAnsi"/>
            <w:szCs w:val="22"/>
          </w:rPr>
          <w:t>https://www.usda.gov/sites/default/files/documents/USDA-GHG-Inventory-1990-2018.pdf</w:t>
        </w:r>
      </w:hyperlink>
      <w:r w:rsidRPr="003473EB">
        <w:t xml:space="preserve"> ) Emissions of N</w:t>
      </w:r>
      <w:r w:rsidRPr="003473EB">
        <w:rPr>
          <w:vertAlign w:val="subscript"/>
        </w:rPr>
        <w:t>2</w:t>
      </w:r>
      <w:r w:rsidRPr="003473EB">
        <w:t>O are largely tied to anthropogenic inputs of nitrogen fertilizers and mineral decomposition in soils.  However, nitrogen fertilizer applied explains only a small amount of the variability in soil N</w:t>
      </w:r>
      <w:r w:rsidRPr="003473EB">
        <w:rPr>
          <w:vertAlign w:val="subscript"/>
        </w:rPr>
        <w:t>2</w:t>
      </w:r>
      <w:r w:rsidRPr="003473EB">
        <w:t>O emissions. This indicates that other factors such as farm practices and weather strongly influence estimated N2O emissions. For weather, the amount and timing of precipitation, temperature patterns, and soil carbon availability interact to influence N</w:t>
      </w:r>
      <w:r w:rsidRPr="003473EB">
        <w:rPr>
          <w:vertAlign w:val="subscript"/>
        </w:rPr>
        <w:t>2</w:t>
      </w:r>
      <w:r w:rsidRPr="003473EB">
        <w:t>O emissions. Farm practices that impact N</w:t>
      </w:r>
      <w:r w:rsidRPr="003473EB">
        <w:rPr>
          <w:vertAlign w:val="subscript"/>
        </w:rPr>
        <w:t>2</w:t>
      </w:r>
      <w:r w:rsidRPr="003473EB">
        <w:t>O emissions include tillage, when and how fertilizer is applied and irrigation. Here we will concentrate on the role of irrigation but other factors such as encapsulated fertilizers may also be used to reduce emissions. Irrigation is effective in reducing N</w:t>
      </w:r>
      <w:r w:rsidRPr="003473EB">
        <w:rPr>
          <w:vertAlign w:val="subscript"/>
        </w:rPr>
        <w:t>2</w:t>
      </w:r>
      <w:r w:rsidRPr="003473EB">
        <w:t xml:space="preserve">O because nitrogen fertilizers are more efficiently utilized since plants have the water needed to take up the nitrogen. The ability to water in may also have a positive effect. </w:t>
      </w:r>
    </w:p>
    <w:p w14:paraId="5F45EC59" w14:textId="65BEAFFB" w:rsidR="00CA5DB0" w:rsidRPr="003473EB" w:rsidRDefault="00CA5DB0" w:rsidP="001024A0">
      <w:pPr>
        <w:rPr>
          <w:b/>
          <w:bCs/>
        </w:rPr>
      </w:pPr>
      <w:r w:rsidRPr="003473EB">
        <w:t>For this project the N</w:t>
      </w:r>
      <w:r w:rsidRPr="003473EB">
        <w:rPr>
          <w:vertAlign w:val="subscript"/>
        </w:rPr>
        <w:t>2</w:t>
      </w:r>
      <w:r w:rsidRPr="003473EB">
        <w:t>O savings is assumed difference in emissions between non-irrigated and irrigated row crops as quantified by USDA. We use the data from tables B-7 and B-8 to calculate the savings. Table B-7 provides the area of farmlands for each category, while table B-8 provides the total annual emissions for each category. These are found in Technical Appendix. Using these information, one can calculate average emissions/area for each category and then arrive at the savings depending on the size of farms being impacted from this project.</w:t>
      </w:r>
      <w:r w:rsidRPr="003473EB">
        <w:rPr>
          <w:b/>
          <w:bCs/>
        </w:rPr>
        <w:t xml:space="preserve"> </w:t>
      </w:r>
    </w:p>
    <w:p w14:paraId="1888FCBC" w14:textId="77777777" w:rsidR="00CA5DB0" w:rsidRPr="003473EB" w:rsidRDefault="00CA5DB0" w:rsidP="001024A0">
      <w:pPr>
        <w:rPr>
          <w:b/>
          <w:bCs/>
        </w:rPr>
      </w:pPr>
      <w:r w:rsidRPr="003473EB">
        <w:rPr>
          <w:b/>
          <w:bCs/>
        </w:rPr>
        <w:t>For non-irrigated row crops, the average emissions per area is calculated as:</w:t>
      </w:r>
    </w:p>
    <w:p w14:paraId="5A546913" w14:textId="77777777" w:rsidR="00CA5DB0" w:rsidRPr="003473EB" w:rsidRDefault="00CA5DB0" w:rsidP="001024A0">
      <w:r w:rsidRPr="003473EB">
        <w:t>Total N</w:t>
      </w:r>
      <w:r w:rsidRPr="003473EB">
        <w:rPr>
          <w:vertAlign w:val="subscript"/>
        </w:rPr>
        <w:t>2</w:t>
      </w:r>
      <w:r w:rsidRPr="003473EB">
        <w:t>O emissions = 332.7x10</w:t>
      </w:r>
      <w:r w:rsidRPr="003473EB">
        <w:rPr>
          <w:vertAlign w:val="superscript"/>
        </w:rPr>
        <w:t>9</w:t>
      </w:r>
      <w:r w:rsidRPr="003473EB">
        <w:t xml:space="preserve"> g CO</w:t>
      </w:r>
      <w:r w:rsidRPr="003473EB">
        <w:rPr>
          <w:vertAlign w:val="subscript"/>
        </w:rPr>
        <w:t>2</w:t>
      </w:r>
      <w:r w:rsidRPr="003473EB">
        <w:t xml:space="preserve"> eq. = 332.7x10</w:t>
      </w:r>
      <w:r w:rsidRPr="003473EB">
        <w:rPr>
          <w:vertAlign w:val="superscript"/>
        </w:rPr>
        <w:t>6</w:t>
      </w:r>
      <w:r w:rsidRPr="003473EB">
        <w:t xml:space="preserve"> kg CO</w:t>
      </w:r>
      <w:r w:rsidRPr="003473EB">
        <w:rPr>
          <w:vertAlign w:val="subscript"/>
        </w:rPr>
        <w:t>2</w:t>
      </w:r>
      <w:r w:rsidRPr="003473EB">
        <w:t xml:space="preserve"> eq.</w:t>
      </w:r>
      <w:r w:rsidRPr="003473EB">
        <w:tab/>
      </w:r>
      <w:r w:rsidRPr="003473EB">
        <w:tab/>
        <w:t>(from table B-8)</w:t>
      </w:r>
    </w:p>
    <w:p w14:paraId="734FE141" w14:textId="77777777" w:rsidR="00CA5DB0" w:rsidRPr="003473EB" w:rsidRDefault="00CA5DB0" w:rsidP="001024A0">
      <w:r w:rsidRPr="003473EB">
        <w:t>Total agricultural area = 288.4x10</w:t>
      </w:r>
      <w:r w:rsidRPr="003473EB">
        <w:rPr>
          <w:vertAlign w:val="superscript"/>
        </w:rPr>
        <w:t>3</w:t>
      </w:r>
      <w:r w:rsidRPr="003473EB">
        <w:t xml:space="preserve"> hectare = 288,400 ha x 2.47105 acre/ha = 712,650.82 acres (from table B-7)</w:t>
      </w:r>
    </w:p>
    <w:p w14:paraId="5A817545" w14:textId="77777777" w:rsidR="00CA5DB0" w:rsidRPr="003473EB" w:rsidRDefault="00CA5DB0" w:rsidP="001024A0">
      <w:r w:rsidRPr="003473EB">
        <w:t>Average N</w:t>
      </w:r>
      <w:r w:rsidRPr="003473EB">
        <w:rPr>
          <w:vertAlign w:val="subscript"/>
        </w:rPr>
        <w:t>2</w:t>
      </w:r>
      <w:r w:rsidRPr="003473EB">
        <w:t>O emissions/area = 332.7x10</w:t>
      </w:r>
      <w:r w:rsidRPr="003473EB">
        <w:rPr>
          <w:vertAlign w:val="superscript"/>
        </w:rPr>
        <w:t>6</w:t>
      </w:r>
      <w:r w:rsidRPr="003473EB">
        <w:t xml:space="preserve"> kg CO</w:t>
      </w:r>
      <w:r w:rsidRPr="003473EB">
        <w:rPr>
          <w:vertAlign w:val="subscript"/>
        </w:rPr>
        <w:t>2</w:t>
      </w:r>
      <w:r w:rsidRPr="003473EB">
        <w:t xml:space="preserve"> eq / 712,650.82 acre = 466.85 kg CO</w:t>
      </w:r>
      <w:r w:rsidRPr="003473EB">
        <w:rPr>
          <w:vertAlign w:val="subscript"/>
        </w:rPr>
        <w:t>2</w:t>
      </w:r>
      <w:r w:rsidRPr="003473EB">
        <w:t xml:space="preserve"> eq. /acre</w:t>
      </w:r>
    </w:p>
    <w:p w14:paraId="337CBF3E" w14:textId="77777777" w:rsidR="00CA5DB0" w:rsidRPr="003473EB" w:rsidRDefault="00CA5DB0" w:rsidP="001024A0">
      <w:pPr>
        <w:rPr>
          <w:b/>
          <w:bCs/>
        </w:rPr>
      </w:pPr>
      <w:r w:rsidRPr="003473EB">
        <w:rPr>
          <w:b/>
          <w:bCs/>
        </w:rPr>
        <w:t>For irrigated land, the average emissions per area is calculated as:</w:t>
      </w:r>
    </w:p>
    <w:p w14:paraId="53C18BEF" w14:textId="77777777" w:rsidR="00CA5DB0" w:rsidRPr="003473EB" w:rsidRDefault="00CA5DB0" w:rsidP="001024A0">
      <w:r w:rsidRPr="003473EB">
        <w:t>Total N</w:t>
      </w:r>
      <w:r w:rsidRPr="003473EB">
        <w:rPr>
          <w:vertAlign w:val="subscript"/>
        </w:rPr>
        <w:t>2</w:t>
      </w:r>
      <w:r w:rsidRPr="003473EB">
        <w:t>O emissions = 25.4x10</w:t>
      </w:r>
      <w:r w:rsidRPr="003473EB">
        <w:rPr>
          <w:vertAlign w:val="superscript"/>
        </w:rPr>
        <w:t>9</w:t>
      </w:r>
      <w:r w:rsidRPr="003473EB">
        <w:t xml:space="preserve"> g CO</w:t>
      </w:r>
      <w:r w:rsidRPr="003473EB">
        <w:rPr>
          <w:vertAlign w:val="subscript"/>
        </w:rPr>
        <w:t>2</w:t>
      </w:r>
      <w:r w:rsidRPr="003473EB">
        <w:t xml:space="preserve"> eq. = 25.4x10</w:t>
      </w:r>
      <w:r w:rsidRPr="003473EB">
        <w:rPr>
          <w:vertAlign w:val="superscript"/>
        </w:rPr>
        <w:t>6</w:t>
      </w:r>
      <w:r w:rsidRPr="003473EB">
        <w:t xml:space="preserve"> kg CO</w:t>
      </w:r>
      <w:r w:rsidRPr="003473EB">
        <w:rPr>
          <w:vertAlign w:val="subscript"/>
        </w:rPr>
        <w:t>2</w:t>
      </w:r>
      <w:r w:rsidRPr="003473EB">
        <w:t xml:space="preserve"> eq.</w:t>
      </w:r>
      <w:r w:rsidRPr="003473EB">
        <w:tab/>
      </w:r>
      <w:r w:rsidRPr="003473EB">
        <w:tab/>
        <w:t>(from table B-8)</w:t>
      </w:r>
    </w:p>
    <w:p w14:paraId="43222491" w14:textId="77777777" w:rsidR="00CA5DB0" w:rsidRPr="003473EB" w:rsidRDefault="00CA5DB0" w:rsidP="001024A0">
      <w:r w:rsidRPr="003473EB">
        <w:t>Total agricultural area = 26.3x10</w:t>
      </w:r>
      <w:r w:rsidRPr="003473EB">
        <w:rPr>
          <w:vertAlign w:val="superscript"/>
        </w:rPr>
        <w:t>3</w:t>
      </w:r>
      <w:r w:rsidRPr="003473EB">
        <w:t xml:space="preserve"> hectare = 26,300 ha x 2.47105 acre/ha = 64,988.62 acres (from table B-7)</w:t>
      </w:r>
    </w:p>
    <w:p w14:paraId="0FE1B93A" w14:textId="77777777" w:rsidR="00CA5DB0" w:rsidRPr="003473EB" w:rsidRDefault="00CA5DB0" w:rsidP="001024A0">
      <w:r w:rsidRPr="003473EB">
        <w:t>Average N</w:t>
      </w:r>
      <w:r w:rsidRPr="003473EB">
        <w:rPr>
          <w:vertAlign w:val="subscript"/>
        </w:rPr>
        <w:t>2</w:t>
      </w:r>
      <w:r w:rsidRPr="003473EB">
        <w:t>O emissions/area = 25.4x10</w:t>
      </w:r>
      <w:r w:rsidRPr="003473EB">
        <w:rPr>
          <w:vertAlign w:val="superscript"/>
        </w:rPr>
        <w:t>6</w:t>
      </w:r>
      <w:r w:rsidRPr="003473EB">
        <w:t xml:space="preserve"> kg CO</w:t>
      </w:r>
      <w:r w:rsidRPr="003473EB">
        <w:rPr>
          <w:vertAlign w:val="subscript"/>
        </w:rPr>
        <w:t>2</w:t>
      </w:r>
      <w:r w:rsidRPr="003473EB">
        <w:t xml:space="preserve"> eq / 64,988.62 acre = 390.84 kg CO</w:t>
      </w:r>
      <w:r w:rsidRPr="003473EB">
        <w:rPr>
          <w:vertAlign w:val="subscript"/>
        </w:rPr>
        <w:t>2</w:t>
      </w:r>
      <w:r w:rsidRPr="003473EB">
        <w:t xml:space="preserve"> eq. /acre</w:t>
      </w:r>
    </w:p>
    <w:p w14:paraId="618BA4C9" w14:textId="77777777" w:rsidR="00CA5DB0" w:rsidRPr="003473EB" w:rsidRDefault="00CA5DB0" w:rsidP="001024A0">
      <w:pPr>
        <w:rPr>
          <w:b/>
          <w:bCs/>
        </w:rPr>
      </w:pPr>
      <w:r w:rsidRPr="003473EB">
        <w:rPr>
          <w:b/>
          <w:bCs/>
        </w:rPr>
        <w:t>GHG Savings:</w:t>
      </w:r>
    </w:p>
    <w:p w14:paraId="453D8E22" w14:textId="77777777" w:rsidR="00CA5DB0" w:rsidRPr="003473EB" w:rsidRDefault="00CA5DB0" w:rsidP="001024A0">
      <w:r w:rsidRPr="003473EB">
        <w:t>Thus, the difference between N</w:t>
      </w:r>
      <w:r w:rsidRPr="003473EB">
        <w:rPr>
          <w:vertAlign w:val="subscript"/>
        </w:rPr>
        <w:t>2</w:t>
      </w:r>
      <w:r w:rsidRPr="003473EB">
        <w:t>O emissions from non-irrigated and irrigated Row Crops is:</w:t>
      </w:r>
    </w:p>
    <w:p w14:paraId="65828365" w14:textId="77777777" w:rsidR="00CA5DB0" w:rsidRPr="003473EB" w:rsidRDefault="00CA5DB0" w:rsidP="001024A0">
      <w:r w:rsidRPr="003473EB">
        <w:t>466.85 – 390.84 = 76.01 kg CO</w:t>
      </w:r>
      <w:r w:rsidRPr="003473EB">
        <w:rPr>
          <w:vertAlign w:val="subscript"/>
        </w:rPr>
        <w:t>2</w:t>
      </w:r>
      <w:r w:rsidRPr="003473EB">
        <w:t xml:space="preserve"> eq. /acre</w:t>
      </w:r>
    </w:p>
    <w:p w14:paraId="5AF799C0" w14:textId="77777777" w:rsidR="00CA5DB0" w:rsidRPr="003473EB" w:rsidRDefault="00CA5DB0" w:rsidP="001024A0">
      <w:r w:rsidRPr="003473EB">
        <w:t>Meaning that irrigation reduces N</w:t>
      </w:r>
      <w:r w:rsidRPr="003473EB">
        <w:rPr>
          <w:vertAlign w:val="subscript"/>
        </w:rPr>
        <w:t>2</w:t>
      </w:r>
      <w:r w:rsidRPr="003473EB">
        <w:t>O emissions by 76 kg CO</w:t>
      </w:r>
      <w:r w:rsidRPr="003473EB">
        <w:rPr>
          <w:vertAlign w:val="subscript"/>
        </w:rPr>
        <w:t>2</w:t>
      </w:r>
      <w:r w:rsidRPr="003473EB">
        <w:t xml:space="preserve"> eq. /acre. This is a saving of 16%.</w:t>
      </w:r>
    </w:p>
    <w:p w14:paraId="67D22F58" w14:textId="77777777" w:rsidR="00CA5DB0" w:rsidRPr="003473EB" w:rsidRDefault="00CA5DB0" w:rsidP="001024A0">
      <w:pPr>
        <w:rPr>
          <w:b/>
          <w:bCs/>
        </w:rPr>
      </w:pPr>
      <w:r w:rsidRPr="003473EB">
        <w:rPr>
          <w:b/>
          <w:bCs/>
        </w:rPr>
        <w:t>Total savings for 12 pivots on farms:</w:t>
      </w:r>
    </w:p>
    <w:p w14:paraId="056F1F96" w14:textId="77777777" w:rsidR="00CA5DB0" w:rsidRPr="003473EB" w:rsidRDefault="00CA5DB0" w:rsidP="001024A0">
      <w:r w:rsidRPr="003473EB">
        <w:t>Now, assuming 12 farms at 140 acre a farm, the total annual GHG saving is:</w:t>
      </w:r>
    </w:p>
    <w:p w14:paraId="131B5E17" w14:textId="77777777" w:rsidR="00CA5DB0" w:rsidRPr="003473EB" w:rsidRDefault="00CA5DB0" w:rsidP="001024A0">
      <w:pPr>
        <w:rPr>
          <w:i/>
          <w:iCs/>
        </w:rPr>
      </w:pPr>
      <w:r w:rsidRPr="003473EB">
        <w:rPr>
          <w:i/>
          <w:iCs/>
        </w:rPr>
        <w:t>76.01 kg/acre x (140) acre = 127,800 kg CO</w:t>
      </w:r>
      <w:r w:rsidRPr="003473EB">
        <w:rPr>
          <w:i/>
          <w:iCs/>
          <w:vertAlign w:val="subscript"/>
        </w:rPr>
        <w:t>2</w:t>
      </w:r>
      <w:r w:rsidRPr="003473EB">
        <w:rPr>
          <w:i/>
          <w:iCs/>
        </w:rPr>
        <w:t xml:space="preserve"> eq =10,641 kg/acre or 10.641 metric tons per farm</w:t>
      </w:r>
    </w:p>
    <w:p w14:paraId="1BF54C5C" w14:textId="77777777" w:rsidR="00CA5DB0" w:rsidRPr="003473EB" w:rsidRDefault="00CA5DB0" w:rsidP="001024A0">
      <w:r w:rsidRPr="003473EB">
        <w:t xml:space="preserve">Meaning that irrigation will save about </w:t>
      </w:r>
      <w:r w:rsidRPr="003473EB">
        <w:rPr>
          <w:b/>
          <w:bCs/>
        </w:rPr>
        <w:t>213,000 kg CO</w:t>
      </w:r>
      <w:r w:rsidRPr="003473EB">
        <w:rPr>
          <w:b/>
          <w:bCs/>
          <w:vertAlign w:val="subscript"/>
        </w:rPr>
        <w:t>2</w:t>
      </w:r>
      <w:r w:rsidRPr="003473EB">
        <w:t xml:space="preserve"> </w:t>
      </w:r>
      <w:r w:rsidRPr="003473EB">
        <w:rPr>
          <w:b/>
          <w:bCs/>
        </w:rPr>
        <w:t>eq</w:t>
      </w:r>
      <w:r w:rsidRPr="003473EB">
        <w:t xml:space="preserve"> in N</w:t>
      </w:r>
      <w:r w:rsidRPr="003473EB">
        <w:rPr>
          <w:vertAlign w:val="subscript"/>
        </w:rPr>
        <w:t>2</w:t>
      </w:r>
      <w:r w:rsidRPr="003473EB">
        <w:t>O emissions.</w:t>
      </w:r>
    </w:p>
    <w:p w14:paraId="2C7F1B26" w14:textId="77777777" w:rsidR="00CA5DB0" w:rsidRPr="003473EB" w:rsidRDefault="00CA5DB0" w:rsidP="001024A0"/>
    <w:p w14:paraId="23413D59" w14:textId="2D10895A" w:rsidR="00CA5DB0" w:rsidRPr="00BE159F" w:rsidRDefault="00CA5DB0" w:rsidP="00BE159F">
      <w:pPr>
        <w:pStyle w:val="Heading2"/>
        <w:numPr>
          <w:ilvl w:val="0"/>
          <w:numId w:val="72"/>
        </w:numPr>
        <w:rPr>
          <w:rFonts w:eastAsiaTheme="minorHAnsi"/>
        </w:rPr>
      </w:pPr>
      <w:bookmarkStart w:id="51" w:name="_Toc161741985"/>
      <w:bookmarkStart w:id="52" w:name="_Toc161908264"/>
      <w:bookmarkStart w:id="53" w:name="_Toc161924176"/>
      <w:bookmarkStart w:id="54" w:name="_Toc162606609"/>
      <w:r w:rsidRPr="00BE159F">
        <w:rPr>
          <w:rFonts w:eastAsiaTheme="minorHAnsi"/>
        </w:rPr>
        <w:t>Magnitude of GHG Reductions from 2025 through 2030</w:t>
      </w:r>
      <w:bookmarkEnd w:id="51"/>
      <w:bookmarkEnd w:id="52"/>
      <w:bookmarkEnd w:id="53"/>
      <w:bookmarkEnd w:id="54"/>
      <w:r w:rsidRPr="00BE159F">
        <w:rPr>
          <w:rFonts w:eastAsiaTheme="minorHAnsi"/>
        </w:rPr>
        <w:t xml:space="preserve"> </w:t>
      </w:r>
    </w:p>
    <w:p w14:paraId="309FCE2D" w14:textId="158268F2" w:rsidR="00CA5DB0" w:rsidRPr="00821CED" w:rsidRDefault="00CA5DB0" w:rsidP="00821CED">
      <w:pPr>
        <w:spacing w:after="60"/>
        <w:rPr>
          <w:rFonts w:eastAsiaTheme="minorHAnsi"/>
        </w:rPr>
      </w:pPr>
      <w:r w:rsidRPr="003473EB">
        <w:rPr>
          <w:rFonts w:eastAsiaTheme="minorHAnsi"/>
        </w:rPr>
        <w:t xml:space="preserve">The milestones and schedule are given in table 3-1.  In the </w:t>
      </w:r>
      <w:r w:rsidR="00C36F28">
        <w:rPr>
          <w:rFonts w:eastAsiaTheme="minorHAnsi"/>
        </w:rPr>
        <w:t>Technical A</w:t>
      </w:r>
      <w:r w:rsidRPr="003473EB">
        <w:rPr>
          <w:rFonts w:eastAsiaTheme="minorHAnsi"/>
        </w:rPr>
        <w:t xml:space="preserve">ppendix the schedule of when the solar pivot systems will be put </w:t>
      </w:r>
      <w:r w:rsidR="00E0207B" w:rsidRPr="003473EB">
        <w:rPr>
          <w:rFonts w:eastAsiaTheme="minorHAnsi"/>
        </w:rPr>
        <w:t>online</w:t>
      </w:r>
      <w:r w:rsidRPr="003473EB">
        <w:rPr>
          <w:rFonts w:eastAsiaTheme="minorHAnsi"/>
        </w:rPr>
        <w:t xml:space="preserve"> is provided.  It details the cumulative years that the solar pivot will be in place.  For simplicity in the schedule and in the GHG calculations above, we group the solar vegetable systems as part of the solar pivots.  Table 2-2 summarizes these cumulative reductions.</w:t>
      </w:r>
    </w:p>
    <w:p w14:paraId="7DB5698A" w14:textId="12E25753" w:rsidR="00CA5DB0" w:rsidRPr="003473EB" w:rsidRDefault="0046323E" w:rsidP="00821CED">
      <w:pPr>
        <w:spacing w:after="60"/>
        <w:rPr>
          <w:rFonts w:eastAsiaTheme="minorHAnsi"/>
        </w:rPr>
      </w:pPr>
      <w:r>
        <w:rPr>
          <w:rFonts w:eastAsiaTheme="minorHAnsi"/>
          <w:noProof/>
        </w:rPr>
        <w:lastRenderedPageBreak/>
        <mc:AlternateContent>
          <mc:Choice Requires="wps">
            <w:drawing>
              <wp:anchor distT="0" distB="0" distL="114300" distR="114300" simplePos="0" relativeHeight="251755008" behindDoc="1" locked="0" layoutInCell="1" allowOverlap="1" wp14:anchorId="42242F5E" wp14:editId="4414FC7D">
                <wp:simplePos x="0" y="0"/>
                <wp:positionH relativeFrom="column">
                  <wp:posOffset>66040</wp:posOffset>
                </wp:positionH>
                <wp:positionV relativeFrom="paragraph">
                  <wp:posOffset>1408430</wp:posOffset>
                </wp:positionV>
                <wp:extent cx="5770245" cy="2365375"/>
                <wp:effectExtent l="0" t="0" r="20955" b="15875"/>
                <wp:wrapTight wrapText="bothSides">
                  <wp:wrapPolygon edited="0">
                    <wp:start x="0" y="0"/>
                    <wp:lineTo x="0" y="21571"/>
                    <wp:lineTo x="21607" y="21571"/>
                    <wp:lineTo x="21607" y="0"/>
                    <wp:lineTo x="0" y="0"/>
                  </wp:wrapPolygon>
                </wp:wrapTight>
                <wp:docPr id="35" name="Text Box 35"/>
                <wp:cNvGraphicFramePr/>
                <a:graphic xmlns:a="http://schemas.openxmlformats.org/drawingml/2006/main">
                  <a:graphicData uri="http://schemas.microsoft.com/office/word/2010/wordprocessingShape">
                    <wps:wsp>
                      <wps:cNvSpPr txBox="1"/>
                      <wps:spPr>
                        <a:xfrm>
                          <a:off x="0" y="0"/>
                          <a:ext cx="5770245" cy="2365375"/>
                        </a:xfrm>
                        <a:prstGeom prst="rect">
                          <a:avLst/>
                        </a:prstGeom>
                        <a:solidFill>
                          <a:schemeClr val="lt1"/>
                        </a:solidFill>
                        <a:ln w="6350">
                          <a:solidFill>
                            <a:prstClr val="black"/>
                          </a:solidFill>
                        </a:ln>
                      </wps:spPr>
                      <wps:txbx>
                        <w:txbxContent>
                          <w:p w14:paraId="28CDFE61" w14:textId="0E30F8E0" w:rsidR="0046323E" w:rsidRDefault="0046323E">
                            <w:r w:rsidRPr="0046323E">
                              <w:rPr>
                                <w:noProof/>
                              </w:rPr>
                              <w:drawing>
                                <wp:inline distT="0" distB="0" distL="0" distR="0" wp14:anchorId="3B5B3EA6" wp14:editId="7F879724">
                                  <wp:extent cx="5038090" cy="185991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38090" cy="1859915"/>
                                          </a:xfrm>
                                          <a:prstGeom prst="rect">
                                            <a:avLst/>
                                          </a:prstGeom>
                                          <a:noFill/>
                                          <a:ln>
                                            <a:noFill/>
                                          </a:ln>
                                        </pic:spPr>
                                      </pic:pic>
                                    </a:graphicData>
                                  </a:graphic>
                                </wp:inline>
                              </w:drawing>
                            </w:r>
                          </w:p>
                          <w:p w14:paraId="07C865C5" w14:textId="2547EF96" w:rsidR="0046323E" w:rsidRDefault="0046323E"/>
                          <w:p w14:paraId="53BF1CB1" w14:textId="71FDEEC8" w:rsidR="0046323E" w:rsidRPr="00A04E13" w:rsidRDefault="0046323E">
                            <w:r>
                              <w:t xml:space="preserve">Table 2-2 </w:t>
                            </w:r>
                            <w:r w:rsidR="00A04E13">
                              <w:t>Summary of expected cumulative GHG reductions in CO</w:t>
                            </w:r>
                            <w:r w:rsidR="00A04E13">
                              <w:rPr>
                                <w:vertAlign w:val="subscript"/>
                              </w:rPr>
                              <w:t xml:space="preserve">2 </w:t>
                            </w:r>
                            <w:r w:rsidR="00A04E13">
                              <w:t>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42F5E" id="Text Box 35" o:spid="_x0000_s1042" type="#_x0000_t202" style="position:absolute;margin-left:5.2pt;margin-top:110.9pt;width:454.35pt;height:186.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" fillcolor="white [3201]" strokeweight=".5pt">
                <v:textbox>
                  <w:txbxContent>
                    <w:p w14:paraId="28CDFE61" w14:textId="0E30F8E0" w:rsidR="0046323E" w:rsidRDefault="0046323E">
                      <w:r w:rsidRPr="0046323E">
                        <w:rPr>
                          <w:noProof/>
                        </w:rPr>
                        <w:drawing>
                          <wp:inline distT="0" distB="0" distL="0" distR="0" wp14:anchorId="3B5B3EA6" wp14:editId="7F879724">
                            <wp:extent cx="5038090" cy="185991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38090" cy="1859915"/>
                                    </a:xfrm>
                                    <a:prstGeom prst="rect">
                                      <a:avLst/>
                                    </a:prstGeom>
                                    <a:noFill/>
                                    <a:ln>
                                      <a:noFill/>
                                    </a:ln>
                                  </pic:spPr>
                                </pic:pic>
                              </a:graphicData>
                            </a:graphic>
                          </wp:inline>
                        </w:drawing>
                      </w:r>
                    </w:p>
                    <w:p w14:paraId="07C865C5" w14:textId="2547EF96" w:rsidR="0046323E" w:rsidRDefault="0046323E"/>
                    <w:p w14:paraId="53BF1CB1" w14:textId="71FDEEC8" w:rsidR="0046323E" w:rsidRPr="00A04E13" w:rsidRDefault="0046323E">
                      <w:r>
                        <w:t xml:space="preserve">Table 2-2 </w:t>
                      </w:r>
                      <w:r w:rsidR="00A04E13">
                        <w:t>Summary of expected cumulative GHG reductions in CO</w:t>
                      </w:r>
                      <w:r w:rsidR="00A04E13">
                        <w:rPr>
                          <w:vertAlign w:val="subscript"/>
                        </w:rPr>
                        <w:t xml:space="preserve">2 </w:t>
                      </w:r>
                      <w:r w:rsidR="00A04E13">
                        <w:t>Eq</w:t>
                      </w:r>
                    </w:p>
                  </w:txbxContent>
                </v:textbox>
                <w10:wrap type="tight"/>
              </v:shape>
            </w:pict>
          </mc:Fallback>
        </mc:AlternateContent>
      </w:r>
      <w:r w:rsidR="00CA5DB0" w:rsidRPr="003473EB">
        <w:rPr>
          <w:rFonts w:eastAsiaTheme="minorHAnsi"/>
        </w:rPr>
        <w:t xml:space="preserve">In the implementation schedule we basically have the equivalent of one solar pivot to be approved in late 2026. This is likely to be vegetable solar pumps or a small pivot. However, the systems will not go on-line until 2027. In 2027 the equivalent of 2 additional pivots will be approved and installed. They should be fully </w:t>
      </w:r>
      <w:r w:rsidR="00E0207B" w:rsidRPr="003473EB">
        <w:rPr>
          <w:rFonts w:eastAsiaTheme="minorHAnsi"/>
        </w:rPr>
        <w:t>online</w:t>
      </w:r>
      <w:r w:rsidR="00CA5DB0" w:rsidRPr="003473EB">
        <w:rPr>
          <w:rFonts w:eastAsiaTheme="minorHAnsi"/>
        </w:rPr>
        <w:t xml:space="preserve"> in 2028; In 2028 another 2 pivots will be approved and installed going on-line in 2029. By 2029 the program will be in full </w:t>
      </w:r>
      <w:r w:rsidR="00E0207B" w:rsidRPr="003473EB">
        <w:rPr>
          <w:rFonts w:eastAsiaTheme="minorHAnsi"/>
        </w:rPr>
        <w:t>swing,</w:t>
      </w:r>
      <w:r w:rsidR="00CA5DB0" w:rsidRPr="003473EB">
        <w:rPr>
          <w:rFonts w:eastAsiaTheme="minorHAnsi"/>
        </w:rPr>
        <w:t xml:space="preserve"> and we expect 3 pivots to be approved and online by 2030. In 2030 the program will be winding down but the equivalent of one additional pivot will be approved and should be operational in 2031. This will give a cumulative </w:t>
      </w:r>
      <w:r w:rsidR="00E0207B" w:rsidRPr="003473EB">
        <w:rPr>
          <w:rFonts w:eastAsiaTheme="minorHAnsi"/>
        </w:rPr>
        <w:t>number of</w:t>
      </w:r>
      <w:r w:rsidR="00CA5DB0" w:rsidRPr="003473EB">
        <w:rPr>
          <w:rFonts w:eastAsiaTheme="minorHAnsi"/>
        </w:rPr>
        <w:t xml:space="preserve"> pivots-years of 17.  This is the basis of the GHG cumulative reductions through 2030 seen in Table 2-2. </w:t>
      </w:r>
    </w:p>
    <w:p w14:paraId="6C63DB56" w14:textId="77777777" w:rsidR="00CA5DB0" w:rsidRPr="003473EB" w:rsidRDefault="00CA5DB0" w:rsidP="001024A0">
      <w:pPr>
        <w:rPr>
          <w:rFonts w:eastAsiaTheme="minorHAnsi"/>
          <w:b/>
          <w:bCs/>
        </w:rPr>
      </w:pPr>
    </w:p>
    <w:p w14:paraId="4DE275F7" w14:textId="01911527" w:rsidR="00CA5DB0" w:rsidRPr="00821CED" w:rsidRDefault="00CA5DB0" w:rsidP="00821CED">
      <w:pPr>
        <w:pStyle w:val="Heading2"/>
        <w:numPr>
          <w:ilvl w:val="0"/>
          <w:numId w:val="71"/>
        </w:numPr>
        <w:rPr>
          <w:rFonts w:eastAsiaTheme="minorHAnsi"/>
        </w:rPr>
      </w:pPr>
      <w:bookmarkStart w:id="55" w:name="_Toc161741986"/>
      <w:bookmarkStart w:id="56" w:name="_Toc161908265"/>
      <w:bookmarkStart w:id="57" w:name="_Toc161924177"/>
      <w:bookmarkStart w:id="58" w:name="_Toc162606610"/>
      <w:r w:rsidRPr="00821CED">
        <w:rPr>
          <w:rFonts w:eastAsiaTheme="minorHAnsi"/>
        </w:rPr>
        <w:t>Magnitude of GHG Reductions from 2025 through 2050</w:t>
      </w:r>
      <w:bookmarkEnd w:id="55"/>
      <w:bookmarkEnd w:id="56"/>
      <w:bookmarkEnd w:id="57"/>
      <w:bookmarkEnd w:id="58"/>
      <w:r w:rsidRPr="00821CED">
        <w:rPr>
          <w:rFonts w:eastAsiaTheme="minorHAnsi"/>
        </w:rPr>
        <w:t xml:space="preserve"> </w:t>
      </w:r>
    </w:p>
    <w:p w14:paraId="071FC2FD" w14:textId="415FC89B" w:rsidR="00CA5DB0" w:rsidRPr="00D321D4" w:rsidRDefault="00CA5DB0" w:rsidP="001024A0">
      <w:pPr>
        <w:rPr>
          <w:rFonts w:eastAsiaTheme="minorHAnsi"/>
        </w:rPr>
      </w:pPr>
      <w:r w:rsidRPr="003473EB">
        <w:rPr>
          <w:rFonts w:eastAsiaTheme="minorHAnsi"/>
        </w:rPr>
        <w:t>By 2030 the equivalent of 11 solar pivots will be installed and operational. See table</w:t>
      </w:r>
      <w:r w:rsidR="005E6EE6">
        <w:rPr>
          <w:rFonts w:eastAsiaTheme="minorHAnsi"/>
        </w:rPr>
        <w:t xml:space="preserve"> B-6</w:t>
      </w:r>
      <w:r w:rsidRPr="003473EB">
        <w:rPr>
          <w:rFonts w:eastAsiaTheme="minorHAnsi"/>
        </w:rPr>
        <w:t xml:space="preserve"> in </w:t>
      </w:r>
      <w:r w:rsidR="00C36F28">
        <w:rPr>
          <w:rFonts w:eastAsiaTheme="minorHAnsi"/>
        </w:rPr>
        <w:t xml:space="preserve">Technical </w:t>
      </w:r>
      <w:r w:rsidRPr="003473EB">
        <w:rPr>
          <w:rFonts w:eastAsiaTheme="minorHAnsi"/>
        </w:rPr>
        <w:t>Appendix</w:t>
      </w:r>
      <w:r w:rsidR="00C36F28">
        <w:rPr>
          <w:rFonts w:eastAsiaTheme="minorHAnsi"/>
        </w:rPr>
        <w:t>.</w:t>
      </w:r>
      <w:r w:rsidRPr="003473EB">
        <w:rPr>
          <w:rFonts w:eastAsiaTheme="minorHAnsi"/>
        </w:rPr>
        <w:t xml:space="preserve"> One final pivot will become operational in 2031. In the years 2025- 2050 the equivalent of 256 pivot-years will accrued. This is the basis of the cumulative reductions seen in Table 2-1. </w:t>
      </w:r>
      <w:r w:rsidR="001B47E0">
        <w:rPr>
          <w:rFonts w:eastAsiaTheme="minorHAnsi"/>
        </w:rPr>
        <w:t xml:space="preserve">Note in these final calculations only the equivalent of 6 pivots will have been assumed to give </w:t>
      </w:r>
      <w:r w:rsidR="001B76EB">
        <w:rPr>
          <w:rFonts w:eastAsiaTheme="minorHAnsi"/>
        </w:rPr>
        <w:t>power to the grid.</w:t>
      </w:r>
    </w:p>
    <w:p w14:paraId="68881523" w14:textId="329FC986" w:rsidR="00CA5DB0" w:rsidRPr="003473EB" w:rsidRDefault="00CA5DB0" w:rsidP="00D321D4">
      <w:pPr>
        <w:pStyle w:val="Heading2"/>
        <w:rPr>
          <w:rFonts w:eastAsiaTheme="minorHAnsi"/>
        </w:rPr>
      </w:pPr>
      <w:bookmarkStart w:id="59" w:name="_Toc161741987"/>
      <w:bookmarkStart w:id="60" w:name="_Toc161908266"/>
      <w:bookmarkStart w:id="61" w:name="_Toc161924178"/>
      <w:bookmarkStart w:id="62" w:name="_Toc162606611"/>
      <w:r w:rsidRPr="003473EB">
        <w:rPr>
          <w:rFonts w:eastAsiaTheme="minorHAnsi"/>
        </w:rPr>
        <w:t>Cost Effectiveness of GHG Reductions</w:t>
      </w:r>
      <w:bookmarkEnd w:id="59"/>
      <w:bookmarkEnd w:id="60"/>
      <w:bookmarkEnd w:id="61"/>
      <w:bookmarkEnd w:id="62"/>
      <w:r w:rsidRPr="003473EB">
        <w:rPr>
          <w:rFonts w:eastAsiaTheme="minorHAnsi"/>
        </w:rPr>
        <w:t xml:space="preserve"> </w:t>
      </w:r>
    </w:p>
    <w:p w14:paraId="57DEFE73" w14:textId="6683C103" w:rsidR="00CA5DB0" w:rsidRPr="003473EB" w:rsidRDefault="00CA5DB0" w:rsidP="00D321D4">
      <w:pPr>
        <w:spacing w:after="60"/>
        <w:rPr>
          <w:rFonts w:eastAsiaTheme="minorHAnsi"/>
        </w:rPr>
      </w:pPr>
      <w:r w:rsidRPr="003473EB">
        <w:rPr>
          <w:rFonts w:eastAsiaTheme="minorHAnsi"/>
        </w:rPr>
        <w:t xml:space="preserve">Here we calculate the cost effectiveness of the GHG emission reductions as required in the CPRG call. However, we also calculate the overall economic impact of the project over its </w:t>
      </w:r>
      <w:r w:rsidR="00E0207B" w:rsidRPr="003473EB">
        <w:rPr>
          <w:rFonts w:eastAsiaTheme="minorHAnsi"/>
        </w:rPr>
        <w:t>25-year</w:t>
      </w:r>
      <w:r w:rsidRPr="003473EB">
        <w:rPr>
          <w:rFonts w:eastAsiaTheme="minorHAnsi"/>
        </w:rPr>
        <w:t xml:space="preserve"> lifetime compared to the EPA costs provided.</w:t>
      </w:r>
      <w:r w:rsidRPr="003473EB">
        <w:rPr>
          <w:rFonts w:eastAsiaTheme="minorHAnsi"/>
          <w:b/>
          <w:bCs/>
        </w:rPr>
        <w:t xml:space="preserve"> </w:t>
      </w:r>
      <w:r w:rsidRPr="003473EB">
        <w:rPr>
          <w:rFonts w:eastAsiaTheme="minorHAnsi"/>
        </w:rPr>
        <w:t xml:space="preserve">For the cost effectiveness of the GHG reductions we use the formula below provided in the CPRG guideline. </w:t>
      </w:r>
    </w:p>
    <w:p w14:paraId="121E3C48" w14:textId="54490240" w:rsidR="00CA5DB0" w:rsidRPr="00D321D4" w:rsidRDefault="00CA5DB0" w:rsidP="00D321D4">
      <w:pPr>
        <w:spacing w:after="60"/>
        <w:rPr>
          <w:rFonts w:eastAsiaTheme="minorHAnsi"/>
          <w:b/>
          <w:bCs/>
        </w:rPr>
      </w:pPr>
      <w:r w:rsidRPr="003473EB">
        <w:rPr>
          <w:rFonts w:eastAsiaTheme="minorHAnsi"/>
          <w:b/>
          <w:bCs/>
        </w:rPr>
        <w:t>Cost effectiveness of GHG reductions = (Requested CPRG funding) / (Sum of Quantified GHG reductions from CPRG funding from 2025-2030)</w:t>
      </w:r>
    </w:p>
    <w:p w14:paraId="42E513C0" w14:textId="3FD6F41E" w:rsidR="00CA5DB0" w:rsidRPr="003473EB" w:rsidRDefault="00CA5DB0" w:rsidP="00D321D4">
      <w:pPr>
        <w:spacing w:after="60"/>
        <w:rPr>
          <w:rFonts w:eastAsiaTheme="minorHAnsi"/>
        </w:rPr>
      </w:pPr>
      <w:r w:rsidRPr="003473EB">
        <w:rPr>
          <w:rFonts w:eastAsiaTheme="minorHAnsi"/>
        </w:rPr>
        <w:t xml:space="preserve">The total GHG reductions for 2025-2030 are from table 2-1 which are </w:t>
      </w:r>
      <w:r w:rsidRPr="003473EB">
        <w:rPr>
          <w:rFonts w:eastAsiaTheme="minorHAnsi"/>
          <w:b/>
          <w:bCs/>
        </w:rPr>
        <w:t>4,943 metric tons</w:t>
      </w:r>
      <w:r w:rsidRPr="003473EB">
        <w:rPr>
          <w:rFonts w:eastAsiaTheme="minorHAnsi"/>
        </w:rPr>
        <w:t xml:space="preserve">. The total CPRG budget is </w:t>
      </w:r>
      <w:r w:rsidRPr="003473EB">
        <w:rPr>
          <w:rFonts w:eastAsiaTheme="minorHAnsi"/>
          <w:b/>
          <w:bCs/>
        </w:rPr>
        <w:t>$</w:t>
      </w:r>
      <w:r w:rsidR="006810B4">
        <w:rPr>
          <w:rFonts w:eastAsiaTheme="minorHAnsi"/>
          <w:b/>
          <w:bCs/>
        </w:rPr>
        <w:t>9,023,913</w:t>
      </w:r>
    </w:p>
    <w:p w14:paraId="7A6B6D41" w14:textId="23183A7F" w:rsidR="00CA5DB0" w:rsidRPr="009044BD" w:rsidRDefault="00CA5DB0" w:rsidP="00D321D4">
      <w:pPr>
        <w:spacing w:after="60"/>
        <w:rPr>
          <w:rFonts w:eastAsiaTheme="minorHAnsi"/>
          <w:b/>
          <w:bCs/>
        </w:rPr>
      </w:pPr>
      <w:r w:rsidRPr="003473EB">
        <w:rPr>
          <w:rFonts w:eastAsiaTheme="minorHAnsi"/>
        </w:rPr>
        <w:t xml:space="preserve">Thus, cost ratio of funding to reduction is </w:t>
      </w:r>
      <w:r w:rsidRPr="009044BD">
        <w:rPr>
          <w:rFonts w:eastAsiaTheme="minorHAnsi"/>
          <w:b/>
          <w:bCs/>
        </w:rPr>
        <w:t>$</w:t>
      </w:r>
      <w:r w:rsidR="003C7B27">
        <w:rPr>
          <w:rFonts w:eastAsiaTheme="minorHAnsi"/>
          <w:b/>
          <w:bCs/>
        </w:rPr>
        <w:t>9,023,913</w:t>
      </w:r>
      <w:r w:rsidRPr="009044BD">
        <w:rPr>
          <w:rFonts w:eastAsiaTheme="minorHAnsi"/>
          <w:b/>
          <w:bCs/>
        </w:rPr>
        <w:t>/</w:t>
      </w:r>
      <w:r w:rsidR="00A04E13" w:rsidRPr="009044BD">
        <w:rPr>
          <w:rFonts w:eastAsiaTheme="minorHAnsi"/>
          <w:b/>
          <w:bCs/>
        </w:rPr>
        <w:t>5, 187</w:t>
      </w:r>
      <w:r w:rsidRPr="009044BD">
        <w:rPr>
          <w:rFonts w:eastAsiaTheme="minorHAnsi"/>
          <w:b/>
          <w:bCs/>
        </w:rPr>
        <w:t xml:space="preserve"> metric tons = $</w:t>
      </w:r>
      <w:r w:rsidR="003C7B27">
        <w:rPr>
          <w:rFonts w:eastAsiaTheme="minorHAnsi"/>
          <w:b/>
          <w:bCs/>
        </w:rPr>
        <w:t>1739</w:t>
      </w:r>
      <w:r w:rsidRPr="009044BD">
        <w:rPr>
          <w:rFonts w:eastAsiaTheme="minorHAnsi"/>
          <w:b/>
          <w:bCs/>
        </w:rPr>
        <w:t>/metric ton.</w:t>
      </w:r>
    </w:p>
    <w:p w14:paraId="133482EA" w14:textId="2DC742BA" w:rsidR="00CA5DB0" w:rsidRPr="003473EB" w:rsidRDefault="00CA5DB0" w:rsidP="00C854FE">
      <w:pPr>
        <w:spacing w:after="60"/>
        <w:rPr>
          <w:rFonts w:eastAsiaTheme="minorHAnsi"/>
          <w:b/>
          <w:bCs/>
        </w:rPr>
      </w:pPr>
      <w:r w:rsidRPr="009044BD">
        <w:rPr>
          <w:rFonts w:eastAsiaTheme="minorHAnsi"/>
        </w:rPr>
        <w:t xml:space="preserve">However, with the conservative schedule employed (because of the new technology) means that the GHG reductions largely come into play in the final year. A better measure would be the reductions over the life of the project out to 2050. Then the GHG reductions from table 2-1 are </w:t>
      </w:r>
      <w:r w:rsidR="00A04E13" w:rsidRPr="009044BD">
        <w:rPr>
          <w:rFonts w:eastAsiaTheme="minorHAnsi"/>
          <w:b/>
          <w:bCs/>
        </w:rPr>
        <w:t>78,108</w:t>
      </w:r>
      <w:r w:rsidRPr="009044BD">
        <w:rPr>
          <w:rFonts w:eastAsiaTheme="minorHAnsi"/>
          <w:b/>
          <w:bCs/>
        </w:rPr>
        <w:t xml:space="preserve"> metric tons</w:t>
      </w:r>
      <w:r w:rsidRPr="009044BD">
        <w:rPr>
          <w:rFonts w:eastAsiaTheme="minorHAnsi"/>
        </w:rPr>
        <w:t xml:space="preserve"> 2025-2050. This yields a cost effectiveness of </w:t>
      </w:r>
      <w:r w:rsidRPr="009044BD">
        <w:rPr>
          <w:rFonts w:eastAsiaTheme="minorHAnsi"/>
          <w:b/>
          <w:bCs/>
        </w:rPr>
        <w:t>$</w:t>
      </w:r>
      <w:r w:rsidR="003C7B27">
        <w:rPr>
          <w:rFonts w:eastAsiaTheme="minorHAnsi"/>
          <w:b/>
          <w:bCs/>
        </w:rPr>
        <w:t>9,023,913</w:t>
      </w:r>
      <w:r w:rsidRPr="009044BD">
        <w:rPr>
          <w:rFonts w:eastAsiaTheme="minorHAnsi"/>
          <w:b/>
          <w:bCs/>
        </w:rPr>
        <w:t>/ 74,442metric tons = $1</w:t>
      </w:r>
      <w:r w:rsidR="003C7B27">
        <w:rPr>
          <w:rFonts w:eastAsiaTheme="minorHAnsi"/>
          <w:b/>
          <w:bCs/>
        </w:rPr>
        <w:t>2</w:t>
      </w:r>
      <w:r w:rsidRPr="009044BD">
        <w:rPr>
          <w:rFonts w:eastAsiaTheme="minorHAnsi"/>
          <w:b/>
          <w:bCs/>
        </w:rPr>
        <w:t xml:space="preserve">1/metric ton </w:t>
      </w:r>
      <w:r w:rsidRPr="009044BD">
        <w:rPr>
          <w:rFonts w:eastAsiaTheme="minorHAnsi"/>
        </w:rPr>
        <w:t>of GHG red</w:t>
      </w:r>
      <w:r w:rsidRPr="003473EB">
        <w:rPr>
          <w:rFonts w:eastAsiaTheme="minorHAnsi"/>
        </w:rPr>
        <w:t>uctions</w:t>
      </w:r>
      <w:r w:rsidRPr="003473EB">
        <w:rPr>
          <w:rFonts w:eastAsiaTheme="minorHAnsi"/>
          <w:b/>
          <w:bCs/>
        </w:rPr>
        <w:t>.</w:t>
      </w:r>
    </w:p>
    <w:p w14:paraId="6A9A37A3" w14:textId="631F5F88" w:rsidR="00CA5DB0" w:rsidRPr="003473EB" w:rsidRDefault="00CA5DB0" w:rsidP="00C854FE">
      <w:pPr>
        <w:spacing w:afterLines="60" w:after="144"/>
        <w:rPr>
          <w:rFonts w:eastAsiaTheme="minorHAnsi"/>
          <w:b/>
          <w:bCs/>
        </w:rPr>
      </w:pPr>
      <w:r w:rsidRPr="003473EB">
        <w:rPr>
          <w:rFonts w:eastAsiaTheme="minorHAnsi"/>
          <w:b/>
          <w:bCs/>
        </w:rPr>
        <w:t>Cost Benefit of the Project:</w:t>
      </w:r>
      <w:r w:rsidRPr="003473EB">
        <w:rPr>
          <w:rFonts w:eastAsiaTheme="minorHAnsi"/>
        </w:rPr>
        <w:t xml:space="preserve"> While the CPRG call emphasized the cost of GHG reductions (computed above) a</w:t>
      </w:r>
      <w:r w:rsidR="00A04E13">
        <w:rPr>
          <w:rFonts w:eastAsiaTheme="minorHAnsi"/>
        </w:rPr>
        <w:t>nother</w:t>
      </w:r>
      <w:r w:rsidRPr="003473EB">
        <w:rPr>
          <w:rFonts w:eastAsiaTheme="minorHAnsi"/>
        </w:rPr>
        <w:t xml:space="preserve"> measure of cost effectiveness might be the economic impact of the project. This would be consistent with the economic goals of the Inflation Reduction Act for building a cleaner more efficient economy.  Here we use the economic impact of the solar pivots as a more efficient agricultural production system.  As indicated at the end of Section 1 above, the impact of the building and operation of the solar projects would be </w:t>
      </w:r>
      <w:r w:rsidRPr="003473EB">
        <w:rPr>
          <w:rFonts w:eastAsiaTheme="minorHAnsi"/>
          <w:b/>
          <w:bCs/>
        </w:rPr>
        <w:t>$9 million</w:t>
      </w:r>
      <w:r w:rsidRPr="003473EB">
        <w:rPr>
          <w:rFonts w:eastAsiaTheme="minorHAnsi"/>
        </w:rPr>
        <w:t xml:space="preserve"> </w:t>
      </w:r>
      <w:r w:rsidRPr="003473EB">
        <w:rPr>
          <w:rFonts w:eastAsiaTheme="minorHAnsi"/>
        </w:rPr>
        <w:lastRenderedPageBreak/>
        <w:t xml:space="preserve">when all the projects come </w:t>
      </w:r>
      <w:r w:rsidR="009044BD" w:rsidRPr="003473EB">
        <w:rPr>
          <w:rFonts w:eastAsiaTheme="minorHAnsi"/>
        </w:rPr>
        <w:t>online</w:t>
      </w:r>
      <w:r w:rsidRPr="003473EB">
        <w:rPr>
          <w:rFonts w:eastAsiaTheme="minorHAnsi"/>
        </w:rPr>
        <w:t xml:space="preserve">. This is due to the added production from the solar irrigated land and the impact of the construction costs. If we do a ratio of economic impact over the cost of the project, this yields </w:t>
      </w:r>
      <w:r w:rsidRPr="009044BD">
        <w:rPr>
          <w:rFonts w:eastAsiaTheme="minorHAnsi"/>
        </w:rPr>
        <w:t>$9 million/$</w:t>
      </w:r>
      <w:r w:rsidR="00B704BE">
        <w:rPr>
          <w:rFonts w:eastAsiaTheme="minorHAnsi"/>
        </w:rPr>
        <w:t>9,023,000</w:t>
      </w:r>
      <w:r w:rsidRPr="009044BD">
        <w:rPr>
          <w:rFonts w:eastAsiaTheme="minorHAnsi"/>
        </w:rPr>
        <w:t xml:space="preserve"> = $1 economic impact/$1 cost of the project. Meaning the project basically pays for</w:t>
      </w:r>
      <w:r w:rsidRPr="003473EB">
        <w:rPr>
          <w:rFonts w:eastAsiaTheme="minorHAnsi"/>
        </w:rPr>
        <w:t xml:space="preserve"> itself in the first year of operation. From above in Section 1 (using GAO economic multipliers) </w:t>
      </w:r>
      <w:r w:rsidRPr="003473EB">
        <w:t xml:space="preserve">over the 25-year </w:t>
      </w:r>
      <w:r w:rsidR="00E0207B" w:rsidRPr="003473EB">
        <w:t>lifetime</w:t>
      </w:r>
      <w:r w:rsidRPr="003473EB">
        <w:t xml:space="preserve"> of the systems this would mean </w:t>
      </w:r>
      <w:r w:rsidRPr="003473EB">
        <w:rPr>
          <w:b/>
          <w:bCs/>
        </w:rPr>
        <w:t>$1</w:t>
      </w:r>
      <w:r w:rsidR="003A51D3">
        <w:rPr>
          <w:b/>
          <w:bCs/>
        </w:rPr>
        <w:t>5</w:t>
      </w:r>
      <w:r w:rsidRPr="003473EB">
        <w:rPr>
          <w:b/>
          <w:bCs/>
        </w:rPr>
        <w:t>0 million</w:t>
      </w:r>
      <w:r w:rsidRPr="003473EB">
        <w:t xml:space="preserve"> impact on the local economy. </w:t>
      </w:r>
      <w:r w:rsidRPr="003473EB">
        <w:rPr>
          <w:rFonts w:eastAsiaTheme="minorHAnsi"/>
        </w:rPr>
        <w:t xml:space="preserve">Thus, in doing the benefit to cost ratio, the </w:t>
      </w:r>
      <w:r w:rsidRPr="003473EB">
        <w:rPr>
          <w:rFonts w:eastAsiaTheme="minorHAnsi"/>
          <w:b/>
          <w:bCs/>
        </w:rPr>
        <w:t>economic benefits are over 14 times that of the cost of the project.</w:t>
      </w:r>
    </w:p>
    <w:p w14:paraId="39555469" w14:textId="54AB8281" w:rsidR="00CA5DB0" w:rsidRPr="003473EB" w:rsidRDefault="00CA5DB0" w:rsidP="00C854FE">
      <w:pPr>
        <w:pStyle w:val="Heading2"/>
        <w:spacing w:after="60"/>
        <w:rPr>
          <w:rFonts w:eastAsiaTheme="minorHAnsi"/>
        </w:rPr>
      </w:pPr>
      <w:bookmarkStart w:id="63" w:name="_Toc161741988"/>
      <w:bookmarkStart w:id="64" w:name="_Toc161908267"/>
      <w:bookmarkStart w:id="65" w:name="_Toc161924179"/>
      <w:bookmarkStart w:id="66" w:name="_Toc162606612"/>
      <w:r w:rsidRPr="003473EB">
        <w:rPr>
          <w:rFonts w:eastAsiaTheme="minorHAnsi"/>
        </w:rPr>
        <w:t>Documentation of GHG Reduction Assumptions</w:t>
      </w:r>
      <w:bookmarkEnd w:id="63"/>
      <w:bookmarkEnd w:id="64"/>
      <w:bookmarkEnd w:id="65"/>
      <w:bookmarkEnd w:id="66"/>
      <w:r w:rsidRPr="003473EB">
        <w:rPr>
          <w:rFonts w:eastAsiaTheme="minorHAnsi"/>
        </w:rPr>
        <w:t xml:space="preserve"> </w:t>
      </w:r>
    </w:p>
    <w:p w14:paraId="32252414" w14:textId="5149A33A" w:rsidR="00EE6384" w:rsidRDefault="00CA5DB0" w:rsidP="00C854FE">
      <w:pPr>
        <w:spacing w:after="60"/>
      </w:pPr>
      <w:r w:rsidRPr="003473EB">
        <w:rPr>
          <w:rFonts w:eastAsiaTheme="minorHAnsi"/>
        </w:rPr>
        <w:t xml:space="preserve">The Technical Appendix provides images of spread sheets used to calculate the energy saved and the total GHG reductions (summarized in Table 2-2). These contain the assumptions and references for calculations. </w:t>
      </w:r>
      <w:r w:rsidRPr="0024704B">
        <w:rPr>
          <w:rFonts w:eastAsiaTheme="minorHAnsi"/>
        </w:rPr>
        <w:t xml:space="preserve">Table B-1 provides the energy savings from using solar powered irrigation. </w:t>
      </w:r>
      <w:r w:rsidR="0024704B" w:rsidRPr="0024704B">
        <w:rPr>
          <w:rFonts w:eastAsiaTheme="minorHAnsi"/>
        </w:rPr>
        <w:t xml:space="preserve">Table B-2 gives energy assumptions for solar panels. </w:t>
      </w:r>
      <w:r w:rsidRPr="0024704B">
        <w:rPr>
          <w:rFonts w:eastAsiaTheme="minorHAnsi"/>
        </w:rPr>
        <w:t>Table B-</w:t>
      </w:r>
      <w:r w:rsidR="0024704B" w:rsidRPr="0024704B">
        <w:rPr>
          <w:rFonts w:eastAsiaTheme="minorHAnsi"/>
        </w:rPr>
        <w:t>3</w:t>
      </w:r>
      <w:r w:rsidRPr="0024704B">
        <w:rPr>
          <w:rFonts w:eastAsiaTheme="minorHAnsi"/>
        </w:rPr>
        <w:t xml:space="preserve"> pr</w:t>
      </w:r>
      <w:r w:rsidR="0024704B" w:rsidRPr="0024704B">
        <w:rPr>
          <w:rFonts w:eastAsiaTheme="minorHAnsi"/>
        </w:rPr>
        <w:t>o</w:t>
      </w:r>
      <w:r w:rsidRPr="0024704B">
        <w:rPr>
          <w:rFonts w:eastAsiaTheme="minorHAnsi"/>
        </w:rPr>
        <w:t>vides Energy Savings Due to Reduced Barge Transport – Shipping of Grain From Midwest Avoided. Table B-</w:t>
      </w:r>
      <w:r w:rsidR="0024704B" w:rsidRPr="0024704B">
        <w:rPr>
          <w:rFonts w:eastAsiaTheme="minorHAnsi"/>
        </w:rPr>
        <w:t>4</w:t>
      </w:r>
      <w:r w:rsidRPr="0024704B">
        <w:rPr>
          <w:rFonts w:eastAsiaTheme="minorHAnsi"/>
        </w:rPr>
        <w:t xml:space="preserve"> details N</w:t>
      </w:r>
      <w:r w:rsidRPr="0024704B">
        <w:rPr>
          <w:rFonts w:eastAsiaTheme="minorHAnsi"/>
          <w:vertAlign w:val="subscript"/>
        </w:rPr>
        <w:t>2</w:t>
      </w:r>
      <w:r w:rsidRPr="0024704B">
        <w:rPr>
          <w:rFonts w:eastAsiaTheme="minorHAnsi"/>
        </w:rPr>
        <w:t>O reductions based on irrigation from USDA Alabama Statistics.</w:t>
      </w:r>
      <w:r w:rsidRPr="0024704B">
        <w:rPr>
          <w:b/>
          <w:bCs/>
        </w:rPr>
        <w:t xml:space="preserve"> </w:t>
      </w:r>
      <w:r w:rsidRPr="0024704B">
        <w:rPr>
          <w:rFonts w:eastAsiaTheme="minorHAnsi"/>
        </w:rPr>
        <w:t>Table B-</w:t>
      </w:r>
      <w:r w:rsidR="0024704B" w:rsidRPr="0024704B">
        <w:rPr>
          <w:rFonts w:eastAsiaTheme="minorHAnsi"/>
        </w:rPr>
        <w:t>5</w:t>
      </w:r>
      <w:r w:rsidRPr="0024704B">
        <w:rPr>
          <w:rFonts w:eastAsiaTheme="minorHAnsi"/>
        </w:rPr>
        <w:t xml:space="preserve"> provides GHG Reduction Calculations for Pivots, Barge Transport and N2O. </w:t>
      </w:r>
      <w:r w:rsidRPr="0024704B">
        <w:t>Table B-</w:t>
      </w:r>
      <w:r w:rsidR="0024704B" w:rsidRPr="0024704B">
        <w:t>6</w:t>
      </w:r>
      <w:r w:rsidRPr="0024704B">
        <w:t xml:space="preserve"> provides GHG Reduction Calculations for Pivots, Barge Transport and N2O based on the implementation schedule. Table B-</w:t>
      </w:r>
      <w:r w:rsidR="0024704B" w:rsidRPr="0024704B">
        <w:t>7</w:t>
      </w:r>
      <w:r w:rsidRPr="0024704B">
        <w:t xml:space="preserve"> gives Summary of Cumulative Emission Reductions through 2030 and 2050.</w:t>
      </w:r>
      <w:r w:rsidRPr="003473EB">
        <w:t xml:space="preserve"> </w:t>
      </w:r>
      <w:bookmarkStart w:id="67" w:name="_Toc161741989"/>
    </w:p>
    <w:p w14:paraId="635F1714" w14:textId="0871CB97" w:rsidR="00CA5DB0" w:rsidRPr="00EE6384" w:rsidRDefault="00F02850" w:rsidP="00C854FE">
      <w:pPr>
        <w:pStyle w:val="Heading1"/>
        <w:spacing w:after="60"/>
      </w:pPr>
      <w:bookmarkStart w:id="68" w:name="_Toc161908268"/>
      <w:bookmarkStart w:id="69" w:name="_Toc161924180"/>
      <w:bookmarkStart w:id="70" w:name="_Toc162606613"/>
      <w:bookmarkEnd w:id="67"/>
      <w:r>
        <w:t>Environmental</w:t>
      </w:r>
      <w:bookmarkEnd w:id="68"/>
      <w:r>
        <w:t xml:space="preserve"> </w:t>
      </w:r>
      <w:r w:rsidR="00D321D4" w:rsidRPr="006E429B">
        <w:rPr>
          <w:szCs w:val="22"/>
        </w:rPr>
        <w:t>Results – Outputs, Outcomes, and Performance Measures</w:t>
      </w:r>
      <w:bookmarkEnd w:id="69"/>
      <w:bookmarkEnd w:id="70"/>
    </w:p>
    <w:p w14:paraId="5205378D" w14:textId="77777777" w:rsidR="00CA5DB0" w:rsidRPr="003473EB" w:rsidRDefault="00CA5DB0" w:rsidP="00C854FE">
      <w:pPr>
        <w:pStyle w:val="BodyText"/>
        <w:spacing w:after="60"/>
        <w:rPr>
          <w:rFonts w:asciiTheme="minorHAnsi" w:hAnsiTheme="minorHAnsi" w:cstheme="minorHAnsi"/>
          <w:szCs w:val="22"/>
        </w:rPr>
      </w:pPr>
      <w:r w:rsidRPr="003473EB">
        <w:rPr>
          <w:rFonts w:asciiTheme="minorHAnsi" w:eastAsiaTheme="minorHAnsi" w:hAnsiTheme="minorHAnsi" w:cstheme="minorHAnsi"/>
          <w:szCs w:val="22"/>
        </w:rPr>
        <w:t xml:space="preserve">The following section describes both the local environmental benefits as well as external environmental benefits. This includes discussions on how these projects may help change the geography of agricultural production in the U.S. to a less impactful, sustainable and resilient geography. </w:t>
      </w:r>
    </w:p>
    <w:p w14:paraId="4B2E6C0B" w14:textId="1C889EE4" w:rsidR="00CA5DB0" w:rsidRPr="003473EB" w:rsidRDefault="00CA5DB0" w:rsidP="00D321D4">
      <w:pPr>
        <w:spacing w:afterLines="60" w:after="144"/>
        <w:rPr>
          <w:rFonts w:asciiTheme="minorHAnsi" w:hAnsiTheme="minorHAnsi" w:cstheme="minorHAnsi"/>
          <w:szCs w:val="22"/>
        </w:rPr>
      </w:pPr>
      <w:r w:rsidRPr="003473EB">
        <w:rPr>
          <w:rFonts w:asciiTheme="minorHAnsi" w:hAnsiTheme="minorHAnsi" w:cstheme="minorHAnsi"/>
          <w:szCs w:val="22"/>
        </w:rPr>
        <w:t xml:space="preserve">While many have voiced concerns about the vulnerabilities of agriculture to future climate change (Schneider 1989, CCSP 2008, Mearns et al. 1999), less has been discussed about changes in U.S. agriculture in the last century that increased its vulnerability to climate change and produced other environmental impacts. A significant amount of the nation’s food and fiber crop production migrated from the East to the arid West due to the establishment of irrigation infrastructure and improved transportation (Effland 2000, Gardner 2002). Similarly, as discussed above the U.S. went from a distributed agricultural system, where significant corn was grown in almost every state, to one in which nearly 90% of corn production is now concentrated in the Upper Midwest (Gardner 2002). Fresh fruits and vegetables were grown in almost every state for local consumption. This production is now concentrated in a few areas of the arid west. California and Arizona accounted for nearly 70% of fresh vegetable production </w:t>
      </w:r>
      <w:hyperlink r:id="rId39" w:history="1">
        <w:r w:rsidRPr="003473EB">
          <w:rPr>
            <w:rStyle w:val="Hyperlink"/>
            <w:rFonts w:asciiTheme="minorHAnsi" w:hAnsiTheme="minorHAnsi" w:cstheme="minorHAnsi"/>
            <w:szCs w:val="22"/>
          </w:rPr>
          <w:t>https://vegetablegrowersnews.com/news/3-states-produced-76-percent-u-s-veggies-2017/</w:t>
        </w:r>
      </w:hyperlink>
      <w:r w:rsidRPr="003473EB">
        <w:rPr>
          <w:rFonts w:asciiTheme="minorHAnsi" w:hAnsiTheme="minorHAnsi" w:cstheme="minorHAnsi"/>
          <w:szCs w:val="22"/>
        </w:rPr>
        <w:t xml:space="preserve">. Wysong et al. (1984) noted that in 1950 the Northeast produced about 21% of the nation’s fruit and vegetables, but by 1980 this fraction had dropped to only 7% and is even less today. In 1939 Maine, New York and Pennsylvania led the nation in potato production, but by 1950 they had lost their historical top rankings to Idaho and Washington as irrigation projects on the Snake River came </w:t>
      </w:r>
      <w:r w:rsidR="009D3295" w:rsidRPr="003473EB">
        <w:rPr>
          <w:rFonts w:asciiTheme="minorHAnsi" w:hAnsiTheme="minorHAnsi" w:cstheme="minorHAnsi"/>
          <w:szCs w:val="22"/>
        </w:rPr>
        <w:t>online</w:t>
      </w:r>
      <w:r w:rsidRPr="003473EB">
        <w:rPr>
          <w:rFonts w:asciiTheme="minorHAnsi" w:hAnsiTheme="minorHAnsi" w:cstheme="minorHAnsi"/>
          <w:szCs w:val="22"/>
        </w:rPr>
        <w:t xml:space="preserve">. </w:t>
      </w:r>
    </w:p>
    <w:p w14:paraId="785168B6" w14:textId="50361F8D" w:rsidR="00CA5DB0" w:rsidRPr="00D321D4" w:rsidRDefault="00CA5DB0" w:rsidP="00D321D4">
      <w:pPr>
        <w:pStyle w:val="BodyText"/>
        <w:spacing w:afterLines="60" w:after="144"/>
        <w:rPr>
          <w:rFonts w:asciiTheme="minorHAnsi" w:hAnsiTheme="minorHAnsi" w:cstheme="minorHAnsi"/>
          <w:b/>
          <w:szCs w:val="22"/>
        </w:rPr>
      </w:pPr>
      <w:r w:rsidRPr="003473EB">
        <w:rPr>
          <w:rFonts w:asciiTheme="minorHAnsi" w:hAnsiTheme="minorHAnsi" w:cstheme="minorHAnsi"/>
          <w:szCs w:val="22"/>
        </w:rPr>
        <w:t xml:space="preserve">However, the sustainability of this geography is under pressure. Water for irrigation in the West is now under stress due both to supply and demand (Postel 1992, Rosegrant et al. 2002, Overpeck and Udall, 2010). Population growth and environmental restoration are competing with farmers for water supply (Reisner 1986). </w:t>
      </w:r>
    </w:p>
    <w:p w14:paraId="1C6C95FD" w14:textId="1CFD2A42" w:rsidR="00CA5DB0" w:rsidRPr="003473EB" w:rsidRDefault="00CA5DB0" w:rsidP="00D321D4">
      <w:pPr>
        <w:spacing w:afterLines="60" w:after="144"/>
        <w:rPr>
          <w:rFonts w:asciiTheme="minorHAnsi" w:hAnsiTheme="minorHAnsi" w:cstheme="minorHAnsi"/>
          <w:szCs w:val="22"/>
        </w:rPr>
      </w:pPr>
      <w:r w:rsidRPr="003473EB">
        <w:rPr>
          <w:rFonts w:asciiTheme="minorHAnsi" w:hAnsiTheme="minorHAnsi" w:cstheme="minorHAnsi"/>
          <w:szCs w:val="22"/>
        </w:rPr>
        <w:t xml:space="preserve">The concentration of grain production in a relatively small area in the Midwest makes grain production vulnerable to regional droughts which are evident in the instrumental and paleo record. In addition, the concentration of production in the upper Midwest has overwhelmed the fertilizer assimilative capacity of the watersheds leading to increased nutrient export into the Gulf of Mexico resulting in a large area of hypoxic waters (Rabalais et al. 2001, Hendricks et al. 2014).  The present project will contribute to a more sustainable geography of </w:t>
      </w:r>
      <w:r w:rsidR="009D3295" w:rsidRPr="003473EB">
        <w:rPr>
          <w:rFonts w:asciiTheme="minorHAnsi" w:hAnsiTheme="minorHAnsi" w:cstheme="minorHAnsi"/>
          <w:szCs w:val="22"/>
        </w:rPr>
        <w:t>production.</w:t>
      </w:r>
    </w:p>
    <w:p w14:paraId="0CC2DB16" w14:textId="0EA1768D" w:rsidR="00CA5DB0" w:rsidRPr="00D321D4" w:rsidRDefault="00CA5DB0" w:rsidP="00D321D4">
      <w:pPr>
        <w:pStyle w:val="Heading2"/>
        <w:numPr>
          <w:ilvl w:val="0"/>
          <w:numId w:val="73"/>
        </w:numPr>
        <w:rPr>
          <w:rFonts w:eastAsiaTheme="minorHAnsi"/>
        </w:rPr>
      </w:pPr>
      <w:bookmarkStart w:id="71" w:name="_Toc161741990"/>
      <w:bookmarkStart w:id="72" w:name="_Toc161908269"/>
      <w:bookmarkStart w:id="73" w:name="_Toc161924181"/>
      <w:bookmarkStart w:id="74" w:name="_Toc162606614"/>
      <w:r w:rsidRPr="00D321D4">
        <w:rPr>
          <w:rFonts w:eastAsiaTheme="minorHAnsi"/>
        </w:rPr>
        <w:t>Expected Outputs and Outcomes</w:t>
      </w:r>
      <w:bookmarkEnd w:id="71"/>
      <w:bookmarkEnd w:id="72"/>
      <w:bookmarkEnd w:id="73"/>
      <w:bookmarkEnd w:id="74"/>
      <w:r w:rsidRPr="00D321D4">
        <w:rPr>
          <w:rFonts w:eastAsiaTheme="minorHAnsi"/>
        </w:rPr>
        <w:t xml:space="preserve"> </w:t>
      </w:r>
    </w:p>
    <w:p w14:paraId="2A5B9C1B" w14:textId="77777777"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szCs w:val="22"/>
        </w:rPr>
        <w:t xml:space="preserve">The project will expand irrigated production in rural Alabama by approximately 1700 acres. It will show that solar powered irrigation is a viable solution where electrical power grids cannot support the power needs of </w:t>
      </w:r>
      <w:r w:rsidRPr="003473EB">
        <w:rPr>
          <w:rFonts w:asciiTheme="minorHAnsi" w:eastAsiaTheme="minorHAnsi" w:hAnsiTheme="minorHAnsi" w:cstheme="minorHAnsi"/>
          <w:szCs w:val="22"/>
        </w:rPr>
        <w:lastRenderedPageBreak/>
        <w:t xml:space="preserve">irrigation pumps. It will also provide a path where the geography of U.S. production is less concentrated. This makes production more resilient to regional drought. It preserves U.S. agricultural output by potentially moving production of cotton from the arid west where it is in decline because of water scarcity. It will also potentially provide savings in grain transport from the Midwest to Alabama. This may potentially reduce nutrient loading in the Mississippi Basin.  </w:t>
      </w:r>
    </w:p>
    <w:p w14:paraId="17808BBB" w14:textId="77777777"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szCs w:val="22"/>
        </w:rPr>
        <w:t xml:space="preserve">Since solar powered irrigation is new to Alabama and most of the Southeast it may have a transformative impact as success is viewed by other farmers. </w:t>
      </w:r>
    </w:p>
    <w:p w14:paraId="397D4932" w14:textId="06C43EE4" w:rsidR="00CA5DB0" w:rsidRPr="003473EB" w:rsidRDefault="00CA5DB0" w:rsidP="00D321D4">
      <w:pPr>
        <w:pStyle w:val="Heading2"/>
        <w:rPr>
          <w:rFonts w:eastAsiaTheme="minorHAnsi"/>
        </w:rPr>
      </w:pPr>
      <w:bookmarkStart w:id="75" w:name="_Toc161741991"/>
      <w:bookmarkStart w:id="76" w:name="_Toc161908270"/>
      <w:bookmarkStart w:id="77" w:name="_Toc161924182"/>
      <w:bookmarkStart w:id="78" w:name="_Toc162606615"/>
      <w:r w:rsidRPr="003473EB">
        <w:rPr>
          <w:rFonts w:eastAsiaTheme="minorHAnsi"/>
        </w:rPr>
        <w:t>Performance Measures and Plan</w:t>
      </w:r>
      <w:bookmarkEnd w:id="75"/>
      <w:bookmarkEnd w:id="76"/>
      <w:bookmarkEnd w:id="77"/>
      <w:bookmarkEnd w:id="78"/>
      <w:r w:rsidRPr="003473EB">
        <w:rPr>
          <w:rFonts w:eastAsiaTheme="minorHAnsi"/>
        </w:rPr>
        <w:t xml:space="preserve"> </w:t>
      </w:r>
    </w:p>
    <w:p w14:paraId="166DC8DA" w14:textId="5C37C8D9"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b/>
          <w:bCs/>
          <w:szCs w:val="22"/>
        </w:rPr>
        <w:t>Reporting on Energy Saved by Solar Powered Irrigation:</w:t>
      </w:r>
      <w:r w:rsidRPr="003473EB">
        <w:rPr>
          <w:rFonts w:asciiTheme="minorHAnsi" w:eastAsiaTheme="minorHAnsi" w:hAnsiTheme="minorHAnsi" w:cstheme="minorHAnsi"/>
          <w:szCs w:val="22"/>
        </w:rPr>
        <w:t xml:space="preserve"> The project will track the number of acres put under irrigation in Alabama funded under this project. These will be delineated by individual installations, the irrigated </w:t>
      </w:r>
      <w:r w:rsidR="009D3295" w:rsidRPr="003473EB">
        <w:rPr>
          <w:rFonts w:asciiTheme="minorHAnsi" w:eastAsiaTheme="minorHAnsi" w:hAnsiTheme="minorHAnsi" w:cstheme="minorHAnsi"/>
          <w:szCs w:val="22"/>
        </w:rPr>
        <w:t>area,</w:t>
      </w:r>
      <w:r w:rsidRPr="003473EB">
        <w:rPr>
          <w:rFonts w:asciiTheme="minorHAnsi" w:eastAsiaTheme="minorHAnsi" w:hAnsiTheme="minorHAnsi" w:cstheme="minorHAnsi"/>
          <w:szCs w:val="22"/>
        </w:rPr>
        <w:t xml:space="preserve"> and their locations. It will also track the GHG savings as discussed in section 2 above. Since solar powered irrigation is a new technology in </w:t>
      </w:r>
      <w:r w:rsidR="009D3295" w:rsidRPr="003473EB">
        <w:rPr>
          <w:rFonts w:asciiTheme="minorHAnsi" w:eastAsiaTheme="minorHAnsi" w:hAnsiTheme="minorHAnsi" w:cstheme="minorHAnsi"/>
          <w:szCs w:val="22"/>
        </w:rPr>
        <w:t>Alabama,</w:t>
      </w:r>
      <w:r w:rsidRPr="003473EB">
        <w:rPr>
          <w:rFonts w:asciiTheme="minorHAnsi" w:eastAsiaTheme="minorHAnsi" w:hAnsiTheme="minorHAnsi" w:cstheme="minorHAnsi"/>
          <w:szCs w:val="22"/>
        </w:rPr>
        <w:t xml:space="preserve"> we will also track other solar powered irrigation systems that might be built in State spurred by this project. It will also track the GHG savings as discussed in section 2 above. The GHG tracking will include separately the reduction due to systems installed under funding for this project and other additional projects. </w:t>
      </w:r>
    </w:p>
    <w:p w14:paraId="0CBF03D4" w14:textId="77777777"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b/>
          <w:bCs/>
          <w:szCs w:val="22"/>
        </w:rPr>
        <w:t xml:space="preserve">Reporting on Transportation Energy Saved:  </w:t>
      </w:r>
      <w:r w:rsidRPr="003473EB">
        <w:rPr>
          <w:rFonts w:asciiTheme="minorHAnsi" w:eastAsiaTheme="minorHAnsi" w:hAnsiTheme="minorHAnsi" w:cstheme="minorHAnsi"/>
          <w:szCs w:val="22"/>
        </w:rPr>
        <w:t>As discussed above the additional grain production (corn and soybeans) from the solar powered irrigation systems will reduce the need to transport grain from the Midwest to serve the State’s poultry industry. We will track the amount of grains produced by the new solar powered systems. The GHG reductions due to reduced transportation energy as given in Section 2 will be tracked and reported. We will separately include the estimates of GHG saved for other solar powered irrigation systems not funded explicitly by this project.</w:t>
      </w:r>
    </w:p>
    <w:p w14:paraId="17028B13" w14:textId="325B2FEC"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b/>
          <w:bCs/>
          <w:szCs w:val="22"/>
        </w:rPr>
        <w:t xml:space="preserve">Reporting Nitrous Oxides Reduced: </w:t>
      </w:r>
      <w:r w:rsidRPr="003473EB">
        <w:rPr>
          <w:rFonts w:asciiTheme="minorHAnsi" w:eastAsiaTheme="minorHAnsi" w:hAnsiTheme="minorHAnsi" w:cstheme="minorHAnsi"/>
          <w:szCs w:val="22"/>
        </w:rPr>
        <w:t>The amount of N</w:t>
      </w:r>
      <w:r w:rsidRPr="003473EB">
        <w:rPr>
          <w:rFonts w:asciiTheme="minorHAnsi" w:eastAsiaTheme="minorHAnsi" w:hAnsiTheme="minorHAnsi" w:cstheme="minorHAnsi"/>
          <w:szCs w:val="22"/>
          <w:vertAlign w:val="subscript"/>
        </w:rPr>
        <w:t>2</w:t>
      </w:r>
      <w:r w:rsidRPr="003473EB">
        <w:rPr>
          <w:rFonts w:asciiTheme="minorHAnsi" w:eastAsiaTheme="minorHAnsi" w:hAnsiTheme="minorHAnsi" w:cstheme="minorHAnsi"/>
          <w:szCs w:val="22"/>
        </w:rPr>
        <w:t>O saved will be estimated based on the reduction in N</w:t>
      </w:r>
      <w:r w:rsidRPr="003473EB">
        <w:rPr>
          <w:rFonts w:asciiTheme="minorHAnsi" w:eastAsiaTheme="minorHAnsi" w:hAnsiTheme="minorHAnsi" w:cstheme="minorHAnsi"/>
          <w:szCs w:val="22"/>
          <w:vertAlign w:val="subscript"/>
        </w:rPr>
        <w:t>2</w:t>
      </w:r>
      <w:r w:rsidRPr="003473EB">
        <w:rPr>
          <w:rFonts w:asciiTheme="minorHAnsi" w:eastAsiaTheme="minorHAnsi" w:hAnsiTheme="minorHAnsi" w:cstheme="minorHAnsi"/>
          <w:szCs w:val="22"/>
        </w:rPr>
        <w:t>O between irrigated and non-irrigated production. Tons of N</w:t>
      </w:r>
      <w:r w:rsidRPr="003473EB">
        <w:rPr>
          <w:rFonts w:asciiTheme="minorHAnsi" w:eastAsiaTheme="minorHAnsi" w:hAnsiTheme="minorHAnsi" w:cstheme="minorHAnsi"/>
          <w:szCs w:val="22"/>
          <w:vertAlign w:val="subscript"/>
        </w:rPr>
        <w:t>2</w:t>
      </w:r>
      <w:r w:rsidRPr="003473EB">
        <w:rPr>
          <w:rFonts w:asciiTheme="minorHAnsi" w:eastAsiaTheme="minorHAnsi" w:hAnsiTheme="minorHAnsi" w:cstheme="minorHAnsi"/>
          <w:szCs w:val="22"/>
        </w:rPr>
        <w:t xml:space="preserve">O saved will be calculated as the number of solar powered pivots come </w:t>
      </w:r>
      <w:r w:rsidR="009044BD" w:rsidRPr="003473EB">
        <w:rPr>
          <w:rFonts w:asciiTheme="minorHAnsi" w:eastAsiaTheme="minorHAnsi" w:hAnsiTheme="minorHAnsi" w:cstheme="minorHAnsi"/>
          <w:szCs w:val="22"/>
        </w:rPr>
        <w:t>online</w:t>
      </w:r>
      <w:r w:rsidRPr="003473EB">
        <w:rPr>
          <w:rFonts w:asciiTheme="minorHAnsi" w:eastAsiaTheme="minorHAnsi" w:hAnsiTheme="minorHAnsi" w:cstheme="minorHAnsi"/>
          <w:szCs w:val="22"/>
        </w:rPr>
        <w:t xml:space="preserve">. </w:t>
      </w:r>
    </w:p>
    <w:p w14:paraId="579E0E13" w14:textId="0A848BB2" w:rsidR="00CA5DB0" w:rsidRPr="003473EB" w:rsidRDefault="00CA5DB0" w:rsidP="00D321D4">
      <w:pPr>
        <w:pStyle w:val="BodyText"/>
        <w:spacing w:afterLines="60" w:after="144"/>
        <w:rPr>
          <w:rFonts w:asciiTheme="minorHAnsi" w:eastAsiaTheme="minorHAnsi" w:hAnsiTheme="minorHAnsi" w:cstheme="minorHAnsi"/>
          <w:szCs w:val="22"/>
        </w:rPr>
      </w:pPr>
      <w:r w:rsidRPr="003473EB">
        <w:rPr>
          <w:rFonts w:asciiTheme="minorHAnsi" w:eastAsiaTheme="minorHAnsi" w:hAnsiTheme="minorHAnsi" w:cstheme="minorHAnsi"/>
          <w:b/>
          <w:bCs/>
          <w:szCs w:val="22"/>
        </w:rPr>
        <w:t>Other External Environmental Benefits:</w:t>
      </w:r>
      <w:r w:rsidRPr="003473EB">
        <w:rPr>
          <w:rFonts w:asciiTheme="minorHAnsi" w:eastAsiaTheme="minorHAnsi" w:hAnsiTheme="minorHAnsi" w:cstheme="minorHAnsi"/>
          <w:szCs w:val="22"/>
        </w:rPr>
        <w:t xml:space="preserve"> In addition to GHG reductions specific to the proposed solar powered pivots</w:t>
      </w:r>
      <w:r w:rsidR="00FB7973">
        <w:rPr>
          <w:rFonts w:asciiTheme="minorHAnsi" w:eastAsiaTheme="minorHAnsi" w:hAnsiTheme="minorHAnsi" w:cstheme="minorHAnsi"/>
          <w:szCs w:val="22"/>
        </w:rPr>
        <w:t>,</w:t>
      </w:r>
      <w:r w:rsidRPr="003473EB">
        <w:rPr>
          <w:rFonts w:asciiTheme="minorHAnsi" w:eastAsiaTheme="minorHAnsi" w:hAnsiTheme="minorHAnsi" w:cstheme="minorHAnsi"/>
          <w:szCs w:val="22"/>
        </w:rPr>
        <w:t xml:space="preserve"> we will also tally and report potential western water saved by replacing western cotton production with production in Alabama. We will also tally and report on reduced nitrogen run-off in the Mississippi basin due to replacing Midwest corn production with Alabama production. While we cannot guarantee that Midwest corn production will drop (it may be like other energy efficiencies in that when new technology reduces energy use total energy may increase (e.g. the Jevons Paradox)  </w:t>
      </w:r>
      <w:hyperlink r:id="rId40" w:history="1">
        <w:r w:rsidRPr="003473EB">
          <w:rPr>
            <w:rStyle w:val="Hyperlink"/>
            <w:rFonts w:asciiTheme="minorHAnsi" w:eastAsiaTheme="minorHAnsi" w:hAnsiTheme="minorHAnsi" w:cstheme="minorHAnsi"/>
            <w:szCs w:val="22"/>
          </w:rPr>
          <w:t>https://www.nytimes.com/2024/02/22/</w:t>
        </w:r>
      </w:hyperlink>
    </w:p>
    <w:p w14:paraId="658ED541" w14:textId="5DD0B7D1" w:rsidR="00CA5DB0" w:rsidRPr="003473EB" w:rsidRDefault="00CA5DB0" w:rsidP="0000069C">
      <w:pPr>
        <w:pStyle w:val="Heading2"/>
        <w:rPr>
          <w:rFonts w:eastAsiaTheme="minorHAnsi"/>
        </w:rPr>
      </w:pPr>
      <w:bookmarkStart w:id="79" w:name="_Toc161741992"/>
      <w:bookmarkStart w:id="80" w:name="_Toc161908271"/>
      <w:r w:rsidRPr="003473EB">
        <w:rPr>
          <w:rFonts w:eastAsiaTheme="minorHAnsi"/>
        </w:rPr>
        <w:t xml:space="preserve"> </w:t>
      </w:r>
      <w:bookmarkStart w:id="81" w:name="_Toc161924183"/>
      <w:bookmarkStart w:id="82" w:name="_Toc162606616"/>
      <w:r w:rsidRPr="003473EB">
        <w:rPr>
          <w:rFonts w:eastAsiaTheme="minorHAnsi"/>
        </w:rPr>
        <w:t>Authorities, Implementation Timeline, and Milestones</w:t>
      </w:r>
      <w:bookmarkEnd w:id="79"/>
      <w:bookmarkEnd w:id="80"/>
      <w:bookmarkEnd w:id="81"/>
      <w:bookmarkEnd w:id="82"/>
    </w:p>
    <w:p w14:paraId="3397FD19" w14:textId="0E7A744A" w:rsidR="00CA5DB0" w:rsidRDefault="00CA5DB0" w:rsidP="00D321D4">
      <w:pPr>
        <w:pStyle w:val="BodyText"/>
        <w:spacing w:afterLines="60" w:after="144"/>
        <w:rPr>
          <w:rFonts w:asciiTheme="minorHAnsi" w:hAnsiTheme="minorHAnsi" w:cstheme="minorHAnsi"/>
          <w:szCs w:val="22"/>
          <w:highlight w:val="yellow"/>
        </w:rPr>
      </w:pPr>
      <w:r w:rsidRPr="00014932">
        <w:rPr>
          <w:rFonts w:asciiTheme="minorHAnsi" w:hAnsiTheme="minorHAnsi" w:cstheme="minorHAnsi"/>
          <w:color w:val="000000"/>
          <w:szCs w:val="22"/>
          <w:shd w:val="clear" w:color="auto" w:fill="FFFFFF"/>
        </w:rPr>
        <w:t>The Alabama Soil and Water Conservation Committee (ALSWCC) is an executive department of the State of Alabama created by statute in 1939.  The mission of ALSWCC is to encourage conservation on private lands. The ALSWCC has a presence in all 67 counties in the State. Locally led, nonregulatory entities authorized under state law known as soil and water conservation districts are managed by district administrative coordinators and a voluntary Board of Supervisors. </w:t>
      </w:r>
      <w:r w:rsidRPr="00014932">
        <w:rPr>
          <w:rFonts w:asciiTheme="minorHAnsi" w:hAnsiTheme="minorHAnsi" w:cstheme="minorHAnsi"/>
          <w:szCs w:val="22"/>
        </w:rPr>
        <w:t xml:space="preserve">The ALSWCC has implemented many federal programs in the State. One of the most recent federal </w:t>
      </w:r>
      <w:r w:rsidR="00014932" w:rsidRPr="00014932">
        <w:rPr>
          <w:rFonts w:asciiTheme="minorHAnsi" w:hAnsiTheme="minorHAnsi" w:cstheme="minorHAnsi"/>
          <w:szCs w:val="22"/>
        </w:rPr>
        <w:t>programs</w:t>
      </w:r>
      <w:r w:rsidRPr="00014932">
        <w:rPr>
          <w:rFonts w:asciiTheme="minorHAnsi" w:hAnsiTheme="minorHAnsi" w:cstheme="minorHAnsi"/>
          <w:szCs w:val="22"/>
        </w:rPr>
        <w:t xml:space="preserve"> being the implementation </w:t>
      </w:r>
      <w:r w:rsidR="00014932" w:rsidRPr="00014932">
        <w:rPr>
          <w:rFonts w:asciiTheme="minorHAnsi" w:hAnsiTheme="minorHAnsi" w:cstheme="minorHAnsi"/>
          <w:szCs w:val="22"/>
        </w:rPr>
        <w:t>of PL</w:t>
      </w:r>
      <w:r w:rsidRPr="00014932">
        <w:rPr>
          <w:rFonts w:asciiTheme="minorHAnsi" w:hAnsiTheme="minorHAnsi" w:cstheme="minorHAnsi"/>
          <w:szCs w:val="22"/>
        </w:rPr>
        <w:t xml:space="preserve">566 Irrigation Projects in conjunction with the federal Natural Resources and Conservation Service (NRCS) in Alabama. Here the ALSWCC establishes the framework for selecting and providing the federal funds to farmers. </w:t>
      </w:r>
      <w:r w:rsidR="00014932">
        <w:rPr>
          <w:rFonts w:asciiTheme="minorHAnsi" w:hAnsiTheme="minorHAnsi" w:cstheme="minorHAnsi"/>
          <w:szCs w:val="22"/>
        </w:rPr>
        <w:t xml:space="preserve">The applications are ranked according to criteria developed to meet the goals of the project and may include conservation ethic, availability of </w:t>
      </w:r>
      <w:r w:rsidR="000E1C37">
        <w:rPr>
          <w:rFonts w:asciiTheme="minorHAnsi" w:hAnsiTheme="minorHAnsi" w:cstheme="minorHAnsi"/>
          <w:szCs w:val="22"/>
        </w:rPr>
        <w:t xml:space="preserve">necessary natural resources, physical properties of the farm and associated benefits of the project. </w:t>
      </w:r>
      <w:r w:rsidRPr="00014932">
        <w:rPr>
          <w:rFonts w:asciiTheme="minorHAnsi" w:hAnsiTheme="minorHAnsi" w:cstheme="minorHAnsi"/>
          <w:szCs w:val="22"/>
        </w:rPr>
        <w:t xml:space="preserve">This is the </w:t>
      </w:r>
      <w:r w:rsidR="00451C7C" w:rsidRPr="00014932">
        <w:rPr>
          <w:rFonts w:asciiTheme="minorHAnsi" w:hAnsiTheme="minorHAnsi" w:cstheme="minorHAnsi"/>
          <w:szCs w:val="22"/>
        </w:rPr>
        <w:t>type of</w:t>
      </w:r>
      <w:r w:rsidRPr="00014932">
        <w:rPr>
          <w:rFonts w:asciiTheme="minorHAnsi" w:hAnsiTheme="minorHAnsi" w:cstheme="minorHAnsi"/>
          <w:szCs w:val="22"/>
        </w:rPr>
        <w:t xml:space="preserve"> framework to be used under this EPA grant</w:t>
      </w:r>
      <w:r w:rsidR="000E1C37">
        <w:rPr>
          <w:rFonts w:asciiTheme="minorHAnsi" w:hAnsiTheme="minorHAnsi" w:cstheme="minorHAnsi"/>
          <w:szCs w:val="22"/>
        </w:rPr>
        <w:t xml:space="preserve"> but tailored to the objectives of this project</w:t>
      </w:r>
      <w:r w:rsidRPr="00014932">
        <w:rPr>
          <w:rFonts w:asciiTheme="minorHAnsi" w:hAnsiTheme="minorHAnsi" w:cstheme="minorHAnsi"/>
          <w:szCs w:val="22"/>
        </w:rPr>
        <w:t>.</w:t>
      </w:r>
      <w:r w:rsidRPr="0024704B">
        <w:rPr>
          <w:rFonts w:asciiTheme="minorHAnsi" w:hAnsiTheme="minorHAnsi" w:cstheme="minorHAnsi"/>
          <w:szCs w:val="22"/>
          <w:highlight w:val="yellow"/>
        </w:rPr>
        <w:t xml:space="preserve"> </w:t>
      </w:r>
    </w:p>
    <w:p w14:paraId="078229B5" w14:textId="77777777" w:rsidR="009D3295" w:rsidRDefault="009D3295" w:rsidP="00D321D4">
      <w:pPr>
        <w:pStyle w:val="BodyText"/>
        <w:spacing w:afterLines="60" w:after="144"/>
        <w:rPr>
          <w:rFonts w:asciiTheme="minorHAnsi" w:hAnsiTheme="minorHAnsi" w:cstheme="minorHAnsi"/>
          <w:szCs w:val="22"/>
          <w:highlight w:val="yellow"/>
        </w:rPr>
      </w:pPr>
    </w:p>
    <w:p w14:paraId="7861A991" w14:textId="77777777" w:rsidR="009D3295" w:rsidRPr="0024704B" w:rsidRDefault="009D3295" w:rsidP="00D321D4">
      <w:pPr>
        <w:pStyle w:val="BodyText"/>
        <w:spacing w:afterLines="60" w:after="144"/>
        <w:rPr>
          <w:rFonts w:asciiTheme="minorHAnsi" w:hAnsiTheme="minorHAnsi" w:cstheme="minorHAnsi"/>
          <w:szCs w:val="22"/>
          <w:highlight w:val="yellow"/>
        </w:rPr>
      </w:pPr>
    </w:p>
    <w:p w14:paraId="60AD7834" w14:textId="224528CD" w:rsidR="00CA5DB0" w:rsidRPr="000E1C37" w:rsidRDefault="00AB3251" w:rsidP="00016113">
      <w:pPr>
        <w:rPr>
          <w:b/>
          <w:bCs/>
        </w:rPr>
      </w:pPr>
      <w:bookmarkStart w:id="83" w:name="_Toc161741993"/>
      <w:bookmarkStart w:id="84" w:name="_Toc161908272"/>
      <w:r w:rsidRPr="000E1C37">
        <w:rPr>
          <w:b/>
          <w:bCs/>
        </w:rPr>
        <w:t>Timeline</w:t>
      </w:r>
      <w:r w:rsidR="00CA5DB0" w:rsidRPr="000E1C37">
        <w:rPr>
          <w:b/>
          <w:bCs/>
        </w:rPr>
        <w:t xml:space="preserve"> and Milestones:</w:t>
      </w:r>
      <w:bookmarkEnd w:id="83"/>
      <w:bookmarkEnd w:id="84"/>
      <w:r w:rsidR="00CA5DB0" w:rsidRPr="000E1C37">
        <w:rPr>
          <w:b/>
          <w:bCs/>
        </w:rPr>
        <w:t xml:space="preserve"> </w:t>
      </w:r>
    </w:p>
    <w:p w14:paraId="79E945A5" w14:textId="3C5EE266"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szCs w:val="22"/>
        </w:rPr>
        <w:t xml:space="preserve">The schedule and milestones for the project are given in table 3-1. We will first start with developing a list of potential contractors that can supply the irrigation systems. </w:t>
      </w:r>
      <w:r w:rsidR="009D3295" w:rsidRPr="000E1C37">
        <w:rPr>
          <w:rFonts w:asciiTheme="minorHAnsi" w:hAnsiTheme="minorHAnsi" w:cstheme="minorHAnsi"/>
          <w:szCs w:val="22"/>
        </w:rPr>
        <w:t>Next,</w:t>
      </w:r>
      <w:r w:rsidRPr="000E1C37">
        <w:rPr>
          <w:rFonts w:asciiTheme="minorHAnsi" w:hAnsiTheme="minorHAnsi" w:cstheme="minorHAnsi"/>
          <w:szCs w:val="22"/>
        </w:rPr>
        <w:t xml:space="preserve"> we will develop a list of interested applicants. Note this will follow the USDA development of applicants as described above. </w:t>
      </w:r>
    </w:p>
    <w:p w14:paraId="0521B438" w14:textId="14B6F7D7" w:rsidR="00CA5DB0" w:rsidRPr="000E1C37" w:rsidRDefault="00F7025C" w:rsidP="00CA5DB0">
      <w:pPr>
        <w:pStyle w:val="BodyText"/>
        <w:spacing w:after="0"/>
        <w:rPr>
          <w:rFonts w:asciiTheme="minorHAnsi" w:hAnsiTheme="minorHAnsi" w:cstheme="minorHAnsi"/>
          <w:b/>
          <w:bCs/>
          <w:szCs w:val="22"/>
        </w:rPr>
      </w:pPr>
      <w:r w:rsidRPr="000E1C37">
        <w:rPr>
          <w:rFonts w:asciiTheme="minorHAnsi" w:hAnsiTheme="minorHAnsi" w:cstheme="minorHAnsi"/>
          <w:b/>
          <w:bCs/>
          <w:szCs w:val="22"/>
        </w:rPr>
        <w:t xml:space="preserve">Project </w:t>
      </w:r>
      <w:r w:rsidR="00CA5DB0" w:rsidRPr="000E1C37">
        <w:rPr>
          <w:rFonts w:asciiTheme="minorHAnsi" w:hAnsiTheme="minorHAnsi" w:cstheme="minorHAnsi"/>
          <w:b/>
          <w:bCs/>
          <w:szCs w:val="22"/>
        </w:rPr>
        <w:t xml:space="preserve">Milestones: </w:t>
      </w:r>
    </w:p>
    <w:p w14:paraId="790B83C2" w14:textId="77777777"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b/>
          <w:bCs/>
          <w:i/>
          <w:iCs/>
          <w:szCs w:val="22"/>
          <w:lang w:val="en"/>
        </w:rPr>
        <w:t>Develop List of Potential Farms/Awardees:</w:t>
      </w:r>
      <w:r w:rsidRPr="000E1C37">
        <w:rPr>
          <w:rFonts w:asciiTheme="minorHAnsi" w:hAnsiTheme="minorHAnsi" w:cstheme="minorHAnsi"/>
          <w:szCs w:val="22"/>
          <w:lang w:val="en"/>
        </w:rPr>
        <w:t xml:space="preserve"> The first step is to identify farmers and </w:t>
      </w:r>
    </w:p>
    <w:p w14:paraId="6FD1EC31" w14:textId="2384C347"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szCs w:val="22"/>
          <w:lang w:val="en"/>
        </w:rPr>
        <w:t>farms that can successfully implement the solar and irrigation infrastructure</w:t>
      </w:r>
      <w:r w:rsidR="007C5DC5">
        <w:rPr>
          <w:rFonts w:asciiTheme="minorHAnsi" w:hAnsiTheme="minorHAnsi" w:cstheme="minorHAnsi"/>
          <w:szCs w:val="22"/>
          <w:lang w:val="en"/>
        </w:rPr>
        <w:t xml:space="preserve"> and are interested in pursuing applications</w:t>
      </w:r>
      <w:r w:rsidRPr="000E1C37">
        <w:rPr>
          <w:rFonts w:asciiTheme="minorHAnsi" w:hAnsiTheme="minorHAnsi" w:cstheme="minorHAnsi"/>
          <w:szCs w:val="22"/>
          <w:lang w:val="en"/>
        </w:rPr>
        <w:t xml:space="preserve">. This will be done in conjunction with the </w:t>
      </w:r>
      <w:r w:rsidR="00F7025C" w:rsidRPr="000E1C37">
        <w:rPr>
          <w:rFonts w:asciiTheme="minorHAnsi" w:hAnsiTheme="minorHAnsi" w:cstheme="minorHAnsi"/>
          <w:szCs w:val="22"/>
          <w:lang w:val="en"/>
        </w:rPr>
        <w:t xml:space="preserve">NRCS </w:t>
      </w:r>
      <w:r w:rsidRPr="000E1C37">
        <w:rPr>
          <w:rFonts w:asciiTheme="minorHAnsi" w:hAnsiTheme="minorHAnsi" w:cstheme="minorHAnsi"/>
          <w:szCs w:val="22"/>
          <w:lang w:val="en"/>
        </w:rPr>
        <w:t xml:space="preserve">Alabama Irrigation Initiative which is also reaching out to farmers in three current watersheds in Alabama. That program will eventually </w:t>
      </w:r>
    </w:p>
    <w:p w14:paraId="635F1068" w14:textId="77777777"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szCs w:val="22"/>
          <w:lang w:val="en"/>
        </w:rPr>
        <w:t>cover most of rural Alabama.</w:t>
      </w:r>
    </w:p>
    <w:p w14:paraId="51054251" w14:textId="0E983248"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b/>
          <w:bCs/>
          <w:i/>
          <w:iCs/>
          <w:szCs w:val="22"/>
          <w:lang w:val="en"/>
        </w:rPr>
        <w:t xml:space="preserve">Identify Potential Contractors: </w:t>
      </w:r>
      <w:r w:rsidRPr="000E1C37">
        <w:rPr>
          <w:rFonts w:asciiTheme="minorHAnsi" w:hAnsiTheme="minorHAnsi" w:cstheme="minorHAnsi"/>
          <w:szCs w:val="22"/>
          <w:lang w:val="en"/>
        </w:rPr>
        <w:t xml:space="preserve">A key part of the program is identifying potential solar and irrigation equipment contractors which can provide and install the equipment. This is a critical element in that Alabama with very few acres under irrigation has a smaller number of irrigation equipment suppliers than other states. Similar limitations may be found for solar array equipment and installation. Thus, a key step is identifying potential contractors. </w:t>
      </w:r>
    </w:p>
    <w:p w14:paraId="51CE03C7" w14:textId="038ABF45"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b/>
          <w:bCs/>
          <w:i/>
          <w:iCs/>
          <w:szCs w:val="22"/>
          <w:lang w:val="en"/>
        </w:rPr>
        <w:t xml:space="preserve">Develop </w:t>
      </w:r>
      <w:r w:rsidR="0011703F">
        <w:rPr>
          <w:rFonts w:asciiTheme="minorHAnsi" w:hAnsiTheme="minorHAnsi" w:cstheme="minorHAnsi"/>
          <w:b/>
          <w:bCs/>
          <w:i/>
          <w:iCs/>
          <w:szCs w:val="22"/>
          <w:lang w:val="en"/>
        </w:rPr>
        <w:t>Standards for Equipment</w:t>
      </w:r>
      <w:r w:rsidR="00787F2E">
        <w:rPr>
          <w:rFonts w:asciiTheme="minorHAnsi" w:hAnsiTheme="minorHAnsi" w:cstheme="minorHAnsi"/>
          <w:b/>
          <w:bCs/>
          <w:i/>
          <w:iCs/>
          <w:szCs w:val="22"/>
          <w:lang w:val="en"/>
        </w:rPr>
        <w:t xml:space="preserve"> and Bid Screening Process</w:t>
      </w:r>
      <w:r w:rsidRPr="000E1C37">
        <w:rPr>
          <w:rFonts w:asciiTheme="minorHAnsi" w:hAnsiTheme="minorHAnsi" w:cstheme="minorHAnsi"/>
          <w:b/>
          <w:bCs/>
          <w:i/>
          <w:iCs/>
          <w:szCs w:val="22"/>
          <w:lang w:val="en"/>
        </w:rPr>
        <w:t xml:space="preserve">: </w:t>
      </w:r>
      <w:r w:rsidRPr="000E1C37">
        <w:rPr>
          <w:rFonts w:asciiTheme="minorHAnsi" w:hAnsiTheme="minorHAnsi" w:cstheme="minorHAnsi"/>
          <w:szCs w:val="22"/>
          <w:lang w:val="en"/>
        </w:rPr>
        <w:t xml:space="preserve">Under this program, as with the USDA NRCS irrigation program, the farmers will </w:t>
      </w:r>
      <w:r w:rsidR="00E0207B" w:rsidRPr="000E1C37">
        <w:rPr>
          <w:rFonts w:asciiTheme="minorHAnsi" w:hAnsiTheme="minorHAnsi" w:cstheme="minorHAnsi"/>
          <w:szCs w:val="22"/>
          <w:lang w:val="en"/>
        </w:rPr>
        <w:t>select</w:t>
      </w:r>
      <w:r w:rsidRPr="000E1C37">
        <w:rPr>
          <w:rFonts w:asciiTheme="minorHAnsi" w:hAnsiTheme="minorHAnsi" w:cstheme="minorHAnsi"/>
          <w:szCs w:val="22"/>
          <w:lang w:val="en"/>
        </w:rPr>
        <w:t xml:space="preserve"> and own the equipment. However, as part of this CPRG activity we will develop a bid screening process.  The ALSWCC, from the contractor list above, will ask potential contractors to make general pricing of both irrigation and solar systems. This will be in terms of price per acre installed, separately or together, for the irrigation/solar system. This will be done in terms of size of the installation. For example, separate pricing for pivot system 50-100 acres and 100-200 acres. Similar bids will be made for the smaller drip/spray vegetable systems described above. </w:t>
      </w:r>
    </w:p>
    <w:p w14:paraId="698D747B" w14:textId="73DC07EE" w:rsidR="00CA5DB0" w:rsidRPr="000E1C37" w:rsidRDefault="00CA5DB0" w:rsidP="00CA5DB0">
      <w:pPr>
        <w:pStyle w:val="BodyText"/>
        <w:spacing w:after="0"/>
        <w:rPr>
          <w:rFonts w:asciiTheme="minorHAnsi" w:hAnsiTheme="minorHAnsi" w:cstheme="minorHAnsi"/>
          <w:szCs w:val="22"/>
          <w:lang w:val="en"/>
        </w:rPr>
      </w:pPr>
      <w:r w:rsidRPr="000E1C37">
        <w:rPr>
          <w:rFonts w:asciiTheme="minorHAnsi" w:hAnsiTheme="minorHAnsi" w:cstheme="minorHAnsi"/>
          <w:b/>
          <w:bCs/>
          <w:i/>
          <w:iCs/>
          <w:szCs w:val="22"/>
          <w:lang w:val="en"/>
        </w:rPr>
        <w:t xml:space="preserve">Develop Relationship with Potential Awardees: </w:t>
      </w:r>
      <w:r w:rsidRPr="000E1C37">
        <w:rPr>
          <w:rFonts w:asciiTheme="minorHAnsi" w:hAnsiTheme="minorHAnsi" w:cstheme="minorHAnsi"/>
          <w:szCs w:val="22"/>
          <w:lang w:val="en"/>
        </w:rPr>
        <w:t xml:space="preserve">In selecting and awarding the infrastructure grants, it is important that the recipient has the capability, </w:t>
      </w:r>
      <w:r w:rsidR="00451C7C" w:rsidRPr="000E1C37">
        <w:rPr>
          <w:rFonts w:asciiTheme="minorHAnsi" w:hAnsiTheme="minorHAnsi" w:cstheme="minorHAnsi"/>
          <w:szCs w:val="22"/>
          <w:lang w:val="en"/>
        </w:rPr>
        <w:t>knowledge,</w:t>
      </w:r>
      <w:r w:rsidRPr="000E1C37">
        <w:rPr>
          <w:rFonts w:asciiTheme="minorHAnsi" w:hAnsiTheme="minorHAnsi" w:cstheme="minorHAnsi"/>
          <w:szCs w:val="22"/>
          <w:lang w:val="en"/>
        </w:rPr>
        <w:t xml:space="preserve"> and support infrastructure to manage and operate the system towards the goals of the program. </w:t>
      </w:r>
      <w:r w:rsidR="00F7025C" w:rsidRPr="000E1C37">
        <w:rPr>
          <w:rFonts w:asciiTheme="minorHAnsi" w:hAnsiTheme="minorHAnsi" w:cstheme="minorHAnsi"/>
          <w:szCs w:val="22"/>
          <w:lang w:val="en"/>
        </w:rPr>
        <w:t>With in the NRCS watershed</w:t>
      </w:r>
      <w:r w:rsidR="001B26C4">
        <w:rPr>
          <w:rFonts w:asciiTheme="minorHAnsi" w:hAnsiTheme="minorHAnsi" w:cstheme="minorHAnsi"/>
          <w:szCs w:val="22"/>
          <w:lang w:val="en"/>
        </w:rPr>
        <w:t xml:space="preserve"> </w:t>
      </w:r>
      <w:r w:rsidR="00F7025C" w:rsidRPr="000E1C37">
        <w:rPr>
          <w:rFonts w:asciiTheme="minorHAnsi" w:hAnsiTheme="minorHAnsi" w:cstheme="minorHAnsi"/>
          <w:szCs w:val="22"/>
          <w:lang w:val="en"/>
        </w:rPr>
        <w:t xml:space="preserve">program an </w:t>
      </w:r>
      <w:r w:rsidRPr="000E1C37">
        <w:rPr>
          <w:rFonts w:asciiTheme="minorHAnsi" w:hAnsiTheme="minorHAnsi" w:cstheme="minorHAnsi"/>
          <w:szCs w:val="22"/>
          <w:lang w:val="en"/>
        </w:rPr>
        <w:t>objective system is in place to help select potential awardees and a system to educate and assess the awardees capabilities. We will add additional education to cover the solar and battery</w:t>
      </w:r>
      <w:r w:rsidR="001B26C4">
        <w:rPr>
          <w:rFonts w:asciiTheme="minorHAnsi" w:hAnsiTheme="minorHAnsi" w:cstheme="minorHAnsi"/>
          <w:szCs w:val="22"/>
          <w:lang w:val="en"/>
        </w:rPr>
        <w:t xml:space="preserve"> </w:t>
      </w:r>
      <w:r w:rsidRPr="000E1C37">
        <w:rPr>
          <w:rFonts w:asciiTheme="minorHAnsi" w:hAnsiTheme="minorHAnsi" w:cstheme="minorHAnsi"/>
          <w:szCs w:val="22"/>
          <w:lang w:val="en"/>
        </w:rPr>
        <w:t>systems to be added under this project. The objective</w:t>
      </w:r>
      <w:r w:rsidR="00BA2DD9" w:rsidRPr="000E1C37">
        <w:rPr>
          <w:rFonts w:asciiTheme="minorHAnsi" w:hAnsiTheme="minorHAnsi" w:cstheme="minorHAnsi"/>
          <w:szCs w:val="22"/>
          <w:lang w:val="en"/>
        </w:rPr>
        <w:t xml:space="preserve"> process</w:t>
      </w:r>
      <w:r w:rsidRPr="000E1C37">
        <w:rPr>
          <w:rFonts w:asciiTheme="minorHAnsi" w:hAnsiTheme="minorHAnsi" w:cstheme="minorHAnsi"/>
          <w:szCs w:val="22"/>
          <w:lang w:val="en"/>
        </w:rPr>
        <w:t xml:space="preserve"> </w:t>
      </w:r>
      <w:r w:rsidR="009D3295" w:rsidRPr="000E1C37">
        <w:rPr>
          <w:rFonts w:asciiTheme="minorHAnsi" w:hAnsiTheme="minorHAnsi" w:cstheme="minorHAnsi"/>
          <w:szCs w:val="22"/>
          <w:lang w:val="en"/>
        </w:rPr>
        <w:t>follows</w:t>
      </w:r>
      <w:r w:rsidRPr="000E1C37">
        <w:rPr>
          <w:rFonts w:asciiTheme="minorHAnsi" w:hAnsiTheme="minorHAnsi" w:cstheme="minorHAnsi"/>
          <w:szCs w:val="22"/>
          <w:lang w:val="en"/>
        </w:rPr>
        <w:t xml:space="preserve"> the current selection process being used in the USDA Alabama Irrigation Initiative. Basically, the local NRCS office in Auburn carries out a ranking process based on applications submitted by farmers. The office will also assist the farmers in filling out the applications if needed. The screening system also evaluates many </w:t>
      </w:r>
      <w:r w:rsidR="001B26C4">
        <w:rPr>
          <w:rFonts w:asciiTheme="minorHAnsi" w:hAnsiTheme="minorHAnsi" w:cstheme="minorHAnsi"/>
          <w:szCs w:val="22"/>
          <w:lang w:val="en"/>
        </w:rPr>
        <w:t>e</w:t>
      </w:r>
      <w:r w:rsidRPr="000E1C37">
        <w:rPr>
          <w:rFonts w:asciiTheme="minorHAnsi" w:hAnsiTheme="minorHAnsi" w:cstheme="minorHAnsi"/>
          <w:szCs w:val="22"/>
          <w:lang w:val="en"/>
        </w:rPr>
        <w:t xml:space="preserve">nvironmental attributes such as protecting wetlands, potential for erosion, water availability, stream ecological impact, density of other water users etc. </w:t>
      </w:r>
    </w:p>
    <w:p w14:paraId="72BA876B" w14:textId="77777777"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t xml:space="preserve">Make Farm Selection: </w:t>
      </w:r>
      <w:r w:rsidRPr="000E1C37">
        <w:rPr>
          <w:rFonts w:asciiTheme="minorHAnsi" w:hAnsiTheme="minorHAnsi" w:cstheme="minorHAnsi"/>
          <w:szCs w:val="22"/>
        </w:rPr>
        <w:t xml:space="preserve">After evaluating the objective selection criteria, including the </w:t>
      </w:r>
    </w:p>
    <w:p w14:paraId="470B2EE8" w14:textId="54C6460E"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szCs w:val="22"/>
        </w:rPr>
        <w:t xml:space="preserve">capability the farm </w:t>
      </w:r>
      <w:r w:rsidR="009D3295" w:rsidRPr="000E1C37">
        <w:rPr>
          <w:rFonts w:asciiTheme="minorHAnsi" w:hAnsiTheme="minorHAnsi" w:cstheme="minorHAnsi"/>
          <w:szCs w:val="22"/>
        </w:rPr>
        <w:t>must</w:t>
      </w:r>
      <w:r w:rsidRPr="000E1C37">
        <w:rPr>
          <w:rFonts w:asciiTheme="minorHAnsi" w:hAnsiTheme="minorHAnsi" w:cstheme="minorHAnsi"/>
          <w:szCs w:val="22"/>
        </w:rPr>
        <w:t xml:space="preserve"> implement </w:t>
      </w:r>
      <w:r w:rsidR="00F7025C" w:rsidRPr="000E1C37">
        <w:rPr>
          <w:rFonts w:asciiTheme="minorHAnsi" w:hAnsiTheme="minorHAnsi" w:cstheme="minorHAnsi"/>
          <w:szCs w:val="22"/>
        </w:rPr>
        <w:t xml:space="preserve">and operate </w:t>
      </w:r>
      <w:r w:rsidRPr="000E1C37">
        <w:rPr>
          <w:rFonts w:asciiTheme="minorHAnsi" w:hAnsiTheme="minorHAnsi" w:cstheme="minorHAnsi"/>
          <w:szCs w:val="22"/>
        </w:rPr>
        <w:t xml:space="preserve">the irrigation/solar systems, the </w:t>
      </w:r>
      <w:r w:rsidR="00BA2DD9" w:rsidRPr="000E1C37">
        <w:rPr>
          <w:rFonts w:asciiTheme="minorHAnsi" w:hAnsiTheme="minorHAnsi" w:cstheme="minorHAnsi"/>
          <w:szCs w:val="22"/>
        </w:rPr>
        <w:t xml:space="preserve">NRCS and ALSWCC will make </w:t>
      </w:r>
      <w:r w:rsidR="00F7025C" w:rsidRPr="000E1C37">
        <w:rPr>
          <w:rFonts w:asciiTheme="minorHAnsi" w:hAnsiTheme="minorHAnsi" w:cstheme="minorHAnsi"/>
          <w:szCs w:val="22"/>
        </w:rPr>
        <w:t xml:space="preserve">the </w:t>
      </w:r>
      <w:r w:rsidR="00BA2DD9" w:rsidRPr="000E1C37">
        <w:rPr>
          <w:rFonts w:asciiTheme="minorHAnsi" w:hAnsiTheme="minorHAnsi" w:cstheme="minorHAnsi"/>
          <w:szCs w:val="22"/>
        </w:rPr>
        <w:t>s</w:t>
      </w:r>
      <w:r w:rsidRPr="000E1C37">
        <w:rPr>
          <w:rFonts w:asciiTheme="minorHAnsi" w:hAnsiTheme="minorHAnsi" w:cstheme="minorHAnsi"/>
          <w:szCs w:val="22"/>
        </w:rPr>
        <w:t>election</w:t>
      </w:r>
      <w:r w:rsidR="00BA2DD9" w:rsidRPr="000E1C37">
        <w:rPr>
          <w:rFonts w:asciiTheme="minorHAnsi" w:hAnsiTheme="minorHAnsi" w:cstheme="minorHAnsi"/>
          <w:szCs w:val="22"/>
        </w:rPr>
        <w:t xml:space="preserve">. </w:t>
      </w:r>
    </w:p>
    <w:p w14:paraId="131362F6" w14:textId="08A36934"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t xml:space="preserve">Contracting the Irrigation/Solar System: </w:t>
      </w:r>
      <w:r w:rsidRPr="000E1C37">
        <w:rPr>
          <w:rFonts w:asciiTheme="minorHAnsi" w:hAnsiTheme="minorHAnsi" w:cstheme="minorHAnsi"/>
          <w:szCs w:val="22"/>
        </w:rPr>
        <w:t xml:space="preserve">After selection of the farm, the farmer will contract with the irrigation/solar system installer that meets the criteria for price, </w:t>
      </w:r>
      <w:r w:rsidR="009D3295" w:rsidRPr="000E1C37">
        <w:rPr>
          <w:rFonts w:asciiTheme="minorHAnsi" w:hAnsiTheme="minorHAnsi" w:cstheme="minorHAnsi"/>
          <w:szCs w:val="22"/>
        </w:rPr>
        <w:t>schedule,</w:t>
      </w:r>
      <w:r w:rsidRPr="000E1C37">
        <w:rPr>
          <w:rFonts w:asciiTheme="minorHAnsi" w:hAnsiTheme="minorHAnsi" w:cstheme="minorHAnsi"/>
          <w:szCs w:val="22"/>
        </w:rPr>
        <w:t xml:space="preserve"> and follow-on service. The farmer </w:t>
      </w:r>
      <w:r w:rsidR="00BA2DD9" w:rsidRPr="000E1C37">
        <w:rPr>
          <w:rFonts w:asciiTheme="minorHAnsi" w:hAnsiTheme="minorHAnsi" w:cstheme="minorHAnsi"/>
          <w:szCs w:val="22"/>
        </w:rPr>
        <w:t>will</w:t>
      </w:r>
      <w:r w:rsidRPr="000E1C37">
        <w:rPr>
          <w:rFonts w:asciiTheme="minorHAnsi" w:hAnsiTheme="minorHAnsi" w:cstheme="minorHAnsi"/>
          <w:szCs w:val="22"/>
        </w:rPr>
        <w:t xml:space="preserve"> </w:t>
      </w:r>
      <w:r w:rsidR="00BA2DD9" w:rsidRPr="000E1C37">
        <w:rPr>
          <w:rFonts w:asciiTheme="minorHAnsi" w:hAnsiTheme="minorHAnsi" w:cstheme="minorHAnsi"/>
          <w:szCs w:val="22"/>
        </w:rPr>
        <w:t xml:space="preserve">select </w:t>
      </w:r>
      <w:r w:rsidRPr="000E1C37">
        <w:rPr>
          <w:rFonts w:asciiTheme="minorHAnsi" w:hAnsiTheme="minorHAnsi" w:cstheme="minorHAnsi"/>
          <w:szCs w:val="22"/>
        </w:rPr>
        <w:t xml:space="preserve">the vendor </w:t>
      </w:r>
      <w:r w:rsidR="00BA2DD9" w:rsidRPr="000E1C37">
        <w:rPr>
          <w:rFonts w:asciiTheme="minorHAnsi" w:hAnsiTheme="minorHAnsi" w:cstheme="minorHAnsi"/>
          <w:szCs w:val="22"/>
        </w:rPr>
        <w:t xml:space="preserve">and the ALSWCC will review the contract in line with </w:t>
      </w:r>
      <w:r w:rsidRPr="000E1C37">
        <w:rPr>
          <w:rFonts w:asciiTheme="minorHAnsi" w:hAnsiTheme="minorHAnsi" w:cstheme="minorHAnsi"/>
          <w:szCs w:val="22"/>
        </w:rPr>
        <w:t>the pricing/servicing in the screening process described above. As with the USDA NRCS process</w:t>
      </w:r>
      <w:r w:rsidR="00F7025C" w:rsidRPr="000E1C37">
        <w:rPr>
          <w:rFonts w:asciiTheme="minorHAnsi" w:hAnsiTheme="minorHAnsi" w:cstheme="minorHAnsi"/>
          <w:szCs w:val="22"/>
        </w:rPr>
        <w:t>,</w:t>
      </w:r>
      <w:r w:rsidRPr="000E1C37">
        <w:rPr>
          <w:rFonts w:asciiTheme="minorHAnsi" w:hAnsiTheme="minorHAnsi" w:cstheme="minorHAnsi"/>
          <w:szCs w:val="22"/>
        </w:rPr>
        <w:t xml:space="preserve"> farmers will</w:t>
      </w:r>
      <w:r w:rsidR="00F7025C" w:rsidRPr="000E1C37">
        <w:rPr>
          <w:rFonts w:asciiTheme="minorHAnsi" w:hAnsiTheme="minorHAnsi" w:cstheme="minorHAnsi"/>
          <w:szCs w:val="22"/>
        </w:rPr>
        <w:t xml:space="preserve"> </w:t>
      </w:r>
      <w:r w:rsidR="00BA2DD9" w:rsidRPr="000E1C37">
        <w:rPr>
          <w:rFonts w:asciiTheme="minorHAnsi" w:hAnsiTheme="minorHAnsi" w:cstheme="minorHAnsi"/>
          <w:szCs w:val="22"/>
        </w:rPr>
        <w:t xml:space="preserve">then be </w:t>
      </w:r>
      <w:r w:rsidRPr="000E1C37">
        <w:rPr>
          <w:rFonts w:asciiTheme="minorHAnsi" w:hAnsiTheme="minorHAnsi" w:cstheme="minorHAnsi"/>
          <w:szCs w:val="22"/>
        </w:rPr>
        <w:t xml:space="preserve">allocated funds to cover the installation. </w:t>
      </w:r>
    </w:p>
    <w:p w14:paraId="69C82153" w14:textId="77777777"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t xml:space="preserve">Install Irrigation/Solar Equipment: </w:t>
      </w:r>
      <w:r w:rsidRPr="000E1C37">
        <w:rPr>
          <w:rFonts w:asciiTheme="minorHAnsi" w:hAnsiTheme="minorHAnsi" w:cstheme="minorHAnsi"/>
          <w:szCs w:val="22"/>
        </w:rPr>
        <w:t xml:space="preserve">The contractor working with the farm will install the </w:t>
      </w:r>
    </w:p>
    <w:p w14:paraId="3DB36291" w14:textId="77777777"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szCs w:val="22"/>
        </w:rPr>
        <w:t xml:space="preserve">equipment and train the farmer on its operation and care. </w:t>
      </w:r>
    </w:p>
    <w:p w14:paraId="25D9205B" w14:textId="77777777"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t xml:space="preserve">Begin Equipment Operation: </w:t>
      </w:r>
      <w:r w:rsidRPr="000E1C37">
        <w:rPr>
          <w:rFonts w:asciiTheme="minorHAnsi" w:hAnsiTheme="minorHAnsi" w:cstheme="minorHAnsi"/>
          <w:szCs w:val="22"/>
        </w:rPr>
        <w:t xml:space="preserve">After installation the system will start operation for a crop. </w:t>
      </w:r>
    </w:p>
    <w:p w14:paraId="4331592E" w14:textId="4D9F6D13"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t xml:space="preserve">Calculate/refine GHG Reductions: </w:t>
      </w:r>
      <w:r w:rsidRPr="000E1C37">
        <w:rPr>
          <w:rFonts w:asciiTheme="minorHAnsi" w:hAnsiTheme="minorHAnsi" w:cstheme="minorHAnsi"/>
          <w:szCs w:val="22"/>
        </w:rPr>
        <w:t>Throughout the project as more information is found the GHG calculations will be updated and refined.</w:t>
      </w:r>
    </w:p>
    <w:p w14:paraId="761B63B8" w14:textId="3A03FF84" w:rsidR="00CA5DB0" w:rsidRPr="000E1C37" w:rsidRDefault="00CA5DB0" w:rsidP="00CA5DB0">
      <w:pPr>
        <w:pStyle w:val="BodyText"/>
        <w:spacing w:after="0"/>
        <w:rPr>
          <w:rFonts w:asciiTheme="minorHAnsi" w:hAnsiTheme="minorHAnsi" w:cstheme="minorHAnsi"/>
          <w:szCs w:val="22"/>
        </w:rPr>
      </w:pPr>
      <w:r w:rsidRPr="000E1C37">
        <w:rPr>
          <w:rFonts w:asciiTheme="minorHAnsi" w:hAnsiTheme="minorHAnsi" w:cstheme="minorHAnsi"/>
          <w:b/>
          <w:bCs/>
          <w:i/>
          <w:iCs/>
          <w:szCs w:val="22"/>
        </w:rPr>
        <w:lastRenderedPageBreak/>
        <w:t xml:space="preserve">Refine Equipment Type: </w:t>
      </w:r>
      <w:r w:rsidRPr="000E1C37">
        <w:rPr>
          <w:rFonts w:asciiTheme="minorHAnsi" w:hAnsiTheme="minorHAnsi" w:cstheme="minorHAnsi"/>
          <w:szCs w:val="22"/>
        </w:rPr>
        <w:t xml:space="preserve">As interaction occurs with farmers, vendors etc. refinements will be made to equipment needs and specifications. </w:t>
      </w:r>
    </w:p>
    <w:p w14:paraId="0F0A14A8" w14:textId="77777777" w:rsidR="004A5F8C" w:rsidRDefault="004A5F8C" w:rsidP="00CA5DB0">
      <w:pPr>
        <w:jc w:val="center"/>
        <w:rPr>
          <w:rFonts w:asciiTheme="minorHAnsi" w:hAnsiTheme="minorHAnsi" w:cstheme="minorHAnsi"/>
          <w:b/>
          <w:bCs/>
          <w:i/>
          <w:iCs/>
          <w:szCs w:val="22"/>
        </w:rPr>
      </w:pPr>
    </w:p>
    <w:p w14:paraId="6D7AC58D" w14:textId="466E42EB" w:rsidR="00CA5DB0" w:rsidRDefault="00CA5DB0" w:rsidP="00CA5DB0">
      <w:pPr>
        <w:jc w:val="center"/>
        <w:rPr>
          <w:rFonts w:asciiTheme="minorHAnsi" w:hAnsiTheme="minorHAnsi" w:cstheme="minorHAnsi"/>
          <w:b/>
          <w:bCs/>
          <w:i/>
          <w:iCs/>
          <w:szCs w:val="22"/>
        </w:rPr>
      </w:pPr>
      <w:r w:rsidRPr="000E1C37">
        <w:rPr>
          <w:rFonts w:asciiTheme="minorHAnsi" w:hAnsiTheme="minorHAnsi" w:cstheme="minorHAnsi"/>
          <w:b/>
          <w:bCs/>
          <w:i/>
          <w:iCs/>
          <w:szCs w:val="22"/>
        </w:rPr>
        <w:t>Schedule and Milestones</w:t>
      </w:r>
    </w:p>
    <w:p w14:paraId="40F0567F" w14:textId="77777777" w:rsidR="004A5F8C" w:rsidRPr="003473EB" w:rsidRDefault="004A5F8C" w:rsidP="00CA5DB0">
      <w:pPr>
        <w:jc w:val="center"/>
        <w:rPr>
          <w:rFonts w:asciiTheme="minorHAnsi" w:hAnsiTheme="minorHAnsi" w:cstheme="minorHAnsi"/>
          <w:b/>
          <w:bCs/>
          <w:i/>
          <w:iCs/>
          <w:szCs w:val="22"/>
        </w:rPr>
      </w:pPr>
    </w:p>
    <w:p w14:paraId="19F9AC0F" w14:textId="473BDD09" w:rsidR="00CA5DB0" w:rsidRPr="003473EB" w:rsidRDefault="006D7ACD" w:rsidP="00CA5DB0">
      <w:pPr>
        <w:jc w:val="center"/>
        <w:rPr>
          <w:rFonts w:asciiTheme="minorHAnsi" w:hAnsiTheme="minorHAnsi" w:cstheme="minorHAnsi"/>
          <w:b/>
          <w:bCs/>
          <w:i/>
          <w:iCs/>
          <w:szCs w:val="22"/>
        </w:rPr>
      </w:pPr>
      <w:r w:rsidRPr="006D7ACD">
        <w:rPr>
          <w:noProof/>
        </w:rPr>
        <w:drawing>
          <wp:inline distT="0" distB="0" distL="0" distR="0" wp14:anchorId="1AF4A30B" wp14:editId="597725DA">
            <wp:extent cx="4140835" cy="2190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58120" cy="2199895"/>
                    </a:xfrm>
                    <a:prstGeom prst="rect">
                      <a:avLst/>
                    </a:prstGeom>
                    <a:noFill/>
                    <a:ln>
                      <a:noFill/>
                    </a:ln>
                  </pic:spPr>
                </pic:pic>
              </a:graphicData>
            </a:graphic>
          </wp:inline>
        </w:drawing>
      </w:r>
    </w:p>
    <w:p w14:paraId="1A4A7C6A" w14:textId="77777777" w:rsidR="00CA5DB0" w:rsidRPr="003473EB" w:rsidRDefault="00CA5DB0" w:rsidP="00CA5DB0">
      <w:pPr>
        <w:rPr>
          <w:rFonts w:asciiTheme="minorHAnsi" w:hAnsiTheme="minorHAnsi" w:cstheme="minorHAnsi"/>
          <w:i/>
          <w:iCs/>
          <w:szCs w:val="22"/>
        </w:rPr>
      </w:pPr>
      <w:r w:rsidRPr="003473EB">
        <w:rPr>
          <w:rFonts w:asciiTheme="minorHAnsi" w:hAnsiTheme="minorHAnsi" w:cstheme="minorHAnsi"/>
          <w:i/>
          <w:iCs/>
          <w:szCs w:val="22"/>
        </w:rPr>
        <w:t>Table 3-1 Milestones and Schedules for the Project</w:t>
      </w:r>
    </w:p>
    <w:p w14:paraId="3693B47E" w14:textId="77777777" w:rsidR="00CA5DB0" w:rsidRPr="003473EB" w:rsidRDefault="00CA5DB0" w:rsidP="00CA5DB0">
      <w:pPr>
        <w:rPr>
          <w:rFonts w:asciiTheme="minorHAnsi" w:hAnsiTheme="minorHAnsi" w:cstheme="minorHAnsi"/>
          <w:i/>
          <w:iCs/>
          <w:szCs w:val="22"/>
        </w:rPr>
      </w:pPr>
    </w:p>
    <w:p w14:paraId="5B801246" w14:textId="0CAE81F3" w:rsidR="00CA5DB0" w:rsidRPr="003473EB" w:rsidRDefault="00CA5DB0" w:rsidP="00CA5DB0">
      <w:pPr>
        <w:spacing w:after="120"/>
        <w:rPr>
          <w:rFonts w:asciiTheme="minorHAnsi" w:eastAsiaTheme="minorHAnsi" w:hAnsiTheme="minorHAnsi" w:cstheme="minorHAnsi"/>
          <w:szCs w:val="22"/>
        </w:rPr>
      </w:pPr>
      <w:r w:rsidRPr="003473EB">
        <w:rPr>
          <w:rFonts w:asciiTheme="minorHAnsi" w:eastAsiaTheme="minorHAnsi" w:hAnsiTheme="minorHAnsi" w:cstheme="minorHAnsi"/>
          <w:b/>
          <w:bCs/>
          <w:szCs w:val="22"/>
        </w:rPr>
        <w:t>Risks and assumptions in the schedule:</w:t>
      </w:r>
      <w:r w:rsidRPr="003473EB">
        <w:rPr>
          <w:rFonts w:asciiTheme="minorHAnsi" w:eastAsiaTheme="minorHAnsi" w:hAnsiTheme="minorHAnsi" w:cstheme="minorHAnsi"/>
          <w:szCs w:val="22"/>
        </w:rPr>
        <w:t xml:space="preserve"> For the solar vegetable system the size of the pumps </w:t>
      </w:r>
      <w:r w:rsidR="004A5F8C" w:rsidRPr="003473EB">
        <w:rPr>
          <w:rFonts w:asciiTheme="minorHAnsi" w:eastAsiaTheme="minorHAnsi" w:hAnsiTheme="minorHAnsi" w:cstheme="minorHAnsi"/>
          <w:szCs w:val="22"/>
        </w:rPr>
        <w:t>is</w:t>
      </w:r>
      <w:r w:rsidRPr="003473EB">
        <w:rPr>
          <w:rFonts w:asciiTheme="minorHAnsi" w:eastAsiaTheme="minorHAnsi" w:hAnsiTheme="minorHAnsi" w:cstheme="minorHAnsi"/>
          <w:szCs w:val="22"/>
        </w:rPr>
        <w:t xml:space="preserve"> small, probably equivalent to house well pumps generally 1-5 hp. The drip and small sprinkler systems will be small 5 – </w:t>
      </w:r>
      <w:r w:rsidR="00A53EB9" w:rsidRPr="003473EB">
        <w:rPr>
          <w:rFonts w:asciiTheme="minorHAnsi" w:eastAsiaTheme="minorHAnsi" w:hAnsiTheme="minorHAnsi" w:cstheme="minorHAnsi"/>
          <w:szCs w:val="22"/>
        </w:rPr>
        <w:t>10-acre</w:t>
      </w:r>
      <w:r w:rsidRPr="003473EB">
        <w:rPr>
          <w:rFonts w:asciiTheme="minorHAnsi" w:eastAsiaTheme="minorHAnsi" w:hAnsiTheme="minorHAnsi" w:cstheme="minorHAnsi"/>
          <w:szCs w:val="22"/>
        </w:rPr>
        <w:t xml:space="preserve"> systems (perhaps smaller). We expect </w:t>
      </w:r>
      <w:r w:rsidR="00FB7973">
        <w:rPr>
          <w:rFonts w:asciiTheme="minorHAnsi" w:eastAsiaTheme="minorHAnsi" w:hAnsiTheme="minorHAnsi" w:cstheme="minorHAnsi"/>
          <w:szCs w:val="22"/>
        </w:rPr>
        <w:t xml:space="preserve">30 </w:t>
      </w:r>
      <w:r w:rsidRPr="003473EB">
        <w:rPr>
          <w:rFonts w:asciiTheme="minorHAnsi" w:eastAsiaTheme="minorHAnsi" w:hAnsiTheme="minorHAnsi" w:cstheme="minorHAnsi"/>
          <w:szCs w:val="22"/>
        </w:rPr>
        <w:t xml:space="preserve">- </w:t>
      </w:r>
      <w:r w:rsidR="00A53EB9">
        <w:rPr>
          <w:rFonts w:asciiTheme="minorHAnsi" w:eastAsiaTheme="minorHAnsi" w:hAnsiTheme="minorHAnsi" w:cstheme="minorHAnsi"/>
          <w:szCs w:val="22"/>
        </w:rPr>
        <w:t xml:space="preserve">50 </w:t>
      </w:r>
      <w:r w:rsidR="00A53EB9" w:rsidRPr="003473EB">
        <w:rPr>
          <w:rFonts w:asciiTheme="minorHAnsi" w:eastAsiaTheme="minorHAnsi" w:hAnsiTheme="minorHAnsi" w:cstheme="minorHAnsi"/>
          <w:szCs w:val="22"/>
        </w:rPr>
        <w:t>separate</w:t>
      </w:r>
      <w:r w:rsidRPr="003473EB">
        <w:rPr>
          <w:rFonts w:asciiTheme="minorHAnsi" w:eastAsiaTheme="minorHAnsi" w:hAnsiTheme="minorHAnsi" w:cstheme="minorHAnsi"/>
          <w:szCs w:val="22"/>
        </w:rPr>
        <w:t xml:space="preserve"> installations</w:t>
      </w:r>
      <w:r w:rsidR="00FB7973">
        <w:rPr>
          <w:rFonts w:asciiTheme="minorHAnsi" w:eastAsiaTheme="minorHAnsi" w:hAnsiTheme="minorHAnsi" w:cstheme="minorHAnsi"/>
          <w:szCs w:val="22"/>
        </w:rPr>
        <w:t xml:space="preserve"> at 2-10 acres</w:t>
      </w:r>
      <w:r w:rsidRPr="003473EB">
        <w:rPr>
          <w:rFonts w:asciiTheme="minorHAnsi" w:eastAsiaTheme="minorHAnsi" w:hAnsiTheme="minorHAnsi" w:cstheme="minorHAnsi"/>
          <w:szCs w:val="22"/>
        </w:rPr>
        <w:t xml:space="preserve">. The drip/sprinkler systems have been in wide use around the country for vegetable and nursery use. The solar array is also </w:t>
      </w:r>
      <w:r w:rsidR="004A5F8C" w:rsidRPr="003473EB">
        <w:rPr>
          <w:rFonts w:asciiTheme="minorHAnsi" w:eastAsiaTheme="minorHAnsi" w:hAnsiTheme="minorHAnsi" w:cstheme="minorHAnsi"/>
          <w:szCs w:val="22"/>
        </w:rPr>
        <w:t>small,</w:t>
      </w:r>
      <w:r w:rsidRPr="003473EB">
        <w:rPr>
          <w:rFonts w:asciiTheme="minorHAnsi" w:eastAsiaTheme="minorHAnsi" w:hAnsiTheme="minorHAnsi" w:cstheme="minorHAnsi"/>
          <w:szCs w:val="22"/>
        </w:rPr>
        <w:t xml:space="preserve"> and the power needs are very modest. We expect these systems to be designed and installed relatively quickly.  We don’t think there will be many hurdles to pass.</w:t>
      </w:r>
    </w:p>
    <w:p w14:paraId="5B49F2BA" w14:textId="46F43047" w:rsidR="00CA5DB0" w:rsidRPr="003473EB" w:rsidRDefault="00CA5DB0" w:rsidP="00CA5DB0">
      <w:pPr>
        <w:spacing w:after="120"/>
        <w:rPr>
          <w:rFonts w:asciiTheme="minorHAnsi" w:eastAsiaTheme="minorHAnsi" w:hAnsiTheme="minorHAnsi" w:cstheme="minorHAnsi"/>
          <w:szCs w:val="22"/>
        </w:rPr>
      </w:pPr>
      <w:r w:rsidRPr="003473EB">
        <w:rPr>
          <w:rFonts w:asciiTheme="minorHAnsi" w:eastAsiaTheme="minorHAnsi" w:hAnsiTheme="minorHAnsi" w:cstheme="minorHAnsi"/>
          <w:szCs w:val="22"/>
        </w:rPr>
        <w:t>The solar powered pivots are a different story. There are no solar powered pivots in Alabama</w:t>
      </w:r>
      <w:r w:rsidR="00FB7973">
        <w:rPr>
          <w:rFonts w:asciiTheme="minorHAnsi" w:eastAsiaTheme="minorHAnsi" w:hAnsiTheme="minorHAnsi" w:cstheme="minorHAnsi"/>
          <w:szCs w:val="22"/>
        </w:rPr>
        <w:t xml:space="preserve"> </w:t>
      </w:r>
      <w:r w:rsidR="004A5F8C">
        <w:rPr>
          <w:rFonts w:asciiTheme="minorHAnsi" w:eastAsiaTheme="minorHAnsi" w:hAnsiTheme="minorHAnsi" w:cstheme="minorHAnsi"/>
          <w:szCs w:val="22"/>
        </w:rPr>
        <w:t>currently</w:t>
      </w:r>
      <w:r w:rsidR="006D7ACD">
        <w:rPr>
          <w:rFonts w:asciiTheme="minorHAnsi" w:eastAsiaTheme="minorHAnsi" w:hAnsiTheme="minorHAnsi" w:cstheme="minorHAnsi"/>
          <w:szCs w:val="22"/>
        </w:rPr>
        <w:t xml:space="preserve">. </w:t>
      </w:r>
      <w:r w:rsidRPr="003473EB">
        <w:rPr>
          <w:rFonts w:asciiTheme="minorHAnsi" w:eastAsiaTheme="minorHAnsi" w:hAnsiTheme="minorHAnsi" w:cstheme="minorHAnsi"/>
          <w:szCs w:val="22"/>
        </w:rPr>
        <w:t>Thus, this will be a new technology and we will proceed slowly in the design to ensure we fully understand the power requirement and size of battery systems</w:t>
      </w:r>
      <w:r w:rsidR="00A04E13">
        <w:rPr>
          <w:rFonts w:asciiTheme="minorHAnsi" w:eastAsiaTheme="minorHAnsi" w:hAnsiTheme="minorHAnsi" w:cstheme="minorHAnsi"/>
          <w:szCs w:val="22"/>
        </w:rPr>
        <w:t xml:space="preserve"> or single-phase to three-phase systems</w:t>
      </w:r>
      <w:r w:rsidRPr="003473EB">
        <w:rPr>
          <w:rFonts w:asciiTheme="minorHAnsi" w:eastAsiaTheme="minorHAnsi" w:hAnsiTheme="minorHAnsi" w:cstheme="minorHAnsi"/>
          <w:szCs w:val="22"/>
        </w:rPr>
        <w:t xml:space="preserve">. We are fortunate that vendors have supplied these in other parts of the country and overseas. You can see how solar might work in poor third world countries where power availability is like that in the parts of Alabama we are targeting. The first couple of installations will a learning experience for the team and farmers. </w:t>
      </w:r>
    </w:p>
    <w:p w14:paraId="5056A737" w14:textId="5B8AD428" w:rsidR="00FB7973" w:rsidRPr="003473EB" w:rsidRDefault="00CA5DB0" w:rsidP="00CA5DB0">
      <w:pPr>
        <w:spacing w:after="120"/>
        <w:rPr>
          <w:rFonts w:asciiTheme="minorHAnsi" w:eastAsiaTheme="minorHAnsi" w:hAnsiTheme="minorHAnsi" w:cstheme="minorHAnsi"/>
          <w:szCs w:val="22"/>
        </w:rPr>
      </w:pPr>
      <w:r w:rsidRPr="003473EB">
        <w:rPr>
          <w:rFonts w:asciiTheme="minorHAnsi" w:eastAsiaTheme="minorHAnsi" w:hAnsiTheme="minorHAnsi" w:cstheme="minorHAnsi"/>
          <w:szCs w:val="22"/>
        </w:rPr>
        <w:t xml:space="preserve">Available vendors may also be an issue. </w:t>
      </w:r>
      <w:r w:rsidR="00FB7973">
        <w:rPr>
          <w:rFonts w:asciiTheme="minorHAnsi" w:eastAsiaTheme="minorHAnsi" w:hAnsiTheme="minorHAnsi" w:cstheme="minorHAnsi"/>
          <w:szCs w:val="22"/>
        </w:rPr>
        <w:t>T</w:t>
      </w:r>
      <w:r w:rsidRPr="003473EB">
        <w:rPr>
          <w:rFonts w:asciiTheme="minorHAnsi" w:eastAsiaTheme="minorHAnsi" w:hAnsiTheme="minorHAnsi" w:cstheme="minorHAnsi"/>
          <w:szCs w:val="22"/>
        </w:rPr>
        <w:t xml:space="preserve">he number of irrigation vendors doing solar is small.  This may mean vendors may have to travel longer distances to confer with the team and with farmers. A positive point is that the basic needs of the solar array can be supplied by a number of vendors. Battery design and installation are also not unique to irrigation so there may be multiple vendors in this regard. However, multiple vendors on a single installation is problematical. We will work to have vendors of different components work </w:t>
      </w:r>
      <w:r w:rsidR="00FB7973" w:rsidRPr="003473EB">
        <w:rPr>
          <w:rFonts w:asciiTheme="minorHAnsi" w:eastAsiaTheme="minorHAnsi" w:hAnsiTheme="minorHAnsi" w:cstheme="minorHAnsi"/>
          <w:szCs w:val="22"/>
        </w:rPr>
        <w:t xml:space="preserve">together. There may be a risk with new technology that causes </w:t>
      </w:r>
      <w:r w:rsidR="004A5F8C" w:rsidRPr="003473EB">
        <w:rPr>
          <w:rFonts w:asciiTheme="minorHAnsi" w:eastAsiaTheme="minorHAnsi" w:hAnsiTheme="minorHAnsi" w:cstheme="minorHAnsi"/>
          <w:szCs w:val="22"/>
        </w:rPr>
        <w:t>delays,</w:t>
      </w:r>
      <w:r w:rsidR="00FB7973" w:rsidRPr="003473EB">
        <w:rPr>
          <w:rFonts w:asciiTheme="minorHAnsi" w:eastAsiaTheme="minorHAnsi" w:hAnsiTheme="minorHAnsi" w:cstheme="minorHAnsi"/>
          <w:szCs w:val="22"/>
        </w:rPr>
        <w:t xml:space="preserve"> but we believe we have slack in the schedule by </w:t>
      </w:r>
      <w:r w:rsidR="00AC04F9">
        <w:rPr>
          <w:rFonts w:asciiTheme="minorHAnsi" w:eastAsiaTheme="minorHAnsi" w:hAnsiTheme="minorHAnsi" w:cstheme="minorHAnsi"/>
          <w:szCs w:val="22"/>
        </w:rPr>
        <w:t xml:space="preserve">delaying </w:t>
      </w:r>
      <w:r w:rsidR="00FB7973" w:rsidRPr="003473EB">
        <w:rPr>
          <w:rFonts w:asciiTheme="minorHAnsi" w:eastAsiaTheme="minorHAnsi" w:hAnsiTheme="minorHAnsi" w:cstheme="minorHAnsi"/>
          <w:szCs w:val="22"/>
        </w:rPr>
        <w:t>installations until later in the project.</w:t>
      </w:r>
    </w:p>
    <w:p w14:paraId="57B7BD93" w14:textId="72EC9545" w:rsidR="00CA5DB0" w:rsidRPr="003473EB" w:rsidRDefault="00CA5DB0" w:rsidP="0000069C">
      <w:pPr>
        <w:pStyle w:val="Heading1"/>
        <w:rPr>
          <w:rFonts w:eastAsiaTheme="minorHAnsi"/>
        </w:rPr>
      </w:pPr>
      <w:bookmarkStart w:id="85" w:name="_Toc161741994"/>
      <w:bookmarkStart w:id="86" w:name="_Toc161908273"/>
      <w:bookmarkStart w:id="87" w:name="_Toc161924184"/>
      <w:bookmarkStart w:id="88" w:name="_Toc162606617"/>
      <w:r w:rsidRPr="003473EB">
        <w:rPr>
          <w:rFonts w:eastAsiaTheme="minorHAnsi"/>
        </w:rPr>
        <w:t>Low-Income and Disadvantaged Communities</w:t>
      </w:r>
      <w:bookmarkEnd w:id="85"/>
      <w:bookmarkEnd w:id="86"/>
      <w:bookmarkEnd w:id="87"/>
      <w:bookmarkEnd w:id="88"/>
    </w:p>
    <w:p w14:paraId="3EF08931" w14:textId="081EEA3F" w:rsidR="00CA5DB0" w:rsidRPr="003473EB" w:rsidRDefault="00CA5DB0" w:rsidP="00CA5DB0">
      <w:pPr>
        <w:pStyle w:val="BodyText"/>
        <w:spacing w:after="60"/>
        <w:rPr>
          <w:rFonts w:asciiTheme="minorHAnsi" w:eastAsiaTheme="minorHAnsi" w:hAnsiTheme="minorHAnsi" w:cstheme="minorHAnsi"/>
          <w:b/>
          <w:bCs/>
          <w:szCs w:val="22"/>
        </w:rPr>
      </w:pPr>
      <w:r w:rsidRPr="003473EB">
        <w:rPr>
          <w:rFonts w:asciiTheme="minorHAnsi" w:hAnsiTheme="minorHAnsi" w:cstheme="minorHAnsi"/>
          <w:szCs w:val="22"/>
        </w:rPr>
        <w:t>During President Obama’s visit to Selma to observe the 50</w:t>
      </w:r>
      <w:r w:rsidRPr="003473EB">
        <w:rPr>
          <w:rFonts w:asciiTheme="minorHAnsi" w:hAnsiTheme="minorHAnsi" w:cstheme="minorHAnsi"/>
          <w:szCs w:val="22"/>
          <w:vertAlign w:val="superscript"/>
        </w:rPr>
        <w:t>th</w:t>
      </w:r>
      <w:r w:rsidRPr="003473EB">
        <w:rPr>
          <w:rFonts w:asciiTheme="minorHAnsi" w:hAnsiTheme="minorHAnsi" w:cstheme="minorHAnsi"/>
          <w:szCs w:val="22"/>
        </w:rPr>
        <w:t xml:space="preserve"> anniversary of the Selma to Montgomery March, a considerable press contingent came to the area. In the press coverage of Selma, aside from the bridge, the most common observation was the description of the shocking poverty they encountered. Selma’s poverty is typical of an arc of counties across South Central Alabama known as the Blackbelt because of the black agricultural soil of a natural prairie. In 1920 these same counties were some of the richest in the State due to their extraordinary agricultural output primarily cotton and corn for livestock. </w:t>
      </w:r>
    </w:p>
    <w:p w14:paraId="29291316" w14:textId="6BC48F13" w:rsidR="00CA5DB0" w:rsidRPr="003473EB" w:rsidRDefault="00CA5DB0" w:rsidP="00CA5DB0">
      <w:pPr>
        <w:pStyle w:val="ember-view"/>
        <w:spacing w:before="0" w:beforeAutospacing="0" w:after="60" w:afterAutospacing="0"/>
        <w:rPr>
          <w:rFonts w:asciiTheme="minorHAnsi" w:hAnsiTheme="minorHAnsi" w:cstheme="minorHAnsi"/>
          <w:szCs w:val="22"/>
        </w:rPr>
      </w:pPr>
      <w:r w:rsidRPr="003473EB">
        <w:rPr>
          <w:rFonts w:asciiTheme="minorHAnsi" w:hAnsiTheme="minorHAnsi" w:cstheme="minorHAnsi"/>
          <w:szCs w:val="22"/>
        </w:rPr>
        <w:lastRenderedPageBreak/>
        <w:t>The roots of Selma’s poverty and decline are tied, ironically, to the roots of the cotton and corn plants in the Blackbelt soils.  As discussed in Section 1, because of a combination of shallow depth and high clay content Blackbelt soils often fail to deliver the water needed for competitive yields.  Millions of acres of cotton went out of</w:t>
      </w:r>
      <w:r w:rsidR="001B4837">
        <w:rPr>
          <w:rFonts w:asciiTheme="minorHAnsi" w:hAnsiTheme="minorHAnsi" w:cstheme="minorHAnsi"/>
          <w:szCs w:val="22"/>
        </w:rPr>
        <w:t xml:space="preserve"> </w:t>
      </w:r>
      <w:r w:rsidRPr="003473EB">
        <w:rPr>
          <w:rFonts w:asciiTheme="minorHAnsi" w:hAnsiTheme="minorHAnsi" w:cstheme="minorHAnsi"/>
          <w:szCs w:val="22"/>
        </w:rPr>
        <w:t xml:space="preserve">production in the Blackbelt. The wealth in the Blackbelt in the 1920’s was largely produced by African American tenant farmers growing cotton and corn. As the new market competitors intruded, this tenant system rapidly collapsed. In the beginning there were a number of land-owning African American farmers but due to a </w:t>
      </w:r>
      <w:r w:rsidR="00697C59">
        <w:rPr>
          <w:rFonts w:asciiTheme="minorHAnsi" w:hAnsiTheme="minorHAnsi" w:cstheme="minorHAnsi"/>
          <w:noProof/>
          <w:szCs w:val="22"/>
        </w:rPr>
        <w:drawing>
          <wp:anchor distT="0" distB="0" distL="114300" distR="114300" simplePos="0" relativeHeight="251756032" behindDoc="1" locked="0" layoutInCell="1" allowOverlap="1" wp14:anchorId="05DD95B3" wp14:editId="7A186291">
            <wp:simplePos x="0" y="0"/>
            <wp:positionH relativeFrom="margin">
              <wp:align>left</wp:align>
            </wp:positionH>
            <wp:positionV relativeFrom="paragraph">
              <wp:posOffset>685165</wp:posOffset>
            </wp:positionV>
            <wp:extent cx="2324100" cy="3387090"/>
            <wp:effectExtent l="0" t="0" r="0" b="3810"/>
            <wp:wrapTight wrapText="bothSides">
              <wp:wrapPolygon edited="0">
                <wp:start x="0" y="0"/>
                <wp:lineTo x="0" y="21503"/>
                <wp:lineTo x="21423" y="21503"/>
                <wp:lineTo x="21423"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24100" cy="3387090"/>
                    </a:xfrm>
                    <a:prstGeom prst="rect">
                      <a:avLst/>
                    </a:prstGeom>
                    <a:noFill/>
                  </pic:spPr>
                </pic:pic>
              </a:graphicData>
            </a:graphic>
            <wp14:sizeRelH relativeFrom="margin">
              <wp14:pctWidth>0</wp14:pctWidth>
            </wp14:sizeRelH>
            <wp14:sizeRelV relativeFrom="margin">
              <wp14:pctHeight>0</wp14:pctHeight>
            </wp14:sizeRelV>
          </wp:anchor>
        </w:drawing>
      </w:r>
      <w:r w:rsidRPr="003473EB">
        <w:rPr>
          <w:rFonts w:asciiTheme="minorHAnsi" w:hAnsiTheme="minorHAnsi" w:cstheme="minorHAnsi"/>
          <w:szCs w:val="22"/>
        </w:rPr>
        <w:t xml:space="preserve">lack of capital or help from lenders they were often the first to succumb to the new competitors in the West and Midwest. Ambassador Andrew, on his return to Selma for the anniversary, remembered fondly the role locals played in the early movement but also commented on this non-competitive agricultural system  - "The farmers who let us stay in their homes, who bonded us out of jail, are old guys now. They still own land but they can't make a living on the land." </w:t>
      </w:r>
      <w:hyperlink r:id="rId43" w:history="1">
        <w:r w:rsidR="00413364" w:rsidRPr="00413364">
          <w:rPr>
            <w:rStyle w:val="Hyperlink"/>
          </w:rPr>
          <w:t>http://www.nbcnews.com/storyline/selma-50th-anniversary/50-years-past-selma-famed-town-makes-slow-march-towards-n319106</w:t>
        </w:r>
      </w:hyperlink>
    </w:p>
    <w:p w14:paraId="27CDFBF9" w14:textId="65E32E14" w:rsidR="00CA5DB0" w:rsidRPr="003473EB" w:rsidRDefault="00697C59" w:rsidP="00CA5DB0">
      <w:pPr>
        <w:pStyle w:val="ember-view"/>
        <w:spacing w:before="0" w:beforeAutospacing="0" w:after="60" w:afterAutospacing="0"/>
        <w:rPr>
          <w:rFonts w:asciiTheme="minorHAnsi" w:hAnsiTheme="minorHAnsi" w:cstheme="minorHAnsi"/>
          <w:szCs w:val="22"/>
        </w:rPr>
      </w:pPr>
      <w:r w:rsidRPr="003473EB">
        <w:rPr>
          <w:rFonts w:asciiTheme="minorHAnsi" w:hAnsiTheme="minorHAnsi" w:cstheme="minorHAnsi"/>
          <w:noProof/>
          <w:szCs w:val="22"/>
        </w:rPr>
        <mc:AlternateContent>
          <mc:Choice Requires="wps">
            <w:drawing>
              <wp:anchor distT="0" distB="0" distL="114300" distR="114300" simplePos="0" relativeHeight="251634176" behindDoc="1" locked="0" layoutInCell="1" allowOverlap="1" wp14:anchorId="62AC1ED9" wp14:editId="2646A242">
                <wp:simplePos x="0" y="0"/>
                <wp:positionH relativeFrom="margin">
                  <wp:align>right</wp:align>
                </wp:positionH>
                <wp:positionV relativeFrom="paragraph">
                  <wp:posOffset>1040765</wp:posOffset>
                </wp:positionV>
                <wp:extent cx="2715895" cy="2764790"/>
                <wp:effectExtent l="0" t="0" r="27305" b="16510"/>
                <wp:wrapTight wrapText="bothSides">
                  <wp:wrapPolygon edited="0">
                    <wp:start x="0" y="0"/>
                    <wp:lineTo x="0" y="21580"/>
                    <wp:lineTo x="21666" y="21580"/>
                    <wp:lineTo x="21666" y="0"/>
                    <wp:lineTo x="0" y="0"/>
                  </wp:wrapPolygon>
                </wp:wrapTight>
                <wp:docPr id="31" name="Text Box 31"/>
                <wp:cNvGraphicFramePr/>
                <a:graphic xmlns:a="http://schemas.openxmlformats.org/drawingml/2006/main">
                  <a:graphicData uri="http://schemas.microsoft.com/office/word/2010/wordprocessingShape">
                    <wps:wsp>
                      <wps:cNvSpPr txBox="1"/>
                      <wps:spPr>
                        <a:xfrm>
                          <a:off x="0" y="0"/>
                          <a:ext cx="2715895" cy="2764790"/>
                        </a:xfrm>
                        <a:prstGeom prst="rect">
                          <a:avLst/>
                        </a:prstGeom>
                        <a:solidFill>
                          <a:schemeClr val="lt1"/>
                        </a:solidFill>
                        <a:ln w="6350">
                          <a:solidFill>
                            <a:prstClr val="black"/>
                          </a:solidFill>
                        </a:ln>
                      </wps:spPr>
                      <wps:txbx>
                        <w:txbxContent>
                          <w:p w14:paraId="2B438480" w14:textId="77777777" w:rsidR="00CA5DB0" w:rsidRDefault="00CA5DB0" w:rsidP="00CA5DB0">
                            <w:r w:rsidRPr="002B4E6C">
                              <w:rPr>
                                <w:noProof/>
                              </w:rPr>
                              <w:drawing>
                                <wp:inline distT="0" distB="0" distL="0" distR="0" wp14:anchorId="4CC9C79E" wp14:editId="73FBD383">
                                  <wp:extent cx="2386013" cy="235663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1820" cy="2362365"/>
                                          </a:xfrm>
                                          <a:prstGeom prst="rect">
                                            <a:avLst/>
                                          </a:prstGeom>
                                          <a:noFill/>
                                          <a:ln>
                                            <a:noFill/>
                                          </a:ln>
                                        </pic:spPr>
                                      </pic:pic>
                                    </a:graphicData>
                                  </a:graphic>
                                </wp:inline>
                              </w:drawing>
                            </w:r>
                          </w:p>
                          <w:p w14:paraId="583EF73E" w14:textId="77777777" w:rsidR="00CA5DB0" w:rsidRPr="002B4E6C" w:rsidRDefault="00CA5DB0" w:rsidP="00CA5DB0">
                            <w:pPr>
                              <w:rPr>
                                <w:sz w:val="20"/>
                              </w:rPr>
                            </w:pPr>
                            <w:r w:rsidRPr="002B4E6C">
                              <w:rPr>
                                <w:sz w:val="20"/>
                              </w:rPr>
                              <w:t>Figure 4-2 Percentiles of unemployment rate</w:t>
                            </w:r>
                            <w:r>
                              <w:rPr>
                                <w:sz w:val="20"/>
                              </w:rPr>
                              <w:t>. From EPA EJS Screen.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AC1ED9" id="Text Box 31" o:spid="_x0000_s1043" type="#_x0000_t202" style="position:absolute;margin-left:162.65pt;margin-top:81.95pt;width:213.85pt;height:217.7pt;z-index:-25168230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" fillcolor="white [3201]" strokeweight=".5pt">
                <v:textbox>
                  <w:txbxContent>
                    <w:p w14:paraId="2B438480" w14:textId="77777777" w:rsidR="00CA5DB0" w:rsidRDefault="00CA5DB0" w:rsidP="00CA5DB0">
                      <w:r w:rsidRPr="002B4E6C">
                        <w:rPr>
                          <w:noProof/>
                        </w:rPr>
                        <w:drawing>
                          <wp:inline distT="0" distB="0" distL="0" distR="0" wp14:anchorId="4CC9C79E" wp14:editId="73FBD383">
                            <wp:extent cx="2386013" cy="235663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1820" cy="2362365"/>
                                    </a:xfrm>
                                    <a:prstGeom prst="rect">
                                      <a:avLst/>
                                    </a:prstGeom>
                                    <a:noFill/>
                                    <a:ln>
                                      <a:noFill/>
                                    </a:ln>
                                  </pic:spPr>
                                </pic:pic>
                              </a:graphicData>
                            </a:graphic>
                          </wp:inline>
                        </w:drawing>
                      </w:r>
                    </w:p>
                    <w:p w14:paraId="583EF73E" w14:textId="77777777" w:rsidR="00CA5DB0" w:rsidRPr="002B4E6C" w:rsidRDefault="00CA5DB0" w:rsidP="00CA5DB0">
                      <w:pPr>
                        <w:rPr>
                          <w:sz w:val="20"/>
                        </w:rPr>
                      </w:pPr>
                      <w:r w:rsidRPr="002B4E6C">
                        <w:rPr>
                          <w:sz w:val="20"/>
                        </w:rPr>
                        <w:t>Figure 4-2 Percentiles of unemployment rate</w:t>
                      </w:r>
                      <w:r>
                        <w:rPr>
                          <w:sz w:val="20"/>
                        </w:rPr>
                        <w:t>. From EPA EJS Screen.</w:t>
                      </w:r>
                    </w:p>
                  </w:txbxContent>
                </v:textbox>
                <w10:wrap type="tight" anchorx="margin"/>
              </v:shape>
            </w:pict>
          </mc:Fallback>
        </mc:AlternateContent>
      </w:r>
      <w:r w:rsidR="00CA5DB0" w:rsidRPr="003473EB">
        <w:rPr>
          <w:rFonts w:asciiTheme="minorHAnsi" w:hAnsiTheme="minorHAnsi" w:cstheme="minorHAnsi"/>
          <w:szCs w:val="22"/>
        </w:rPr>
        <w:t>With prices dropping and</w:t>
      </w:r>
      <w:r w:rsidR="00853517">
        <w:rPr>
          <w:rFonts w:asciiTheme="minorHAnsi" w:hAnsiTheme="minorHAnsi" w:cstheme="minorHAnsi"/>
          <w:szCs w:val="22"/>
        </w:rPr>
        <w:t xml:space="preserve"> farmers</w:t>
      </w:r>
      <w:r w:rsidR="00CA5DB0" w:rsidRPr="003473EB">
        <w:rPr>
          <w:rFonts w:asciiTheme="minorHAnsi" w:hAnsiTheme="minorHAnsi" w:cstheme="minorHAnsi"/>
          <w:szCs w:val="22"/>
        </w:rPr>
        <w:t xml:space="preserve"> unable to compete, Southern agriculturalists asked for federal help. </w:t>
      </w:r>
      <w:r w:rsidR="00360D8E" w:rsidRPr="003473EB">
        <w:rPr>
          <w:rFonts w:asciiTheme="minorHAnsi" w:hAnsiTheme="minorHAnsi" w:cstheme="minorHAnsi"/>
          <w:szCs w:val="22"/>
        </w:rPr>
        <w:t>But</w:t>
      </w:r>
      <w:r w:rsidR="00CA5DB0" w:rsidRPr="003473EB">
        <w:rPr>
          <w:rFonts w:asciiTheme="minorHAnsi" w:hAnsiTheme="minorHAnsi" w:cstheme="minorHAnsi"/>
          <w:szCs w:val="22"/>
        </w:rPr>
        <w:t xml:space="preserve"> the programs pushed by largely white </w:t>
      </w:r>
      <w:r w:rsidR="00CC2394" w:rsidRPr="003473EB">
        <w:rPr>
          <w:rFonts w:asciiTheme="minorHAnsi" w:hAnsiTheme="minorHAnsi" w:cstheme="minorHAnsi"/>
          <w:szCs w:val="22"/>
        </w:rPr>
        <w:t>landowners</w:t>
      </w:r>
      <w:r w:rsidR="00CA5DB0" w:rsidRPr="003473EB">
        <w:rPr>
          <w:rFonts w:asciiTheme="minorHAnsi" w:hAnsiTheme="minorHAnsi" w:cstheme="minorHAnsi"/>
          <w:szCs w:val="22"/>
        </w:rPr>
        <w:t xml:space="preserve"> were often land retirement programs (programs for landowners to be paid for not growing </w:t>
      </w:r>
      <w:r w:rsidR="005E4928">
        <w:rPr>
          <w:rFonts w:asciiTheme="minorHAnsi" w:hAnsiTheme="minorHAnsi" w:cstheme="minorHAnsi"/>
          <w:szCs w:val="22"/>
        </w:rPr>
        <w:t xml:space="preserve">specific </w:t>
      </w:r>
      <w:r w:rsidR="00CA5DB0" w:rsidRPr="003473EB">
        <w:rPr>
          <w:rFonts w:asciiTheme="minorHAnsi" w:hAnsiTheme="minorHAnsi" w:cstheme="minorHAnsi"/>
          <w:szCs w:val="22"/>
        </w:rPr>
        <w:t>crops</w:t>
      </w:r>
      <w:r w:rsidR="005E4928">
        <w:rPr>
          <w:rFonts w:asciiTheme="minorHAnsi" w:hAnsiTheme="minorHAnsi" w:cstheme="minorHAnsi"/>
          <w:szCs w:val="22"/>
        </w:rPr>
        <w:t xml:space="preserve"> or conservation set asides</w:t>
      </w:r>
      <w:r w:rsidR="00CA5DB0" w:rsidRPr="003473EB">
        <w:rPr>
          <w:rFonts w:asciiTheme="minorHAnsi" w:hAnsiTheme="minorHAnsi" w:cstheme="minorHAnsi"/>
          <w:szCs w:val="22"/>
        </w:rPr>
        <w:t xml:space="preserve">).  As farmers quit farming, the local economies dependent on the farmers collapsed.  Towns such as Selma saw cotton gins, hardware stores and farm equipment dealers go out of business. Additionally, many of the big landowners were absentee landlords who lived in cities such as Birmingham or Montgomery so even the modest timber and government set aside money was not left in the old farming counties.  Today, the economies in </w:t>
      </w:r>
      <w:r w:rsidR="005E4928">
        <w:rPr>
          <w:rFonts w:asciiTheme="minorHAnsi" w:hAnsiTheme="minorHAnsi" w:cstheme="minorHAnsi"/>
          <w:szCs w:val="22"/>
        </w:rPr>
        <w:t xml:space="preserve">many of </w:t>
      </w:r>
      <w:r w:rsidR="00CA5DB0" w:rsidRPr="003473EB">
        <w:rPr>
          <w:rFonts w:asciiTheme="minorHAnsi" w:hAnsiTheme="minorHAnsi" w:cstheme="minorHAnsi"/>
          <w:szCs w:val="22"/>
        </w:rPr>
        <w:t xml:space="preserve">these counties are primarily based on federal assistance transfers and state transfers for education support. </w:t>
      </w:r>
    </w:p>
    <w:p w14:paraId="24485627" w14:textId="02B036DA" w:rsidR="00CA5DB0" w:rsidRPr="003473EB" w:rsidRDefault="00CA5DB0" w:rsidP="00CA5DB0">
      <w:pPr>
        <w:pStyle w:val="ember-view"/>
        <w:spacing w:before="0" w:beforeAutospacing="0" w:after="60" w:afterAutospacing="0"/>
        <w:rPr>
          <w:rFonts w:asciiTheme="minorHAnsi" w:hAnsiTheme="minorHAnsi" w:cstheme="minorHAnsi"/>
          <w:szCs w:val="22"/>
        </w:rPr>
      </w:pPr>
      <w:r w:rsidRPr="003473EB">
        <w:rPr>
          <w:rFonts w:asciiTheme="minorHAnsi" w:hAnsiTheme="minorHAnsi" w:cstheme="minorHAnsi"/>
          <w:szCs w:val="22"/>
        </w:rPr>
        <w:t xml:space="preserve">Figure 4-1 shows that much of central and west central Alabama ranks in the 90 percentile in at least one of the Environmental Justice Indices. </w:t>
      </w:r>
      <w:r w:rsidR="00A91C2C">
        <w:rPr>
          <w:rFonts w:asciiTheme="minorHAnsi" w:hAnsiTheme="minorHAnsi" w:cstheme="minorHAnsi"/>
          <w:szCs w:val="22"/>
        </w:rPr>
        <w:t xml:space="preserve">Table D-1 </w:t>
      </w:r>
      <w:r w:rsidR="00CA46CB">
        <w:rPr>
          <w:rFonts w:asciiTheme="minorHAnsi" w:hAnsiTheme="minorHAnsi" w:cstheme="minorHAnsi"/>
          <w:szCs w:val="22"/>
        </w:rPr>
        <w:t xml:space="preserve"> </w:t>
      </w:r>
      <w:r w:rsidR="00A91C2C">
        <w:rPr>
          <w:rFonts w:asciiTheme="minorHAnsi" w:hAnsiTheme="minorHAnsi" w:cstheme="minorHAnsi"/>
          <w:szCs w:val="22"/>
        </w:rPr>
        <w:t xml:space="preserve">in </w:t>
      </w:r>
      <w:r w:rsidR="004E73FE">
        <w:rPr>
          <w:rFonts w:asciiTheme="minorHAnsi" w:hAnsiTheme="minorHAnsi" w:cstheme="minorHAnsi"/>
          <w:szCs w:val="22"/>
        </w:rPr>
        <w:t>the attachment</w:t>
      </w:r>
      <w:r w:rsidR="00A91C2C">
        <w:rPr>
          <w:rFonts w:asciiTheme="minorHAnsi" w:hAnsiTheme="minorHAnsi" w:cstheme="minorHAnsi"/>
          <w:szCs w:val="22"/>
        </w:rPr>
        <w:t xml:space="preserve"> provides a list of Census tracks which may be candidates for construction under this project. </w:t>
      </w:r>
      <w:r w:rsidRPr="003473EB">
        <w:rPr>
          <w:rFonts w:asciiTheme="minorHAnsi" w:hAnsiTheme="minorHAnsi" w:cstheme="minorHAnsi"/>
          <w:szCs w:val="22"/>
        </w:rPr>
        <w:t>This is also reflected other socioeconomic factors such as unemployment (see figure 4-2).</w:t>
      </w:r>
      <w:r w:rsidR="00AC04F9">
        <w:rPr>
          <w:rFonts w:asciiTheme="minorHAnsi" w:hAnsiTheme="minorHAnsi" w:cstheme="minorHAnsi"/>
          <w:szCs w:val="22"/>
        </w:rPr>
        <w:t xml:space="preserve"> </w:t>
      </w:r>
      <w:r w:rsidR="00AC04F9" w:rsidRPr="003473EB">
        <w:rPr>
          <w:rFonts w:asciiTheme="minorHAnsi" w:hAnsiTheme="minorHAnsi" w:cstheme="minorHAnsi"/>
          <w:szCs w:val="22"/>
        </w:rPr>
        <w:t>The wealth in the Blackbelt in the 1920’s was largely produced by African American tenant farmers growing cotton and corn. As the new market competitors intruded, this tenant system rapidly collapsed. In the beginning there were a significant number of land owning African American farmers but due to a lack of capital or help from lenders they were often the first to succumb to the new competitors in the West and Midwest.</w:t>
      </w:r>
    </w:p>
    <w:p w14:paraId="061DCFB7" w14:textId="0F9DAE49" w:rsidR="00CA5DB0" w:rsidRPr="003473EB" w:rsidRDefault="00CA5DB0" w:rsidP="00CA5DB0">
      <w:pPr>
        <w:pStyle w:val="ember-view"/>
        <w:spacing w:before="0" w:beforeAutospacing="0" w:after="60" w:afterAutospacing="0"/>
        <w:rPr>
          <w:rFonts w:asciiTheme="minorHAnsi" w:hAnsiTheme="minorHAnsi" w:cstheme="minorHAnsi"/>
          <w:szCs w:val="22"/>
        </w:rPr>
      </w:pPr>
      <w:r w:rsidRPr="003473EB">
        <w:rPr>
          <w:rFonts w:asciiTheme="minorHAnsi" w:hAnsiTheme="minorHAnsi" w:cstheme="minorHAnsi"/>
          <w:szCs w:val="22"/>
        </w:rPr>
        <w:t xml:space="preserve">So, what is the solution for poverty in Selma and the Blackbelt? The answer may lie in figures 2 and 3 which shows with irrigation Blackbelt farmers can overcome the poor water holding properties of their soils and compete with the Midwest corn and with Western cotton. The most important factor for these rural areas would be to develop some economic output. As discussed by Summers and Lee 2003 these areas have not </w:t>
      </w:r>
      <w:r w:rsidRPr="003473EB">
        <w:rPr>
          <w:rFonts w:asciiTheme="minorHAnsi" w:hAnsiTheme="minorHAnsi" w:cstheme="minorHAnsi"/>
          <w:szCs w:val="22"/>
        </w:rPr>
        <w:lastRenderedPageBreak/>
        <w:t>benefitted from the automotive manufacturing that has positively impacted areas such as Montgomery, Anniston, Tuscaloosa-</w:t>
      </w:r>
      <w:r w:rsidR="00F5096B" w:rsidRPr="003473EB">
        <w:rPr>
          <w:rFonts w:asciiTheme="minorHAnsi" w:hAnsiTheme="minorHAnsi" w:cstheme="minorHAnsi"/>
          <w:szCs w:val="22"/>
        </w:rPr>
        <w:t>Birmingham</w:t>
      </w:r>
      <w:r w:rsidRPr="003473EB">
        <w:rPr>
          <w:rFonts w:asciiTheme="minorHAnsi" w:hAnsiTheme="minorHAnsi" w:cstheme="minorHAnsi"/>
          <w:szCs w:val="22"/>
        </w:rPr>
        <w:t xml:space="preserve"> or the aerospace/ship building in Mobile, aerospace/defense Huntsville. If they are not on the major transportation pathways such as the I-65, I-20, I-59, I-85 that have not benefitted from the commercial spending- fuel, food, shopping, lodging that comes with these main highways. Many initiatives have been made to attract supporting industry such as automotive parts into the rural areas but educational levels and technical skills have mostly seen these efforts fail. The best solution may be to build an economy based on agriculture/energy production as proposed here. </w:t>
      </w:r>
      <w:r w:rsidR="003A51D3">
        <w:rPr>
          <w:rFonts w:asciiTheme="minorHAnsi" w:hAnsiTheme="minorHAnsi" w:cstheme="minorHAnsi"/>
          <w:szCs w:val="22"/>
        </w:rPr>
        <w:t xml:space="preserve">This program can make a start with 1700 acres. But the AUII’s goal would be to have 150,000 acres which would provide over </w:t>
      </w:r>
      <w:r w:rsidR="003A51D3" w:rsidRPr="003A51D3">
        <w:rPr>
          <w:rFonts w:asciiTheme="minorHAnsi" w:hAnsiTheme="minorHAnsi" w:cstheme="minorHAnsi"/>
          <w:b/>
          <w:bCs/>
          <w:szCs w:val="22"/>
        </w:rPr>
        <w:t>$477 million</w:t>
      </w:r>
      <w:r w:rsidR="003A51D3">
        <w:rPr>
          <w:rFonts w:asciiTheme="minorHAnsi" w:hAnsiTheme="minorHAnsi" w:cstheme="minorHAnsi"/>
          <w:szCs w:val="22"/>
        </w:rPr>
        <w:t xml:space="preserve"> in economic impact using GAO multiplier of 2.65. This is equivalent to a small automotive assembly plant. </w:t>
      </w:r>
      <w:r w:rsidR="00AC04F9">
        <w:rPr>
          <w:rFonts w:asciiTheme="minorHAnsi" w:hAnsiTheme="minorHAnsi" w:cstheme="minorHAnsi"/>
          <w:szCs w:val="22"/>
        </w:rPr>
        <w:t xml:space="preserve">The program envisioned here </w:t>
      </w:r>
      <w:r w:rsidR="004A5F8C">
        <w:rPr>
          <w:rFonts w:asciiTheme="minorHAnsi" w:hAnsiTheme="minorHAnsi" w:cstheme="minorHAnsi"/>
          <w:szCs w:val="22"/>
        </w:rPr>
        <w:t>could be</w:t>
      </w:r>
      <w:r w:rsidR="00AC04F9">
        <w:rPr>
          <w:rFonts w:asciiTheme="minorHAnsi" w:hAnsiTheme="minorHAnsi" w:cstheme="minorHAnsi"/>
          <w:szCs w:val="22"/>
        </w:rPr>
        <w:t xml:space="preserve"> transformative by showing solar is a viable solution. Beyond this program, future farmer owned solar systems that can benefit from adding power back to the grid could be a boon to expanded irrigation and solar power. </w:t>
      </w:r>
    </w:p>
    <w:p w14:paraId="40B66623" w14:textId="000D5EC7" w:rsidR="00CA5DB0" w:rsidRPr="0000069C" w:rsidRDefault="00CA5DB0" w:rsidP="0000069C">
      <w:pPr>
        <w:pStyle w:val="Heading2"/>
        <w:numPr>
          <w:ilvl w:val="0"/>
          <w:numId w:val="74"/>
        </w:numPr>
        <w:rPr>
          <w:rFonts w:eastAsiaTheme="minorHAnsi"/>
        </w:rPr>
      </w:pPr>
      <w:bookmarkStart w:id="89" w:name="_Toc161741995"/>
      <w:bookmarkStart w:id="90" w:name="_Toc161908274"/>
      <w:bookmarkStart w:id="91" w:name="_Toc161924185"/>
      <w:bookmarkStart w:id="92" w:name="_Toc162606618"/>
      <w:r w:rsidRPr="0000069C">
        <w:rPr>
          <w:rFonts w:eastAsiaTheme="minorHAnsi"/>
        </w:rPr>
        <w:t>Community Benefits</w:t>
      </w:r>
      <w:bookmarkEnd w:id="89"/>
      <w:bookmarkEnd w:id="90"/>
      <w:bookmarkEnd w:id="91"/>
      <w:bookmarkEnd w:id="92"/>
      <w:r w:rsidRPr="0000069C">
        <w:rPr>
          <w:rFonts w:eastAsiaTheme="minorHAnsi"/>
        </w:rPr>
        <w:t xml:space="preserve"> </w:t>
      </w:r>
    </w:p>
    <w:p w14:paraId="0BE5D08E" w14:textId="5EFEA11D" w:rsidR="00E05363" w:rsidRDefault="00CA5DB0" w:rsidP="00CA5DB0">
      <w:pPr>
        <w:pStyle w:val="BodyText"/>
        <w:spacing w:after="60"/>
        <w:rPr>
          <w:rFonts w:asciiTheme="minorHAnsi" w:eastAsiaTheme="minorHAnsi" w:hAnsiTheme="minorHAnsi" w:cstheme="minorHAnsi"/>
          <w:szCs w:val="22"/>
        </w:rPr>
      </w:pPr>
      <w:r w:rsidRPr="003473EB">
        <w:rPr>
          <w:rFonts w:asciiTheme="minorHAnsi" w:eastAsiaTheme="minorHAnsi" w:hAnsiTheme="minorHAnsi" w:cstheme="minorHAnsi"/>
          <w:szCs w:val="22"/>
        </w:rPr>
        <w:t xml:space="preserve">A community benefits when an economic activity leaves money in the community. Private agriculture for local </w:t>
      </w:r>
      <w:r w:rsidR="004A5F8C" w:rsidRPr="003473EB">
        <w:rPr>
          <w:rFonts w:asciiTheme="minorHAnsi" w:eastAsiaTheme="minorHAnsi" w:hAnsiTheme="minorHAnsi" w:cstheme="minorHAnsi"/>
          <w:szCs w:val="22"/>
        </w:rPr>
        <w:t>landowners</w:t>
      </w:r>
      <w:r w:rsidRPr="003473EB">
        <w:rPr>
          <w:rFonts w:asciiTheme="minorHAnsi" w:eastAsiaTheme="minorHAnsi" w:hAnsiTheme="minorHAnsi" w:cstheme="minorHAnsi"/>
          <w:szCs w:val="22"/>
        </w:rPr>
        <w:t xml:space="preserve"> and farmers can be this type of activity. There have been areas where intensive agriculture is carried out such as the Delta area of Mississippi, </w:t>
      </w:r>
      <w:r w:rsidR="004A5F8C" w:rsidRPr="003473EB">
        <w:rPr>
          <w:rFonts w:asciiTheme="minorHAnsi" w:eastAsiaTheme="minorHAnsi" w:hAnsiTheme="minorHAnsi" w:cstheme="minorHAnsi"/>
          <w:szCs w:val="22"/>
        </w:rPr>
        <w:t>Louisiana,</w:t>
      </w:r>
      <w:r w:rsidRPr="003473EB">
        <w:rPr>
          <w:rFonts w:asciiTheme="minorHAnsi" w:eastAsiaTheme="minorHAnsi" w:hAnsiTheme="minorHAnsi" w:cstheme="minorHAnsi"/>
          <w:szCs w:val="22"/>
        </w:rPr>
        <w:t xml:space="preserve"> and Arkansas. However, there large corporate farms with built-in supply chains remove a significant part of the economic output. </w:t>
      </w:r>
      <w:r w:rsidR="00F5096B" w:rsidRPr="003473EB">
        <w:rPr>
          <w:rFonts w:asciiTheme="minorHAnsi" w:eastAsiaTheme="minorHAnsi" w:hAnsiTheme="minorHAnsi" w:cstheme="minorHAnsi"/>
          <w:szCs w:val="22"/>
        </w:rPr>
        <w:t>Thus, the</w:t>
      </w:r>
      <w:r w:rsidRPr="003473EB">
        <w:rPr>
          <w:rFonts w:asciiTheme="minorHAnsi" w:eastAsiaTheme="minorHAnsi" w:hAnsiTheme="minorHAnsi" w:cstheme="minorHAnsi"/>
          <w:szCs w:val="22"/>
        </w:rPr>
        <w:t xml:space="preserve"> benefits do not accrue to the local area. Iowa and Minnesota represent the other end of this spectrum in that the farmers are local and spend local. This is the model we want to pursue in these poor rural areas. As mentioned above we will also discuss with power providers, who will benefit from the free power, to make contributions back to the area for schools, </w:t>
      </w:r>
      <w:r w:rsidR="004A5F8C" w:rsidRPr="003473EB">
        <w:rPr>
          <w:rFonts w:asciiTheme="minorHAnsi" w:eastAsiaTheme="minorHAnsi" w:hAnsiTheme="minorHAnsi" w:cstheme="minorHAnsi"/>
          <w:szCs w:val="22"/>
        </w:rPr>
        <w:t>health,</w:t>
      </w:r>
      <w:r w:rsidRPr="003473EB">
        <w:rPr>
          <w:rFonts w:asciiTheme="minorHAnsi" w:eastAsiaTheme="minorHAnsi" w:hAnsiTheme="minorHAnsi" w:cstheme="minorHAnsi"/>
          <w:szCs w:val="22"/>
        </w:rPr>
        <w:t xml:space="preserve"> or other needs. </w:t>
      </w:r>
    </w:p>
    <w:p w14:paraId="5A8BB8AB" w14:textId="217FF418" w:rsidR="006438EB" w:rsidRDefault="00E05363" w:rsidP="00CA5DB0">
      <w:pPr>
        <w:pStyle w:val="BodyText"/>
        <w:spacing w:after="60"/>
        <w:rPr>
          <w:rFonts w:asciiTheme="minorHAnsi" w:eastAsiaTheme="minorHAnsi" w:hAnsiTheme="minorHAnsi" w:cstheme="minorHAnsi"/>
          <w:szCs w:val="22"/>
        </w:rPr>
      </w:pPr>
      <w:r>
        <w:rPr>
          <w:rFonts w:asciiTheme="minorHAnsi" w:eastAsiaTheme="minorHAnsi" w:hAnsiTheme="minorHAnsi" w:cstheme="minorHAnsi"/>
          <w:szCs w:val="22"/>
        </w:rPr>
        <w:t>The current USDA NRCS Watershed plan being implemented by the Alabama Soil and Water Conservation Committee has an aggressive program for disadvantage</w:t>
      </w:r>
      <w:r w:rsidR="006438EB">
        <w:rPr>
          <w:rFonts w:asciiTheme="minorHAnsi" w:eastAsiaTheme="minorHAnsi" w:hAnsiTheme="minorHAnsi" w:cstheme="minorHAnsi"/>
          <w:szCs w:val="22"/>
        </w:rPr>
        <w:t>d,</w:t>
      </w:r>
      <w:r>
        <w:rPr>
          <w:rFonts w:asciiTheme="minorHAnsi" w:eastAsiaTheme="minorHAnsi" w:hAnsiTheme="minorHAnsi" w:cstheme="minorHAnsi"/>
          <w:szCs w:val="22"/>
        </w:rPr>
        <w:t xml:space="preserve"> </w:t>
      </w:r>
      <w:r w:rsidR="004A5F8C">
        <w:rPr>
          <w:rFonts w:asciiTheme="minorHAnsi" w:eastAsiaTheme="minorHAnsi" w:hAnsiTheme="minorHAnsi" w:cstheme="minorHAnsi"/>
          <w:szCs w:val="22"/>
        </w:rPr>
        <w:t>minority,</w:t>
      </w:r>
      <w:r w:rsidR="00F5096B">
        <w:rPr>
          <w:rFonts w:asciiTheme="minorHAnsi" w:eastAsiaTheme="minorHAnsi" w:hAnsiTheme="minorHAnsi" w:cstheme="minorHAnsi"/>
          <w:szCs w:val="22"/>
        </w:rPr>
        <w:t xml:space="preserve"> and</w:t>
      </w:r>
      <w:r w:rsidR="006438EB">
        <w:rPr>
          <w:rFonts w:asciiTheme="minorHAnsi" w:eastAsiaTheme="minorHAnsi" w:hAnsiTheme="minorHAnsi" w:cstheme="minorHAnsi"/>
          <w:szCs w:val="22"/>
        </w:rPr>
        <w:t xml:space="preserve"> veteran applicants </w:t>
      </w:r>
      <w:r>
        <w:rPr>
          <w:rFonts w:asciiTheme="minorHAnsi" w:eastAsiaTheme="minorHAnsi" w:hAnsiTheme="minorHAnsi" w:cstheme="minorHAnsi"/>
          <w:szCs w:val="22"/>
        </w:rPr>
        <w:t xml:space="preserve">(see </w:t>
      </w:r>
      <w:r w:rsidR="006438EB">
        <w:rPr>
          <w:rFonts w:asciiTheme="minorHAnsi" w:eastAsiaTheme="minorHAnsi" w:hAnsiTheme="minorHAnsi" w:cstheme="minorHAnsi"/>
          <w:szCs w:val="22"/>
        </w:rPr>
        <w:t>Section</w:t>
      </w:r>
      <w:r w:rsidR="006438EB" w:rsidRPr="006438EB">
        <w:rPr>
          <w:rFonts w:asciiTheme="minorHAnsi" w:eastAsiaTheme="minorHAnsi" w:hAnsiTheme="minorHAnsi" w:cstheme="minorHAnsi"/>
          <w:b/>
          <w:bCs/>
          <w:szCs w:val="22"/>
        </w:rPr>
        <w:t xml:space="preserve"> 6</w:t>
      </w:r>
      <w:r w:rsidR="006438EB">
        <w:rPr>
          <w:rFonts w:asciiTheme="minorHAnsi" w:eastAsiaTheme="minorHAnsi" w:hAnsiTheme="minorHAnsi" w:cstheme="minorHAnsi"/>
          <w:szCs w:val="22"/>
        </w:rPr>
        <w:t xml:space="preserve"> below). Increased cost share is provided to these applicants.</w:t>
      </w:r>
      <w:r w:rsidR="00247A62">
        <w:rPr>
          <w:rFonts w:asciiTheme="minorHAnsi" w:eastAsiaTheme="minorHAnsi" w:hAnsiTheme="minorHAnsi" w:cstheme="minorHAnsi"/>
          <w:szCs w:val="22"/>
        </w:rPr>
        <w:t xml:space="preserve"> See </w:t>
      </w:r>
      <w:hyperlink r:id="rId45" w:history="1">
        <w:r w:rsidR="00247A62" w:rsidRPr="00247A62">
          <w:rPr>
            <w:rStyle w:val="Hyperlink"/>
            <w:rFonts w:asciiTheme="minorHAnsi" w:eastAsiaTheme="minorHAnsi" w:hAnsiTheme="minorHAnsi" w:cstheme="minorHAnsi"/>
            <w:szCs w:val="22"/>
          </w:rPr>
          <w:t>https://www.aces.edu/wp-content/uploads/2021/02/Final-ChocPea_Plan-EA-11-5-2021.pdf</w:t>
        </w:r>
      </w:hyperlink>
    </w:p>
    <w:p w14:paraId="346F743F" w14:textId="4244FCDF" w:rsidR="00CA5DB0" w:rsidRPr="003473EB" w:rsidRDefault="00CA5DB0" w:rsidP="0000069C">
      <w:pPr>
        <w:pStyle w:val="Heading2"/>
        <w:rPr>
          <w:rFonts w:eastAsiaTheme="minorHAnsi"/>
        </w:rPr>
      </w:pPr>
      <w:bookmarkStart w:id="93" w:name="_Toc161741996"/>
      <w:bookmarkStart w:id="94" w:name="_Toc161908275"/>
      <w:bookmarkStart w:id="95" w:name="_Toc161924186"/>
      <w:bookmarkStart w:id="96" w:name="_Toc162606619"/>
      <w:r w:rsidRPr="003473EB">
        <w:rPr>
          <w:rFonts w:eastAsiaTheme="minorHAnsi"/>
        </w:rPr>
        <w:t>Community Engagement</w:t>
      </w:r>
      <w:bookmarkEnd w:id="93"/>
      <w:bookmarkEnd w:id="94"/>
      <w:bookmarkEnd w:id="95"/>
      <w:bookmarkEnd w:id="96"/>
      <w:r w:rsidRPr="003473EB">
        <w:rPr>
          <w:rFonts w:eastAsiaTheme="minorHAnsi"/>
        </w:rPr>
        <w:t xml:space="preserve"> </w:t>
      </w:r>
    </w:p>
    <w:p w14:paraId="32CB764B" w14:textId="7DB46E47" w:rsidR="00CA5DB0" w:rsidRDefault="00CA5DB0" w:rsidP="00CA5DB0">
      <w:pPr>
        <w:pStyle w:val="BodyText"/>
        <w:spacing w:after="60"/>
        <w:rPr>
          <w:rFonts w:asciiTheme="minorHAnsi" w:eastAsiaTheme="minorHAnsi" w:hAnsiTheme="minorHAnsi" w:cstheme="minorHAnsi"/>
          <w:szCs w:val="22"/>
        </w:rPr>
      </w:pPr>
      <w:r w:rsidRPr="003473EB">
        <w:rPr>
          <w:rFonts w:asciiTheme="minorHAnsi" w:eastAsiaTheme="minorHAnsi" w:hAnsiTheme="minorHAnsi" w:cstheme="minorHAnsi"/>
          <w:szCs w:val="22"/>
        </w:rPr>
        <w:t xml:space="preserve">As part </w:t>
      </w:r>
      <w:r w:rsidR="006438EB">
        <w:rPr>
          <w:rFonts w:asciiTheme="minorHAnsi" w:eastAsiaTheme="minorHAnsi" w:hAnsiTheme="minorHAnsi" w:cstheme="minorHAnsi"/>
          <w:szCs w:val="22"/>
        </w:rPr>
        <w:t xml:space="preserve">of </w:t>
      </w:r>
      <w:r w:rsidRPr="003473EB">
        <w:rPr>
          <w:rFonts w:asciiTheme="minorHAnsi" w:eastAsiaTheme="minorHAnsi" w:hAnsiTheme="minorHAnsi" w:cstheme="minorHAnsi"/>
          <w:szCs w:val="22"/>
        </w:rPr>
        <w:t>this program, we will hold local meetings to apprise landowners and farmers of the availability of the resources to be available under this project and the complimentary USDA program</w:t>
      </w:r>
      <w:r w:rsidR="006438EB">
        <w:rPr>
          <w:rFonts w:asciiTheme="minorHAnsi" w:eastAsiaTheme="minorHAnsi" w:hAnsiTheme="minorHAnsi" w:cstheme="minorHAnsi"/>
          <w:szCs w:val="22"/>
        </w:rPr>
        <w:t xml:space="preserve">. </w:t>
      </w:r>
      <w:r w:rsidRPr="003473EB">
        <w:rPr>
          <w:rFonts w:asciiTheme="minorHAnsi" w:eastAsiaTheme="minorHAnsi" w:hAnsiTheme="minorHAnsi" w:cstheme="minorHAnsi"/>
          <w:szCs w:val="22"/>
        </w:rPr>
        <w:t>In fact</w:t>
      </w:r>
      <w:r w:rsidR="00247A62">
        <w:rPr>
          <w:rFonts w:asciiTheme="minorHAnsi" w:eastAsiaTheme="minorHAnsi" w:hAnsiTheme="minorHAnsi" w:cstheme="minorHAnsi"/>
          <w:szCs w:val="22"/>
        </w:rPr>
        <w:t xml:space="preserve">, </w:t>
      </w:r>
      <w:r w:rsidRPr="003473EB">
        <w:rPr>
          <w:rFonts w:asciiTheme="minorHAnsi" w:eastAsiaTheme="minorHAnsi" w:hAnsiTheme="minorHAnsi" w:cstheme="minorHAnsi"/>
          <w:szCs w:val="22"/>
        </w:rPr>
        <w:t>the outreach will follow what has been the approach under the USDA program</w:t>
      </w:r>
      <w:r w:rsidR="006438EB">
        <w:rPr>
          <w:rFonts w:asciiTheme="minorHAnsi" w:eastAsiaTheme="minorHAnsi" w:hAnsiTheme="minorHAnsi" w:cstheme="minorHAnsi"/>
          <w:szCs w:val="22"/>
        </w:rPr>
        <w:t>.</w:t>
      </w:r>
      <w:r w:rsidRPr="003473EB">
        <w:rPr>
          <w:rFonts w:asciiTheme="minorHAnsi" w:eastAsiaTheme="minorHAnsi" w:hAnsiTheme="minorHAnsi" w:cstheme="minorHAnsi"/>
          <w:szCs w:val="22"/>
        </w:rPr>
        <w:t xml:space="preserve"> </w:t>
      </w:r>
      <w:r w:rsidR="006438EB">
        <w:rPr>
          <w:rFonts w:asciiTheme="minorHAnsi" w:eastAsiaTheme="minorHAnsi" w:hAnsiTheme="minorHAnsi" w:cstheme="minorHAnsi"/>
          <w:szCs w:val="22"/>
        </w:rPr>
        <w:t xml:space="preserve">See section </w:t>
      </w:r>
      <w:r w:rsidR="006438EB" w:rsidRPr="006438EB">
        <w:rPr>
          <w:rFonts w:asciiTheme="minorHAnsi" w:eastAsiaTheme="minorHAnsi" w:hAnsiTheme="minorHAnsi" w:cstheme="minorHAnsi"/>
          <w:b/>
          <w:bCs/>
          <w:szCs w:val="22"/>
        </w:rPr>
        <w:t>6</w:t>
      </w:r>
      <w:r w:rsidR="006438EB">
        <w:rPr>
          <w:rFonts w:asciiTheme="minorHAnsi" w:eastAsiaTheme="minorHAnsi" w:hAnsiTheme="minorHAnsi" w:cstheme="minorHAnsi"/>
          <w:szCs w:val="22"/>
        </w:rPr>
        <w:t xml:space="preserve"> below. </w:t>
      </w:r>
      <w:r w:rsidRPr="003473EB">
        <w:rPr>
          <w:rFonts w:asciiTheme="minorHAnsi" w:eastAsiaTheme="minorHAnsi" w:hAnsiTheme="minorHAnsi" w:cstheme="minorHAnsi"/>
          <w:szCs w:val="22"/>
        </w:rPr>
        <w:t xml:space="preserve">This will also include discussions of environmental impacts and issues. </w:t>
      </w:r>
    </w:p>
    <w:p w14:paraId="4285FA2E" w14:textId="637E571C" w:rsidR="00CA5DB0" w:rsidRPr="003473EB" w:rsidRDefault="00CA5DB0" w:rsidP="0000069C">
      <w:pPr>
        <w:pStyle w:val="Heading1"/>
        <w:rPr>
          <w:rFonts w:eastAsiaTheme="minorHAnsi"/>
        </w:rPr>
      </w:pPr>
      <w:bookmarkStart w:id="97" w:name="_Toc161741997"/>
      <w:bookmarkStart w:id="98" w:name="_Toc161908276"/>
      <w:bookmarkStart w:id="99" w:name="_Toc161924187"/>
      <w:bookmarkStart w:id="100" w:name="_Toc162606620"/>
      <w:r w:rsidRPr="003473EB">
        <w:rPr>
          <w:rFonts w:eastAsiaTheme="minorHAnsi"/>
        </w:rPr>
        <w:t>Job Quality</w:t>
      </w:r>
      <w:bookmarkEnd w:id="97"/>
      <w:bookmarkEnd w:id="98"/>
      <w:bookmarkEnd w:id="99"/>
      <w:bookmarkEnd w:id="100"/>
    </w:p>
    <w:p w14:paraId="28DB95DF" w14:textId="2487CA4E" w:rsidR="00CA5DB0" w:rsidRDefault="00CA5DB0" w:rsidP="00CA5DB0">
      <w:pPr>
        <w:pStyle w:val="ember-view"/>
        <w:spacing w:before="0" w:beforeAutospacing="0" w:after="60" w:afterAutospacing="0"/>
        <w:rPr>
          <w:rFonts w:asciiTheme="minorHAnsi" w:hAnsiTheme="minorHAnsi" w:cstheme="minorHAnsi"/>
          <w:szCs w:val="22"/>
        </w:rPr>
      </w:pPr>
      <w:r w:rsidRPr="003473EB">
        <w:rPr>
          <w:rFonts w:asciiTheme="minorHAnsi" w:eastAsiaTheme="minorHAnsi" w:hAnsiTheme="minorHAnsi" w:cstheme="minorHAnsi"/>
          <w:szCs w:val="22"/>
        </w:rPr>
        <w:t xml:space="preserve">In some of these rural areas farm jobs may not have been held in high esteem.  Prior to 1950 it was a lot of hand labor especially for harvests. However, on farm labor today is much different and entails driving automated farm equipment for planting and harvesting. Large trucks are used for supply delivery and taking harvests to market. Corn, </w:t>
      </w:r>
      <w:r w:rsidR="004A5F8C" w:rsidRPr="003473EB">
        <w:rPr>
          <w:rFonts w:asciiTheme="minorHAnsi" w:eastAsiaTheme="minorHAnsi" w:hAnsiTheme="minorHAnsi" w:cstheme="minorHAnsi"/>
          <w:szCs w:val="22"/>
        </w:rPr>
        <w:t>soybeans,</w:t>
      </w:r>
      <w:r w:rsidRPr="003473EB">
        <w:rPr>
          <w:rFonts w:asciiTheme="minorHAnsi" w:eastAsiaTheme="minorHAnsi" w:hAnsiTheme="minorHAnsi" w:cstheme="minorHAnsi"/>
          <w:szCs w:val="22"/>
        </w:rPr>
        <w:t xml:space="preserve"> and cotton today are harvested mechanically. Highly skilled mechanics are needed to keep the equipment running. Building, </w:t>
      </w:r>
      <w:r w:rsidR="004A5F8C" w:rsidRPr="003473EB">
        <w:rPr>
          <w:rFonts w:asciiTheme="minorHAnsi" w:eastAsiaTheme="minorHAnsi" w:hAnsiTheme="minorHAnsi" w:cstheme="minorHAnsi"/>
          <w:szCs w:val="22"/>
        </w:rPr>
        <w:t>running,</w:t>
      </w:r>
      <w:r w:rsidRPr="003473EB">
        <w:rPr>
          <w:rFonts w:asciiTheme="minorHAnsi" w:eastAsiaTheme="minorHAnsi" w:hAnsiTheme="minorHAnsi" w:cstheme="minorHAnsi"/>
          <w:szCs w:val="22"/>
        </w:rPr>
        <w:t xml:space="preserve"> and maintaining irrigation equipment requires skilled labor. Installing the solar array requires skilled workers. We expect these jobs will be at greater pay than other jobs in these rural areas. At present the number of irrigation suppliers is low but we expect that vendors</w:t>
      </w:r>
      <w:r w:rsidR="00AC04F9">
        <w:rPr>
          <w:rFonts w:asciiTheme="minorHAnsi" w:eastAsiaTheme="minorHAnsi" w:hAnsiTheme="minorHAnsi" w:cstheme="minorHAnsi"/>
          <w:szCs w:val="22"/>
        </w:rPr>
        <w:t>,</w:t>
      </w:r>
      <w:r w:rsidRPr="003473EB">
        <w:rPr>
          <w:rFonts w:asciiTheme="minorHAnsi" w:eastAsiaTheme="minorHAnsi" w:hAnsiTheme="minorHAnsi" w:cstheme="minorHAnsi"/>
          <w:szCs w:val="22"/>
        </w:rPr>
        <w:t xml:space="preserve"> when they see the opportunity will deploy</w:t>
      </w:r>
      <w:r w:rsidR="00AC04F9">
        <w:rPr>
          <w:rFonts w:asciiTheme="minorHAnsi" w:eastAsiaTheme="minorHAnsi" w:hAnsiTheme="minorHAnsi" w:cstheme="minorHAnsi"/>
          <w:szCs w:val="22"/>
        </w:rPr>
        <w:t>,</w:t>
      </w:r>
      <w:r w:rsidRPr="003473EB">
        <w:rPr>
          <w:rFonts w:asciiTheme="minorHAnsi" w:eastAsiaTheme="minorHAnsi" w:hAnsiTheme="minorHAnsi" w:cstheme="minorHAnsi"/>
          <w:szCs w:val="22"/>
        </w:rPr>
        <w:t xml:space="preserve"> franchises in these areas. Here salesmen, installers should be above the regional pay scale. </w:t>
      </w:r>
    </w:p>
    <w:p w14:paraId="0B1159B7" w14:textId="132DD3F2" w:rsidR="00CA5DB0" w:rsidRDefault="00CA5DB0" w:rsidP="0000069C">
      <w:pPr>
        <w:pStyle w:val="Heading1"/>
      </w:pPr>
      <w:bookmarkStart w:id="101" w:name="_Toc161741998"/>
      <w:bookmarkStart w:id="102" w:name="_Toc161908277"/>
      <w:bookmarkStart w:id="103" w:name="_Toc161924188"/>
      <w:bookmarkStart w:id="104" w:name="_Toc162606621"/>
      <w:r w:rsidRPr="003473EB">
        <w:t>Programmatic Capability and Past Performance</w:t>
      </w:r>
      <w:bookmarkEnd w:id="101"/>
      <w:bookmarkEnd w:id="102"/>
      <w:bookmarkEnd w:id="103"/>
      <w:bookmarkEnd w:id="104"/>
    </w:p>
    <w:p w14:paraId="649A63F9" w14:textId="152B06E5" w:rsidR="00A53EB9" w:rsidRDefault="000B1772" w:rsidP="00E05363">
      <w:pPr>
        <w:pStyle w:val="NormalWeb"/>
        <w:shd w:val="clear" w:color="auto" w:fill="FFFFFF"/>
        <w:spacing w:before="0" w:beforeAutospacing="0" w:after="300" w:afterAutospacing="0"/>
        <w:rPr>
          <w:rFonts w:asciiTheme="minorHAnsi" w:hAnsiTheme="minorHAnsi" w:cstheme="minorHAnsi"/>
        </w:rPr>
      </w:pPr>
      <w:r>
        <w:t>This EPA project will be in parallel with a USDA NRCS Watershed Program – the Alabama Irrigation Initiative</w:t>
      </w:r>
      <w:r w:rsidR="00CB19F4">
        <w:t xml:space="preserve"> </w:t>
      </w:r>
      <w:hyperlink r:id="rId46" w:history="1">
        <w:r w:rsidR="00CB19F4">
          <w:rPr>
            <w:rStyle w:val="Hyperlink"/>
          </w:rPr>
          <w:t>Planning for Sustainable Irrigation Expansion in Alabama - Alabama Cooperative Extension System (aces.edu)</w:t>
        </w:r>
      </w:hyperlink>
      <w:r>
        <w:t xml:space="preserve">. The </w:t>
      </w:r>
      <w:r w:rsidR="002852B8">
        <w:t>Alabama Soil and Water Conservation Committee (</w:t>
      </w:r>
      <w:r>
        <w:t>ALSWCC</w:t>
      </w:r>
      <w:r w:rsidR="002852B8">
        <w:t xml:space="preserve">) </w:t>
      </w:r>
      <w:r w:rsidR="0029371B">
        <w:t xml:space="preserve">was </w:t>
      </w:r>
      <w:r w:rsidR="002852B8">
        <w:t xml:space="preserve">the lead agency </w:t>
      </w:r>
      <w:r w:rsidR="0029371B">
        <w:t xml:space="preserve">implementing agency </w:t>
      </w:r>
      <w:r w:rsidR="002852B8">
        <w:t xml:space="preserve">on this </w:t>
      </w:r>
      <w:r w:rsidR="0029371B">
        <w:t>USDA project and is the lead agency on this CPRG project. It worked with</w:t>
      </w:r>
      <w:r w:rsidR="002852B8">
        <w:t xml:space="preserve"> NRCS to develop applicant </w:t>
      </w:r>
      <w:r w:rsidR="0029371B">
        <w:t xml:space="preserve">pools, </w:t>
      </w:r>
      <w:r w:rsidR="004A5F8C">
        <w:t>screening,</w:t>
      </w:r>
      <w:r w:rsidR="002852B8">
        <w:t xml:space="preserve"> and funding to farmers for the irrigation equipment. </w:t>
      </w:r>
      <w:r w:rsidR="00CB19F4" w:rsidRPr="00CB19F4">
        <w:rPr>
          <w:rFonts w:asciiTheme="minorHAnsi" w:hAnsiTheme="minorHAnsi" w:cstheme="minorHAnsi"/>
        </w:rPr>
        <w:t>M</w:t>
      </w:r>
      <w:r w:rsidR="002852B8" w:rsidRPr="00CB19F4">
        <w:rPr>
          <w:rFonts w:asciiTheme="minorHAnsi" w:hAnsiTheme="minorHAnsi" w:cstheme="minorHAnsi"/>
        </w:rPr>
        <w:t xml:space="preserve">uch of the applicant screening and communication will follow the NRCS program. </w:t>
      </w:r>
      <w:r w:rsidR="0029371B">
        <w:rPr>
          <w:rFonts w:asciiTheme="minorHAnsi" w:hAnsiTheme="minorHAnsi" w:cstheme="minorHAnsi"/>
        </w:rPr>
        <w:t>The watershed project was</w:t>
      </w:r>
      <w:r w:rsidR="00CB19F4" w:rsidRPr="00CB19F4">
        <w:rPr>
          <w:rFonts w:asciiTheme="minorHAnsi" w:hAnsiTheme="minorHAnsi" w:cstheme="minorHAnsi"/>
        </w:rPr>
        <w:t xml:space="preserve"> the first-of-its-kind project where PL </w:t>
      </w:r>
      <w:r w:rsidR="00CB19F4" w:rsidRPr="00CB19F4">
        <w:rPr>
          <w:rFonts w:asciiTheme="minorHAnsi" w:hAnsiTheme="minorHAnsi" w:cstheme="minorHAnsi"/>
        </w:rPr>
        <w:lastRenderedPageBreak/>
        <w:t>83-566 funds are being used to help producers convert rain-fed cropland to irrigated cropland</w:t>
      </w:r>
      <w:r w:rsidR="0029371B">
        <w:rPr>
          <w:rFonts w:asciiTheme="minorHAnsi" w:hAnsiTheme="minorHAnsi" w:cstheme="minorHAnsi"/>
        </w:rPr>
        <w:t xml:space="preserve">. </w:t>
      </w:r>
      <w:r w:rsidR="00CB19F4" w:rsidRPr="00CB19F4">
        <w:rPr>
          <w:rFonts w:asciiTheme="minorHAnsi" w:hAnsiTheme="minorHAnsi" w:cstheme="minorHAnsi"/>
        </w:rPr>
        <w:t>NRCS and ALSWCC committed to developing watershed plans for pilot watersheds. These watersheds were selected by a committee of stakeholders based on the best available data. They are shown in figure 1-12.</w:t>
      </w:r>
    </w:p>
    <w:p w14:paraId="26A601A8" w14:textId="1C91255C" w:rsidR="00E05363" w:rsidRDefault="00CB19F4" w:rsidP="00E05363">
      <w:pPr>
        <w:pStyle w:val="NormalWeb"/>
        <w:shd w:val="clear" w:color="auto" w:fill="FFFFFF"/>
        <w:spacing w:before="0" w:beforeAutospacing="0" w:after="300" w:afterAutospacing="0"/>
        <w:rPr>
          <w:rFonts w:asciiTheme="minorHAnsi" w:hAnsiTheme="minorHAnsi" w:cstheme="minorHAnsi"/>
        </w:rPr>
      </w:pPr>
      <w:r>
        <w:rPr>
          <w:rFonts w:asciiTheme="minorHAnsi" w:hAnsiTheme="minorHAnsi" w:cstheme="minorHAnsi"/>
        </w:rPr>
        <w:t>This program has significant public involvement in the water, ecosystem and economic impacts of the projects. Multiple public meetings have been held within the watersheds to gather public comments. This also serves to publicize to potential farmer applicant</w:t>
      </w:r>
      <w:r w:rsidR="00E05363">
        <w:rPr>
          <w:rFonts w:asciiTheme="minorHAnsi" w:hAnsiTheme="minorHAnsi" w:cstheme="minorHAnsi"/>
        </w:rPr>
        <w:t xml:space="preserve">s the availability of funds for the irrigation infrastructure. Special attention is given minority and underserved applicants. </w:t>
      </w:r>
      <w:r w:rsidR="00E05363" w:rsidRPr="00E05363">
        <w:rPr>
          <w:rFonts w:asciiTheme="minorHAnsi" w:hAnsiTheme="minorHAnsi" w:cstheme="minorHAnsi"/>
        </w:rPr>
        <w:t>Approved </w:t>
      </w:r>
      <w:hyperlink r:id="rId47" w:history="1">
        <w:r w:rsidR="00E05363" w:rsidRPr="00E05363">
          <w:rPr>
            <w:rStyle w:val="Hyperlink"/>
            <w:rFonts w:asciiTheme="minorHAnsi" w:hAnsiTheme="minorHAnsi" w:cstheme="minorHAnsi"/>
          </w:rPr>
          <w:t>socially disadvantaged producers</w:t>
        </w:r>
      </w:hyperlink>
      <w:r w:rsidR="00E05363" w:rsidRPr="00E05363">
        <w:rPr>
          <w:rFonts w:asciiTheme="minorHAnsi" w:hAnsiTheme="minorHAnsi" w:cstheme="minorHAnsi"/>
        </w:rPr>
        <w:t xml:space="preserve"> receive 75% cost-share. producers include farmers who are Black or African American, American </w:t>
      </w:r>
      <w:r w:rsidR="00E0207B" w:rsidRPr="00E05363">
        <w:rPr>
          <w:rFonts w:asciiTheme="minorHAnsi" w:hAnsiTheme="minorHAnsi" w:cstheme="minorHAnsi"/>
        </w:rPr>
        <w:t>Indian,</w:t>
      </w:r>
      <w:r w:rsidR="00E05363" w:rsidRPr="00E05363">
        <w:rPr>
          <w:rFonts w:asciiTheme="minorHAnsi" w:hAnsiTheme="minorHAnsi" w:cstheme="minorHAnsi"/>
        </w:rPr>
        <w:t xml:space="preserve"> or Alaska Native, Hispanic or Latino, and Asian or Pacific Islander.</w:t>
      </w:r>
      <w:r w:rsidR="00E05363">
        <w:rPr>
          <w:rFonts w:asciiTheme="minorHAnsi" w:hAnsiTheme="minorHAnsi" w:cstheme="minorHAnsi"/>
        </w:rPr>
        <w:t xml:space="preserve"> </w:t>
      </w:r>
      <w:r w:rsidR="00E05363" w:rsidRPr="00E05363">
        <w:rPr>
          <w:rFonts w:asciiTheme="minorHAnsi" w:hAnsiTheme="minorHAnsi" w:cstheme="minorHAnsi"/>
        </w:rPr>
        <w:t>Approved </w:t>
      </w:r>
      <w:hyperlink r:id="rId48" w:history="1">
        <w:r w:rsidR="00E05363" w:rsidRPr="00E05363">
          <w:rPr>
            <w:rStyle w:val="Hyperlink"/>
            <w:rFonts w:asciiTheme="minorHAnsi" w:hAnsiTheme="minorHAnsi" w:cstheme="minorHAnsi"/>
          </w:rPr>
          <w:t>historically underserved producers</w:t>
        </w:r>
      </w:hyperlink>
      <w:r w:rsidR="00E05363" w:rsidRPr="00E05363">
        <w:rPr>
          <w:rFonts w:asciiTheme="minorHAnsi" w:hAnsiTheme="minorHAnsi" w:cstheme="minorHAnsi"/>
        </w:rPr>
        <w:t> installing </w:t>
      </w:r>
      <w:r w:rsidR="00E05363" w:rsidRPr="00E05363">
        <w:rPr>
          <w:rFonts w:asciiTheme="minorHAnsi" w:hAnsiTheme="minorHAnsi" w:cstheme="minorHAnsi"/>
          <w:b/>
          <w:bCs/>
          <w:i/>
          <w:iCs/>
        </w:rPr>
        <w:t>micro-irrigation</w:t>
      </w:r>
      <w:r w:rsidR="00E05363" w:rsidRPr="00E05363">
        <w:rPr>
          <w:rFonts w:asciiTheme="minorHAnsi" w:hAnsiTheme="minorHAnsi" w:cstheme="minorHAnsi"/>
        </w:rPr>
        <w:t> or </w:t>
      </w:r>
      <w:r w:rsidR="00E05363" w:rsidRPr="00E05363">
        <w:rPr>
          <w:rFonts w:asciiTheme="minorHAnsi" w:hAnsiTheme="minorHAnsi" w:cstheme="minorHAnsi"/>
          <w:b/>
          <w:bCs/>
          <w:i/>
          <w:iCs/>
        </w:rPr>
        <w:t>plasticulture infrastructure</w:t>
      </w:r>
      <w:r w:rsidR="00E05363" w:rsidRPr="00E05363">
        <w:rPr>
          <w:rFonts w:asciiTheme="minorHAnsi" w:hAnsiTheme="minorHAnsi" w:cstheme="minorHAnsi"/>
        </w:rPr>
        <w:t> on more than one acre receive 90% cost share. Producers include socially disadvantaged, beginning, limited-resource, and veteran farmers</w:t>
      </w:r>
      <w:r w:rsidR="00E05363">
        <w:rPr>
          <w:rFonts w:asciiTheme="minorHAnsi" w:hAnsiTheme="minorHAnsi" w:cstheme="minorHAnsi"/>
        </w:rPr>
        <w:t>.</w:t>
      </w:r>
    </w:p>
    <w:p w14:paraId="5D69BF2E" w14:textId="13638365" w:rsidR="00247A62" w:rsidRDefault="00247A62" w:rsidP="00E05363">
      <w:pPr>
        <w:pStyle w:val="NormalWeb"/>
        <w:shd w:val="clear" w:color="auto" w:fill="FFFFFF"/>
        <w:spacing w:before="0" w:beforeAutospacing="0" w:after="300" w:afterAutospacing="0"/>
        <w:rPr>
          <w:rFonts w:asciiTheme="minorHAnsi" w:hAnsiTheme="minorHAnsi" w:cstheme="minorHAnsi"/>
        </w:rPr>
      </w:pPr>
      <w:r>
        <w:rPr>
          <w:rFonts w:asciiTheme="minorHAnsi" w:hAnsiTheme="minorHAnsi" w:cstheme="minorHAnsi"/>
        </w:rPr>
        <w:t>Special attention in the watershed planning is devoted to preserving wetlands, wildlife, archaeological and historical attributes. Is short, this Alabama Watershed program is an extraordinary program in terms o</w:t>
      </w:r>
      <w:r w:rsidR="00785AD9">
        <w:rPr>
          <w:rFonts w:asciiTheme="minorHAnsi" w:hAnsiTheme="minorHAnsi" w:cstheme="minorHAnsi"/>
        </w:rPr>
        <w:t xml:space="preserve">f </w:t>
      </w:r>
      <w:r>
        <w:rPr>
          <w:rFonts w:asciiTheme="minorHAnsi" w:hAnsiTheme="minorHAnsi" w:cstheme="minorHAnsi"/>
        </w:rPr>
        <w:t xml:space="preserve">delineating and protecting environmental attributes. In </w:t>
      </w:r>
      <w:r w:rsidR="00785AD9">
        <w:rPr>
          <w:rFonts w:asciiTheme="minorHAnsi" w:hAnsiTheme="minorHAnsi" w:cstheme="minorHAnsi"/>
        </w:rPr>
        <w:t>a real</w:t>
      </w:r>
      <w:r>
        <w:rPr>
          <w:rFonts w:asciiTheme="minorHAnsi" w:hAnsiTheme="minorHAnsi" w:cstheme="minorHAnsi"/>
        </w:rPr>
        <w:t xml:space="preserve"> sense</w:t>
      </w:r>
      <w:r w:rsidR="00785AD9">
        <w:rPr>
          <w:rFonts w:asciiTheme="minorHAnsi" w:hAnsiTheme="minorHAnsi" w:cstheme="minorHAnsi"/>
        </w:rPr>
        <w:t xml:space="preserve">, </w:t>
      </w:r>
      <w:r>
        <w:rPr>
          <w:rFonts w:asciiTheme="minorHAnsi" w:hAnsiTheme="minorHAnsi" w:cstheme="minorHAnsi"/>
        </w:rPr>
        <w:t xml:space="preserve">the present </w:t>
      </w:r>
      <w:r w:rsidR="00785AD9">
        <w:rPr>
          <w:rFonts w:asciiTheme="minorHAnsi" w:hAnsiTheme="minorHAnsi" w:cstheme="minorHAnsi"/>
        </w:rPr>
        <w:t xml:space="preserve">proposed </w:t>
      </w:r>
      <w:r w:rsidR="00E0207B">
        <w:rPr>
          <w:rFonts w:asciiTheme="minorHAnsi" w:hAnsiTheme="minorHAnsi" w:cstheme="minorHAnsi"/>
        </w:rPr>
        <w:t>project,</w:t>
      </w:r>
      <w:r w:rsidR="00785AD9">
        <w:rPr>
          <w:rFonts w:asciiTheme="minorHAnsi" w:hAnsiTheme="minorHAnsi" w:cstheme="minorHAnsi"/>
        </w:rPr>
        <w:t xml:space="preserve"> </w:t>
      </w:r>
      <w:r>
        <w:rPr>
          <w:rFonts w:asciiTheme="minorHAnsi" w:hAnsiTheme="minorHAnsi" w:cstheme="minorHAnsi"/>
        </w:rPr>
        <w:t>by coupling with the USDA Watershed program goes much further into environmental planning and protection than most any other project under the CPRG</w:t>
      </w:r>
      <w:r w:rsidR="00785AD9">
        <w:rPr>
          <w:rFonts w:asciiTheme="minorHAnsi" w:hAnsiTheme="minorHAnsi" w:cstheme="minorHAnsi"/>
        </w:rPr>
        <w:t xml:space="preserve"> call.</w:t>
      </w:r>
    </w:p>
    <w:p w14:paraId="4F8C60FB" w14:textId="42ECEC8A" w:rsidR="00AF6243" w:rsidRDefault="00AF6243" w:rsidP="00E05363">
      <w:pPr>
        <w:pStyle w:val="NormalWeb"/>
        <w:shd w:val="clear" w:color="auto" w:fill="FFFFFF"/>
        <w:spacing w:before="0" w:beforeAutospacing="0" w:after="300" w:afterAutospacing="0"/>
        <w:rPr>
          <w:rFonts w:asciiTheme="minorHAnsi" w:hAnsiTheme="minorHAnsi" w:cstheme="minorHAnsi"/>
        </w:rPr>
      </w:pPr>
      <w:r>
        <w:rPr>
          <w:rFonts w:asciiTheme="minorHAnsi" w:hAnsiTheme="minorHAnsi" w:cstheme="minorHAnsi"/>
        </w:rPr>
        <w:t xml:space="preserve">The team under this program </w:t>
      </w:r>
      <w:r w:rsidR="00792FDC">
        <w:rPr>
          <w:rFonts w:asciiTheme="minorHAnsi" w:hAnsiTheme="minorHAnsi" w:cstheme="minorHAnsi"/>
        </w:rPr>
        <w:t xml:space="preserve">the </w:t>
      </w:r>
      <w:r w:rsidR="00660459">
        <w:t>ALSWCC</w:t>
      </w:r>
      <w:r w:rsidR="00660459">
        <w:rPr>
          <w:rFonts w:asciiTheme="minorHAnsi" w:hAnsiTheme="minorHAnsi" w:cstheme="minorHAnsi"/>
        </w:rPr>
        <w:t>, University of Alabama in Huntsville and Auburn University have</w:t>
      </w:r>
      <w:r>
        <w:rPr>
          <w:rFonts w:asciiTheme="minorHAnsi" w:hAnsiTheme="minorHAnsi" w:cstheme="minorHAnsi"/>
        </w:rPr>
        <w:t xml:space="preserve"> worked together for over 15 years under the Alabama University Irrigation Initiative (AUII). </w:t>
      </w:r>
      <w:r w:rsidR="00660459">
        <w:rPr>
          <w:rFonts w:asciiTheme="minorHAnsi" w:hAnsiTheme="minorHAnsi" w:cstheme="minorHAnsi"/>
        </w:rPr>
        <w:t xml:space="preserve">They have developed programs to fund irrigation equipment, irrigation reservoirs and Alabama Tax Credits for investments in irrigation. They have also been involved in outreach to farmers to educate them on the importance of irrigation. This has culminated in the USDA NRCS Watershed Plan (discussed above) for providing cost-share for irrigation investment. </w:t>
      </w:r>
    </w:p>
    <w:p w14:paraId="2D07C47B" w14:textId="7C720515" w:rsidR="00785AD9" w:rsidRDefault="00785AD9" w:rsidP="00785AD9">
      <w:pPr>
        <w:pStyle w:val="Heading2"/>
        <w:numPr>
          <w:ilvl w:val="0"/>
          <w:numId w:val="77"/>
        </w:numPr>
      </w:pPr>
      <w:bookmarkStart w:id="105" w:name="_Toc162606622"/>
      <w:r>
        <w:t>Past Performance</w:t>
      </w:r>
      <w:bookmarkEnd w:id="105"/>
    </w:p>
    <w:p w14:paraId="5F6C3274" w14:textId="77777777" w:rsidR="0030595A" w:rsidRPr="00A625E6" w:rsidRDefault="0030595A" w:rsidP="003C5DBD">
      <w:pPr>
        <w:pStyle w:val="NormalWeb"/>
        <w:spacing w:before="0" w:beforeAutospacing="0" w:after="0" w:afterAutospacing="0"/>
        <w:rPr>
          <w:rFonts w:asciiTheme="minorHAnsi" w:hAnsiTheme="minorHAnsi" w:cstheme="minorHAnsi"/>
          <w:szCs w:val="22"/>
        </w:rPr>
      </w:pPr>
      <w:bookmarkStart w:id="106" w:name="_Toc161741999"/>
      <w:bookmarkStart w:id="107" w:name="_Toc161908278"/>
      <w:bookmarkStart w:id="108" w:name="_Toc161924189"/>
      <w:r w:rsidRPr="00FD67F4">
        <w:rPr>
          <w:rFonts w:asciiTheme="minorHAnsi" w:hAnsiTheme="minorHAnsi" w:cstheme="minorHAnsi"/>
          <w:szCs w:val="22"/>
        </w:rPr>
        <w:t>ALSWCC is executive agency of the State of Alabama created in 1939. The mission of ALSWCC is to encourage conservation on private lands by:</w:t>
      </w:r>
    </w:p>
    <w:p w14:paraId="54D8648E" w14:textId="77777777" w:rsidR="0030595A" w:rsidRPr="00A625E6" w:rsidRDefault="0030595A" w:rsidP="003C5DBD">
      <w:pPr>
        <w:numPr>
          <w:ilvl w:val="0"/>
          <w:numId w:val="84"/>
        </w:numPr>
        <w:rPr>
          <w:rFonts w:cstheme="minorHAnsi"/>
        </w:rPr>
      </w:pPr>
      <w:r w:rsidRPr="00A625E6">
        <w:rPr>
          <w:rFonts w:cstheme="minorHAnsi"/>
        </w:rPr>
        <w:t>Supporting Soil and Water Conservation Districts in local conservation efforts</w:t>
      </w:r>
      <w:r w:rsidRPr="00FD67F4">
        <w:rPr>
          <w:rFonts w:cstheme="minorHAnsi"/>
        </w:rPr>
        <w:t>.</w:t>
      </w:r>
    </w:p>
    <w:p w14:paraId="0C968251" w14:textId="77777777" w:rsidR="0030595A" w:rsidRPr="00A625E6" w:rsidRDefault="0030595A" w:rsidP="003C5DBD">
      <w:pPr>
        <w:numPr>
          <w:ilvl w:val="0"/>
          <w:numId w:val="84"/>
        </w:numPr>
        <w:rPr>
          <w:rFonts w:cstheme="minorHAnsi"/>
        </w:rPr>
      </w:pPr>
      <w:r w:rsidRPr="00A625E6">
        <w:rPr>
          <w:rFonts w:cstheme="minorHAnsi"/>
        </w:rPr>
        <w:t xml:space="preserve">Coordinating programs to conserve Alabama’s natural </w:t>
      </w:r>
      <w:r w:rsidRPr="00FD67F4">
        <w:rPr>
          <w:rFonts w:cstheme="minorHAnsi"/>
        </w:rPr>
        <w:t>resources.</w:t>
      </w:r>
    </w:p>
    <w:p w14:paraId="05121208" w14:textId="77777777" w:rsidR="0030595A" w:rsidRPr="00A625E6" w:rsidRDefault="0030595A" w:rsidP="003C5DBD">
      <w:pPr>
        <w:numPr>
          <w:ilvl w:val="0"/>
          <w:numId w:val="84"/>
        </w:numPr>
        <w:rPr>
          <w:rFonts w:cstheme="minorHAnsi"/>
        </w:rPr>
      </w:pPr>
      <w:r w:rsidRPr="00A625E6">
        <w:rPr>
          <w:rFonts w:cstheme="minorHAnsi"/>
        </w:rPr>
        <w:t>Securing the cooperation and assistance of Federal Partners on matters of conservation</w:t>
      </w:r>
      <w:r w:rsidRPr="00FD67F4">
        <w:rPr>
          <w:rFonts w:cstheme="minorHAnsi"/>
        </w:rPr>
        <w:t>.</w:t>
      </w:r>
    </w:p>
    <w:p w14:paraId="214A5DA7" w14:textId="77777777" w:rsidR="0030595A" w:rsidRPr="00A625E6" w:rsidRDefault="0030595A" w:rsidP="003C5DBD">
      <w:pPr>
        <w:numPr>
          <w:ilvl w:val="0"/>
          <w:numId w:val="84"/>
        </w:numPr>
        <w:rPr>
          <w:rFonts w:cstheme="minorHAnsi"/>
        </w:rPr>
      </w:pPr>
      <w:r w:rsidRPr="00A625E6">
        <w:rPr>
          <w:rFonts w:cstheme="minorHAnsi"/>
        </w:rPr>
        <w:t>Educating about conservation throughout the state of Alabama</w:t>
      </w:r>
      <w:r w:rsidRPr="00FD67F4">
        <w:rPr>
          <w:rFonts w:cstheme="minorHAnsi"/>
        </w:rPr>
        <w:t>.</w:t>
      </w:r>
    </w:p>
    <w:p w14:paraId="3CF7919B" w14:textId="77777777" w:rsidR="0030595A" w:rsidRPr="00A625E6" w:rsidRDefault="0030595A" w:rsidP="003C5DBD">
      <w:pPr>
        <w:rPr>
          <w:rFonts w:cstheme="minorHAnsi"/>
        </w:rPr>
      </w:pPr>
      <w:r w:rsidRPr="00A625E6">
        <w:rPr>
          <w:rFonts w:cstheme="minorHAnsi"/>
        </w:rPr>
        <w:t>Local Soil and Water Conservations Districts (SWCDs) are state entities located in each county who work locally through volunteer supervisors, landowners, and local staff to protect Alabama’s natural resources. The United States Department of Agriculture-Natural Resources Conservation Service (</w:t>
      </w:r>
      <w:r w:rsidRPr="00FD67F4">
        <w:rPr>
          <w:rFonts w:cstheme="minorHAnsi"/>
        </w:rPr>
        <w:t>NRCS) is</w:t>
      </w:r>
      <w:r w:rsidRPr="00A625E6">
        <w:rPr>
          <w:rFonts w:cstheme="minorHAnsi"/>
        </w:rPr>
        <w:t xml:space="preserve"> the primary federal partner </w:t>
      </w:r>
      <w:r w:rsidRPr="00FD67F4">
        <w:rPr>
          <w:rFonts w:cstheme="minorHAnsi"/>
        </w:rPr>
        <w:t xml:space="preserve">of ALSWCC </w:t>
      </w:r>
      <w:r w:rsidRPr="00A625E6">
        <w:rPr>
          <w:rFonts w:cstheme="minorHAnsi"/>
        </w:rPr>
        <w:t>and provides America’s farmers and ranchers with financial and technical assistance to voluntarily put conservation on the ground, not only helping the environment but agricultural operations, too.</w:t>
      </w:r>
    </w:p>
    <w:p w14:paraId="0099BB28" w14:textId="77777777" w:rsidR="0030595A" w:rsidRPr="00FD67F4" w:rsidRDefault="0030595A" w:rsidP="0030595A">
      <w:pPr>
        <w:spacing w:before="100" w:beforeAutospacing="1" w:after="100" w:afterAutospacing="1"/>
        <w:rPr>
          <w:rFonts w:cstheme="minorHAnsi"/>
        </w:rPr>
      </w:pPr>
      <w:r w:rsidRPr="00A625E6">
        <w:rPr>
          <w:rFonts w:cstheme="minorHAnsi"/>
        </w:rPr>
        <w:t xml:space="preserve">ALSWCC, local SWCDs and NRCS work with the private landowners of Alabama to protect soil and water resources for the benefit of all citizens of Alabama. These working lands comprise 95% of </w:t>
      </w:r>
      <w:r w:rsidRPr="00FD67F4">
        <w:rPr>
          <w:rFonts w:cstheme="minorHAnsi"/>
        </w:rPr>
        <w:t>Alabama’s</w:t>
      </w:r>
      <w:r w:rsidRPr="00A625E6">
        <w:rPr>
          <w:rFonts w:cstheme="minorHAnsi"/>
        </w:rPr>
        <w:t xml:space="preserve"> total acreage and produce much more than food and fiber. Public benefits include clean water, clean air, reforestation, wildlife habitat improvement, recreation and open space enhancements that contribute to the quality of life for all Alabama </w:t>
      </w:r>
      <w:r w:rsidRPr="00FD67F4">
        <w:rPr>
          <w:rFonts w:cstheme="minorHAnsi"/>
        </w:rPr>
        <w:t>residents.</w:t>
      </w:r>
    </w:p>
    <w:p w14:paraId="0E66D50A" w14:textId="69931154" w:rsidR="00E7537F" w:rsidRDefault="00E7537F" w:rsidP="00E7537F">
      <w:pPr>
        <w:rPr>
          <w:rFonts w:eastAsia="Calibri" w:cs="Calibri"/>
          <w:highlight w:val="lightGray"/>
        </w:rPr>
      </w:pPr>
      <w:r w:rsidRPr="00954040">
        <w:t>The Alabama Soil and Water Conservation Committee (ALSWCC) has recently</w:t>
      </w:r>
      <w:r w:rsidR="00BB7519">
        <w:t xml:space="preserve"> completed or</w:t>
      </w:r>
      <w:r w:rsidR="00BE5CCE">
        <w:t xml:space="preserve"> </w:t>
      </w:r>
      <w:r w:rsidR="007245F8">
        <w:t>is</w:t>
      </w:r>
      <w:r w:rsidR="00BE5CCE">
        <w:t xml:space="preserve"> currently </w:t>
      </w:r>
      <w:r w:rsidR="003C5DBD">
        <w:t xml:space="preserve">completing </w:t>
      </w:r>
      <w:r w:rsidR="003C5DBD" w:rsidRPr="00954040">
        <w:t>multiple</w:t>
      </w:r>
      <w:r w:rsidRPr="00954040">
        <w:t xml:space="preserve"> USDA </w:t>
      </w:r>
      <w:r>
        <w:t>-</w:t>
      </w:r>
      <w:r w:rsidRPr="00954040">
        <w:t xml:space="preserve">NRCS </w:t>
      </w:r>
      <w:r>
        <w:t>agreements. Information on five projects is provided below</w:t>
      </w:r>
      <w:r w:rsidRPr="00954040">
        <w:t>.</w:t>
      </w:r>
    </w:p>
    <w:p w14:paraId="1A07A079" w14:textId="275C5D1D" w:rsidR="00E7537F" w:rsidRPr="00E7537F" w:rsidRDefault="005E2E76" w:rsidP="005E2E76">
      <w:pPr>
        <w:autoSpaceDE w:val="0"/>
        <w:autoSpaceDN w:val="0"/>
        <w:adjustRightInd w:val="0"/>
        <w:ind w:left="84" w:firstLine="14"/>
        <w:rPr>
          <w:rFonts w:eastAsia="Calibri" w:cs="Calibri"/>
          <w:b/>
          <w:bCs/>
        </w:rPr>
      </w:pPr>
      <w:r>
        <w:rPr>
          <w:rFonts w:eastAsia="Calibri" w:cs="Calibri"/>
          <w:b/>
          <w:bCs/>
        </w:rPr>
        <w:lastRenderedPageBreak/>
        <w:t xml:space="preserve">       </w:t>
      </w:r>
      <w:r w:rsidR="00E7537F" w:rsidRPr="00E7537F">
        <w:rPr>
          <w:rFonts w:eastAsia="Calibri" w:cs="Calibri"/>
          <w:b/>
          <w:bCs/>
        </w:rPr>
        <w:t xml:space="preserve">a.1 </w:t>
      </w:r>
      <w:r w:rsidR="00E7537F" w:rsidRPr="00E7537F">
        <w:rPr>
          <w:rFonts w:eastAsia="Calibri" w:cs="Calibri"/>
          <w:b/>
          <w:bCs/>
        </w:rPr>
        <w:tab/>
        <w:t>Alabama Irrigation Initiative- Middle Tennessee River Watershed Phase 1</w:t>
      </w:r>
    </w:p>
    <w:p w14:paraId="31A41282" w14:textId="77777777" w:rsidR="00E7537F" w:rsidRPr="008A4F4F" w:rsidRDefault="00E7537F" w:rsidP="00E7537F">
      <w:pPr>
        <w:pStyle w:val="ListParagraph"/>
        <w:numPr>
          <w:ilvl w:val="0"/>
          <w:numId w:val="78"/>
        </w:numPr>
        <w:autoSpaceDE w:val="0"/>
        <w:autoSpaceDN w:val="0"/>
        <w:adjustRightInd w:val="0"/>
        <w:rPr>
          <w:rFonts w:eastAsia="Calibri" w:cs="Calibri"/>
        </w:rPr>
      </w:pPr>
      <w:r w:rsidRPr="008A4F4F">
        <w:rPr>
          <w:rFonts w:eastAsia="Calibri" w:cs="Calibri"/>
        </w:rPr>
        <w:t>68-4101-17-200</w:t>
      </w:r>
    </w:p>
    <w:p w14:paraId="7E66C2D0" w14:textId="77777777" w:rsidR="00E7537F" w:rsidRPr="00A333FC" w:rsidRDefault="00E7537F" w:rsidP="00E7537F">
      <w:pPr>
        <w:pStyle w:val="ListParagraph"/>
        <w:numPr>
          <w:ilvl w:val="0"/>
          <w:numId w:val="78"/>
        </w:numPr>
        <w:autoSpaceDE w:val="0"/>
        <w:autoSpaceDN w:val="0"/>
        <w:adjustRightInd w:val="0"/>
        <w:rPr>
          <w:rFonts w:eastAsia="Calibri" w:cs="Calibri"/>
        </w:rPr>
      </w:pPr>
      <w:r w:rsidRPr="00A333FC">
        <w:rPr>
          <w:rFonts w:eastAsia="Calibri" w:cs="Calibri"/>
        </w:rPr>
        <w:t>10.904</w:t>
      </w:r>
    </w:p>
    <w:p w14:paraId="474CB19A" w14:textId="77777777" w:rsidR="00E7537F" w:rsidRPr="008A4F4F" w:rsidRDefault="00E7537F" w:rsidP="00E7537F">
      <w:pPr>
        <w:pStyle w:val="ListParagraph"/>
        <w:numPr>
          <w:ilvl w:val="0"/>
          <w:numId w:val="78"/>
        </w:numPr>
        <w:autoSpaceDE w:val="0"/>
        <w:autoSpaceDN w:val="0"/>
        <w:adjustRightInd w:val="0"/>
        <w:rPr>
          <w:rFonts w:eastAsia="Calibri" w:cs="Calibri"/>
        </w:rPr>
      </w:pPr>
      <w:r w:rsidRPr="008A4F4F">
        <w:rPr>
          <w:rFonts w:eastAsia="Calibri" w:cs="Calibri"/>
        </w:rPr>
        <w:t>This agreement is to implement the Middle Tennessee River Watershed Plan which provides funding for on-farm, diffuse and decentralized irrigation systems to producers through a cost-share arrangement. ALSWCC provides ranking, selection and administrative oversight along with limited technical assistance to NRCS to implement the project.</w:t>
      </w:r>
    </w:p>
    <w:p w14:paraId="64464D84" w14:textId="77777777" w:rsidR="00E7537F" w:rsidRPr="008A4F4F" w:rsidRDefault="00E7537F" w:rsidP="00E7537F">
      <w:pPr>
        <w:pStyle w:val="ListParagraph"/>
        <w:numPr>
          <w:ilvl w:val="0"/>
          <w:numId w:val="78"/>
        </w:numPr>
        <w:autoSpaceDE w:val="0"/>
        <w:autoSpaceDN w:val="0"/>
        <w:adjustRightInd w:val="0"/>
        <w:rPr>
          <w:rFonts w:eastAsia="Calibri" w:cs="Calibri"/>
        </w:rPr>
      </w:pPr>
      <w:r w:rsidRPr="008A4F4F">
        <w:rPr>
          <w:rFonts w:eastAsia="Calibri" w:cs="Calibri"/>
        </w:rPr>
        <w:t>Brandon McCray, Acting State Conservationist, NRCS</w:t>
      </w:r>
    </w:p>
    <w:p w14:paraId="6419825B" w14:textId="76AD355D"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E7537F" w:rsidRPr="005E2E76">
        <w:rPr>
          <w:rFonts w:eastAsia="Calibri" w:cs="Calibri"/>
          <w:b/>
          <w:bCs/>
        </w:rPr>
        <w:t>a.2</w:t>
      </w:r>
      <w:r w:rsidR="003C5DBD" w:rsidRPr="005E2E76">
        <w:rPr>
          <w:rFonts w:eastAsia="Calibri" w:cs="Calibri"/>
          <w:b/>
          <w:bCs/>
        </w:rPr>
        <w:tab/>
      </w:r>
      <w:r w:rsidR="003C5DBD">
        <w:rPr>
          <w:rFonts w:eastAsia="Calibri" w:cs="Calibri"/>
          <w:b/>
          <w:bCs/>
        </w:rPr>
        <w:t xml:space="preserve"> Alabama</w:t>
      </w:r>
      <w:r w:rsidR="00E7537F" w:rsidRPr="005E2E76">
        <w:rPr>
          <w:rFonts w:eastAsia="Calibri" w:cs="Calibri"/>
          <w:b/>
          <w:bCs/>
        </w:rPr>
        <w:t xml:space="preserve"> Irrigation Initiative- Middle Tennessee River Watershed Phase 2</w:t>
      </w:r>
    </w:p>
    <w:p w14:paraId="41AABC4B" w14:textId="77777777" w:rsidR="00E7537F" w:rsidRPr="00E4376D" w:rsidRDefault="00E7537F" w:rsidP="00E7537F">
      <w:pPr>
        <w:pStyle w:val="ListParagraph"/>
        <w:numPr>
          <w:ilvl w:val="0"/>
          <w:numId w:val="79"/>
        </w:numPr>
        <w:autoSpaceDE w:val="0"/>
        <w:autoSpaceDN w:val="0"/>
        <w:adjustRightInd w:val="0"/>
        <w:rPr>
          <w:rFonts w:eastAsia="Calibri" w:cs="Calibri"/>
        </w:rPr>
      </w:pPr>
      <w:r w:rsidRPr="00E4376D">
        <w:rPr>
          <w:rFonts w:eastAsia="Calibri" w:cs="Calibri"/>
        </w:rPr>
        <w:t>NR234101XXXXC001</w:t>
      </w:r>
    </w:p>
    <w:p w14:paraId="4E065DEA" w14:textId="77777777" w:rsidR="00E7537F" w:rsidRPr="00E4376D" w:rsidRDefault="00E7537F" w:rsidP="00E7537F">
      <w:pPr>
        <w:pStyle w:val="ListParagraph"/>
        <w:numPr>
          <w:ilvl w:val="0"/>
          <w:numId w:val="79"/>
        </w:numPr>
        <w:autoSpaceDE w:val="0"/>
        <w:autoSpaceDN w:val="0"/>
        <w:adjustRightInd w:val="0"/>
        <w:rPr>
          <w:rFonts w:eastAsia="Calibri" w:cs="Calibri"/>
        </w:rPr>
      </w:pPr>
      <w:r w:rsidRPr="00E4376D">
        <w:rPr>
          <w:rFonts w:eastAsia="Calibri" w:cs="Calibri"/>
        </w:rPr>
        <w:t>10.904</w:t>
      </w:r>
    </w:p>
    <w:p w14:paraId="654DBD96" w14:textId="649B841E" w:rsidR="00E7537F" w:rsidRPr="00E4376D" w:rsidRDefault="00E7537F" w:rsidP="00E7537F">
      <w:pPr>
        <w:pStyle w:val="ListParagraph"/>
        <w:numPr>
          <w:ilvl w:val="0"/>
          <w:numId w:val="79"/>
        </w:numPr>
        <w:autoSpaceDE w:val="0"/>
        <w:autoSpaceDN w:val="0"/>
        <w:adjustRightInd w:val="0"/>
        <w:rPr>
          <w:rFonts w:eastAsia="Calibri" w:cs="Calibri"/>
        </w:rPr>
      </w:pPr>
      <w:bookmarkStart w:id="109" w:name="_Hlk162437424"/>
      <w:r w:rsidRPr="00E4376D">
        <w:rPr>
          <w:rFonts w:eastAsia="Calibri" w:cs="Calibri"/>
        </w:rPr>
        <w:t xml:space="preserve">This agreement is to implement Phase 2 of the Middle Tennessee River Watershed Plan which provides funding for on-farm, diffuse and decentralized irrigation systems to producers through a cost-share arrangement. ALSWCC provide ranking, </w:t>
      </w:r>
      <w:r w:rsidR="007245F8" w:rsidRPr="00E4376D">
        <w:rPr>
          <w:rFonts w:eastAsia="Calibri" w:cs="Calibri"/>
        </w:rPr>
        <w:t>selection,</w:t>
      </w:r>
      <w:r w:rsidRPr="00E4376D">
        <w:rPr>
          <w:rFonts w:eastAsia="Calibri" w:cs="Calibri"/>
        </w:rPr>
        <w:t xml:space="preserve"> and administrative oversight along with limited technical assistance to NRCS to implement the project.</w:t>
      </w:r>
    </w:p>
    <w:bookmarkEnd w:id="109"/>
    <w:p w14:paraId="726F0CB0" w14:textId="77777777" w:rsidR="00E7537F" w:rsidRPr="00E4376D" w:rsidRDefault="00E7537F" w:rsidP="00E7537F">
      <w:pPr>
        <w:pStyle w:val="ListParagraph"/>
        <w:numPr>
          <w:ilvl w:val="0"/>
          <w:numId w:val="79"/>
        </w:numPr>
        <w:autoSpaceDE w:val="0"/>
        <w:autoSpaceDN w:val="0"/>
        <w:adjustRightInd w:val="0"/>
        <w:rPr>
          <w:rFonts w:eastAsia="Calibri" w:cs="Calibri"/>
        </w:rPr>
      </w:pPr>
      <w:r w:rsidRPr="00E4376D">
        <w:rPr>
          <w:rFonts w:eastAsia="Calibri" w:cs="Calibri"/>
        </w:rPr>
        <w:t>Brandon McCray, Acting State Conservationist, NRCS</w:t>
      </w:r>
    </w:p>
    <w:p w14:paraId="19CF0147" w14:textId="1531DB6F"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E7537F" w:rsidRPr="005E2E76">
        <w:rPr>
          <w:rFonts w:eastAsia="Calibri" w:cs="Calibri"/>
          <w:b/>
          <w:bCs/>
        </w:rPr>
        <w:t>a.3</w:t>
      </w:r>
      <w:r w:rsidRPr="005E2E76">
        <w:rPr>
          <w:rFonts w:eastAsia="Calibri" w:cs="Calibri"/>
          <w:b/>
          <w:bCs/>
        </w:rPr>
        <w:t xml:space="preserve"> </w:t>
      </w:r>
      <w:r w:rsidR="00E7537F" w:rsidRPr="005E2E76">
        <w:rPr>
          <w:rFonts w:eastAsia="Calibri" w:cs="Calibri"/>
          <w:b/>
          <w:bCs/>
        </w:rPr>
        <w:tab/>
        <w:t>Administrative, Technical and Planning Assistance for NRCS (2017-2023)</w:t>
      </w:r>
    </w:p>
    <w:p w14:paraId="3570AFB3" w14:textId="77777777" w:rsidR="00E7537F" w:rsidRPr="00E472CB" w:rsidRDefault="00E7537F" w:rsidP="00E7537F">
      <w:pPr>
        <w:pStyle w:val="ListParagraph"/>
        <w:numPr>
          <w:ilvl w:val="0"/>
          <w:numId w:val="80"/>
        </w:numPr>
        <w:autoSpaceDE w:val="0"/>
        <w:autoSpaceDN w:val="0"/>
        <w:adjustRightInd w:val="0"/>
        <w:rPr>
          <w:rFonts w:eastAsia="Calibri" w:cs="Calibri"/>
        </w:rPr>
      </w:pPr>
      <w:r w:rsidRPr="00E472CB">
        <w:rPr>
          <w:rFonts w:eastAsia="Calibri" w:cs="Calibri"/>
        </w:rPr>
        <w:t>68-4101-17-013</w:t>
      </w:r>
    </w:p>
    <w:p w14:paraId="3F1134A1" w14:textId="77777777" w:rsidR="00E7537F" w:rsidRPr="00E472CB" w:rsidRDefault="00E7537F" w:rsidP="00E7537F">
      <w:pPr>
        <w:pStyle w:val="ListParagraph"/>
        <w:numPr>
          <w:ilvl w:val="0"/>
          <w:numId w:val="80"/>
        </w:numPr>
        <w:autoSpaceDE w:val="0"/>
        <w:autoSpaceDN w:val="0"/>
        <w:adjustRightInd w:val="0"/>
        <w:rPr>
          <w:rFonts w:eastAsia="Calibri" w:cs="Calibri"/>
        </w:rPr>
      </w:pPr>
      <w:r w:rsidRPr="00E472CB">
        <w:rPr>
          <w:rFonts w:eastAsia="Calibri" w:cs="Calibri"/>
        </w:rPr>
        <w:t>10.904</w:t>
      </w:r>
    </w:p>
    <w:p w14:paraId="121CCCB9" w14:textId="45346548" w:rsidR="00E7537F" w:rsidRDefault="00E7537F" w:rsidP="00E7537F">
      <w:pPr>
        <w:pStyle w:val="ListParagraph"/>
        <w:numPr>
          <w:ilvl w:val="0"/>
          <w:numId w:val="80"/>
        </w:numPr>
        <w:autoSpaceDE w:val="0"/>
        <w:autoSpaceDN w:val="0"/>
        <w:adjustRightInd w:val="0"/>
        <w:rPr>
          <w:rFonts w:eastAsia="Calibri" w:cs="Calibri"/>
        </w:rPr>
      </w:pPr>
      <w:r w:rsidRPr="0065006E">
        <w:rPr>
          <w:rFonts w:eastAsia="Calibri" w:cs="Calibri"/>
        </w:rPr>
        <w:t xml:space="preserve">This agreement is to provide administrative, technical, and planning assistance for NRCS statewide to implement Farm Bill programs. The objectives are to add capacity through Soil and Water Conservation Districts to enhance planning, implement conservation practices on the ground and provide administration assistance to document the planning, </w:t>
      </w:r>
      <w:r w:rsidR="005E2E76" w:rsidRPr="0065006E">
        <w:rPr>
          <w:rFonts w:eastAsia="Calibri" w:cs="Calibri"/>
        </w:rPr>
        <w:t>implementation,</w:t>
      </w:r>
      <w:r w:rsidRPr="0065006E">
        <w:rPr>
          <w:rFonts w:eastAsia="Calibri" w:cs="Calibri"/>
        </w:rPr>
        <w:t xml:space="preserve"> and payment process</w:t>
      </w:r>
      <w:r>
        <w:rPr>
          <w:rFonts w:eastAsia="Calibri" w:cs="Calibri"/>
        </w:rPr>
        <w:t>.</w:t>
      </w:r>
    </w:p>
    <w:p w14:paraId="75E68C93" w14:textId="77777777" w:rsidR="00E7537F" w:rsidRPr="0065006E" w:rsidRDefault="00E7537F" w:rsidP="00E7537F">
      <w:pPr>
        <w:pStyle w:val="ListParagraph"/>
        <w:numPr>
          <w:ilvl w:val="0"/>
          <w:numId w:val="80"/>
        </w:numPr>
        <w:autoSpaceDE w:val="0"/>
        <w:autoSpaceDN w:val="0"/>
        <w:adjustRightInd w:val="0"/>
        <w:rPr>
          <w:rFonts w:eastAsia="Calibri" w:cs="Calibri"/>
        </w:rPr>
      </w:pPr>
      <w:r>
        <w:rPr>
          <w:rFonts w:eastAsia="Calibri" w:cs="Calibri"/>
        </w:rPr>
        <w:t>Brandon McCray, Acting State Conservationist, NRCS</w:t>
      </w:r>
    </w:p>
    <w:p w14:paraId="669D93BD" w14:textId="70DBAC99"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E7537F" w:rsidRPr="005E2E76">
        <w:rPr>
          <w:rFonts w:eastAsia="Calibri" w:cs="Calibri"/>
          <w:b/>
          <w:bCs/>
        </w:rPr>
        <w:t>a.4</w:t>
      </w:r>
      <w:bookmarkStart w:id="110" w:name="_Hlk162438126"/>
      <w:r w:rsidR="003C5DBD" w:rsidRPr="005E2E76">
        <w:rPr>
          <w:rFonts w:eastAsia="Calibri" w:cs="Calibri"/>
          <w:b/>
          <w:bCs/>
        </w:rPr>
        <w:tab/>
        <w:t xml:space="preserve"> Administrative</w:t>
      </w:r>
      <w:r w:rsidR="00E7537F" w:rsidRPr="005E2E76">
        <w:rPr>
          <w:rFonts w:eastAsia="Calibri" w:cs="Calibri"/>
          <w:b/>
          <w:bCs/>
        </w:rPr>
        <w:t>, Technical and Planning Assistance for NRCS (2024-2029)</w:t>
      </w:r>
    </w:p>
    <w:bookmarkEnd w:id="110"/>
    <w:p w14:paraId="4639A94E" w14:textId="77777777" w:rsidR="00E7537F" w:rsidRPr="00733CE7" w:rsidRDefault="00E7537F" w:rsidP="00E7537F">
      <w:pPr>
        <w:pStyle w:val="ListParagraph"/>
        <w:numPr>
          <w:ilvl w:val="0"/>
          <w:numId w:val="81"/>
        </w:numPr>
        <w:autoSpaceDE w:val="0"/>
        <w:autoSpaceDN w:val="0"/>
        <w:adjustRightInd w:val="0"/>
        <w:rPr>
          <w:rFonts w:eastAsia="Calibri" w:cs="Calibri"/>
        </w:rPr>
      </w:pPr>
      <w:r w:rsidRPr="00733CE7">
        <w:rPr>
          <w:rFonts w:eastAsia="Calibri" w:cs="Calibri"/>
        </w:rPr>
        <w:t>NR234101XXXXC007</w:t>
      </w:r>
    </w:p>
    <w:p w14:paraId="2D20E18A" w14:textId="77777777" w:rsidR="00E7537F" w:rsidRPr="00733CE7" w:rsidRDefault="00E7537F" w:rsidP="00E7537F">
      <w:pPr>
        <w:pStyle w:val="ListParagraph"/>
        <w:numPr>
          <w:ilvl w:val="0"/>
          <w:numId w:val="81"/>
        </w:numPr>
        <w:autoSpaceDE w:val="0"/>
        <w:autoSpaceDN w:val="0"/>
        <w:adjustRightInd w:val="0"/>
        <w:rPr>
          <w:rFonts w:eastAsia="Calibri" w:cs="Calibri"/>
        </w:rPr>
      </w:pPr>
      <w:r w:rsidRPr="00733CE7">
        <w:rPr>
          <w:rFonts w:eastAsia="Calibri" w:cs="Calibri"/>
        </w:rPr>
        <w:t>10.904, 10.912</w:t>
      </w:r>
    </w:p>
    <w:p w14:paraId="61793A8E" w14:textId="061E456A" w:rsidR="00E7537F" w:rsidRPr="00733CE7" w:rsidRDefault="00E7537F" w:rsidP="00E7537F">
      <w:pPr>
        <w:pStyle w:val="ListParagraph"/>
        <w:numPr>
          <w:ilvl w:val="0"/>
          <w:numId w:val="81"/>
        </w:numPr>
        <w:autoSpaceDE w:val="0"/>
        <w:autoSpaceDN w:val="0"/>
        <w:adjustRightInd w:val="0"/>
        <w:rPr>
          <w:rFonts w:eastAsia="Calibri" w:cs="Calibri"/>
        </w:rPr>
      </w:pPr>
      <w:r w:rsidRPr="00733CE7">
        <w:rPr>
          <w:rFonts w:eastAsia="Calibri" w:cs="Calibri"/>
        </w:rPr>
        <w:t xml:space="preserve">This agreement is to provide administrative, technical, and planning assistance for NRCS statewide to implement IRA and Farm Bill programs. The objectives are to add capacity through Soil and Water Conservation Districts to enhance planning, implement conservation practices on the ground and provide administration assistance to document the </w:t>
      </w:r>
      <w:r w:rsidR="005E2E76" w:rsidRPr="00733CE7">
        <w:rPr>
          <w:rFonts w:eastAsia="Calibri" w:cs="Calibri"/>
        </w:rPr>
        <w:t>planning, implementation,</w:t>
      </w:r>
      <w:r w:rsidRPr="00733CE7">
        <w:rPr>
          <w:rFonts w:eastAsia="Calibri" w:cs="Calibri"/>
        </w:rPr>
        <w:t xml:space="preserve"> and payment process.</w:t>
      </w:r>
    </w:p>
    <w:p w14:paraId="02C8481C" w14:textId="77777777" w:rsidR="00E7537F" w:rsidRPr="00733CE7" w:rsidRDefault="00E7537F" w:rsidP="00E7537F">
      <w:pPr>
        <w:pStyle w:val="ListParagraph"/>
        <w:numPr>
          <w:ilvl w:val="0"/>
          <w:numId w:val="81"/>
        </w:numPr>
        <w:autoSpaceDE w:val="0"/>
        <w:autoSpaceDN w:val="0"/>
        <w:adjustRightInd w:val="0"/>
        <w:rPr>
          <w:rFonts w:eastAsia="Calibri" w:cs="Calibri"/>
        </w:rPr>
      </w:pPr>
      <w:r w:rsidRPr="00733CE7">
        <w:rPr>
          <w:rFonts w:eastAsia="Calibri" w:cs="Calibri"/>
        </w:rPr>
        <w:t>Brandon McCray, Acting State Conservationist, NRCS</w:t>
      </w:r>
    </w:p>
    <w:p w14:paraId="36399048" w14:textId="2A8D007A"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E7537F" w:rsidRPr="005E2E76">
        <w:rPr>
          <w:rFonts w:eastAsia="Calibri" w:cs="Calibri"/>
          <w:b/>
          <w:bCs/>
        </w:rPr>
        <w:t>a.5</w:t>
      </w:r>
      <w:r>
        <w:rPr>
          <w:rFonts w:eastAsia="Calibri" w:cs="Calibri"/>
          <w:b/>
          <w:bCs/>
        </w:rPr>
        <w:t xml:space="preserve"> </w:t>
      </w:r>
      <w:r w:rsidR="00E7537F" w:rsidRPr="005E2E76">
        <w:rPr>
          <w:rFonts w:eastAsia="Calibri" w:cs="Calibri"/>
          <w:b/>
          <w:bCs/>
        </w:rPr>
        <w:tab/>
      </w:r>
      <w:bookmarkStart w:id="111" w:name="_Hlk162438238"/>
      <w:r w:rsidR="00E7537F" w:rsidRPr="005E2E76">
        <w:rPr>
          <w:rFonts w:eastAsia="Calibri" w:cs="Calibri"/>
          <w:b/>
          <w:bCs/>
        </w:rPr>
        <w:t>Alabama Irrigation Initiative-Choctawhatchee-Pea Rivers Watershed</w:t>
      </w:r>
    </w:p>
    <w:bookmarkEnd w:id="111"/>
    <w:p w14:paraId="5960F3B2" w14:textId="77777777" w:rsidR="00E7537F" w:rsidRDefault="00E7537F" w:rsidP="00E7537F">
      <w:pPr>
        <w:pStyle w:val="ListParagraph"/>
        <w:numPr>
          <w:ilvl w:val="0"/>
          <w:numId w:val="82"/>
        </w:numPr>
        <w:autoSpaceDE w:val="0"/>
        <w:autoSpaceDN w:val="0"/>
        <w:adjustRightInd w:val="0"/>
        <w:rPr>
          <w:rFonts w:eastAsia="Calibri" w:cs="Calibri"/>
        </w:rPr>
      </w:pPr>
      <w:r>
        <w:rPr>
          <w:rFonts w:eastAsia="Calibri" w:cs="Calibri"/>
        </w:rPr>
        <w:t>NR204101XXXXC015</w:t>
      </w:r>
    </w:p>
    <w:p w14:paraId="7771CFD3" w14:textId="77777777" w:rsidR="00E7537F" w:rsidRDefault="00E7537F" w:rsidP="00E7537F">
      <w:pPr>
        <w:pStyle w:val="ListParagraph"/>
        <w:numPr>
          <w:ilvl w:val="0"/>
          <w:numId w:val="82"/>
        </w:numPr>
        <w:autoSpaceDE w:val="0"/>
        <w:autoSpaceDN w:val="0"/>
        <w:adjustRightInd w:val="0"/>
        <w:rPr>
          <w:rFonts w:eastAsia="Calibri" w:cs="Calibri"/>
        </w:rPr>
      </w:pPr>
      <w:r>
        <w:rPr>
          <w:rFonts w:eastAsia="Calibri" w:cs="Calibri"/>
        </w:rPr>
        <w:t>10.904</w:t>
      </w:r>
    </w:p>
    <w:p w14:paraId="643EBB86" w14:textId="7B57F267" w:rsidR="00E7537F" w:rsidRPr="00E4376D" w:rsidRDefault="00E7537F" w:rsidP="00E7537F">
      <w:pPr>
        <w:pStyle w:val="ListParagraph"/>
        <w:numPr>
          <w:ilvl w:val="0"/>
          <w:numId w:val="82"/>
        </w:numPr>
        <w:autoSpaceDE w:val="0"/>
        <w:autoSpaceDN w:val="0"/>
        <w:adjustRightInd w:val="0"/>
        <w:rPr>
          <w:rFonts w:eastAsia="Calibri" w:cs="Calibri"/>
        </w:rPr>
      </w:pPr>
      <w:r w:rsidRPr="00E4376D">
        <w:rPr>
          <w:rFonts w:eastAsia="Calibri" w:cs="Calibri"/>
        </w:rPr>
        <w:t xml:space="preserve">This agreement is to implement </w:t>
      </w:r>
      <w:r>
        <w:rPr>
          <w:rFonts w:eastAsia="Calibri" w:cs="Calibri"/>
        </w:rPr>
        <w:t>the Choctawhatchee-Pea R</w:t>
      </w:r>
      <w:r w:rsidRPr="00E4376D">
        <w:rPr>
          <w:rFonts w:eastAsia="Calibri" w:cs="Calibri"/>
        </w:rPr>
        <w:t>iver</w:t>
      </w:r>
      <w:r>
        <w:rPr>
          <w:rFonts w:eastAsia="Calibri" w:cs="Calibri"/>
        </w:rPr>
        <w:t xml:space="preserve">s </w:t>
      </w:r>
      <w:r w:rsidRPr="00E4376D">
        <w:rPr>
          <w:rFonts w:eastAsia="Calibri" w:cs="Calibri"/>
        </w:rPr>
        <w:t xml:space="preserve">Watershed Plan which provides funding for on-farm, diffuse and decentralized irrigation systems to producers through a cost-share arrangement. ALSWCC provide ranking, </w:t>
      </w:r>
      <w:r w:rsidR="005E2E76" w:rsidRPr="00E4376D">
        <w:rPr>
          <w:rFonts w:eastAsia="Calibri" w:cs="Calibri"/>
        </w:rPr>
        <w:t>selection,</w:t>
      </w:r>
      <w:r w:rsidRPr="00E4376D">
        <w:rPr>
          <w:rFonts w:eastAsia="Calibri" w:cs="Calibri"/>
        </w:rPr>
        <w:t xml:space="preserve"> and administrative oversight along with limited technical assistance to NRCS to implement the project.</w:t>
      </w:r>
    </w:p>
    <w:p w14:paraId="55ACF6D8" w14:textId="77777777" w:rsidR="00E7537F" w:rsidRDefault="00E7537F" w:rsidP="00E7537F">
      <w:pPr>
        <w:pStyle w:val="ListParagraph"/>
        <w:numPr>
          <w:ilvl w:val="0"/>
          <w:numId w:val="82"/>
        </w:numPr>
        <w:autoSpaceDE w:val="0"/>
        <w:autoSpaceDN w:val="0"/>
        <w:adjustRightInd w:val="0"/>
        <w:rPr>
          <w:rFonts w:eastAsia="Calibri" w:cs="Calibri"/>
        </w:rPr>
      </w:pPr>
      <w:r>
        <w:rPr>
          <w:rFonts w:eastAsia="Calibri" w:cs="Calibri"/>
        </w:rPr>
        <w:t>Brandon McCray, Acting State Conservationist, NRCS</w:t>
      </w:r>
    </w:p>
    <w:p w14:paraId="3AFE5BBC" w14:textId="605E09F1"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E7537F" w:rsidRPr="005E2E76">
        <w:rPr>
          <w:rFonts w:eastAsia="Calibri" w:cs="Calibri"/>
          <w:b/>
          <w:bCs/>
        </w:rPr>
        <w:t xml:space="preserve">b.1 </w:t>
      </w:r>
      <w:r w:rsidR="00E7537F" w:rsidRPr="005E2E76">
        <w:rPr>
          <w:rFonts w:eastAsia="Calibri" w:cs="Calibri"/>
          <w:b/>
          <w:bCs/>
        </w:rPr>
        <w:tab/>
        <w:t>Alabama Irrigation Initiative- Middle Tennessee Phase 1</w:t>
      </w:r>
    </w:p>
    <w:p w14:paraId="4B120600" w14:textId="77777777" w:rsidR="00E7537F" w:rsidRDefault="00E7537F" w:rsidP="00E7537F">
      <w:pPr>
        <w:pStyle w:val="ListParagraph"/>
        <w:numPr>
          <w:ilvl w:val="0"/>
          <w:numId w:val="83"/>
        </w:numPr>
        <w:autoSpaceDE w:val="0"/>
        <w:autoSpaceDN w:val="0"/>
        <w:adjustRightInd w:val="0"/>
        <w:rPr>
          <w:rFonts w:eastAsia="Calibri" w:cs="Calibri"/>
        </w:rPr>
      </w:pPr>
      <w:r w:rsidRPr="00111E35">
        <w:rPr>
          <w:rFonts w:eastAsia="Calibri" w:cs="Calibri"/>
        </w:rPr>
        <w:t>ALSWCC has successfully completed Phase 1 of this project and has been awarded a Phase 2 project to continue the work in the project. Interim reports were completed as requested and the final report was completed within 90 days of completion of the project.</w:t>
      </w:r>
    </w:p>
    <w:p w14:paraId="0D7D0B84" w14:textId="150C89D7" w:rsidR="00E7537F" w:rsidRPr="005E2E76" w:rsidRDefault="005E2E76" w:rsidP="00E7537F">
      <w:pPr>
        <w:autoSpaceDE w:val="0"/>
        <w:autoSpaceDN w:val="0"/>
        <w:adjustRightInd w:val="0"/>
        <w:rPr>
          <w:rFonts w:eastAsia="Calibri" w:cs="Calibri"/>
        </w:rPr>
      </w:pPr>
      <w:r>
        <w:rPr>
          <w:rFonts w:eastAsia="Calibri" w:cs="Calibri"/>
          <w:b/>
          <w:bCs/>
        </w:rPr>
        <w:t xml:space="preserve">     </w:t>
      </w:r>
      <w:r w:rsidR="003C5DBD" w:rsidRPr="005E2E76">
        <w:rPr>
          <w:rFonts w:eastAsia="Calibri" w:cs="Calibri"/>
          <w:b/>
          <w:bCs/>
        </w:rPr>
        <w:t>b.2</w:t>
      </w:r>
      <w:r w:rsidR="003C5DBD">
        <w:rPr>
          <w:rFonts w:eastAsia="Calibri" w:cs="Calibri"/>
          <w:b/>
          <w:bCs/>
        </w:rPr>
        <w:t xml:space="preserve"> </w:t>
      </w:r>
      <w:r w:rsidR="003C5DBD">
        <w:rPr>
          <w:rFonts w:eastAsia="Calibri" w:cs="Calibri"/>
          <w:b/>
          <w:bCs/>
        </w:rPr>
        <w:tab/>
      </w:r>
      <w:r w:rsidR="00E7537F" w:rsidRPr="005E2E76">
        <w:rPr>
          <w:rFonts w:eastAsia="Calibri" w:cs="Calibri"/>
          <w:b/>
          <w:bCs/>
        </w:rPr>
        <w:t>Alabama Irrigation Initiative-Middle Tennessee Phase</w:t>
      </w:r>
      <w:r w:rsidRPr="005E2E76">
        <w:rPr>
          <w:rFonts w:eastAsia="Calibri" w:cs="Calibri"/>
          <w:b/>
          <w:bCs/>
        </w:rPr>
        <w:t xml:space="preserve"> 2</w:t>
      </w:r>
      <w:r w:rsidR="00E7537F" w:rsidRPr="005E2E76">
        <w:rPr>
          <w:rFonts w:eastAsia="Calibri" w:cs="Calibri"/>
        </w:rPr>
        <w:t xml:space="preserve"> </w:t>
      </w:r>
    </w:p>
    <w:p w14:paraId="112F6E72" w14:textId="77777777" w:rsidR="00E7537F" w:rsidRDefault="00E7537F" w:rsidP="00E7537F">
      <w:pPr>
        <w:pStyle w:val="ListParagraph"/>
        <w:numPr>
          <w:ilvl w:val="0"/>
          <w:numId w:val="83"/>
        </w:numPr>
        <w:autoSpaceDE w:val="0"/>
        <w:autoSpaceDN w:val="0"/>
        <w:adjustRightInd w:val="0"/>
        <w:rPr>
          <w:rFonts w:eastAsia="Calibri" w:cs="Calibri"/>
        </w:rPr>
      </w:pPr>
      <w:r>
        <w:rPr>
          <w:rFonts w:eastAsia="Calibri" w:cs="Calibri"/>
        </w:rPr>
        <w:t>This project began just over 15 months ago. While an official interim report has not been completed, financial records and timely communications keeping the NRCS updated on progress is ongoing.</w:t>
      </w:r>
    </w:p>
    <w:p w14:paraId="63ACB453" w14:textId="2B65898E" w:rsidR="00E7537F" w:rsidRPr="005E2E76" w:rsidRDefault="005E2E76" w:rsidP="00E7537F">
      <w:pPr>
        <w:autoSpaceDE w:val="0"/>
        <w:autoSpaceDN w:val="0"/>
        <w:adjustRightInd w:val="0"/>
        <w:rPr>
          <w:rFonts w:eastAsia="Calibri" w:cs="Calibri"/>
          <w:b/>
          <w:bCs/>
        </w:rPr>
      </w:pPr>
      <w:r>
        <w:rPr>
          <w:rFonts w:eastAsia="Calibri" w:cs="Calibri"/>
          <w:b/>
          <w:bCs/>
        </w:rPr>
        <w:lastRenderedPageBreak/>
        <w:t xml:space="preserve">     </w:t>
      </w:r>
      <w:r w:rsidR="003C5DBD" w:rsidRPr="005E2E76">
        <w:rPr>
          <w:rFonts w:eastAsia="Calibri" w:cs="Calibri"/>
          <w:b/>
          <w:bCs/>
        </w:rPr>
        <w:t>b.3</w:t>
      </w:r>
      <w:r w:rsidR="003C5DBD">
        <w:rPr>
          <w:rFonts w:eastAsia="Calibri" w:cs="Calibri"/>
          <w:b/>
          <w:bCs/>
        </w:rPr>
        <w:t xml:space="preserve"> </w:t>
      </w:r>
      <w:r w:rsidR="003C5DBD" w:rsidRPr="005E2E76">
        <w:rPr>
          <w:rFonts w:eastAsia="Calibri" w:cs="Calibri"/>
          <w:b/>
          <w:bCs/>
        </w:rPr>
        <w:tab/>
      </w:r>
      <w:r w:rsidR="00E7537F" w:rsidRPr="005E2E76">
        <w:rPr>
          <w:rFonts w:eastAsia="Calibri" w:cs="Calibri"/>
          <w:b/>
          <w:bCs/>
        </w:rPr>
        <w:t>Administrative, Technical and Planning Assistance for NRCS (2017-2023)</w:t>
      </w:r>
    </w:p>
    <w:p w14:paraId="738EB4BB" w14:textId="77777777" w:rsidR="00E7537F" w:rsidRPr="000C1BC9" w:rsidRDefault="00E7537F" w:rsidP="00E7537F">
      <w:pPr>
        <w:pStyle w:val="ListParagraph"/>
        <w:numPr>
          <w:ilvl w:val="0"/>
          <w:numId w:val="83"/>
        </w:numPr>
        <w:autoSpaceDE w:val="0"/>
        <w:autoSpaceDN w:val="0"/>
        <w:adjustRightInd w:val="0"/>
        <w:jc w:val="both"/>
        <w:rPr>
          <w:rFonts w:eastAsia="Calibri" w:cs="Calibri"/>
        </w:rPr>
      </w:pPr>
      <w:r w:rsidRPr="000C1BC9">
        <w:rPr>
          <w:rFonts w:eastAsia="Calibri" w:cs="Calibri"/>
        </w:rPr>
        <w:t>ALSWCC successfully completed this project, providing monthly reports and pay requests and a final report within 90 days of completion of the project.</w:t>
      </w:r>
    </w:p>
    <w:p w14:paraId="44B86F4E" w14:textId="42591360"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3C5DBD" w:rsidRPr="005E2E76">
        <w:rPr>
          <w:rFonts w:eastAsia="Calibri" w:cs="Calibri"/>
          <w:b/>
          <w:bCs/>
        </w:rPr>
        <w:t>b.4</w:t>
      </w:r>
      <w:r w:rsidR="003C5DBD">
        <w:rPr>
          <w:rFonts w:eastAsia="Calibri" w:cs="Calibri"/>
          <w:b/>
          <w:bCs/>
        </w:rPr>
        <w:t xml:space="preserve"> </w:t>
      </w:r>
      <w:r w:rsidR="003C5DBD">
        <w:rPr>
          <w:rFonts w:eastAsia="Calibri" w:cs="Calibri"/>
          <w:b/>
          <w:bCs/>
        </w:rPr>
        <w:tab/>
      </w:r>
      <w:r w:rsidR="00E7537F" w:rsidRPr="005E2E76">
        <w:rPr>
          <w:rFonts w:eastAsia="Calibri" w:cs="Calibri"/>
          <w:b/>
          <w:bCs/>
        </w:rPr>
        <w:t>Administrative, Technical and Planning Assistance for NRCS (2024-2029)</w:t>
      </w:r>
    </w:p>
    <w:p w14:paraId="7292E976" w14:textId="77777777" w:rsidR="00E7537F" w:rsidRDefault="00E7537F" w:rsidP="00E7537F">
      <w:pPr>
        <w:pStyle w:val="ListParagraph"/>
        <w:numPr>
          <w:ilvl w:val="0"/>
          <w:numId w:val="83"/>
        </w:numPr>
        <w:autoSpaceDE w:val="0"/>
        <w:autoSpaceDN w:val="0"/>
        <w:adjustRightInd w:val="0"/>
        <w:rPr>
          <w:rFonts w:eastAsia="Calibri" w:cs="Calibri"/>
        </w:rPr>
      </w:pPr>
      <w:r>
        <w:rPr>
          <w:rFonts w:eastAsia="Calibri" w:cs="Calibri"/>
        </w:rPr>
        <w:t>ALSWCC is currently implementing this project and provides monthly reports and invoices.</w:t>
      </w:r>
    </w:p>
    <w:p w14:paraId="091343D0" w14:textId="75EED6B5" w:rsidR="00E7537F" w:rsidRPr="005E2E76" w:rsidRDefault="005E2E76" w:rsidP="00E7537F">
      <w:pPr>
        <w:autoSpaceDE w:val="0"/>
        <w:autoSpaceDN w:val="0"/>
        <w:adjustRightInd w:val="0"/>
        <w:rPr>
          <w:rFonts w:eastAsia="Calibri" w:cs="Calibri"/>
          <w:b/>
          <w:bCs/>
        </w:rPr>
      </w:pPr>
      <w:r>
        <w:rPr>
          <w:rFonts w:eastAsia="Calibri" w:cs="Calibri"/>
          <w:b/>
          <w:bCs/>
        </w:rPr>
        <w:t xml:space="preserve">     </w:t>
      </w:r>
      <w:r w:rsidR="003C5DBD" w:rsidRPr="005E2E76">
        <w:rPr>
          <w:rFonts w:eastAsia="Calibri" w:cs="Calibri"/>
          <w:b/>
          <w:bCs/>
        </w:rPr>
        <w:t>b.5</w:t>
      </w:r>
      <w:r w:rsidR="003C5DBD">
        <w:rPr>
          <w:rFonts w:eastAsia="Calibri" w:cs="Calibri"/>
          <w:b/>
          <w:bCs/>
        </w:rPr>
        <w:t xml:space="preserve"> </w:t>
      </w:r>
      <w:r w:rsidR="003C5DBD">
        <w:rPr>
          <w:rFonts w:eastAsia="Calibri" w:cs="Calibri"/>
          <w:b/>
          <w:bCs/>
        </w:rPr>
        <w:tab/>
      </w:r>
      <w:r w:rsidR="00E7537F" w:rsidRPr="005E2E76">
        <w:rPr>
          <w:rFonts w:eastAsia="Calibri" w:cs="Calibri"/>
          <w:b/>
          <w:bCs/>
        </w:rPr>
        <w:t>Alabama Irrigation Initiative-Choctawhatchee-Pea Rivers Watershed</w:t>
      </w:r>
    </w:p>
    <w:p w14:paraId="431D446D" w14:textId="77777777" w:rsidR="00E7537F" w:rsidRPr="004C6A79" w:rsidRDefault="00E7537F" w:rsidP="00E7537F">
      <w:pPr>
        <w:pStyle w:val="ListParagraph"/>
        <w:numPr>
          <w:ilvl w:val="0"/>
          <w:numId w:val="83"/>
        </w:numPr>
        <w:autoSpaceDE w:val="0"/>
        <w:autoSpaceDN w:val="0"/>
        <w:adjustRightInd w:val="0"/>
        <w:rPr>
          <w:rFonts w:eastAsia="Calibri" w:cs="Calibri"/>
        </w:rPr>
      </w:pPr>
      <w:r>
        <w:rPr>
          <w:rFonts w:eastAsia="Calibri" w:cs="Calibri"/>
        </w:rPr>
        <w:t>ALSWCC is currently implementing this project and has provided routine communications keeping the NRCS updated on progress ongoing.</w:t>
      </w:r>
    </w:p>
    <w:p w14:paraId="4E9AA59C" w14:textId="1DD022F9" w:rsidR="00553E1E" w:rsidRPr="00553E1E" w:rsidRDefault="00E7537F" w:rsidP="00553E1E">
      <w:pPr>
        <w:pStyle w:val="Heading2"/>
        <w:numPr>
          <w:ilvl w:val="0"/>
          <w:numId w:val="77"/>
        </w:numPr>
        <w:autoSpaceDE w:val="0"/>
        <w:autoSpaceDN w:val="0"/>
        <w:adjustRightInd w:val="0"/>
        <w:rPr>
          <w:rFonts w:eastAsia="Calibri" w:cs="Calibri"/>
        </w:rPr>
      </w:pPr>
      <w:bookmarkStart w:id="112" w:name="_Toc162606623"/>
      <w:r w:rsidRPr="00553E1E">
        <w:rPr>
          <w:rFonts w:eastAsia="Calibri" w:cs="Calibri"/>
        </w:rPr>
        <w:t>Staff Expertise</w:t>
      </w:r>
      <w:bookmarkEnd w:id="112"/>
      <w:r w:rsidRPr="00553E1E">
        <w:rPr>
          <w:rFonts w:eastAsia="Calibri" w:cs="Calibri"/>
        </w:rPr>
        <w:t xml:space="preserve"> </w:t>
      </w:r>
    </w:p>
    <w:p w14:paraId="1095B0C4" w14:textId="77777777" w:rsidR="00D91D64" w:rsidRDefault="00E7537F" w:rsidP="00D91D64">
      <w:pPr>
        <w:autoSpaceDE w:val="0"/>
        <w:autoSpaceDN w:val="0"/>
        <w:adjustRightInd w:val="0"/>
        <w:ind w:firstLine="720"/>
        <w:rPr>
          <w:rFonts w:cstheme="minorHAnsi"/>
        </w:rPr>
      </w:pPr>
      <w:r w:rsidRPr="00FD67F4">
        <w:rPr>
          <w:rFonts w:cstheme="minorHAnsi"/>
        </w:rPr>
        <w:t xml:space="preserve">Dr. William Puckett </w:t>
      </w:r>
      <w:r>
        <w:rPr>
          <w:rFonts w:cstheme="minorHAnsi"/>
        </w:rPr>
        <w:t xml:space="preserve">has a Ph.D. from the University of Florida in Soil Science and over 40 years of experience in soil and water conservation. He served as USDA-NRCS Deputy Chief for Science and Technology in Washington, D.C., and was responsible for implementation of new technologies in conservation practices. He also chaired the departments committee that reviewed and recommended new technologies to reduce greenhouse gas emissions from concentrated animal feeding operations. He also served as Director of the Soil Quality Institute and worked with Colleges and Universities across the county in development of soil and water practices to address climate change.  </w:t>
      </w:r>
      <w:r w:rsidRPr="00FD67F4">
        <w:rPr>
          <w:rFonts w:cstheme="minorHAnsi"/>
        </w:rPr>
        <w:t xml:space="preserve">Dr. Puckett will serve as Senior Project Advisor and Administrator. He will provide guidance and review to sub-awardees at Auburn University and University of Alabama-Huntsville. Additionally, Dr. Puckett will coordinate with the major electric utilities, electric cooperatives and NRCS to promote the implementation of the </w:t>
      </w:r>
      <w:r w:rsidR="007245F8" w:rsidRPr="00FD67F4">
        <w:rPr>
          <w:rFonts w:cstheme="minorHAnsi"/>
        </w:rPr>
        <w:t>project.</w:t>
      </w:r>
      <w:r w:rsidRPr="00FD67F4">
        <w:rPr>
          <w:rFonts w:cstheme="minorHAnsi"/>
        </w:rPr>
        <w:t xml:space="preserve"> </w:t>
      </w:r>
    </w:p>
    <w:p w14:paraId="07598CA6" w14:textId="69161E4F" w:rsidR="00E7537F" w:rsidRDefault="00E7537F" w:rsidP="00D91D64">
      <w:pPr>
        <w:autoSpaceDE w:val="0"/>
        <w:autoSpaceDN w:val="0"/>
        <w:adjustRightInd w:val="0"/>
        <w:ind w:left="14" w:firstLine="706"/>
        <w:rPr>
          <w:rFonts w:cstheme="minorHAnsi"/>
        </w:rPr>
      </w:pPr>
      <w:r w:rsidRPr="00FD67F4">
        <w:rPr>
          <w:rFonts w:cstheme="minorHAnsi"/>
        </w:rPr>
        <w:t>Ms. Ashley Henderson, PE has a Bachelor of Science in Civil Engineering from Auburn University and over 30 years of experience in the water arena. She has worked with a consultant designing and management water and wastewater treatment plant projects. Additionally, she served as the director of a non-profit organization that provided education and outreach to the public about the benefits of managing activities in watershed to improve water quality. Finally, she has served as the lead manager for the implementation of the Alabama Irrigation Initiative since 2018. She will serve as the project manager and will oversee the sub-agreements with universities and agricultural producers. Additionally, she will develop ranking protocol to determine which producers will be funded and standards for all producers to meet as they implement solar array projects throughout Alabama.</w:t>
      </w:r>
      <w:r w:rsidR="002C3534">
        <w:rPr>
          <w:rFonts w:cstheme="minorHAnsi"/>
        </w:rPr>
        <w:t xml:space="preserve"> </w:t>
      </w:r>
    </w:p>
    <w:p w14:paraId="156F86AE" w14:textId="229E6A08" w:rsidR="006C2384" w:rsidRDefault="006C2384" w:rsidP="00A9728A">
      <w:pPr>
        <w:pStyle w:val="Default"/>
        <w:ind w:firstLine="720"/>
        <w:rPr>
          <w:rFonts w:asciiTheme="minorHAnsi" w:hAnsiTheme="minorHAnsi" w:cstheme="minorHAnsi"/>
        </w:rPr>
      </w:pPr>
      <w:r w:rsidRPr="006C2384">
        <w:rPr>
          <w:rFonts w:asciiTheme="minorHAnsi" w:hAnsiTheme="minorHAnsi" w:cstheme="minorHAnsi"/>
        </w:rPr>
        <w:t>Ms. Kathy Gotcher,</w:t>
      </w:r>
      <w:r w:rsidR="00DB5658">
        <w:rPr>
          <w:rFonts w:asciiTheme="minorHAnsi" w:hAnsiTheme="minorHAnsi" w:cstheme="minorHAnsi"/>
        </w:rPr>
        <w:t xml:space="preserve"> NRCS Certified Planner </w:t>
      </w:r>
      <w:r w:rsidR="003E6464">
        <w:rPr>
          <w:rFonts w:asciiTheme="minorHAnsi" w:hAnsiTheme="minorHAnsi" w:cstheme="minorHAnsi"/>
        </w:rPr>
        <w:t xml:space="preserve">and </w:t>
      </w:r>
      <w:r w:rsidR="003E6464" w:rsidRPr="006C2384">
        <w:rPr>
          <w:rFonts w:asciiTheme="minorHAnsi" w:hAnsiTheme="minorHAnsi" w:cstheme="minorHAnsi"/>
        </w:rPr>
        <w:t>Senior</w:t>
      </w:r>
      <w:r w:rsidRPr="006C2384">
        <w:rPr>
          <w:rFonts w:asciiTheme="minorHAnsi" w:hAnsiTheme="minorHAnsi" w:cstheme="minorHAnsi"/>
        </w:rPr>
        <w:t xml:space="preserve"> Conservationist</w:t>
      </w:r>
      <w:r w:rsidR="001D2F18">
        <w:rPr>
          <w:rFonts w:asciiTheme="minorHAnsi" w:hAnsiTheme="minorHAnsi" w:cstheme="minorHAnsi"/>
        </w:rPr>
        <w:t>,</w:t>
      </w:r>
      <w:r w:rsidRPr="006C2384">
        <w:rPr>
          <w:rFonts w:asciiTheme="minorHAnsi" w:hAnsiTheme="minorHAnsi" w:cstheme="minorHAnsi"/>
        </w:rPr>
        <w:t xml:space="preserve"> is retired from USDA-Natural Resources Conservation Service with 32 years of service. She is a graduate of Mississippi State University with a Bachelor of Science degree.  </w:t>
      </w:r>
      <w:r w:rsidR="004E5FB6">
        <w:rPr>
          <w:rFonts w:asciiTheme="minorHAnsi" w:hAnsiTheme="minorHAnsi" w:cstheme="minorHAnsi"/>
        </w:rPr>
        <w:t>Kathy is responsible for</w:t>
      </w:r>
      <w:r w:rsidRPr="006C2384">
        <w:rPr>
          <w:rFonts w:asciiTheme="minorHAnsi" w:hAnsiTheme="minorHAnsi" w:cstheme="minorHAnsi"/>
        </w:rPr>
        <w:t xml:space="preserve"> identifying opportunities to increase/promote conservation efforts, provides technical assistance with cost-share projects, and supports conservation districts with providing information to customers. </w:t>
      </w:r>
      <w:r w:rsidR="00132402">
        <w:rPr>
          <w:rFonts w:asciiTheme="minorHAnsi" w:hAnsiTheme="minorHAnsi" w:cstheme="minorHAnsi"/>
        </w:rPr>
        <w:t xml:space="preserve"> M</w:t>
      </w:r>
      <w:r w:rsidRPr="006C2384">
        <w:rPr>
          <w:rFonts w:asciiTheme="minorHAnsi" w:hAnsiTheme="minorHAnsi" w:cstheme="minorHAnsi"/>
        </w:rPr>
        <w:t>s. Gotcher will work directly with agricultural producers to assure that technical standards are implemented, and on-farm systems operate properly. Additionally, she will provide outreach to all producers in advance of the application process.</w:t>
      </w:r>
    </w:p>
    <w:p w14:paraId="1629DF00" w14:textId="000A63B2" w:rsidR="003C5DBD" w:rsidRDefault="003E6464" w:rsidP="003C5DBD">
      <w:pPr>
        <w:pStyle w:val="Default"/>
        <w:ind w:firstLine="720"/>
        <w:rPr>
          <w:rFonts w:asciiTheme="minorHAnsi" w:hAnsiTheme="minorHAnsi" w:cstheme="minorHAnsi"/>
        </w:rPr>
      </w:pPr>
      <w:r>
        <w:rPr>
          <w:rFonts w:asciiTheme="minorHAnsi" w:hAnsiTheme="minorHAnsi" w:cstheme="minorHAnsi"/>
        </w:rPr>
        <w:t xml:space="preserve">Sub-Agreements for additional expertise will be </w:t>
      </w:r>
      <w:r w:rsidR="00F95F75">
        <w:rPr>
          <w:rFonts w:asciiTheme="minorHAnsi" w:hAnsiTheme="minorHAnsi" w:cstheme="minorHAnsi"/>
        </w:rPr>
        <w:t xml:space="preserve">executed to provide additional resources for this project. </w:t>
      </w:r>
      <w:r w:rsidR="00991F52">
        <w:rPr>
          <w:rFonts w:asciiTheme="minorHAnsi" w:hAnsiTheme="minorHAnsi" w:cstheme="minorHAnsi"/>
        </w:rPr>
        <w:t>Resumes are attached.</w:t>
      </w:r>
    </w:p>
    <w:p w14:paraId="46761152" w14:textId="61F76B9B" w:rsidR="00EF5AAD" w:rsidRPr="00E04EFC" w:rsidRDefault="00CA5DB0" w:rsidP="00716F01">
      <w:pPr>
        <w:pStyle w:val="Heading1"/>
        <w:rPr>
          <w:rFonts w:eastAsiaTheme="minorHAnsi"/>
        </w:rPr>
      </w:pPr>
      <w:bookmarkStart w:id="113" w:name="_Toc162606624"/>
      <w:r w:rsidRPr="00E04EFC">
        <w:rPr>
          <w:rFonts w:eastAsiaTheme="minorHAnsi"/>
        </w:rPr>
        <w:t>Budget</w:t>
      </w:r>
      <w:bookmarkEnd w:id="106"/>
      <w:bookmarkEnd w:id="107"/>
      <w:bookmarkEnd w:id="108"/>
      <w:r w:rsidR="00E04EFC" w:rsidRPr="00E04EFC">
        <w:rPr>
          <w:rFonts w:eastAsiaTheme="minorHAnsi"/>
        </w:rPr>
        <w:t xml:space="preserve"> </w:t>
      </w:r>
      <w:r w:rsidR="00EF5AAD" w:rsidRPr="00E04EFC">
        <w:rPr>
          <w:rFonts w:eastAsiaTheme="minorHAnsi"/>
        </w:rPr>
        <w:t>See attached Budget Narrative.</w:t>
      </w:r>
      <w:bookmarkEnd w:id="113"/>
    </w:p>
    <w:p w14:paraId="72E541D2" w14:textId="68E141AE" w:rsidR="00FB1900" w:rsidRPr="00433C4E" w:rsidRDefault="00FB1900" w:rsidP="00E04EFC">
      <w:pPr>
        <w:pStyle w:val="BodyText"/>
        <w:rPr>
          <w:rStyle w:val="Hyperlink"/>
          <w:rFonts w:asciiTheme="minorHAnsi" w:hAnsiTheme="minorHAnsi" w:cstheme="minorHAnsi"/>
          <w:sz w:val="18"/>
          <w:szCs w:val="18"/>
          <w:shd w:val="clear" w:color="auto" w:fill="FFFFFF"/>
        </w:rPr>
      </w:pPr>
      <w:r w:rsidRPr="00433C4E">
        <w:rPr>
          <w:rFonts w:asciiTheme="minorHAnsi" w:hAnsiTheme="minorHAnsi" w:cstheme="minorHAnsi"/>
          <w:b/>
          <w:bCs/>
          <w:szCs w:val="22"/>
        </w:rPr>
        <w:t>References:</w:t>
      </w:r>
      <w:r w:rsidR="00E04EFC">
        <w:rPr>
          <w:rFonts w:asciiTheme="minorHAnsi" w:hAnsiTheme="minorHAnsi" w:cstheme="minorHAnsi"/>
          <w:b/>
          <w:bCs/>
          <w:szCs w:val="22"/>
        </w:rPr>
        <w:t xml:space="preserve"> </w:t>
      </w:r>
      <w:r w:rsidRPr="00433C4E">
        <w:rPr>
          <w:rFonts w:asciiTheme="minorHAnsi" w:hAnsiTheme="minorHAnsi" w:cstheme="minorHAnsi"/>
          <w:color w:val="000000"/>
          <w:sz w:val="18"/>
          <w:szCs w:val="18"/>
          <w:shd w:val="clear" w:color="auto" w:fill="FFFFFF"/>
        </w:rPr>
        <w:t xml:space="preserve">Baumel, C. Philip, Charles R. Hurburgh, and Tenpao Lee, 1985: Estimates of Total Fuel Consumption in Transporting Grain from Iowa to Major Grain Countries by Alternatives Modes and Routes.  Iowa State University Extension and Outreach </w:t>
      </w:r>
      <w:hyperlink r:id="rId49" w:history="1">
        <w:r w:rsidRPr="00433C4E">
          <w:rPr>
            <w:rStyle w:val="Hyperlink"/>
            <w:rFonts w:asciiTheme="minorHAnsi" w:hAnsiTheme="minorHAnsi" w:cstheme="minorHAnsi"/>
            <w:sz w:val="18"/>
            <w:szCs w:val="18"/>
            <w:shd w:val="clear" w:color="auto" w:fill="FFFFFF"/>
          </w:rPr>
          <w:t>https://www.extension.iastate.edu/grain/topics/EstimatesofTotalFuelConsumption.htm</w:t>
        </w:r>
      </w:hyperlink>
    </w:p>
    <w:p w14:paraId="0A6D7097" w14:textId="2E3DFE61"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The full report is found</w:t>
      </w:r>
      <w:r w:rsidR="00433C4E">
        <w:rPr>
          <w:rFonts w:asciiTheme="minorHAnsi" w:hAnsiTheme="minorHAnsi" w:cstheme="minorHAnsi"/>
          <w:color w:val="000000"/>
          <w:sz w:val="18"/>
          <w:szCs w:val="18"/>
          <w:shd w:val="clear" w:color="auto" w:fill="FFFFFF"/>
        </w:rPr>
        <w:t xml:space="preserve"> </w:t>
      </w:r>
      <w:hyperlink r:id="rId50" w:history="1">
        <w:r w:rsidRPr="00433C4E">
          <w:rPr>
            <w:rStyle w:val="Hyperlink"/>
            <w:rFonts w:asciiTheme="minorHAnsi" w:hAnsiTheme="minorHAnsi" w:cstheme="minorHAnsi"/>
            <w:sz w:val="18"/>
            <w:szCs w:val="18"/>
            <w:shd w:val="clear" w:color="auto" w:fill="FFFFFF"/>
          </w:rPr>
          <w:t>https://dr.lib.iastate.edu/entities/publication/f7217da5-63d2-44a7-a226-2ffb49c5454c</w:t>
        </w:r>
      </w:hyperlink>
    </w:p>
    <w:p w14:paraId="4123A121" w14:textId="59F9F6CF"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On the Upper Mississippi River, southbound tows achieved 953 net ton-miles per gallon with all barges loaded while the northbound tows achieved only 243 net ton-miles per gallon with a 37.7 percent backhaul.Caldwell, P.V., Sun, G., McNulty, S.G., Cohen, E.C., and Moore Myers. 2012. Impacts of impervious cover, water withdrawals, and climate change on river flows in the conterminous US. Hydrol. </w:t>
      </w:r>
      <w:r w:rsidRPr="00433C4E">
        <w:rPr>
          <w:rFonts w:asciiTheme="minorHAnsi" w:hAnsiTheme="minorHAnsi" w:cstheme="minorHAnsi"/>
          <w:i/>
          <w:iCs/>
          <w:color w:val="000000"/>
          <w:sz w:val="18"/>
          <w:szCs w:val="18"/>
          <w:shd w:val="clear" w:color="auto" w:fill="FFFFFF"/>
        </w:rPr>
        <w:t>Earth Syst. Sci</w:t>
      </w:r>
      <w:r w:rsidRPr="00433C4E">
        <w:rPr>
          <w:rFonts w:asciiTheme="minorHAnsi" w:hAnsiTheme="minorHAnsi" w:cstheme="minorHAnsi"/>
          <w:color w:val="000000"/>
          <w:sz w:val="18"/>
          <w:szCs w:val="18"/>
          <w:shd w:val="clear" w:color="auto" w:fill="FFFFFF"/>
        </w:rPr>
        <w:t xml:space="preserve">., 16, 2839-2857. </w:t>
      </w:r>
    </w:p>
    <w:p w14:paraId="0EE9416A"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lastRenderedPageBreak/>
        <w:t xml:space="preserve">CCSP 2008. The Effects of Climate Change on Agriculture, Land Resources, Water Resources, and Biodiversity in the United States. A Report by the U.S. Climate Change Science Program and the Subcommittee on Global Change Research. </w:t>
      </w:r>
    </w:p>
    <w:p w14:paraId="257F2B7E" w14:textId="77777777" w:rsidR="00FB1900" w:rsidRPr="00433C4E" w:rsidRDefault="00FB1900" w:rsidP="00FB1900">
      <w:pPr>
        <w:spacing w:after="120"/>
        <w:rPr>
          <w:rFonts w:asciiTheme="minorHAnsi" w:hAnsiTheme="minorHAnsi" w:cstheme="minorHAnsi"/>
          <w:bCs/>
          <w:color w:val="000000"/>
          <w:sz w:val="18"/>
          <w:szCs w:val="18"/>
          <w:shd w:val="clear" w:color="auto" w:fill="FFFFFF"/>
        </w:rPr>
      </w:pPr>
      <w:r w:rsidRPr="00433C4E">
        <w:rPr>
          <w:rFonts w:asciiTheme="minorHAnsi" w:hAnsiTheme="minorHAnsi" w:cstheme="minorHAnsi"/>
          <w:bCs/>
          <w:color w:val="000000"/>
          <w:sz w:val="18"/>
          <w:szCs w:val="18"/>
          <w:shd w:val="clear" w:color="auto" w:fill="FFFFFF"/>
        </w:rPr>
        <w:t>De Villiers, Marc 2000: Water - the Fate of Our Most Precious Resource. Houghton-Mifflin</w:t>
      </w:r>
    </w:p>
    <w:p w14:paraId="1AB44C27" w14:textId="77777777" w:rsidR="00FB1900" w:rsidRPr="00433C4E" w:rsidRDefault="00FB1900" w:rsidP="00FB1900">
      <w:pPr>
        <w:spacing w:after="120"/>
        <w:rPr>
          <w:rFonts w:asciiTheme="minorHAnsi" w:hAnsiTheme="minorHAnsi" w:cstheme="minorHAnsi"/>
          <w:sz w:val="18"/>
          <w:szCs w:val="18"/>
        </w:rPr>
      </w:pPr>
      <w:r w:rsidRPr="00433C4E">
        <w:rPr>
          <w:rFonts w:asciiTheme="minorHAnsi" w:hAnsiTheme="minorHAnsi" w:cstheme="minorHAnsi"/>
          <w:sz w:val="18"/>
          <w:szCs w:val="18"/>
        </w:rPr>
        <w:t>Effland, Anne, 2000: Parallels in Time and Space: Historical Adjustments to the changing geography of American Agriculture. Economic Research Service, United States Department of Agriculture</w:t>
      </w:r>
    </w:p>
    <w:p w14:paraId="11DA43AC" w14:textId="77777777" w:rsidR="00FB1900" w:rsidRPr="00433C4E" w:rsidRDefault="00FB1900" w:rsidP="00FB1900">
      <w:pPr>
        <w:spacing w:after="120"/>
        <w:rPr>
          <w:rFonts w:asciiTheme="minorHAnsi" w:hAnsiTheme="minorHAnsi" w:cstheme="minorHAnsi"/>
          <w:sz w:val="18"/>
          <w:szCs w:val="18"/>
        </w:rPr>
      </w:pPr>
      <w:r w:rsidRPr="00433C4E">
        <w:rPr>
          <w:rFonts w:asciiTheme="minorHAnsi" w:hAnsiTheme="minorHAnsi" w:cstheme="minorHAnsi"/>
          <w:sz w:val="18"/>
          <w:szCs w:val="18"/>
        </w:rPr>
        <w:t>Famiglietti, J.S., Lo, M., Ho, S.L., Bethune, J., Anderson, K.J., Syed, T.H., Swenson, S.C., de Linage, C.R. and Rodell, M., 2011. Satellites measure recent rates of groundwater depletion in California's Central Valley. </w:t>
      </w:r>
      <w:r w:rsidRPr="00433C4E">
        <w:rPr>
          <w:rFonts w:asciiTheme="minorHAnsi" w:hAnsiTheme="minorHAnsi" w:cstheme="minorHAnsi"/>
          <w:i/>
          <w:iCs/>
          <w:sz w:val="18"/>
          <w:szCs w:val="18"/>
        </w:rPr>
        <w:t>Geophysical Research Letters</w:t>
      </w:r>
      <w:r w:rsidRPr="00433C4E">
        <w:rPr>
          <w:rFonts w:asciiTheme="minorHAnsi" w:hAnsiTheme="minorHAnsi" w:cstheme="minorHAnsi"/>
          <w:sz w:val="18"/>
          <w:szCs w:val="18"/>
        </w:rPr>
        <w:t>, </w:t>
      </w:r>
      <w:r w:rsidRPr="00433C4E">
        <w:rPr>
          <w:rFonts w:asciiTheme="minorHAnsi" w:hAnsiTheme="minorHAnsi" w:cstheme="minorHAnsi"/>
          <w:i/>
          <w:iCs/>
          <w:sz w:val="18"/>
          <w:szCs w:val="18"/>
        </w:rPr>
        <w:t>38</w:t>
      </w:r>
      <w:r w:rsidRPr="00433C4E">
        <w:rPr>
          <w:rFonts w:asciiTheme="minorHAnsi" w:hAnsiTheme="minorHAnsi" w:cstheme="minorHAnsi"/>
          <w:sz w:val="18"/>
          <w:szCs w:val="18"/>
        </w:rPr>
        <w:t>(3).</w:t>
      </w:r>
    </w:p>
    <w:p w14:paraId="7D62C63E"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Gardner, Bruce L. 2002. American Agriculture in the Twentieth Century: How it Flourished and What it Cost. Cambridge, MA, and London, England: </w:t>
      </w:r>
      <w:r w:rsidRPr="00433C4E">
        <w:rPr>
          <w:rFonts w:asciiTheme="minorHAnsi" w:hAnsiTheme="minorHAnsi" w:cstheme="minorHAnsi"/>
          <w:i/>
          <w:iCs/>
          <w:color w:val="000000"/>
          <w:sz w:val="18"/>
          <w:szCs w:val="18"/>
          <w:shd w:val="clear" w:color="auto" w:fill="FFFFFF"/>
        </w:rPr>
        <w:t>Harvard University Press</w:t>
      </w:r>
      <w:r w:rsidRPr="00433C4E">
        <w:rPr>
          <w:rFonts w:asciiTheme="minorHAnsi" w:hAnsiTheme="minorHAnsi" w:cstheme="minorHAnsi"/>
          <w:color w:val="000000"/>
          <w:sz w:val="18"/>
          <w:szCs w:val="18"/>
          <w:shd w:val="clear" w:color="auto" w:fill="FFFFFF"/>
        </w:rPr>
        <w:t xml:space="preserve">. </w:t>
      </w:r>
    </w:p>
    <w:p w14:paraId="515C3188"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Handyside, C., McNider, R., Ward, M., Al-Hamdan, O., 2009: Environmentally Sustainable Irrigation Withdrawal Model Based On a Synthetic Model of the Sipsey River Swamp. Alabama Water Resources Conference.</w:t>
      </w:r>
    </w:p>
    <w:p w14:paraId="58E515BB"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Howitt, Richard, Josué Medellín-Azuara, Duncan MacEwan , Jay Lund, Daniel Sumner. 2014. Economic Analysis of the 2014 Drought for California Agriculture. Center for Watershed Sciences, University of California, Davis UC Agricultural Issues Center , ERA Economics, Davis, Calif. </w:t>
      </w:r>
    </w:p>
    <w:p w14:paraId="677F9347"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McNider, R.T., Christy, J. and Hairston, J. 2005. Bringing agriculture back to water - a solution for the 21st century. Proceedings of AMS Forum: Living with a Limited Water Supply Section 2.4 Annual Meeting of American Meteorological Society.</w:t>
      </w:r>
    </w:p>
    <w:p w14:paraId="2441FDA9" w14:textId="77777777" w:rsidR="00FB1900" w:rsidRPr="00433C4E" w:rsidRDefault="00FB1900" w:rsidP="00FB1900">
      <w:pPr>
        <w:spacing w:after="120"/>
        <w:rPr>
          <w:rFonts w:asciiTheme="minorHAnsi" w:hAnsiTheme="minorHAnsi" w:cstheme="minorHAnsi"/>
          <w:color w:val="222222"/>
          <w:sz w:val="18"/>
          <w:szCs w:val="18"/>
          <w:shd w:val="clear" w:color="auto" w:fill="FFFFFF"/>
        </w:rPr>
      </w:pPr>
      <w:r w:rsidRPr="00433C4E">
        <w:rPr>
          <w:rFonts w:asciiTheme="minorHAnsi" w:hAnsiTheme="minorHAnsi" w:cstheme="minorHAnsi"/>
          <w:color w:val="222222"/>
          <w:sz w:val="18"/>
          <w:szCs w:val="18"/>
          <w:shd w:val="clear" w:color="auto" w:fill="FFFFFF"/>
        </w:rPr>
        <w:t>McNider, R.T., Handyside, C., Doty, K., Ellenburg, W.L., Cruise, J.F., Christy, J.R., Moss, D., Sharda, V., Hoogenboom, G. and Caldwell, P., 2015. An integrated crop and hydrologic modeling system to estimate hydrologic impacts of crop irrigation demands. </w:t>
      </w:r>
      <w:r w:rsidRPr="00433C4E">
        <w:rPr>
          <w:rFonts w:asciiTheme="minorHAnsi" w:hAnsiTheme="minorHAnsi" w:cstheme="minorHAnsi"/>
          <w:i/>
          <w:iCs/>
          <w:color w:val="222222"/>
          <w:sz w:val="18"/>
          <w:szCs w:val="18"/>
          <w:shd w:val="clear" w:color="auto" w:fill="FFFFFF"/>
        </w:rPr>
        <w:t>Environmental Modelling &amp; Software</w:t>
      </w:r>
      <w:r w:rsidRPr="00433C4E">
        <w:rPr>
          <w:rFonts w:asciiTheme="minorHAnsi" w:hAnsiTheme="minorHAnsi" w:cstheme="minorHAnsi"/>
          <w:color w:val="222222"/>
          <w:sz w:val="18"/>
          <w:szCs w:val="18"/>
          <w:shd w:val="clear" w:color="auto" w:fill="FFFFFF"/>
        </w:rPr>
        <w:t>, </w:t>
      </w:r>
      <w:r w:rsidRPr="00433C4E">
        <w:rPr>
          <w:rFonts w:asciiTheme="minorHAnsi" w:hAnsiTheme="minorHAnsi" w:cstheme="minorHAnsi"/>
          <w:i/>
          <w:iCs/>
          <w:color w:val="222222"/>
          <w:sz w:val="18"/>
          <w:szCs w:val="18"/>
          <w:shd w:val="clear" w:color="auto" w:fill="FFFFFF"/>
        </w:rPr>
        <w:t>72</w:t>
      </w:r>
      <w:r w:rsidRPr="00433C4E">
        <w:rPr>
          <w:rFonts w:asciiTheme="minorHAnsi" w:hAnsiTheme="minorHAnsi" w:cstheme="minorHAnsi"/>
          <w:color w:val="222222"/>
          <w:sz w:val="18"/>
          <w:szCs w:val="18"/>
          <w:shd w:val="clear" w:color="auto" w:fill="FFFFFF"/>
        </w:rPr>
        <w:t>, pp.341-355.</w:t>
      </w:r>
    </w:p>
    <w:p w14:paraId="12AD0155"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Mearns L. O., Marromalis T., Tsuet-sinkaya E., Hays C., Easterling W. 1999. Comparative responses of EPIC and CERES crop models to high and low spatial resolution climate change scenarios. </w:t>
      </w:r>
      <w:r w:rsidRPr="00433C4E">
        <w:rPr>
          <w:rFonts w:asciiTheme="minorHAnsi" w:hAnsiTheme="minorHAnsi" w:cstheme="minorHAnsi"/>
          <w:i/>
          <w:iCs/>
          <w:color w:val="000000"/>
          <w:sz w:val="18"/>
          <w:szCs w:val="18"/>
          <w:shd w:val="clear" w:color="auto" w:fill="FFFFFF"/>
        </w:rPr>
        <w:t xml:space="preserve">J Geophys Res Atmos., </w:t>
      </w:r>
      <w:r w:rsidRPr="00433C4E">
        <w:rPr>
          <w:rFonts w:asciiTheme="minorHAnsi" w:hAnsiTheme="minorHAnsi" w:cstheme="minorHAnsi"/>
          <w:color w:val="000000"/>
          <w:sz w:val="18"/>
          <w:szCs w:val="18"/>
          <w:shd w:val="clear" w:color="auto" w:fill="FFFFFF"/>
        </w:rPr>
        <w:t xml:space="preserve">104: 6623-6646. </w:t>
      </w:r>
    </w:p>
    <w:p w14:paraId="1218D18E"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Meyer, D. R. 1987. The national integration of regional economies: 1860–1920,in North America: The Historical Geography of a Changing Continent edited by R. D. Mitchell and P. A. Groves, pp. 321–345, Rowman and Littlefield, Totowa, N. J. </w:t>
      </w:r>
    </w:p>
    <w:p w14:paraId="5D2BE67D"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Overpeck J, Udall B. Dry times ahead. Science. 2010 Jun 25;328(5986):1642-3.</w:t>
      </w:r>
    </w:p>
    <w:p w14:paraId="78362232"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Pachauri RK, Allen MR, Barros VR, Broome J, Cramer W, Christ R, Church JA, Clarke L, Dahe Q, Dasgupta P, Dubash NK. Climate change 2014: synthesis report. Contribution of Working Groups I, II and III to the fifth assessment report of the Intergovernmental Panel on Climate Change. Ipcc; 2014.</w:t>
      </w:r>
    </w:p>
    <w:p w14:paraId="4FCAE1BB"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Piechota, T., Timilena, J., Toogle, G. and Hidalgo, H. 2004. The western drought: How bad is it?</w:t>
      </w:r>
    </w:p>
    <w:p w14:paraId="3542AFA8"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Postel, Sandra. 1992. Last Oasis –Facing Water Scarcity. </w:t>
      </w:r>
      <w:r w:rsidRPr="00433C4E">
        <w:rPr>
          <w:rFonts w:asciiTheme="minorHAnsi" w:hAnsiTheme="minorHAnsi" w:cstheme="minorHAnsi"/>
          <w:i/>
          <w:iCs/>
          <w:color w:val="000000"/>
          <w:sz w:val="18"/>
          <w:szCs w:val="18"/>
          <w:shd w:val="clear" w:color="auto" w:fill="FFFFFF"/>
        </w:rPr>
        <w:t xml:space="preserve">Norton/World Watch Books </w:t>
      </w:r>
      <w:r w:rsidRPr="00433C4E">
        <w:rPr>
          <w:rFonts w:asciiTheme="minorHAnsi" w:hAnsiTheme="minorHAnsi" w:cstheme="minorHAnsi"/>
          <w:color w:val="000000"/>
          <w:sz w:val="18"/>
          <w:szCs w:val="18"/>
          <w:shd w:val="clear" w:color="auto" w:fill="FFFFFF"/>
        </w:rPr>
        <w:t xml:space="preserve">pp 385-414. </w:t>
      </w:r>
    </w:p>
    <w:p w14:paraId="5A598903"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 xml:space="preserve">Reisner, M. 1986. </w:t>
      </w:r>
      <w:r w:rsidRPr="00433C4E">
        <w:rPr>
          <w:rFonts w:asciiTheme="minorHAnsi" w:hAnsiTheme="minorHAnsi" w:cstheme="minorHAnsi"/>
          <w:i/>
          <w:iCs/>
          <w:color w:val="000000"/>
          <w:sz w:val="18"/>
          <w:szCs w:val="18"/>
          <w:shd w:val="clear" w:color="auto" w:fill="FFFFFF"/>
        </w:rPr>
        <w:t>Cadillac Desert</w:t>
      </w:r>
      <w:r w:rsidRPr="00433C4E">
        <w:rPr>
          <w:rFonts w:asciiTheme="minorHAnsi" w:hAnsiTheme="minorHAnsi" w:cstheme="minorHAnsi"/>
          <w:color w:val="000000"/>
          <w:sz w:val="18"/>
          <w:szCs w:val="18"/>
          <w:shd w:val="clear" w:color="auto" w:fill="FFFFFF"/>
        </w:rPr>
        <w:t xml:space="preserve">. Penguin Books. </w:t>
      </w:r>
    </w:p>
    <w:p w14:paraId="37EA0EC8" w14:textId="77777777" w:rsidR="00FB1900" w:rsidRPr="00433C4E" w:rsidRDefault="00FB1900" w:rsidP="00FB1900">
      <w:pPr>
        <w:spacing w:after="120"/>
        <w:rPr>
          <w:rFonts w:asciiTheme="minorHAnsi" w:hAnsiTheme="minorHAnsi" w:cstheme="minorHAnsi"/>
          <w:color w:val="000000"/>
          <w:sz w:val="18"/>
          <w:szCs w:val="18"/>
          <w:shd w:val="clear" w:color="auto" w:fill="FFFFFF"/>
        </w:rPr>
      </w:pPr>
      <w:r w:rsidRPr="00433C4E">
        <w:rPr>
          <w:rFonts w:asciiTheme="minorHAnsi" w:hAnsiTheme="minorHAnsi" w:cstheme="minorHAnsi"/>
          <w:color w:val="000000"/>
          <w:sz w:val="18"/>
          <w:szCs w:val="18"/>
          <w:shd w:val="clear" w:color="auto" w:fill="FFFFFF"/>
        </w:rPr>
        <w:t>Rosegrant, M., X. Cai, S.Cline, 2002: Global water outlook to 2025 – averting an impending crisis. International Food Policy Institute Washington D.C.</w:t>
      </w:r>
    </w:p>
    <w:p w14:paraId="2945EE91" w14:textId="77777777" w:rsidR="00FB1900" w:rsidRPr="00433C4E" w:rsidRDefault="00FB1900" w:rsidP="00FB1900">
      <w:pPr>
        <w:spacing w:after="120"/>
        <w:ind w:left="720" w:hanging="720"/>
        <w:rPr>
          <w:rFonts w:asciiTheme="minorHAnsi" w:hAnsiTheme="minorHAnsi" w:cstheme="minorHAnsi"/>
          <w:sz w:val="18"/>
          <w:szCs w:val="18"/>
        </w:rPr>
      </w:pPr>
      <w:r w:rsidRPr="00433C4E">
        <w:rPr>
          <w:rFonts w:asciiTheme="minorHAnsi" w:hAnsiTheme="minorHAnsi" w:cstheme="minorHAnsi"/>
          <w:sz w:val="18"/>
          <w:szCs w:val="18"/>
        </w:rPr>
        <w:t xml:space="preserve">Schneider, S. H. 1989. </w:t>
      </w:r>
      <w:r w:rsidRPr="00433C4E">
        <w:rPr>
          <w:rFonts w:asciiTheme="minorHAnsi" w:hAnsiTheme="minorHAnsi" w:cstheme="minorHAnsi"/>
          <w:i/>
          <w:iCs/>
          <w:sz w:val="18"/>
          <w:szCs w:val="18"/>
        </w:rPr>
        <w:t xml:space="preserve">Science </w:t>
      </w:r>
      <w:r w:rsidRPr="00433C4E">
        <w:rPr>
          <w:rFonts w:asciiTheme="minorHAnsi" w:hAnsiTheme="minorHAnsi" w:cstheme="minorHAnsi"/>
          <w:sz w:val="18"/>
          <w:szCs w:val="18"/>
        </w:rPr>
        <w:t xml:space="preserve">243, 771−781. </w:t>
      </w:r>
    </w:p>
    <w:p w14:paraId="7ADDF754" w14:textId="77777777" w:rsidR="00FB1900" w:rsidRPr="00433C4E" w:rsidRDefault="00FB1900" w:rsidP="00FB1900">
      <w:pPr>
        <w:spacing w:after="120"/>
        <w:rPr>
          <w:rFonts w:asciiTheme="minorHAnsi" w:hAnsiTheme="minorHAnsi" w:cstheme="minorHAnsi"/>
          <w:sz w:val="18"/>
          <w:szCs w:val="18"/>
        </w:rPr>
      </w:pPr>
      <w:r w:rsidRPr="00433C4E">
        <w:rPr>
          <w:rFonts w:asciiTheme="minorHAnsi" w:hAnsiTheme="minorHAnsi" w:cstheme="minorHAnsi"/>
          <w:color w:val="222222"/>
          <w:sz w:val="18"/>
          <w:szCs w:val="18"/>
          <w:shd w:val="clear" w:color="auto" w:fill="FFFFFF"/>
        </w:rPr>
        <w:t>Shell, E.W., 2013. </w:t>
      </w:r>
      <w:r w:rsidRPr="00433C4E">
        <w:rPr>
          <w:rFonts w:asciiTheme="minorHAnsi" w:hAnsiTheme="minorHAnsi" w:cstheme="minorHAnsi"/>
          <w:i/>
          <w:iCs/>
          <w:color w:val="222222"/>
          <w:sz w:val="18"/>
          <w:szCs w:val="18"/>
          <w:shd w:val="clear" w:color="auto" w:fill="FFFFFF"/>
        </w:rPr>
        <w:t>Evolution of the Alabama Agroecosystem: Always Keeping Up, but Never Catching Up</w:t>
      </w:r>
      <w:r w:rsidRPr="00433C4E">
        <w:rPr>
          <w:rFonts w:asciiTheme="minorHAnsi" w:hAnsiTheme="minorHAnsi" w:cstheme="minorHAnsi"/>
          <w:color w:val="222222"/>
          <w:sz w:val="18"/>
          <w:szCs w:val="18"/>
          <w:shd w:val="clear" w:color="auto" w:fill="FFFFFF"/>
        </w:rPr>
        <w:t>. New South Books.</w:t>
      </w:r>
    </w:p>
    <w:p w14:paraId="30665CBC" w14:textId="77777777" w:rsidR="00FB1900" w:rsidRPr="00433C4E" w:rsidRDefault="00FB1900" w:rsidP="00FB1900">
      <w:pPr>
        <w:spacing w:after="120"/>
        <w:rPr>
          <w:rFonts w:asciiTheme="minorHAnsi" w:hAnsiTheme="minorHAnsi" w:cstheme="minorHAnsi"/>
          <w:b/>
          <w:bCs/>
          <w:color w:val="000000"/>
          <w:sz w:val="18"/>
          <w:szCs w:val="18"/>
        </w:rPr>
      </w:pPr>
      <w:r w:rsidRPr="00433C4E">
        <w:rPr>
          <w:rFonts w:asciiTheme="minorHAnsi" w:hAnsiTheme="minorHAnsi" w:cstheme="minorHAnsi"/>
          <w:color w:val="000000"/>
          <w:sz w:val="18"/>
          <w:szCs w:val="18"/>
        </w:rPr>
        <w:t>Srivastava, P., Gupta, A.K. and Kalin, L., 2010. An ecologically-sustainable surface water withdrawal framework for cropland irrigation: A case study in Alabama. Environmental management, 46(2), pp.302-313</w:t>
      </w:r>
      <w:r w:rsidRPr="00433C4E">
        <w:rPr>
          <w:rFonts w:asciiTheme="minorHAnsi" w:hAnsiTheme="minorHAnsi" w:cstheme="minorHAnsi"/>
          <w:b/>
          <w:bCs/>
          <w:color w:val="000000"/>
          <w:sz w:val="18"/>
          <w:szCs w:val="18"/>
        </w:rPr>
        <w:t>.</w:t>
      </w:r>
    </w:p>
    <w:p w14:paraId="62005EA7" w14:textId="77777777" w:rsidR="00FB1900" w:rsidRPr="00433C4E" w:rsidRDefault="00FB1900" w:rsidP="00FB1900">
      <w:pPr>
        <w:spacing w:after="120"/>
        <w:rPr>
          <w:rFonts w:asciiTheme="minorHAnsi" w:hAnsiTheme="minorHAnsi" w:cstheme="minorHAnsi"/>
          <w:color w:val="000000"/>
          <w:sz w:val="18"/>
          <w:szCs w:val="18"/>
        </w:rPr>
      </w:pPr>
      <w:r w:rsidRPr="00433C4E">
        <w:rPr>
          <w:rFonts w:asciiTheme="minorHAnsi" w:hAnsiTheme="minorHAnsi" w:cstheme="minorHAnsi"/>
          <w:color w:val="000000"/>
          <w:sz w:val="18"/>
          <w:szCs w:val="18"/>
        </w:rPr>
        <w:t>Sumners, J. A, and Lee, L., “Beyond the Interstate: The Crises in Rural Alabama”, Auburn University Economic Development Institute, 2003</w:t>
      </w:r>
    </w:p>
    <w:p w14:paraId="433C1C03" w14:textId="77777777" w:rsidR="00FB1900" w:rsidRPr="00433C4E" w:rsidRDefault="00FB1900" w:rsidP="00FB1900">
      <w:pPr>
        <w:pStyle w:val="BodyText"/>
        <w:spacing w:after="120"/>
        <w:rPr>
          <w:rFonts w:asciiTheme="minorHAnsi" w:hAnsiTheme="minorHAnsi" w:cstheme="minorHAnsi"/>
          <w:sz w:val="18"/>
          <w:szCs w:val="18"/>
        </w:rPr>
      </w:pPr>
      <w:r w:rsidRPr="00433C4E">
        <w:rPr>
          <w:rFonts w:asciiTheme="minorHAnsi" w:hAnsiTheme="minorHAnsi" w:cstheme="minorHAnsi"/>
          <w:sz w:val="18"/>
          <w:szCs w:val="18"/>
        </w:rPr>
        <w:t>USFWS and EPA (U.S. Fish &amp; Wildlife Service and Environmental Protection Agency). 1999: 14 Instream flow guidelines for the ACT and ACF basins interstate water allocation formula. 15 Enclosure to letter dated October 25, 1999, from J.H. Hankinson, EPA Regional 16 Administrator, and S.D. Hamilton, USFWS Regional Director, to L. Thomas, ACF 17 Federal Commissioner. 14 pp + appendices</w:t>
      </w:r>
    </w:p>
    <w:p w14:paraId="740B75C7" w14:textId="77777777" w:rsidR="00FB1900" w:rsidRPr="00433C4E" w:rsidRDefault="00FB1900" w:rsidP="00FB1900">
      <w:pPr>
        <w:spacing w:after="120"/>
        <w:rPr>
          <w:rFonts w:asciiTheme="minorHAnsi" w:hAnsiTheme="minorHAnsi" w:cstheme="minorHAnsi"/>
          <w:color w:val="000000"/>
          <w:sz w:val="18"/>
          <w:szCs w:val="18"/>
        </w:rPr>
      </w:pPr>
      <w:r w:rsidRPr="00433C4E">
        <w:rPr>
          <w:rFonts w:asciiTheme="minorHAnsi" w:hAnsiTheme="minorHAnsi" w:cstheme="minorHAnsi"/>
          <w:color w:val="000000"/>
          <w:sz w:val="18"/>
          <w:szCs w:val="18"/>
        </w:rPr>
        <w:t>Vories, E.D. and Evett, S.R., 2014. Irrigation challenges in the sub-humid US Mid-South. </w:t>
      </w:r>
      <w:r w:rsidRPr="00433C4E">
        <w:rPr>
          <w:rFonts w:asciiTheme="minorHAnsi" w:hAnsiTheme="minorHAnsi" w:cstheme="minorHAnsi"/>
          <w:i/>
          <w:iCs/>
          <w:color w:val="000000"/>
          <w:sz w:val="18"/>
          <w:szCs w:val="18"/>
        </w:rPr>
        <w:t>International Journal of Water</w:t>
      </w:r>
      <w:r w:rsidRPr="00433C4E">
        <w:rPr>
          <w:rFonts w:asciiTheme="minorHAnsi" w:hAnsiTheme="minorHAnsi" w:cstheme="minorHAnsi"/>
          <w:color w:val="000000"/>
          <w:sz w:val="18"/>
          <w:szCs w:val="18"/>
        </w:rPr>
        <w:t>, </w:t>
      </w:r>
      <w:r w:rsidRPr="00433C4E">
        <w:rPr>
          <w:rFonts w:asciiTheme="minorHAnsi" w:hAnsiTheme="minorHAnsi" w:cstheme="minorHAnsi"/>
          <w:i/>
          <w:iCs/>
          <w:color w:val="000000"/>
          <w:sz w:val="18"/>
          <w:szCs w:val="18"/>
        </w:rPr>
        <w:t>8</w:t>
      </w:r>
      <w:r w:rsidRPr="00433C4E">
        <w:rPr>
          <w:rFonts w:asciiTheme="minorHAnsi" w:hAnsiTheme="minorHAnsi" w:cstheme="minorHAnsi"/>
          <w:color w:val="000000"/>
          <w:sz w:val="18"/>
          <w:szCs w:val="18"/>
        </w:rPr>
        <w:t>(3), pp.259-274.</w:t>
      </w:r>
    </w:p>
    <w:p w14:paraId="58ED76C0" w14:textId="758BC91D" w:rsidR="00CA5DB0" w:rsidRPr="003473EB" w:rsidRDefault="00FB1900" w:rsidP="00433C4E">
      <w:pPr>
        <w:spacing w:after="120"/>
        <w:rPr>
          <w:rFonts w:asciiTheme="minorHAnsi" w:eastAsiaTheme="minorHAnsi" w:hAnsiTheme="minorHAnsi" w:cstheme="minorHAnsi"/>
          <w:szCs w:val="22"/>
        </w:rPr>
      </w:pPr>
      <w:r w:rsidRPr="00433C4E">
        <w:rPr>
          <w:rFonts w:asciiTheme="minorHAnsi" w:hAnsiTheme="minorHAnsi" w:cstheme="minorHAnsi"/>
          <w:color w:val="000000"/>
          <w:sz w:val="18"/>
          <w:szCs w:val="18"/>
        </w:rPr>
        <w:t xml:space="preserve">Wysong, John W., Mary G. Leigh, and Pradeep Ganguly. 1984. "The Economic Viability of Commercial Fresh Vegetable Production in the Northeastern United States." </w:t>
      </w:r>
      <w:r w:rsidRPr="00433C4E">
        <w:rPr>
          <w:rFonts w:asciiTheme="minorHAnsi" w:hAnsiTheme="minorHAnsi" w:cstheme="minorHAnsi"/>
          <w:i/>
          <w:iCs/>
          <w:color w:val="000000"/>
          <w:sz w:val="18"/>
          <w:szCs w:val="18"/>
        </w:rPr>
        <w:t xml:space="preserve">Journal of the Northeastern Agricultural Economics Council </w:t>
      </w:r>
      <w:r w:rsidRPr="00433C4E">
        <w:rPr>
          <w:rFonts w:asciiTheme="minorHAnsi" w:hAnsiTheme="minorHAnsi" w:cstheme="minorHAnsi"/>
          <w:color w:val="000000"/>
          <w:sz w:val="18"/>
          <w:szCs w:val="18"/>
        </w:rPr>
        <w:t>13.1, 65-71.</w:t>
      </w:r>
    </w:p>
    <w:sectPr w:rsidR="00CA5DB0" w:rsidRPr="003473EB" w:rsidSect="00A93E4F">
      <w:footerReference w:type="default" r:id="rId51"/>
      <w:pgSz w:w="12240" w:h="15840"/>
      <w:pgMar w:top="1440" w:right="1080" w:bottom="144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69D71" w14:textId="77777777" w:rsidR="00F87A10" w:rsidRDefault="00F87A10" w:rsidP="00AB569A">
      <w:r>
        <w:separator/>
      </w:r>
    </w:p>
  </w:endnote>
  <w:endnote w:type="continuationSeparator" w:id="0">
    <w:p w14:paraId="4E10DAE7" w14:textId="77777777" w:rsidR="00F87A10" w:rsidRDefault="00F87A10" w:rsidP="00AB56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Univers 47 CondensedLight">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RWGroteskT">
    <w:altName w:val="URWGroteskT"/>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6713838"/>
      <w:docPartObj>
        <w:docPartGallery w:val="Page Numbers (Bottom of Page)"/>
        <w:docPartUnique/>
      </w:docPartObj>
    </w:sdtPr>
    <w:sdtEndPr>
      <w:rPr>
        <w:noProof/>
      </w:rPr>
    </w:sdtEndPr>
    <w:sdtContent>
      <w:p w14:paraId="4E99D000" w14:textId="77777777" w:rsidR="006464D1" w:rsidRDefault="006464D1">
        <w:pPr>
          <w:pStyle w:val="Footer"/>
          <w:jc w:val="center"/>
        </w:pPr>
        <w:r>
          <w:fldChar w:fldCharType="begin"/>
        </w:r>
        <w:r>
          <w:instrText xml:space="preserve"> PAGE   \* MERGEFORMAT </w:instrText>
        </w:r>
        <w:r>
          <w:fldChar w:fldCharType="separate"/>
        </w:r>
        <w:r w:rsidR="00143EE0">
          <w:rPr>
            <w:noProof/>
          </w:rPr>
          <w:t>17</w:t>
        </w:r>
        <w:r>
          <w:rPr>
            <w:noProof/>
          </w:rPr>
          <w:fldChar w:fldCharType="end"/>
        </w:r>
      </w:p>
    </w:sdtContent>
  </w:sdt>
  <w:p w14:paraId="7DCD69B0" w14:textId="77777777" w:rsidR="006464D1" w:rsidRDefault="006464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AA4EB5" w14:textId="77777777" w:rsidR="00F87A10" w:rsidRDefault="00F87A10" w:rsidP="00AB569A">
      <w:r>
        <w:separator/>
      </w:r>
    </w:p>
  </w:footnote>
  <w:footnote w:type="continuationSeparator" w:id="0">
    <w:p w14:paraId="40F310B1" w14:textId="77777777" w:rsidR="00F87A10" w:rsidRDefault="00F87A10" w:rsidP="00AB56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A892D2"/>
    <w:lvl w:ilvl="0">
      <w:start w:val="1"/>
      <w:numFmt w:val="decimal"/>
      <w:lvlText w:val="%1."/>
      <w:lvlJc w:val="left"/>
      <w:pPr>
        <w:tabs>
          <w:tab w:val="num" w:pos="11070"/>
        </w:tabs>
        <w:ind w:left="11070" w:hanging="360"/>
      </w:pPr>
    </w:lvl>
  </w:abstractNum>
  <w:abstractNum w:abstractNumId="1" w15:restartNumberingAfterBreak="0">
    <w:nsid w:val="FFFFFF7D"/>
    <w:multiLevelType w:val="singleLevel"/>
    <w:tmpl w:val="417CAC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05E0D7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E86E9E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95CC83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8DAD2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726973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5145BE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AF2871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BF82D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580AF96C"/>
    <w:lvl w:ilvl="0">
      <w:start w:val="1"/>
      <w:numFmt w:val="decimal"/>
      <w:pStyle w:val="Heading1"/>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rPr>
        <w:b/>
      </w:rPr>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1" w15:restartNumberingAfterBreak="0">
    <w:nsid w:val="03CA1067"/>
    <w:multiLevelType w:val="hybridMultilevel"/>
    <w:tmpl w:val="F442446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872B8D"/>
    <w:multiLevelType w:val="hybridMultilevel"/>
    <w:tmpl w:val="4A3C5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88F040A"/>
    <w:multiLevelType w:val="hybridMultilevel"/>
    <w:tmpl w:val="4F9A1D5C"/>
    <w:lvl w:ilvl="0" w:tplc="339414D4">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494265"/>
    <w:multiLevelType w:val="hybridMultilevel"/>
    <w:tmpl w:val="DE423074"/>
    <w:lvl w:ilvl="0" w:tplc="50EA87EE">
      <w:numFmt w:val="bullet"/>
      <w:lvlText w:val=""/>
      <w:lvlJc w:val="left"/>
      <w:pPr>
        <w:ind w:left="820" w:hanging="360"/>
      </w:pPr>
      <w:rPr>
        <w:rFonts w:ascii="Symbol" w:eastAsia="Symbol" w:hAnsi="Symbol" w:cs="Symbol" w:hint="default"/>
        <w:b w:val="0"/>
        <w:bCs w:val="0"/>
        <w:i w:val="0"/>
        <w:iCs w:val="0"/>
        <w:spacing w:val="0"/>
        <w:w w:val="100"/>
        <w:sz w:val="24"/>
        <w:szCs w:val="24"/>
        <w:lang w:val="en-US" w:eastAsia="en-US" w:bidi="ar-SA"/>
      </w:rPr>
    </w:lvl>
    <w:lvl w:ilvl="1" w:tplc="2968DF0C">
      <w:numFmt w:val="bullet"/>
      <w:lvlText w:val="o"/>
      <w:lvlJc w:val="left"/>
      <w:pPr>
        <w:ind w:left="1540" w:hanging="360"/>
      </w:pPr>
      <w:rPr>
        <w:rFonts w:ascii="Courier New" w:eastAsia="Courier New" w:hAnsi="Courier New" w:cs="Courier New" w:hint="default"/>
        <w:b w:val="0"/>
        <w:bCs w:val="0"/>
        <w:i w:val="0"/>
        <w:iCs w:val="0"/>
        <w:spacing w:val="0"/>
        <w:w w:val="100"/>
        <w:sz w:val="24"/>
        <w:szCs w:val="24"/>
        <w:lang w:val="en-US" w:eastAsia="en-US" w:bidi="ar-SA"/>
      </w:rPr>
    </w:lvl>
    <w:lvl w:ilvl="2" w:tplc="9306EE72">
      <w:numFmt w:val="bullet"/>
      <w:lvlText w:val="•"/>
      <w:lvlJc w:val="left"/>
      <w:pPr>
        <w:ind w:left="2460" w:hanging="360"/>
      </w:pPr>
      <w:rPr>
        <w:rFonts w:hint="default"/>
        <w:lang w:val="en-US" w:eastAsia="en-US" w:bidi="ar-SA"/>
      </w:rPr>
    </w:lvl>
    <w:lvl w:ilvl="3" w:tplc="1B109A86">
      <w:numFmt w:val="bullet"/>
      <w:lvlText w:val="•"/>
      <w:lvlJc w:val="left"/>
      <w:pPr>
        <w:ind w:left="3380" w:hanging="360"/>
      </w:pPr>
      <w:rPr>
        <w:rFonts w:hint="default"/>
        <w:lang w:val="en-US" w:eastAsia="en-US" w:bidi="ar-SA"/>
      </w:rPr>
    </w:lvl>
    <w:lvl w:ilvl="4" w:tplc="A134D550">
      <w:numFmt w:val="bullet"/>
      <w:lvlText w:val="•"/>
      <w:lvlJc w:val="left"/>
      <w:pPr>
        <w:ind w:left="4300" w:hanging="360"/>
      </w:pPr>
      <w:rPr>
        <w:rFonts w:hint="default"/>
        <w:lang w:val="en-US" w:eastAsia="en-US" w:bidi="ar-SA"/>
      </w:rPr>
    </w:lvl>
    <w:lvl w:ilvl="5" w:tplc="FA2ACF86">
      <w:numFmt w:val="bullet"/>
      <w:lvlText w:val="•"/>
      <w:lvlJc w:val="left"/>
      <w:pPr>
        <w:ind w:left="5220" w:hanging="360"/>
      </w:pPr>
      <w:rPr>
        <w:rFonts w:hint="default"/>
        <w:lang w:val="en-US" w:eastAsia="en-US" w:bidi="ar-SA"/>
      </w:rPr>
    </w:lvl>
    <w:lvl w:ilvl="6" w:tplc="F8821E62">
      <w:numFmt w:val="bullet"/>
      <w:lvlText w:val="•"/>
      <w:lvlJc w:val="left"/>
      <w:pPr>
        <w:ind w:left="6140" w:hanging="360"/>
      </w:pPr>
      <w:rPr>
        <w:rFonts w:hint="default"/>
        <w:lang w:val="en-US" w:eastAsia="en-US" w:bidi="ar-SA"/>
      </w:rPr>
    </w:lvl>
    <w:lvl w:ilvl="7" w:tplc="1B6A1098">
      <w:numFmt w:val="bullet"/>
      <w:lvlText w:val="•"/>
      <w:lvlJc w:val="left"/>
      <w:pPr>
        <w:ind w:left="7060" w:hanging="360"/>
      </w:pPr>
      <w:rPr>
        <w:rFonts w:hint="default"/>
        <w:lang w:val="en-US" w:eastAsia="en-US" w:bidi="ar-SA"/>
      </w:rPr>
    </w:lvl>
    <w:lvl w:ilvl="8" w:tplc="0F580D54">
      <w:numFmt w:val="bullet"/>
      <w:lvlText w:val="•"/>
      <w:lvlJc w:val="left"/>
      <w:pPr>
        <w:ind w:left="7980" w:hanging="360"/>
      </w:pPr>
      <w:rPr>
        <w:rFonts w:hint="default"/>
        <w:lang w:val="en-US" w:eastAsia="en-US" w:bidi="ar-SA"/>
      </w:rPr>
    </w:lvl>
  </w:abstractNum>
  <w:abstractNum w:abstractNumId="15" w15:restartNumberingAfterBreak="0">
    <w:nsid w:val="0AE35107"/>
    <w:multiLevelType w:val="hybridMultilevel"/>
    <w:tmpl w:val="5CCEBC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157546"/>
    <w:multiLevelType w:val="hybridMultilevel"/>
    <w:tmpl w:val="E006E1E6"/>
    <w:lvl w:ilvl="0" w:tplc="04090015">
      <w:start w:val="1"/>
      <w:numFmt w:val="upperLetter"/>
      <w:lvlText w:val="%1."/>
      <w:lvlJc w:val="left"/>
      <w:pPr>
        <w:ind w:left="720" w:hanging="360"/>
      </w:pPr>
      <w:rPr>
        <w:rFonts w:hint="default"/>
      </w:rPr>
    </w:lvl>
    <w:lvl w:ilvl="1" w:tplc="04090019" w:tentative="1">
      <w:start w:val="1"/>
      <w:numFmt w:val="lowerLetter"/>
      <w:pStyle w:val="Style1"/>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F45641"/>
    <w:multiLevelType w:val="hybridMultilevel"/>
    <w:tmpl w:val="0144EF08"/>
    <w:lvl w:ilvl="0" w:tplc="B9B84A5C">
      <w:start w:val="1"/>
      <w:numFmt w:val="lowerLetter"/>
      <w:lvlText w:val="%1."/>
      <w:lvlJc w:val="left"/>
      <w:pPr>
        <w:ind w:left="720" w:hanging="360"/>
      </w:pPr>
      <w:rPr>
        <w:rFonts w:ascii="Calibri" w:eastAsiaTheme="minorHAnsi" w:hAnsi="Calibri" w:cs="Calibri"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0D45844"/>
    <w:multiLevelType w:val="hybridMultilevel"/>
    <w:tmpl w:val="2A184572"/>
    <w:lvl w:ilvl="0" w:tplc="70C22A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4B4AE9"/>
    <w:multiLevelType w:val="hybridMultilevel"/>
    <w:tmpl w:val="0AF48D8A"/>
    <w:lvl w:ilvl="0" w:tplc="D88E5F00">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F940D0"/>
    <w:multiLevelType w:val="multilevel"/>
    <w:tmpl w:val="535666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AB6789A"/>
    <w:multiLevelType w:val="hybridMultilevel"/>
    <w:tmpl w:val="9B0A3BD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AE91B38"/>
    <w:multiLevelType w:val="hybridMultilevel"/>
    <w:tmpl w:val="D6F615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AF738CE"/>
    <w:multiLevelType w:val="hybridMultilevel"/>
    <w:tmpl w:val="EB9E8B4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B7B6F45"/>
    <w:multiLevelType w:val="multilevel"/>
    <w:tmpl w:val="D228033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42C56A2"/>
    <w:multiLevelType w:val="hybridMultilevel"/>
    <w:tmpl w:val="2190DAE2"/>
    <w:lvl w:ilvl="0" w:tplc="F8E659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25450602"/>
    <w:multiLevelType w:val="hybridMultilevel"/>
    <w:tmpl w:val="5F22385C"/>
    <w:lvl w:ilvl="0" w:tplc="68948C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86312D"/>
    <w:multiLevelType w:val="multilevel"/>
    <w:tmpl w:val="6F06B2C4"/>
    <w:lvl w:ilvl="0">
      <w:start w:val="3"/>
      <w:numFmt w:val="decimal"/>
      <w:lvlText w:val="%1"/>
      <w:lvlJc w:val="left"/>
      <w:pPr>
        <w:ind w:left="360" w:hanging="360"/>
      </w:pPr>
      <w:rPr>
        <w:rFonts w:ascii="Times New Roman" w:hAnsi="Times New Roman" w:cs="Times New Roman"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080" w:hanging="108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440" w:hanging="1440"/>
      </w:pPr>
      <w:rPr>
        <w:rFonts w:ascii="Times New Roman" w:hAnsi="Times New Roman" w:cs="Times New Roman" w:hint="default"/>
      </w:rPr>
    </w:lvl>
    <w:lvl w:ilvl="8">
      <w:start w:val="1"/>
      <w:numFmt w:val="decimal"/>
      <w:lvlText w:val="%1.%2.%3.%4.%5.%6.%7.%8.%9"/>
      <w:lvlJc w:val="left"/>
      <w:pPr>
        <w:ind w:left="1440" w:hanging="1440"/>
      </w:pPr>
      <w:rPr>
        <w:rFonts w:ascii="Times New Roman" w:hAnsi="Times New Roman" w:cs="Times New Roman" w:hint="default"/>
      </w:rPr>
    </w:lvl>
  </w:abstractNum>
  <w:abstractNum w:abstractNumId="28" w15:restartNumberingAfterBreak="0">
    <w:nsid w:val="32D26557"/>
    <w:multiLevelType w:val="hybridMultilevel"/>
    <w:tmpl w:val="1C3C75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8A6883"/>
    <w:multiLevelType w:val="hybridMultilevel"/>
    <w:tmpl w:val="BC4899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1B13F9"/>
    <w:multiLevelType w:val="hybridMultilevel"/>
    <w:tmpl w:val="C07C10A6"/>
    <w:lvl w:ilvl="0" w:tplc="70C22A18">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1" w15:restartNumberingAfterBreak="0">
    <w:nsid w:val="38473099"/>
    <w:multiLevelType w:val="hybridMultilevel"/>
    <w:tmpl w:val="4CF49A00"/>
    <w:lvl w:ilvl="0" w:tplc="9E7436AC">
      <w:start w:val="1"/>
      <w:numFmt w:val="lowerLetter"/>
      <w:lvlText w:val="%1."/>
      <w:lvlJc w:val="left"/>
      <w:pPr>
        <w:ind w:left="1440" w:hanging="360"/>
      </w:pPr>
      <w:rPr>
        <w:rFonts w:asciiTheme="minorHAnsi" w:eastAsiaTheme="minorHAnsi" w:hAnsiTheme="minorHAnsi" w:cstheme="minorBid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3863681A"/>
    <w:multiLevelType w:val="hybridMultilevel"/>
    <w:tmpl w:val="2EFE38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9C32B73"/>
    <w:multiLevelType w:val="multilevel"/>
    <w:tmpl w:val="6D04A2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3B990C29"/>
    <w:multiLevelType w:val="hybridMultilevel"/>
    <w:tmpl w:val="325A14D0"/>
    <w:lvl w:ilvl="0" w:tplc="9F1C96A8">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EE05F43"/>
    <w:multiLevelType w:val="hybridMultilevel"/>
    <w:tmpl w:val="AB9047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161667E"/>
    <w:multiLevelType w:val="hybridMultilevel"/>
    <w:tmpl w:val="5872A33C"/>
    <w:lvl w:ilvl="0" w:tplc="BDC269F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5C5708"/>
    <w:multiLevelType w:val="hybridMultilevel"/>
    <w:tmpl w:val="1862D7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7B80F2C"/>
    <w:multiLevelType w:val="hybridMultilevel"/>
    <w:tmpl w:val="6F6872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488B4794"/>
    <w:multiLevelType w:val="multilevel"/>
    <w:tmpl w:val="6EA29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8BB033D"/>
    <w:multiLevelType w:val="multilevel"/>
    <w:tmpl w:val="C3D42DA6"/>
    <w:lvl w:ilvl="0">
      <w:start w:val="3"/>
      <w:numFmt w:val="decimal"/>
      <w:lvlText w:val="%1"/>
      <w:lvlJc w:val="left"/>
      <w:pPr>
        <w:ind w:left="435" w:hanging="435"/>
      </w:pPr>
      <w:rPr>
        <w:rFonts w:hint="default"/>
      </w:rPr>
    </w:lvl>
    <w:lvl w:ilvl="1">
      <w:start w:val="1"/>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41" w15:restartNumberingAfterBreak="0">
    <w:nsid w:val="4A6B3003"/>
    <w:multiLevelType w:val="hybridMultilevel"/>
    <w:tmpl w:val="FC78474A"/>
    <w:lvl w:ilvl="0" w:tplc="37229104">
      <w:start w:val="1"/>
      <w:numFmt w:val="lowerLetter"/>
      <w:lvlText w:val="%1."/>
      <w:lvlJc w:val="left"/>
      <w:pPr>
        <w:ind w:left="1710" w:hanging="720"/>
      </w:pPr>
      <w:rPr>
        <w:rFonts w:asciiTheme="minorHAnsi" w:eastAsiaTheme="minorHAnsi" w:hAnsiTheme="minorHAnsi" w:cstheme="minorBidi"/>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42" w15:restartNumberingAfterBreak="0">
    <w:nsid w:val="4D021A76"/>
    <w:multiLevelType w:val="multilevel"/>
    <w:tmpl w:val="B9CA08FE"/>
    <w:lvl w:ilvl="0">
      <w:start w:val="4"/>
      <w:numFmt w:val="decimal"/>
      <w:lvlText w:val="%1"/>
      <w:lvlJc w:val="left"/>
      <w:pPr>
        <w:ind w:left="480" w:hanging="480"/>
      </w:pPr>
      <w:rPr>
        <w:rFonts w:hint="default"/>
        <w:b/>
        <w:i/>
      </w:rPr>
    </w:lvl>
    <w:lvl w:ilvl="1">
      <w:start w:val="1"/>
      <w:numFmt w:val="decimal"/>
      <w:lvlText w:val="%1.%2"/>
      <w:lvlJc w:val="left"/>
      <w:pPr>
        <w:ind w:left="480" w:hanging="480"/>
      </w:pPr>
      <w:rPr>
        <w:rFonts w:hint="default"/>
        <w:b/>
        <w:i/>
      </w:rPr>
    </w:lvl>
    <w:lvl w:ilvl="2">
      <w:start w:val="3"/>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440" w:hanging="1440"/>
      </w:pPr>
      <w:rPr>
        <w:rFonts w:hint="default"/>
        <w:b/>
        <w:i/>
      </w:rPr>
    </w:lvl>
  </w:abstractNum>
  <w:abstractNum w:abstractNumId="43" w15:restartNumberingAfterBreak="0">
    <w:nsid w:val="514F0732"/>
    <w:multiLevelType w:val="hybridMultilevel"/>
    <w:tmpl w:val="40F20570"/>
    <w:lvl w:ilvl="0" w:tplc="5CC690BE">
      <w:start w:val="1"/>
      <w:numFmt w:val="decimal"/>
      <w:pStyle w:val="Heading3"/>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82116C"/>
    <w:multiLevelType w:val="hybridMultilevel"/>
    <w:tmpl w:val="D0DC0976"/>
    <w:lvl w:ilvl="0" w:tplc="888CDD48">
      <w:start w:val="1"/>
      <w:numFmt w:val="lowerLetter"/>
      <w:pStyle w:val="Heading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30E0EFA"/>
    <w:multiLevelType w:val="hybridMultilevel"/>
    <w:tmpl w:val="7772F2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37A297A"/>
    <w:multiLevelType w:val="hybridMultilevel"/>
    <w:tmpl w:val="12D857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A385732"/>
    <w:multiLevelType w:val="hybridMultilevel"/>
    <w:tmpl w:val="BCC43DD0"/>
    <w:lvl w:ilvl="0" w:tplc="CF823528">
      <w:start w:val="1"/>
      <w:numFmt w:val="lowerLetter"/>
      <w:lvlText w:val="%1."/>
      <w:lvlJc w:val="left"/>
      <w:pPr>
        <w:ind w:left="1440" w:hanging="720"/>
      </w:pPr>
      <w:rPr>
        <w:rFonts w:asciiTheme="minorHAnsi" w:eastAsiaTheme="minorHAnsi" w:hAnsiTheme="minorHAnsi" w:cstheme="min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5C3D4A78"/>
    <w:multiLevelType w:val="hybridMultilevel"/>
    <w:tmpl w:val="3D62473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DC75F64"/>
    <w:multiLevelType w:val="hybridMultilevel"/>
    <w:tmpl w:val="0BB224E8"/>
    <w:lvl w:ilvl="0" w:tplc="9B20A57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600A1A5D"/>
    <w:multiLevelType w:val="hybridMultilevel"/>
    <w:tmpl w:val="44CA5E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37F4F1B"/>
    <w:multiLevelType w:val="multilevel"/>
    <w:tmpl w:val="08608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4001AF7"/>
    <w:multiLevelType w:val="hybridMultilevel"/>
    <w:tmpl w:val="37AE574C"/>
    <w:lvl w:ilvl="0" w:tplc="526424D2">
      <w:start w:val="1"/>
      <w:numFmt w:val="decimal"/>
      <w:lvlText w:val="%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5110727"/>
    <w:multiLevelType w:val="hybridMultilevel"/>
    <w:tmpl w:val="B072AC8A"/>
    <w:lvl w:ilvl="0" w:tplc="E5824D5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6DF408A"/>
    <w:multiLevelType w:val="multilevel"/>
    <w:tmpl w:val="3982907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677E272A"/>
    <w:multiLevelType w:val="hybridMultilevel"/>
    <w:tmpl w:val="798A1B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FA60BE1"/>
    <w:multiLevelType w:val="hybridMultilevel"/>
    <w:tmpl w:val="BD7259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FC05DC9"/>
    <w:multiLevelType w:val="hybridMultilevel"/>
    <w:tmpl w:val="44D068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5AF0F1F"/>
    <w:multiLevelType w:val="hybridMultilevel"/>
    <w:tmpl w:val="8346ADC4"/>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15:restartNumberingAfterBreak="0">
    <w:nsid w:val="796D1CAF"/>
    <w:multiLevelType w:val="hybridMultilevel"/>
    <w:tmpl w:val="04188D7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9E10DB4"/>
    <w:multiLevelType w:val="hybridMultilevel"/>
    <w:tmpl w:val="B6B60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DAB5313"/>
    <w:multiLevelType w:val="hybridMultilevel"/>
    <w:tmpl w:val="8FC270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624972735">
    <w:abstractNumId w:val="16"/>
  </w:num>
  <w:num w:numId="2" w16cid:durableId="1900437835">
    <w:abstractNumId w:val="33"/>
  </w:num>
  <w:num w:numId="3" w16cid:durableId="1588029646">
    <w:abstractNumId w:val="41"/>
  </w:num>
  <w:num w:numId="4" w16cid:durableId="2087919104">
    <w:abstractNumId w:val="47"/>
  </w:num>
  <w:num w:numId="5" w16cid:durableId="2009290151">
    <w:abstractNumId w:val="34"/>
  </w:num>
  <w:num w:numId="6" w16cid:durableId="301236133">
    <w:abstractNumId w:val="31"/>
  </w:num>
  <w:num w:numId="7" w16cid:durableId="620382378">
    <w:abstractNumId w:val="49"/>
  </w:num>
  <w:num w:numId="8" w16cid:durableId="2138989591">
    <w:abstractNumId w:val="26"/>
  </w:num>
  <w:num w:numId="9" w16cid:durableId="2049796471">
    <w:abstractNumId w:val="54"/>
  </w:num>
  <w:num w:numId="10" w16cid:durableId="675688210">
    <w:abstractNumId w:val="27"/>
  </w:num>
  <w:num w:numId="11" w16cid:durableId="832792939">
    <w:abstractNumId w:val="40"/>
  </w:num>
  <w:num w:numId="12" w16cid:durableId="185676562">
    <w:abstractNumId w:val="24"/>
  </w:num>
  <w:num w:numId="13" w16cid:durableId="1056978157">
    <w:abstractNumId w:val="42"/>
  </w:num>
  <w:num w:numId="14" w16cid:durableId="1844469647">
    <w:abstractNumId w:val="10"/>
  </w:num>
  <w:num w:numId="15" w16cid:durableId="1771466551">
    <w:abstractNumId w:val="10"/>
  </w:num>
  <w:num w:numId="16" w16cid:durableId="595871763">
    <w:abstractNumId w:val="10"/>
  </w:num>
  <w:num w:numId="17" w16cid:durableId="1728991545">
    <w:abstractNumId w:val="10"/>
  </w:num>
  <w:num w:numId="18" w16cid:durableId="247931466">
    <w:abstractNumId w:val="10"/>
  </w:num>
  <w:num w:numId="19" w16cid:durableId="1257178965">
    <w:abstractNumId w:val="10"/>
  </w:num>
  <w:num w:numId="20" w16cid:durableId="443426863">
    <w:abstractNumId w:val="10"/>
  </w:num>
  <w:num w:numId="21" w16cid:durableId="1509098947">
    <w:abstractNumId w:val="10"/>
  </w:num>
  <w:num w:numId="22" w16cid:durableId="476189535">
    <w:abstractNumId w:val="10"/>
  </w:num>
  <w:num w:numId="23" w16cid:durableId="1714620369">
    <w:abstractNumId w:val="9"/>
  </w:num>
  <w:num w:numId="24" w16cid:durableId="1234702619">
    <w:abstractNumId w:val="7"/>
  </w:num>
  <w:num w:numId="25" w16cid:durableId="2068071660">
    <w:abstractNumId w:val="6"/>
  </w:num>
  <w:num w:numId="26" w16cid:durableId="486022048">
    <w:abstractNumId w:val="5"/>
  </w:num>
  <w:num w:numId="27" w16cid:durableId="1015418852">
    <w:abstractNumId w:val="4"/>
  </w:num>
  <w:num w:numId="28" w16cid:durableId="1611086980">
    <w:abstractNumId w:val="8"/>
  </w:num>
  <w:num w:numId="29" w16cid:durableId="28536728">
    <w:abstractNumId w:val="3"/>
  </w:num>
  <w:num w:numId="30" w16cid:durableId="2026903627">
    <w:abstractNumId w:val="2"/>
  </w:num>
  <w:num w:numId="31" w16cid:durableId="1494450109">
    <w:abstractNumId w:val="1"/>
  </w:num>
  <w:num w:numId="32" w16cid:durableId="1805274401">
    <w:abstractNumId w:val="0"/>
  </w:num>
  <w:num w:numId="33" w16cid:durableId="1391880643">
    <w:abstractNumId w:val="55"/>
  </w:num>
  <w:num w:numId="34" w16cid:durableId="214658531">
    <w:abstractNumId w:val="22"/>
  </w:num>
  <w:num w:numId="35" w16cid:durableId="1353997823">
    <w:abstractNumId w:val="19"/>
  </w:num>
  <w:num w:numId="36" w16cid:durableId="1831290646">
    <w:abstractNumId w:val="25"/>
  </w:num>
  <w:num w:numId="37" w16cid:durableId="243151257">
    <w:abstractNumId w:val="15"/>
  </w:num>
  <w:num w:numId="38" w16cid:durableId="1496846640">
    <w:abstractNumId w:val="12"/>
  </w:num>
  <w:num w:numId="39" w16cid:durableId="72246068">
    <w:abstractNumId w:val="18"/>
  </w:num>
  <w:num w:numId="40" w16cid:durableId="57366193">
    <w:abstractNumId w:val="30"/>
  </w:num>
  <w:num w:numId="41" w16cid:durableId="1640183422">
    <w:abstractNumId w:val="45"/>
  </w:num>
  <w:num w:numId="42" w16cid:durableId="350498125">
    <w:abstractNumId w:val="11"/>
  </w:num>
  <w:num w:numId="43" w16cid:durableId="1958220395">
    <w:abstractNumId w:val="48"/>
  </w:num>
  <w:num w:numId="44" w16cid:durableId="920718782">
    <w:abstractNumId w:val="37"/>
  </w:num>
  <w:num w:numId="45" w16cid:durableId="1986003116">
    <w:abstractNumId w:val="58"/>
  </w:num>
  <w:num w:numId="46" w16cid:durableId="1097940348">
    <w:abstractNumId w:val="52"/>
  </w:num>
  <w:num w:numId="47" w16cid:durableId="1052535697">
    <w:abstractNumId w:val="56"/>
  </w:num>
  <w:num w:numId="48" w16cid:durableId="1386174660">
    <w:abstractNumId w:val="60"/>
  </w:num>
  <w:num w:numId="49" w16cid:durableId="1662198754">
    <w:abstractNumId w:val="36"/>
  </w:num>
  <w:num w:numId="50" w16cid:durableId="859465571">
    <w:abstractNumId w:val="14"/>
  </w:num>
  <w:num w:numId="51" w16cid:durableId="1799100712">
    <w:abstractNumId w:val="32"/>
  </w:num>
  <w:num w:numId="52" w16cid:durableId="244537415">
    <w:abstractNumId w:val="17"/>
  </w:num>
  <w:num w:numId="53" w16cid:durableId="1589970572">
    <w:abstractNumId w:val="13"/>
  </w:num>
  <w:num w:numId="54" w16cid:durableId="2007051057">
    <w:abstractNumId w:val="29"/>
  </w:num>
  <w:num w:numId="55" w16cid:durableId="302780210">
    <w:abstractNumId w:val="28"/>
  </w:num>
  <w:num w:numId="56" w16cid:durableId="904682994">
    <w:abstractNumId w:val="59"/>
  </w:num>
  <w:num w:numId="57" w16cid:durableId="1952740477">
    <w:abstractNumId w:val="10"/>
    <w:lvlOverride w:ilvl="0">
      <w:startOverride w:val="2"/>
    </w:lvlOverride>
    <w:lvlOverride w:ilvl="1">
      <w:startOverride w:val="1"/>
    </w:lvlOverride>
  </w:num>
  <w:num w:numId="58" w16cid:durableId="332269586">
    <w:abstractNumId w:val="10"/>
    <w:lvlOverride w:ilvl="0">
      <w:startOverride w:val="2"/>
    </w:lvlOverride>
    <w:lvlOverride w:ilvl="1">
      <w:startOverride w:val="1"/>
    </w:lvlOverride>
  </w:num>
  <w:num w:numId="59" w16cid:durableId="1056047433">
    <w:abstractNumId w:val="10"/>
    <w:lvlOverride w:ilvl="0">
      <w:startOverride w:val="2"/>
    </w:lvlOverride>
    <w:lvlOverride w:ilvl="1">
      <w:startOverride w:val="3"/>
    </w:lvlOverride>
  </w:num>
  <w:num w:numId="60" w16cid:durableId="2095979385">
    <w:abstractNumId w:val="35"/>
  </w:num>
  <w:num w:numId="61" w16cid:durableId="724374862">
    <w:abstractNumId w:val="57"/>
  </w:num>
  <w:num w:numId="62" w16cid:durableId="1778790836">
    <w:abstractNumId w:val="44"/>
  </w:num>
  <w:num w:numId="63" w16cid:durableId="1485581782">
    <w:abstractNumId w:val="43"/>
  </w:num>
  <w:num w:numId="64" w16cid:durableId="288752840">
    <w:abstractNumId w:val="43"/>
    <w:lvlOverride w:ilvl="0">
      <w:startOverride w:val="1"/>
    </w:lvlOverride>
  </w:num>
  <w:num w:numId="65" w16cid:durableId="422183947">
    <w:abstractNumId w:val="44"/>
    <w:lvlOverride w:ilvl="0">
      <w:startOverride w:val="1"/>
    </w:lvlOverride>
  </w:num>
  <w:num w:numId="66" w16cid:durableId="326595156">
    <w:abstractNumId w:val="43"/>
    <w:lvlOverride w:ilvl="0">
      <w:startOverride w:val="1"/>
    </w:lvlOverride>
  </w:num>
  <w:num w:numId="67" w16cid:durableId="1825851281">
    <w:abstractNumId w:val="53"/>
  </w:num>
  <w:num w:numId="68" w16cid:durableId="2108186539">
    <w:abstractNumId w:val="43"/>
    <w:lvlOverride w:ilvl="0">
      <w:startOverride w:val="2"/>
    </w:lvlOverride>
  </w:num>
  <w:num w:numId="69" w16cid:durableId="2063479114">
    <w:abstractNumId w:val="44"/>
    <w:lvlOverride w:ilvl="0">
      <w:startOverride w:val="1"/>
    </w:lvlOverride>
  </w:num>
  <w:num w:numId="70" w16cid:durableId="2100055804">
    <w:abstractNumId w:val="44"/>
  </w:num>
  <w:num w:numId="71" w16cid:durableId="1502938013">
    <w:abstractNumId w:val="44"/>
    <w:lvlOverride w:ilvl="0">
      <w:startOverride w:val="2"/>
    </w:lvlOverride>
  </w:num>
  <w:num w:numId="72" w16cid:durableId="1645235465">
    <w:abstractNumId w:val="44"/>
    <w:lvlOverride w:ilvl="0">
      <w:startOverride w:val="1"/>
    </w:lvlOverride>
  </w:num>
  <w:num w:numId="73" w16cid:durableId="97484783">
    <w:abstractNumId w:val="44"/>
    <w:lvlOverride w:ilvl="0">
      <w:startOverride w:val="1"/>
    </w:lvlOverride>
  </w:num>
  <w:num w:numId="74" w16cid:durableId="988510811">
    <w:abstractNumId w:val="44"/>
    <w:lvlOverride w:ilvl="0">
      <w:startOverride w:val="1"/>
    </w:lvlOverride>
  </w:num>
  <w:num w:numId="75" w16cid:durableId="720591421">
    <w:abstractNumId w:val="51"/>
  </w:num>
  <w:num w:numId="76" w16cid:durableId="559681943">
    <w:abstractNumId w:val="39"/>
  </w:num>
  <w:num w:numId="77" w16cid:durableId="2039815898">
    <w:abstractNumId w:val="44"/>
    <w:lvlOverride w:ilvl="0">
      <w:startOverride w:val="1"/>
    </w:lvlOverride>
  </w:num>
  <w:num w:numId="78" w16cid:durableId="390883262">
    <w:abstractNumId w:val="21"/>
  </w:num>
  <w:num w:numId="79" w16cid:durableId="833181738">
    <w:abstractNumId w:val="61"/>
  </w:num>
  <w:num w:numId="80" w16cid:durableId="355891719">
    <w:abstractNumId w:val="38"/>
  </w:num>
  <w:num w:numId="81" w16cid:durableId="872498554">
    <w:abstractNumId w:val="23"/>
  </w:num>
  <w:num w:numId="82" w16cid:durableId="199168499">
    <w:abstractNumId w:val="46"/>
  </w:num>
  <w:num w:numId="83" w16cid:durableId="1372153327">
    <w:abstractNumId w:val="50"/>
  </w:num>
  <w:num w:numId="84" w16cid:durableId="1429960043">
    <w:abstractNumId w:val="2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4334"/>
    <w:rsid w:val="0000069C"/>
    <w:rsid w:val="000011F3"/>
    <w:rsid w:val="00006D04"/>
    <w:rsid w:val="00007571"/>
    <w:rsid w:val="00010BA9"/>
    <w:rsid w:val="00011149"/>
    <w:rsid w:val="00011A34"/>
    <w:rsid w:val="000126AC"/>
    <w:rsid w:val="00012C6D"/>
    <w:rsid w:val="00014932"/>
    <w:rsid w:val="000156AA"/>
    <w:rsid w:val="00016113"/>
    <w:rsid w:val="00017622"/>
    <w:rsid w:val="00017D6D"/>
    <w:rsid w:val="00021044"/>
    <w:rsid w:val="00026F9F"/>
    <w:rsid w:val="00027D72"/>
    <w:rsid w:val="00033515"/>
    <w:rsid w:val="00033835"/>
    <w:rsid w:val="00040F66"/>
    <w:rsid w:val="000414F1"/>
    <w:rsid w:val="00041D0B"/>
    <w:rsid w:val="000426D2"/>
    <w:rsid w:val="0004494F"/>
    <w:rsid w:val="000451A6"/>
    <w:rsid w:val="000469A6"/>
    <w:rsid w:val="000471D8"/>
    <w:rsid w:val="00047513"/>
    <w:rsid w:val="000531AA"/>
    <w:rsid w:val="000538E6"/>
    <w:rsid w:val="00053992"/>
    <w:rsid w:val="000562D3"/>
    <w:rsid w:val="0005683C"/>
    <w:rsid w:val="00056867"/>
    <w:rsid w:val="00056A01"/>
    <w:rsid w:val="00056C08"/>
    <w:rsid w:val="00056E11"/>
    <w:rsid w:val="00061E8E"/>
    <w:rsid w:val="00062C4F"/>
    <w:rsid w:val="00064103"/>
    <w:rsid w:val="00064C53"/>
    <w:rsid w:val="00065E00"/>
    <w:rsid w:val="00065F37"/>
    <w:rsid w:val="0006682B"/>
    <w:rsid w:val="00075065"/>
    <w:rsid w:val="0007596F"/>
    <w:rsid w:val="000774B6"/>
    <w:rsid w:val="000800A2"/>
    <w:rsid w:val="0008123E"/>
    <w:rsid w:val="0008280C"/>
    <w:rsid w:val="00082927"/>
    <w:rsid w:val="0008595C"/>
    <w:rsid w:val="00091CBF"/>
    <w:rsid w:val="0009356E"/>
    <w:rsid w:val="0009561D"/>
    <w:rsid w:val="00096F6C"/>
    <w:rsid w:val="000A0834"/>
    <w:rsid w:val="000A33CB"/>
    <w:rsid w:val="000A67A4"/>
    <w:rsid w:val="000A685A"/>
    <w:rsid w:val="000A7528"/>
    <w:rsid w:val="000B15B4"/>
    <w:rsid w:val="000B1631"/>
    <w:rsid w:val="000B1772"/>
    <w:rsid w:val="000B1D55"/>
    <w:rsid w:val="000B44E6"/>
    <w:rsid w:val="000B46E5"/>
    <w:rsid w:val="000B4D17"/>
    <w:rsid w:val="000B787B"/>
    <w:rsid w:val="000B7BA1"/>
    <w:rsid w:val="000C0E41"/>
    <w:rsid w:val="000C2023"/>
    <w:rsid w:val="000C3F6E"/>
    <w:rsid w:val="000C591C"/>
    <w:rsid w:val="000C5C25"/>
    <w:rsid w:val="000C6961"/>
    <w:rsid w:val="000D271D"/>
    <w:rsid w:val="000D2E6C"/>
    <w:rsid w:val="000D2EF0"/>
    <w:rsid w:val="000D398C"/>
    <w:rsid w:val="000D3D9D"/>
    <w:rsid w:val="000D729D"/>
    <w:rsid w:val="000D746E"/>
    <w:rsid w:val="000D7E00"/>
    <w:rsid w:val="000E0B60"/>
    <w:rsid w:val="000E1C37"/>
    <w:rsid w:val="000E3613"/>
    <w:rsid w:val="000E3730"/>
    <w:rsid w:val="000E486B"/>
    <w:rsid w:val="000E7AEB"/>
    <w:rsid w:val="000F083F"/>
    <w:rsid w:val="000F4E4D"/>
    <w:rsid w:val="000F5CD8"/>
    <w:rsid w:val="000F6404"/>
    <w:rsid w:val="001002C2"/>
    <w:rsid w:val="00100F41"/>
    <w:rsid w:val="00101374"/>
    <w:rsid w:val="0010220D"/>
    <w:rsid w:val="001022ED"/>
    <w:rsid w:val="001024A0"/>
    <w:rsid w:val="00103B6D"/>
    <w:rsid w:val="00103C93"/>
    <w:rsid w:val="001046A6"/>
    <w:rsid w:val="00104B2B"/>
    <w:rsid w:val="00106C98"/>
    <w:rsid w:val="00113B31"/>
    <w:rsid w:val="00114B3C"/>
    <w:rsid w:val="0011703F"/>
    <w:rsid w:val="00117263"/>
    <w:rsid w:val="001172F5"/>
    <w:rsid w:val="00122936"/>
    <w:rsid w:val="00123F57"/>
    <w:rsid w:val="00125719"/>
    <w:rsid w:val="00126210"/>
    <w:rsid w:val="00126DDA"/>
    <w:rsid w:val="00126F31"/>
    <w:rsid w:val="001272A7"/>
    <w:rsid w:val="00127574"/>
    <w:rsid w:val="00127D16"/>
    <w:rsid w:val="00127EA6"/>
    <w:rsid w:val="00130E58"/>
    <w:rsid w:val="00131345"/>
    <w:rsid w:val="00131355"/>
    <w:rsid w:val="00132402"/>
    <w:rsid w:val="001328F9"/>
    <w:rsid w:val="001344E3"/>
    <w:rsid w:val="00134E6B"/>
    <w:rsid w:val="001352A8"/>
    <w:rsid w:val="00136E5F"/>
    <w:rsid w:val="0014220F"/>
    <w:rsid w:val="00143193"/>
    <w:rsid w:val="00143ACD"/>
    <w:rsid w:val="00143EE0"/>
    <w:rsid w:val="00145A57"/>
    <w:rsid w:val="00146E86"/>
    <w:rsid w:val="0014773C"/>
    <w:rsid w:val="00152AB6"/>
    <w:rsid w:val="00154FFD"/>
    <w:rsid w:val="001555DA"/>
    <w:rsid w:val="00156D6A"/>
    <w:rsid w:val="00157A64"/>
    <w:rsid w:val="00157D00"/>
    <w:rsid w:val="00160991"/>
    <w:rsid w:val="00161D9E"/>
    <w:rsid w:val="00163868"/>
    <w:rsid w:val="001646E5"/>
    <w:rsid w:val="00164D5A"/>
    <w:rsid w:val="00164D8A"/>
    <w:rsid w:val="00165314"/>
    <w:rsid w:val="001655BF"/>
    <w:rsid w:val="001671A5"/>
    <w:rsid w:val="001718D7"/>
    <w:rsid w:val="0017697E"/>
    <w:rsid w:val="00177015"/>
    <w:rsid w:val="00181E75"/>
    <w:rsid w:val="001838A9"/>
    <w:rsid w:val="001847A9"/>
    <w:rsid w:val="00184B1D"/>
    <w:rsid w:val="00185BAC"/>
    <w:rsid w:val="00186F98"/>
    <w:rsid w:val="00187184"/>
    <w:rsid w:val="00187F3C"/>
    <w:rsid w:val="00190410"/>
    <w:rsid w:val="001909BB"/>
    <w:rsid w:val="00190B5D"/>
    <w:rsid w:val="00190F9A"/>
    <w:rsid w:val="00191B89"/>
    <w:rsid w:val="001931D0"/>
    <w:rsid w:val="0019365E"/>
    <w:rsid w:val="001938AD"/>
    <w:rsid w:val="00193BC8"/>
    <w:rsid w:val="00193F99"/>
    <w:rsid w:val="0019571A"/>
    <w:rsid w:val="0019574F"/>
    <w:rsid w:val="00196CF3"/>
    <w:rsid w:val="001970C6"/>
    <w:rsid w:val="001A1B93"/>
    <w:rsid w:val="001A26D8"/>
    <w:rsid w:val="001A4882"/>
    <w:rsid w:val="001A4A3F"/>
    <w:rsid w:val="001A5EFE"/>
    <w:rsid w:val="001A62A3"/>
    <w:rsid w:val="001A69D3"/>
    <w:rsid w:val="001A7A43"/>
    <w:rsid w:val="001B02D3"/>
    <w:rsid w:val="001B211F"/>
    <w:rsid w:val="001B26C4"/>
    <w:rsid w:val="001B40E4"/>
    <w:rsid w:val="001B431F"/>
    <w:rsid w:val="001B47E0"/>
    <w:rsid w:val="001B4837"/>
    <w:rsid w:val="001B6237"/>
    <w:rsid w:val="001B6F3D"/>
    <w:rsid w:val="001B76EB"/>
    <w:rsid w:val="001C0D69"/>
    <w:rsid w:val="001C18C3"/>
    <w:rsid w:val="001C243A"/>
    <w:rsid w:val="001C24B8"/>
    <w:rsid w:val="001C3A01"/>
    <w:rsid w:val="001C418C"/>
    <w:rsid w:val="001C45EE"/>
    <w:rsid w:val="001C4F12"/>
    <w:rsid w:val="001D080C"/>
    <w:rsid w:val="001D2F18"/>
    <w:rsid w:val="001D2F9D"/>
    <w:rsid w:val="001D42ED"/>
    <w:rsid w:val="001D4FB5"/>
    <w:rsid w:val="001D6E13"/>
    <w:rsid w:val="001D72B1"/>
    <w:rsid w:val="001E078A"/>
    <w:rsid w:val="001E0B27"/>
    <w:rsid w:val="001E0D4E"/>
    <w:rsid w:val="001E16F8"/>
    <w:rsid w:val="001E1B84"/>
    <w:rsid w:val="001E2547"/>
    <w:rsid w:val="001E41BB"/>
    <w:rsid w:val="001E451A"/>
    <w:rsid w:val="001E4746"/>
    <w:rsid w:val="001E5C2A"/>
    <w:rsid w:val="001E609E"/>
    <w:rsid w:val="001E6221"/>
    <w:rsid w:val="001F096A"/>
    <w:rsid w:val="001F2EF8"/>
    <w:rsid w:val="001F300E"/>
    <w:rsid w:val="001F3281"/>
    <w:rsid w:val="001F38C2"/>
    <w:rsid w:val="001F52B1"/>
    <w:rsid w:val="00200AA6"/>
    <w:rsid w:val="00200E86"/>
    <w:rsid w:val="002015D7"/>
    <w:rsid w:val="002021A0"/>
    <w:rsid w:val="00205002"/>
    <w:rsid w:val="0020603F"/>
    <w:rsid w:val="0020738F"/>
    <w:rsid w:val="00207E6C"/>
    <w:rsid w:val="002127B3"/>
    <w:rsid w:val="002127E7"/>
    <w:rsid w:val="0021352F"/>
    <w:rsid w:val="00215A0F"/>
    <w:rsid w:val="00217EE1"/>
    <w:rsid w:val="00220A85"/>
    <w:rsid w:val="0022390A"/>
    <w:rsid w:val="00223FCC"/>
    <w:rsid w:val="002240D8"/>
    <w:rsid w:val="00226CF3"/>
    <w:rsid w:val="00227227"/>
    <w:rsid w:val="00227E29"/>
    <w:rsid w:val="002303F9"/>
    <w:rsid w:val="00230F0C"/>
    <w:rsid w:val="00230FB0"/>
    <w:rsid w:val="0023239F"/>
    <w:rsid w:val="00232DB7"/>
    <w:rsid w:val="00232E37"/>
    <w:rsid w:val="00233299"/>
    <w:rsid w:val="00233484"/>
    <w:rsid w:val="00234E73"/>
    <w:rsid w:val="00235C61"/>
    <w:rsid w:val="00236222"/>
    <w:rsid w:val="00237E65"/>
    <w:rsid w:val="002421A1"/>
    <w:rsid w:val="00242E62"/>
    <w:rsid w:val="0024418B"/>
    <w:rsid w:val="002450B3"/>
    <w:rsid w:val="002459A8"/>
    <w:rsid w:val="002463C7"/>
    <w:rsid w:val="0024704B"/>
    <w:rsid w:val="00247A62"/>
    <w:rsid w:val="00247ACE"/>
    <w:rsid w:val="00250202"/>
    <w:rsid w:val="00250F9B"/>
    <w:rsid w:val="00251F0E"/>
    <w:rsid w:val="00254036"/>
    <w:rsid w:val="0025480F"/>
    <w:rsid w:val="002550FD"/>
    <w:rsid w:val="0025518C"/>
    <w:rsid w:val="00256EF3"/>
    <w:rsid w:val="00260E91"/>
    <w:rsid w:val="00260FEB"/>
    <w:rsid w:val="0026179D"/>
    <w:rsid w:val="00262E38"/>
    <w:rsid w:val="00262E79"/>
    <w:rsid w:val="00263803"/>
    <w:rsid w:val="00263F64"/>
    <w:rsid w:val="00264DBF"/>
    <w:rsid w:val="00264EC4"/>
    <w:rsid w:val="00266B5A"/>
    <w:rsid w:val="002676E2"/>
    <w:rsid w:val="00267D19"/>
    <w:rsid w:val="00267E4B"/>
    <w:rsid w:val="002704FC"/>
    <w:rsid w:val="00270E76"/>
    <w:rsid w:val="002718A7"/>
    <w:rsid w:val="002724CF"/>
    <w:rsid w:val="002733FF"/>
    <w:rsid w:val="00274C36"/>
    <w:rsid w:val="00276E08"/>
    <w:rsid w:val="00277A19"/>
    <w:rsid w:val="00280F74"/>
    <w:rsid w:val="00282E44"/>
    <w:rsid w:val="00283269"/>
    <w:rsid w:val="002850D9"/>
    <w:rsid w:val="002852B8"/>
    <w:rsid w:val="00285A5C"/>
    <w:rsid w:val="002864C7"/>
    <w:rsid w:val="00286C69"/>
    <w:rsid w:val="0028771F"/>
    <w:rsid w:val="0028799E"/>
    <w:rsid w:val="00290112"/>
    <w:rsid w:val="00291362"/>
    <w:rsid w:val="00291E22"/>
    <w:rsid w:val="0029371B"/>
    <w:rsid w:val="00294865"/>
    <w:rsid w:val="00295FFC"/>
    <w:rsid w:val="002A36AA"/>
    <w:rsid w:val="002A4819"/>
    <w:rsid w:val="002A5450"/>
    <w:rsid w:val="002A5986"/>
    <w:rsid w:val="002B1062"/>
    <w:rsid w:val="002B1098"/>
    <w:rsid w:val="002B16F2"/>
    <w:rsid w:val="002B1869"/>
    <w:rsid w:val="002B53E8"/>
    <w:rsid w:val="002B55F8"/>
    <w:rsid w:val="002B6097"/>
    <w:rsid w:val="002B618E"/>
    <w:rsid w:val="002B789B"/>
    <w:rsid w:val="002C0302"/>
    <w:rsid w:val="002C2D68"/>
    <w:rsid w:val="002C2E97"/>
    <w:rsid w:val="002C3534"/>
    <w:rsid w:val="002C36C8"/>
    <w:rsid w:val="002C4C84"/>
    <w:rsid w:val="002C536C"/>
    <w:rsid w:val="002C574F"/>
    <w:rsid w:val="002C6349"/>
    <w:rsid w:val="002C64E6"/>
    <w:rsid w:val="002C7543"/>
    <w:rsid w:val="002D069A"/>
    <w:rsid w:val="002D0C51"/>
    <w:rsid w:val="002D12DC"/>
    <w:rsid w:val="002D1E85"/>
    <w:rsid w:val="002D5584"/>
    <w:rsid w:val="002D5E3E"/>
    <w:rsid w:val="002D697A"/>
    <w:rsid w:val="002D6C33"/>
    <w:rsid w:val="002E1222"/>
    <w:rsid w:val="002E5A1C"/>
    <w:rsid w:val="002E6FC8"/>
    <w:rsid w:val="002F1C50"/>
    <w:rsid w:val="002F2DC1"/>
    <w:rsid w:val="002F4767"/>
    <w:rsid w:val="002F72BF"/>
    <w:rsid w:val="00303409"/>
    <w:rsid w:val="00303C9C"/>
    <w:rsid w:val="00304D09"/>
    <w:rsid w:val="00305435"/>
    <w:rsid w:val="0030595A"/>
    <w:rsid w:val="003059EC"/>
    <w:rsid w:val="00305FA5"/>
    <w:rsid w:val="00312ED4"/>
    <w:rsid w:val="00315828"/>
    <w:rsid w:val="003177B9"/>
    <w:rsid w:val="00317F1E"/>
    <w:rsid w:val="00322BDC"/>
    <w:rsid w:val="00326E77"/>
    <w:rsid w:val="00330588"/>
    <w:rsid w:val="00332005"/>
    <w:rsid w:val="003356E1"/>
    <w:rsid w:val="003379C6"/>
    <w:rsid w:val="00340125"/>
    <w:rsid w:val="00341362"/>
    <w:rsid w:val="003415F4"/>
    <w:rsid w:val="0034271A"/>
    <w:rsid w:val="00342DC6"/>
    <w:rsid w:val="00343D92"/>
    <w:rsid w:val="0034498F"/>
    <w:rsid w:val="00346B1B"/>
    <w:rsid w:val="003473EB"/>
    <w:rsid w:val="00347F17"/>
    <w:rsid w:val="003510AB"/>
    <w:rsid w:val="00351BCA"/>
    <w:rsid w:val="0035372E"/>
    <w:rsid w:val="00353832"/>
    <w:rsid w:val="003539CA"/>
    <w:rsid w:val="003545FF"/>
    <w:rsid w:val="003557D8"/>
    <w:rsid w:val="003563DF"/>
    <w:rsid w:val="00356513"/>
    <w:rsid w:val="00356911"/>
    <w:rsid w:val="0035692C"/>
    <w:rsid w:val="00360583"/>
    <w:rsid w:val="003605EC"/>
    <w:rsid w:val="00360D8E"/>
    <w:rsid w:val="00364521"/>
    <w:rsid w:val="00367CF4"/>
    <w:rsid w:val="003717B2"/>
    <w:rsid w:val="00371901"/>
    <w:rsid w:val="00371BCC"/>
    <w:rsid w:val="00371F2A"/>
    <w:rsid w:val="003721AA"/>
    <w:rsid w:val="00372508"/>
    <w:rsid w:val="003739A4"/>
    <w:rsid w:val="0037493E"/>
    <w:rsid w:val="00374C85"/>
    <w:rsid w:val="00375054"/>
    <w:rsid w:val="0037582C"/>
    <w:rsid w:val="00376206"/>
    <w:rsid w:val="0037691C"/>
    <w:rsid w:val="00377129"/>
    <w:rsid w:val="00380242"/>
    <w:rsid w:val="003809CD"/>
    <w:rsid w:val="00381E47"/>
    <w:rsid w:val="003853F8"/>
    <w:rsid w:val="00385936"/>
    <w:rsid w:val="00385B8C"/>
    <w:rsid w:val="00385D19"/>
    <w:rsid w:val="00385D3A"/>
    <w:rsid w:val="003860CB"/>
    <w:rsid w:val="00386369"/>
    <w:rsid w:val="003869BD"/>
    <w:rsid w:val="00395DEC"/>
    <w:rsid w:val="00396F2E"/>
    <w:rsid w:val="003A4596"/>
    <w:rsid w:val="003A4E1C"/>
    <w:rsid w:val="003A51D3"/>
    <w:rsid w:val="003A54E2"/>
    <w:rsid w:val="003A5884"/>
    <w:rsid w:val="003A5A78"/>
    <w:rsid w:val="003A6FEF"/>
    <w:rsid w:val="003B2504"/>
    <w:rsid w:val="003B33D6"/>
    <w:rsid w:val="003B3629"/>
    <w:rsid w:val="003B492F"/>
    <w:rsid w:val="003B5DB7"/>
    <w:rsid w:val="003B6480"/>
    <w:rsid w:val="003B716B"/>
    <w:rsid w:val="003C0456"/>
    <w:rsid w:val="003C0AB9"/>
    <w:rsid w:val="003C1FCE"/>
    <w:rsid w:val="003C3D3A"/>
    <w:rsid w:val="003C583E"/>
    <w:rsid w:val="003C5DBD"/>
    <w:rsid w:val="003C6089"/>
    <w:rsid w:val="003C7B27"/>
    <w:rsid w:val="003C7D58"/>
    <w:rsid w:val="003C7EE8"/>
    <w:rsid w:val="003D0AA3"/>
    <w:rsid w:val="003D0EC8"/>
    <w:rsid w:val="003D16CB"/>
    <w:rsid w:val="003D2B41"/>
    <w:rsid w:val="003D50E1"/>
    <w:rsid w:val="003D5A83"/>
    <w:rsid w:val="003E1408"/>
    <w:rsid w:val="003E22C4"/>
    <w:rsid w:val="003E23FE"/>
    <w:rsid w:val="003E2B96"/>
    <w:rsid w:val="003E2D00"/>
    <w:rsid w:val="003E32B9"/>
    <w:rsid w:val="003E3AF1"/>
    <w:rsid w:val="003E41A5"/>
    <w:rsid w:val="003E48B1"/>
    <w:rsid w:val="003E4EBE"/>
    <w:rsid w:val="003E5C6C"/>
    <w:rsid w:val="003E6464"/>
    <w:rsid w:val="003E6810"/>
    <w:rsid w:val="003E69FC"/>
    <w:rsid w:val="003E76D0"/>
    <w:rsid w:val="003F06C6"/>
    <w:rsid w:val="003F141D"/>
    <w:rsid w:val="003F1442"/>
    <w:rsid w:val="003F1A03"/>
    <w:rsid w:val="003F3D6E"/>
    <w:rsid w:val="003F42E3"/>
    <w:rsid w:val="003F67AF"/>
    <w:rsid w:val="004002E8"/>
    <w:rsid w:val="004004C2"/>
    <w:rsid w:val="004014EC"/>
    <w:rsid w:val="004027E4"/>
    <w:rsid w:val="00403788"/>
    <w:rsid w:val="00403868"/>
    <w:rsid w:val="0040658C"/>
    <w:rsid w:val="00411855"/>
    <w:rsid w:val="00413364"/>
    <w:rsid w:val="00413677"/>
    <w:rsid w:val="00417138"/>
    <w:rsid w:val="00417F22"/>
    <w:rsid w:val="004203C0"/>
    <w:rsid w:val="00421D46"/>
    <w:rsid w:val="00422FC6"/>
    <w:rsid w:val="004232E8"/>
    <w:rsid w:val="00425D51"/>
    <w:rsid w:val="00433C4E"/>
    <w:rsid w:val="0043421C"/>
    <w:rsid w:val="004342D6"/>
    <w:rsid w:val="00434BD8"/>
    <w:rsid w:val="00435A63"/>
    <w:rsid w:val="00435CEC"/>
    <w:rsid w:val="00435DF7"/>
    <w:rsid w:val="00437A63"/>
    <w:rsid w:val="00440430"/>
    <w:rsid w:val="004415CB"/>
    <w:rsid w:val="004419BF"/>
    <w:rsid w:val="00441EE2"/>
    <w:rsid w:val="004432B2"/>
    <w:rsid w:val="00445737"/>
    <w:rsid w:val="0044667B"/>
    <w:rsid w:val="00451C7C"/>
    <w:rsid w:val="004535D9"/>
    <w:rsid w:val="0045410C"/>
    <w:rsid w:val="00455DF7"/>
    <w:rsid w:val="00455E9C"/>
    <w:rsid w:val="00456EB9"/>
    <w:rsid w:val="00456F6F"/>
    <w:rsid w:val="00457AEA"/>
    <w:rsid w:val="00460DB4"/>
    <w:rsid w:val="00461223"/>
    <w:rsid w:val="0046323E"/>
    <w:rsid w:val="00464A00"/>
    <w:rsid w:val="00464A3E"/>
    <w:rsid w:val="00464EEB"/>
    <w:rsid w:val="00465BF2"/>
    <w:rsid w:val="00465CF1"/>
    <w:rsid w:val="004708C0"/>
    <w:rsid w:val="00470FC3"/>
    <w:rsid w:val="0047219C"/>
    <w:rsid w:val="00472AB9"/>
    <w:rsid w:val="00473D50"/>
    <w:rsid w:val="00474F39"/>
    <w:rsid w:val="004750AA"/>
    <w:rsid w:val="00475610"/>
    <w:rsid w:val="00477CFE"/>
    <w:rsid w:val="0048044E"/>
    <w:rsid w:val="00484B42"/>
    <w:rsid w:val="00485681"/>
    <w:rsid w:val="00485D6B"/>
    <w:rsid w:val="00487315"/>
    <w:rsid w:val="00487823"/>
    <w:rsid w:val="00492D16"/>
    <w:rsid w:val="00493D4D"/>
    <w:rsid w:val="004955C7"/>
    <w:rsid w:val="004958E6"/>
    <w:rsid w:val="004959C1"/>
    <w:rsid w:val="00497E53"/>
    <w:rsid w:val="004A0C27"/>
    <w:rsid w:val="004A1448"/>
    <w:rsid w:val="004A4040"/>
    <w:rsid w:val="004A5F8C"/>
    <w:rsid w:val="004A6086"/>
    <w:rsid w:val="004A6E16"/>
    <w:rsid w:val="004A774F"/>
    <w:rsid w:val="004A7E33"/>
    <w:rsid w:val="004B04AE"/>
    <w:rsid w:val="004B04C7"/>
    <w:rsid w:val="004B1222"/>
    <w:rsid w:val="004B1A20"/>
    <w:rsid w:val="004B1CCF"/>
    <w:rsid w:val="004B235A"/>
    <w:rsid w:val="004B33BD"/>
    <w:rsid w:val="004B6393"/>
    <w:rsid w:val="004B719E"/>
    <w:rsid w:val="004C0F66"/>
    <w:rsid w:val="004C1604"/>
    <w:rsid w:val="004C1EBD"/>
    <w:rsid w:val="004C26E6"/>
    <w:rsid w:val="004C4D6D"/>
    <w:rsid w:val="004C5F5E"/>
    <w:rsid w:val="004C6F75"/>
    <w:rsid w:val="004C7EB5"/>
    <w:rsid w:val="004D16D6"/>
    <w:rsid w:val="004D2DA6"/>
    <w:rsid w:val="004D3473"/>
    <w:rsid w:val="004D4CF1"/>
    <w:rsid w:val="004E010E"/>
    <w:rsid w:val="004E19CE"/>
    <w:rsid w:val="004E1BB4"/>
    <w:rsid w:val="004E23A3"/>
    <w:rsid w:val="004E44E1"/>
    <w:rsid w:val="004E5FB6"/>
    <w:rsid w:val="004E69F7"/>
    <w:rsid w:val="004E73FE"/>
    <w:rsid w:val="004F4843"/>
    <w:rsid w:val="004F52EC"/>
    <w:rsid w:val="004F543C"/>
    <w:rsid w:val="004F665A"/>
    <w:rsid w:val="004F7C37"/>
    <w:rsid w:val="005001BA"/>
    <w:rsid w:val="005014A3"/>
    <w:rsid w:val="00501B82"/>
    <w:rsid w:val="005026E8"/>
    <w:rsid w:val="00502D0B"/>
    <w:rsid w:val="0050520B"/>
    <w:rsid w:val="00506365"/>
    <w:rsid w:val="005101E8"/>
    <w:rsid w:val="0051027A"/>
    <w:rsid w:val="00512CAD"/>
    <w:rsid w:val="00513001"/>
    <w:rsid w:val="005131B5"/>
    <w:rsid w:val="005138C6"/>
    <w:rsid w:val="00514F91"/>
    <w:rsid w:val="00515A33"/>
    <w:rsid w:val="00516137"/>
    <w:rsid w:val="005167AC"/>
    <w:rsid w:val="005209A3"/>
    <w:rsid w:val="00522FC0"/>
    <w:rsid w:val="00523837"/>
    <w:rsid w:val="0052537F"/>
    <w:rsid w:val="005263AC"/>
    <w:rsid w:val="00526869"/>
    <w:rsid w:val="00527AD1"/>
    <w:rsid w:val="00530634"/>
    <w:rsid w:val="00530A51"/>
    <w:rsid w:val="00531813"/>
    <w:rsid w:val="005321AC"/>
    <w:rsid w:val="005336AA"/>
    <w:rsid w:val="00534031"/>
    <w:rsid w:val="00535628"/>
    <w:rsid w:val="0053741F"/>
    <w:rsid w:val="005413F4"/>
    <w:rsid w:val="00543101"/>
    <w:rsid w:val="005432BE"/>
    <w:rsid w:val="00543A9C"/>
    <w:rsid w:val="00543F31"/>
    <w:rsid w:val="00544D11"/>
    <w:rsid w:val="00546C51"/>
    <w:rsid w:val="005476D3"/>
    <w:rsid w:val="00547A08"/>
    <w:rsid w:val="00550831"/>
    <w:rsid w:val="00550898"/>
    <w:rsid w:val="00550A32"/>
    <w:rsid w:val="00550AD8"/>
    <w:rsid w:val="00550D1A"/>
    <w:rsid w:val="00550F64"/>
    <w:rsid w:val="00551D67"/>
    <w:rsid w:val="00552C29"/>
    <w:rsid w:val="00552D96"/>
    <w:rsid w:val="00553E1E"/>
    <w:rsid w:val="0055523F"/>
    <w:rsid w:val="00556B3E"/>
    <w:rsid w:val="00556CB0"/>
    <w:rsid w:val="00556CEE"/>
    <w:rsid w:val="00557332"/>
    <w:rsid w:val="005624D4"/>
    <w:rsid w:val="00562D7F"/>
    <w:rsid w:val="00563149"/>
    <w:rsid w:val="0056507F"/>
    <w:rsid w:val="00567622"/>
    <w:rsid w:val="00570636"/>
    <w:rsid w:val="00570F2B"/>
    <w:rsid w:val="005710CB"/>
    <w:rsid w:val="00571554"/>
    <w:rsid w:val="00572DC6"/>
    <w:rsid w:val="005756AF"/>
    <w:rsid w:val="00575D56"/>
    <w:rsid w:val="00576A2E"/>
    <w:rsid w:val="00577BB5"/>
    <w:rsid w:val="00577F6D"/>
    <w:rsid w:val="0058146E"/>
    <w:rsid w:val="005816FB"/>
    <w:rsid w:val="00581D09"/>
    <w:rsid w:val="00581D3F"/>
    <w:rsid w:val="0058315B"/>
    <w:rsid w:val="0058320F"/>
    <w:rsid w:val="005832AE"/>
    <w:rsid w:val="00584BF1"/>
    <w:rsid w:val="0058541D"/>
    <w:rsid w:val="00586374"/>
    <w:rsid w:val="005879D4"/>
    <w:rsid w:val="0059074A"/>
    <w:rsid w:val="00590B43"/>
    <w:rsid w:val="00590F11"/>
    <w:rsid w:val="0059109F"/>
    <w:rsid w:val="00591FE6"/>
    <w:rsid w:val="00592538"/>
    <w:rsid w:val="005940D9"/>
    <w:rsid w:val="00594303"/>
    <w:rsid w:val="00594453"/>
    <w:rsid w:val="00594A01"/>
    <w:rsid w:val="00594E55"/>
    <w:rsid w:val="005A0173"/>
    <w:rsid w:val="005A3D3D"/>
    <w:rsid w:val="005A5A4A"/>
    <w:rsid w:val="005B0540"/>
    <w:rsid w:val="005B0C10"/>
    <w:rsid w:val="005B24D6"/>
    <w:rsid w:val="005B62C2"/>
    <w:rsid w:val="005B6536"/>
    <w:rsid w:val="005B685A"/>
    <w:rsid w:val="005B7820"/>
    <w:rsid w:val="005C08EC"/>
    <w:rsid w:val="005C13B1"/>
    <w:rsid w:val="005C175A"/>
    <w:rsid w:val="005C21B9"/>
    <w:rsid w:val="005C6756"/>
    <w:rsid w:val="005C7AFE"/>
    <w:rsid w:val="005D22D6"/>
    <w:rsid w:val="005D2856"/>
    <w:rsid w:val="005D3B55"/>
    <w:rsid w:val="005D3F94"/>
    <w:rsid w:val="005D70D5"/>
    <w:rsid w:val="005D71DB"/>
    <w:rsid w:val="005E0ECC"/>
    <w:rsid w:val="005E1777"/>
    <w:rsid w:val="005E186E"/>
    <w:rsid w:val="005E2E76"/>
    <w:rsid w:val="005E3D64"/>
    <w:rsid w:val="005E4928"/>
    <w:rsid w:val="005E4AD7"/>
    <w:rsid w:val="005E6EE6"/>
    <w:rsid w:val="005E7919"/>
    <w:rsid w:val="005F07D5"/>
    <w:rsid w:val="005F15C2"/>
    <w:rsid w:val="005F2C71"/>
    <w:rsid w:val="005F3543"/>
    <w:rsid w:val="005F38D7"/>
    <w:rsid w:val="005F3E6F"/>
    <w:rsid w:val="005F40FF"/>
    <w:rsid w:val="005F571B"/>
    <w:rsid w:val="005F5C4B"/>
    <w:rsid w:val="005F79F9"/>
    <w:rsid w:val="00600698"/>
    <w:rsid w:val="00600ACE"/>
    <w:rsid w:val="00600B43"/>
    <w:rsid w:val="0060171C"/>
    <w:rsid w:val="006047B2"/>
    <w:rsid w:val="00604951"/>
    <w:rsid w:val="00604CB8"/>
    <w:rsid w:val="00605B56"/>
    <w:rsid w:val="00605C5B"/>
    <w:rsid w:val="00605C97"/>
    <w:rsid w:val="00605CB0"/>
    <w:rsid w:val="00611650"/>
    <w:rsid w:val="006123F4"/>
    <w:rsid w:val="006151AE"/>
    <w:rsid w:val="006158D9"/>
    <w:rsid w:val="00617E1E"/>
    <w:rsid w:val="006204C6"/>
    <w:rsid w:val="0062057E"/>
    <w:rsid w:val="0062138C"/>
    <w:rsid w:val="00622529"/>
    <w:rsid w:val="00623DE6"/>
    <w:rsid w:val="00624FF6"/>
    <w:rsid w:val="0062729D"/>
    <w:rsid w:val="006300FD"/>
    <w:rsid w:val="00630149"/>
    <w:rsid w:val="00631734"/>
    <w:rsid w:val="0063244C"/>
    <w:rsid w:val="00635C56"/>
    <w:rsid w:val="0063632D"/>
    <w:rsid w:val="00636464"/>
    <w:rsid w:val="006374CE"/>
    <w:rsid w:val="00640577"/>
    <w:rsid w:val="00641A4F"/>
    <w:rsid w:val="00642A46"/>
    <w:rsid w:val="006430C5"/>
    <w:rsid w:val="006438EB"/>
    <w:rsid w:val="00645706"/>
    <w:rsid w:val="00645AA6"/>
    <w:rsid w:val="006464D1"/>
    <w:rsid w:val="00647F42"/>
    <w:rsid w:val="00650C71"/>
    <w:rsid w:val="006516E7"/>
    <w:rsid w:val="00653CD0"/>
    <w:rsid w:val="00655AB9"/>
    <w:rsid w:val="006574AC"/>
    <w:rsid w:val="0065755F"/>
    <w:rsid w:val="00660459"/>
    <w:rsid w:val="00660D85"/>
    <w:rsid w:val="00661F36"/>
    <w:rsid w:val="00662724"/>
    <w:rsid w:val="006640A3"/>
    <w:rsid w:val="00664AC2"/>
    <w:rsid w:val="00667636"/>
    <w:rsid w:val="00667B1F"/>
    <w:rsid w:val="00670203"/>
    <w:rsid w:val="00671D12"/>
    <w:rsid w:val="00672AA8"/>
    <w:rsid w:val="00675AE5"/>
    <w:rsid w:val="006810B4"/>
    <w:rsid w:val="00681423"/>
    <w:rsid w:val="00681656"/>
    <w:rsid w:val="006840DC"/>
    <w:rsid w:val="00686E35"/>
    <w:rsid w:val="0068702C"/>
    <w:rsid w:val="006906D4"/>
    <w:rsid w:val="00690BCE"/>
    <w:rsid w:val="006916C3"/>
    <w:rsid w:val="006933D3"/>
    <w:rsid w:val="00697C59"/>
    <w:rsid w:val="006A005B"/>
    <w:rsid w:val="006A0466"/>
    <w:rsid w:val="006A051C"/>
    <w:rsid w:val="006A0823"/>
    <w:rsid w:val="006A1571"/>
    <w:rsid w:val="006A20E1"/>
    <w:rsid w:val="006A2261"/>
    <w:rsid w:val="006A2DDB"/>
    <w:rsid w:val="006A2F74"/>
    <w:rsid w:val="006A4063"/>
    <w:rsid w:val="006A5D85"/>
    <w:rsid w:val="006A6CA8"/>
    <w:rsid w:val="006B0555"/>
    <w:rsid w:val="006B0867"/>
    <w:rsid w:val="006B0CFB"/>
    <w:rsid w:val="006B1047"/>
    <w:rsid w:val="006B1654"/>
    <w:rsid w:val="006B1CAE"/>
    <w:rsid w:val="006B2D0D"/>
    <w:rsid w:val="006B383C"/>
    <w:rsid w:val="006B3EC0"/>
    <w:rsid w:val="006B3F44"/>
    <w:rsid w:val="006B4340"/>
    <w:rsid w:val="006B521B"/>
    <w:rsid w:val="006B7030"/>
    <w:rsid w:val="006C108B"/>
    <w:rsid w:val="006C1177"/>
    <w:rsid w:val="006C2384"/>
    <w:rsid w:val="006C2D55"/>
    <w:rsid w:val="006C3312"/>
    <w:rsid w:val="006C62E8"/>
    <w:rsid w:val="006C6482"/>
    <w:rsid w:val="006C6A33"/>
    <w:rsid w:val="006D2460"/>
    <w:rsid w:val="006D5013"/>
    <w:rsid w:val="006D58DF"/>
    <w:rsid w:val="006D670C"/>
    <w:rsid w:val="006D7ACD"/>
    <w:rsid w:val="006E071D"/>
    <w:rsid w:val="006E2281"/>
    <w:rsid w:val="006E270B"/>
    <w:rsid w:val="006E3C54"/>
    <w:rsid w:val="006E566D"/>
    <w:rsid w:val="006F1480"/>
    <w:rsid w:val="006F1B9D"/>
    <w:rsid w:val="006F570D"/>
    <w:rsid w:val="006F6436"/>
    <w:rsid w:val="006F6D41"/>
    <w:rsid w:val="006F7A95"/>
    <w:rsid w:val="006F7DE7"/>
    <w:rsid w:val="007009AD"/>
    <w:rsid w:val="0070272A"/>
    <w:rsid w:val="00702B75"/>
    <w:rsid w:val="00704A4F"/>
    <w:rsid w:val="00705421"/>
    <w:rsid w:val="00712FE5"/>
    <w:rsid w:val="00713B2C"/>
    <w:rsid w:val="007147E0"/>
    <w:rsid w:val="007153AC"/>
    <w:rsid w:val="00715E69"/>
    <w:rsid w:val="00716CED"/>
    <w:rsid w:val="00717300"/>
    <w:rsid w:val="00717369"/>
    <w:rsid w:val="00717EB6"/>
    <w:rsid w:val="00717FFA"/>
    <w:rsid w:val="00722247"/>
    <w:rsid w:val="007225D8"/>
    <w:rsid w:val="007245F8"/>
    <w:rsid w:val="0072499D"/>
    <w:rsid w:val="00730748"/>
    <w:rsid w:val="007330A1"/>
    <w:rsid w:val="00734945"/>
    <w:rsid w:val="00742FD8"/>
    <w:rsid w:val="0074508E"/>
    <w:rsid w:val="007456D6"/>
    <w:rsid w:val="00745854"/>
    <w:rsid w:val="007459AE"/>
    <w:rsid w:val="00745D96"/>
    <w:rsid w:val="00746BD8"/>
    <w:rsid w:val="00752843"/>
    <w:rsid w:val="00754D8B"/>
    <w:rsid w:val="00756478"/>
    <w:rsid w:val="0075738F"/>
    <w:rsid w:val="0075753F"/>
    <w:rsid w:val="00760D40"/>
    <w:rsid w:val="00763085"/>
    <w:rsid w:val="00764C98"/>
    <w:rsid w:val="00765F16"/>
    <w:rsid w:val="00766DC6"/>
    <w:rsid w:val="00770357"/>
    <w:rsid w:val="0077527A"/>
    <w:rsid w:val="007759CE"/>
    <w:rsid w:val="007804D3"/>
    <w:rsid w:val="00780A4F"/>
    <w:rsid w:val="00780B6A"/>
    <w:rsid w:val="00783853"/>
    <w:rsid w:val="00783A27"/>
    <w:rsid w:val="0078449F"/>
    <w:rsid w:val="00785131"/>
    <w:rsid w:val="00785ACE"/>
    <w:rsid w:val="00785AD9"/>
    <w:rsid w:val="007861D2"/>
    <w:rsid w:val="00786BC6"/>
    <w:rsid w:val="00787F2E"/>
    <w:rsid w:val="007919D2"/>
    <w:rsid w:val="007919F3"/>
    <w:rsid w:val="00791F3F"/>
    <w:rsid w:val="00792190"/>
    <w:rsid w:val="00792FDC"/>
    <w:rsid w:val="00794539"/>
    <w:rsid w:val="00795872"/>
    <w:rsid w:val="007971C1"/>
    <w:rsid w:val="007973F5"/>
    <w:rsid w:val="007A0270"/>
    <w:rsid w:val="007A063A"/>
    <w:rsid w:val="007A152E"/>
    <w:rsid w:val="007A2095"/>
    <w:rsid w:val="007A404E"/>
    <w:rsid w:val="007A6232"/>
    <w:rsid w:val="007A627A"/>
    <w:rsid w:val="007A655E"/>
    <w:rsid w:val="007A787B"/>
    <w:rsid w:val="007A7B79"/>
    <w:rsid w:val="007B1F24"/>
    <w:rsid w:val="007B5738"/>
    <w:rsid w:val="007B6DCE"/>
    <w:rsid w:val="007B758B"/>
    <w:rsid w:val="007C00E5"/>
    <w:rsid w:val="007C1605"/>
    <w:rsid w:val="007C58F0"/>
    <w:rsid w:val="007C5DC5"/>
    <w:rsid w:val="007C614B"/>
    <w:rsid w:val="007C7F1E"/>
    <w:rsid w:val="007D0B36"/>
    <w:rsid w:val="007D1EB5"/>
    <w:rsid w:val="007D3941"/>
    <w:rsid w:val="007D3D16"/>
    <w:rsid w:val="007D4DBA"/>
    <w:rsid w:val="007D6884"/>
    <w:rsid w:val="007D6AB6"/>
    <w:rsid w:val="007D6AEA"/>
    <w:rsid w:val="007E0836"/>
    <w:rsid w:val="007E3CE0"/>
    <w:rsid w:val="007E4004"/>
    <w:rsid w:val="007E6F12"/>
    <w:rsid w:val="007E77FE"/>
    <w:rsid w:val="007E7DA1"/>
    <w:rsid w:val="007F05B1"/>
    <w:rsid w:val="007F0913"/>
    <w:rsid w:val="007F28D2"/>
    <w:rsid w:val="007F2B70"/>
    <w:rsid w:val="007F507D"/>
    <w:rsid w:val="007F638C"/>
    <w:rsid w:val="007F671E"/>
    <w:rsid w:val="007F6F5B"/>
    <w:rsid w:val="007F7ABA"/>
    <w:rsid w:val="007F7D39"/>
    <w:rsid w:val="00800098"/>
    <w:rsid w:val="008007E3"/>
    <w:rsid w:val="0080114E"/>
    <w:rsid w:val="00801D60"/>
    <w:rsid w:val="00802E86"/>
    <w:rsid w:val="008030AE"/>
    <w:rsid w:val="008069EF"/>
    <w:rsid w:val="00806C06"/>
    <w:rsid w:val="00807BF3"/>
    <w:rsid w:val="00811DF0"/>
    <w:rsid w:val="008121EC"/>
    <w:rsid w:val="00813038"/>
    <w:rsid w:val="00813EED"/>
    <w:rsid w:val="00816AA8"/>
    <w:rsid w:val="008173C0"/>
    <w:rsid w:val="00821CED"/>
    <w:rsid w:val="008220B1"/>
    <w:rsid w:val="0082235E"/>
    <w:rsid w:val="00822CE0"/>
    <w:rsid w:val="00823390"/>
    <w:rsid w:val="0082364F"/>
    <w:rsid w:val="00824991"/>
    <w:rsid w:val="00824FA4"/>
    <w:rsid w:val="0082748B"/>
    <w:rsid w:val="00827D08"/>
    <w:rsid w:val="00832E3C"/>
    <w:rsid w:val="008331AE"/>
    <w:rsid w:val="008361A4"/>
    <w:rsid w:val="00836FFF"/>
    <w:rsid w:val="0084091C"/>
    <w:rsid w:val="0084104A"/>
    <w:rsid w:val="00841789"/>
    <w:rsid w:val="00841B55"/>
    <w:rsid w:val="008420B4"/>
    <w:rsid w:val="00842995"/>
    <w:rsid w:val="00842B11"/>
    <w:rsid w:val="008443BC"/>
    <w:rsid w:val="00844A67"/>
    <w:rsid w:val="00845D57"/>
    <w:rsid w:val="0085210B"/>
    <w:rsid w:val="00853517"/>
    <w:rsid w:val="008544C8"/>
    <w:rsid w:val="00854606"/>
    <w:rsid w:val="00854DF9"/>
    <w:rsid w:val="008604F1"/>
    <w:rsid w:val="0086062D"/>
    <w:rsid w:val="00861321"/>
    <w:rsid w:val="00862A91"/>
    <w:rsid w:val="00864EA5"/>
    <w:rsid w:val="00866A10"/>
    <w:rsid w:val="00866C04"/>
    <w:rsid w:val="0087150F"/>
    <w:rsid w:val="008718D7"/>
    <w:rsid w:val="008724A4"/>
    <w:rsid w:val="00872FE9"/>
    <w:rsid w:val="00873478"/>
    <w:rsid w:val="00873AAB"/>
    <w:rsid w:val="008744F1"/>
    <w:rsid w:val="00874721"/>
    <w:rsid w:val="00876A19"/>
    <w:rsid w:val="00883C91"/>
    <w:rsid w:val="00883F1A"/>
    <w:rsid w:val="00885DB4"/>
    <w:rsid w:val="00885EF2"/>
    <w:rsid w:val="0088713A"/>
    <w:rsid w:val="00887165"/>
    <w:rsid w:val="008871B3"/>
    <w:rsid w:val="008911A0"/>
    <w:rsid w:val="0089314B"/>
    <w:rsid w:val="00894523"/>
    <w:rsid w:val="00894F76"/>
    <w:rsid w:val="008964E6"/>
    <w:rsid w:val="008972FC"/>
    <w:rsid w:val="00897A77"/>
    <w:rsid w:val="008A1FBE"/>
    <w:rsid w:val="008A619B"/>
    <w:rsid w:val="008A7EE1"/>
    <w:rsid w:val="008A7F76"/>
    <w:rsid w:val="008B0041"/>
    <w:rsid w:val="008B01C2"/>
    <w:rsid w:val="008B1C02"/>
    <w:rsid w:val="008B4500"/>
    <w:rsid w:val="008B5EB0"/>
    <w:rsid w:val="008C1C79"/>
    <w:rsid w:val="008C2C80"/>
    <w:rsid w:val="008C3747"/>
    <w:rsid w:val="008D0F02"/>
    <w:rsid w:val="008D168B"/>
    <w:rsid w:val="008D2072"/>
    <w:rsid w:val="008D2AC1"/>
    <w:rsid w:val="008D3B4B"/>
    <w:rsid w:val="008D454D"/>
    <w:rsid w:val="008D71F8"/>
    <w:rsid w:val="008E1664"/>
    <w:rsid w:val="008E1A94"/>
    <w:rsid w:val="008E1DC2"/>
    <w:rsid w:val="008F1627"/>
    <w:rsid w:val="008F16A8"/>
    <w:rsid w:val="008F258E"/>
    <w:rsid w:val="008F3B09"/>
    <w:rsid w:val="008F4048"/>
    <w:rsid w:val="008F59A0"/>
    <w:rsid w:val="008F6CB0"/>
    <w:rsid w:val="00900E1F"/>
    <w:rsid w:val="00901B53"/>
    <w:rsid w:val="00902942"/>
    <w:rsid w:val="00902B37"/>
    <w:rsid w:val="009034AB"/>
    <w:rsid w:val="00904346"/>
    <w:rsid w:val="00904361"/>
    <w:rsid w:val="009044BD"/>
    <w:rsid w:val="0090584E"/>
    <w:rsid w:val="009071BA"/>
    <w:rsid w:val="00910066"/>
    <w:rsid w:val="009105E9"/>
    <w:rsid w:val="00910CF0"/>
    <w:rsid w:val="00914778"/>
    <w:rsid w:val="009170A0"/>
    <w:rsid w:val="009173BE"/>
    <w:rsid w:val="00917CB1"/>
    <w:rsid w:val="00921130"/>
    <w:rsid w:val="00921A4D"/>
    <w:rsid w:val="00922282"/>
    <w:rsid w:val="00922717"/>
    <w:rsid w:val="00925F20"/>
    <w:rsid w:val="0093028C"/>
    <w:rsid w:val="009306DB"/>
    <w:rsid w:val="00930A02"/>
    <w:rsid w:val="00931FBC"/>
    <w:rsid w:val="00934F03"/>
    <w:rsid w:val="00937421"/>
    <w:rsid w:val="0093788E"/>
    <w:rsid w:val="00937C5C"/>
    <w:rsid w:val="0094031D"/>
    <w:rsid w:val="00940996"/>
    <w:rsid w:val="00941536"/>
    <w:rsid w:val="00943222"/>
    <w:rsid w:val="00946D70"/>
    <w:rsid w:val="00950DB3"/>
    <w:rsid w:val="00950E3A"/>
    <w:rsid w:val="00952863"/>
    <w:rsid w:val="009537E9"/>
    <w:rsid w:val="00954E0B"/>
    <w:rsid w:val="00956472"/>
    <w:rsid w:val="00956E73"/>
    <w:rsid w:val="00957035"/>
    <w:rsid w:val="00957F3A"/>
    <w:rsid w:val="00960111"/>
    <w:rsid w:val="0096127C"/>
    <w:rsid w:val="00965370"/>
    <w:rsid w:val="009653ED"/>
    <w:rsid w:val="0096572D"/>
    <w:rsid w:val="00971DA3"/>
    <w:rsid w:val="00972FFA"/>
    <w:rsid w:val="00973A8A"/>
    <w:rsid w:val="009768F7"/>
    <w:rsid w:val="00980153"/>
    <w:rsid w:val="00980F79"/>
    <w:rsid w:val="009828F6"/>
    <w:rsid w:val="009858B7"/>
    <w:rsid w:val="009864DB"/>
    <w:rsid w:val="00991B17"/>
    <w:rsid w:val="00991DCB"/>
    <w:rsid w:val="00991F52"/>
    <w:rsid w:val="00992697"/>
    <w:rsid w:val="009926AC"/>
    <w:rsid w:val="00992F34"/>
    <w:rsid w:val="009934F8"/>
    <w:rsid w:val="009935B0"/>
    <w:rsid w:val="00993903"/>
    <w:rsid w:val="00994B25"/>
    <w:rsid w:val="00995C7E"/>
    <w:rsid w:val="00996511"/>
    <w:rsid w:val="009965C6"/>
    <w:rsid w:val="00997E20"/>
    <w:rsid w:val="009A14CB"/>
    <w:rsid w:val="009A36DB"/>
    <w:rsid w:val="009A4AA4"/>
    <w:rsid w:val="009A5BC0"/>
    <w:rsid w:val="009A6BE5"/>
    <w:rsid w:val="009A75E2"/>
    <w:rsid w:val="009B0471"/>
    <w:rsid w:val="009B085D"/>
    <w:rsid w:val="009B1073"/>
    <w:rsid w:val="009B20C8"/>
    <w:rsid w:val="009B3776"/>
    <w:rsid w:val="009B5128"/>
    <w:rsid w:val="009B5184"/>
    <w:rsid w:val="009B559E"/>
    <w:rsid w:val="009B5948"/>
    <w:rsid w:val="009B5ACC"/>
    <w:rsid w:val="009B65E4"/>
    <w:rsid w:val="009B7257"/>
    <w:rsid w:val="009C07E2"/>
    <w:rsid w:val="009C22D0"/>
    <w:rsid w:val="009C2E8F"/>
    <w:rsid w:val="009C3278"/>
    <w:rsid w:val="009C332A"/>
    <w:rsid w:val="009C41A4"/>
    <w:rsid w:val="009C4940"/>
    <w:rsid w:val="009C5AE6"/>
    <w:rsid w:val="009C7B90"/>
    <w:rsid w:val="009D048F"/>
    <w:rsid w:val="009D0E69"/>
    <w:rsid w:val="009D104E"/>
    <w:rsid w:val="009D20BB"/>
    <w:rsid w:val="009D3295"/>
    <w:rsid w:val="009D34F4"/>
    <w:rsid w:val="009D414C"/>
    <w:rsid w:val="009D5B7B"/>
    <w:rsid w:val="009D7090"/>
    <w:rsid w:val="009D76A7"/>
    <w:rsid w:val="009D7E73"/>
    <w:rsid w:val="009E14C9"/>
    <w:rsid w:val="009E1A78"/>
    <w:rsid w:val="009E1AD4"/>
    <w:rsid w:val="009E22EC"/>
    <w:rsid w:val="009E7D28"/>
    <w:rsid w:val="009F353E"/>
    <w:rsid w:val="009F35F1"/>
    <w:rsid w:val="009F3A04"/>
    <w:rsid w:val="009F3BD3"/>
    <w:rsid w:val="009F6218"/>
    <w:rsid w:val="009F6902"/>
    <w:rsid w:val="00A00CC6"/>
    <w:rsid w:val="00A0198F"/>
    <w:rsid w:val="00A02C17"/>
    <w:rsid w:val="00A02DB1"/>
    <w:rsid w:val="00A030C8"/>
    <w:rsid w:val="00A04A8E"/>
    <w:rsid w:val="00A04E13"/>
    <w:rsid w:val="00A065BC"/>
    <w:rsid w:val="00A10A0A"/>
    <w:rsid w:val="00A11525"/>
    <w:rsid w:val="00A117C3"/>
    <w:rsid w:val="00A11BCD"/>
    <w:rsid w:val="00A11E39"/>
    <w:rsid w:val="00A13D6A"/>
    <w:rsid w:val="00A145D3"/>
    <w:rsid w:val="00A15A7D"/>
    <w:rsid w:val="00A15DCB"/>
    <w:rsid w:val="00A16D20"/>
    <w:rsid w:val="00A16F2D"/>
    <w:rsid w:val="00A20A3F"/>
    <w:rsid w:val="00A22590"/>
    <w:rsid w:val="00A22F70"/>
    <w:rsid w:val="00A2357D"/>
    <w:rsid w:val="00A24008"/>
    <w:rsid w:val="00A24B83"/>
    <w:rsid w:val="00A24EC6"/>
    <w:rsid w:val="00A25CDE"/>
    <w:rsid w:val="00A2625F"/>
    <w:rsid w:val="00A30F13"/>
    <w:rsid w:val="00A32990"/>
    <w:rsid w:val="00A423B8"/>
    <w:rsid w:val="00A43AEF"/>
    <w:rsid w:val="00A43B16"/>
    <w:rsid w:val="00A45043"/>
    <w:rsid w:val="00A47E38"/>
    <w:rsid w:val="00A50022"/>
    <w:rsid w:val="00A53EA4"/>
    <w:rsid w:val="00A53EB9"/>
    <w:rsid w:val="00A54030"/>
    <w:rsid w:val="00A54CD0"/>
    <w:rsid w:val="00A556A4"/>
    <w:rsid w:val="00A55875"/>
    <w:rsid w:val="00A61533"/>
    <w:rsid w:val="00A61712"/>
    <w:rsid w:val="00A64EC4"/>
    <w:rsid w:val="00A650B8"/>
    <w:rsid w:val="00A66513"/>
    <w:rsid w:val="00A66D77"/>
    <w:rsid w:val="00A67D38"/>
    <w:rsid w:val="00A701E6"/>
    <w:rsid w:val="00A70EAC"/>
    <w:rsid w:val="00A71084"/>
    <w:rsid w:val="00A71574"/>
    <w:rsid w:val="00A737F9"/>
    <w:rsid w:val="00A74336"/>
    <w:rsid w:val="00A76CA4"/>
    <w:rsid w:val="00A77D3D"/>
    <w:rsid w:val="00A822E0"/>
    <w:rsid w:val="00A832C7"/>
    <w:rsid w:val="00A839E0"/>
    <w:rsid w:val="00A84BB7"/>
    <w:rsid w:val="00A91963"/>
    <w:rsid w:val="00A91C2C"/>
    <w:rsid w:val="00A926B5"/>
    <w:rsid w:val="00A932F1"/>
    <w:rsid w:val="00A93E4F"/>
    <w:rsid w:val="00A93F8A"/>
    <w:rsid w:val="00A95EF6"/>
    <w:rsid w:val="00A96BE9"/>
    <w:rsid w:val="00A96FAA"/>
    <w:rsid w:val="00A970C5"/>
    <w:rsid w:val="00A9728A"/>
    <w:rsid w:val="00AA03EF"/>
    <w:rsid w:val="00AA56C9"/>
    <w:rsid w:val="00AA5BF1"/>
    <w:rsid w:val="00AA5F5E"/>
    <w:rsid w:val="00AA673D"/>
    <w:rsid w:val="00AB1EF8"/>
    <w:rsid w:val="00AB3251"/>
    <w:rsid w:val="00AB5678"/>
    <w:rsid w:val="00AB569A"/>
    <w:rsid w:val="00AB5D6B"/>
    <w:rsid w:val="00AB72E1"/>
    <w:rsid w:val="00AC04F9"/>
    <w:rsid w:val="00AC0EBE"/>
    <w:rsid w:val="00AC1BB2"/>
    <w:rsid w:val="00AC293F"/>
    <w:rsid w:val="00AC333D"/>
    <w:rsid w:val="00AC372D"/>
    <w:rsid w:val="00AC4BF8"/>
    <w:rsid w:val="00AD300A"/>
    <w:rsid w:val="00AD3068"/>
    <w:rsid w:val="00AD31A6"/>
    <w:rsid w:val="00AD31E1"/>
    <w:rsid w:val="00AD3E90"/>
    <w:rsid w:val="00AD3FA9"/>
    <w:rsid w:val="00AD6022"/>
    <w:rsid w:val="00AD6715"/>
    <w:rsid w:val="00AE0AB9"/>
    <w:rsid w:val="00AE2740"/>
    <w:rsid w:val="00AE4A97"/>
    <w:rsid w:val="00AF0D99"/>
    <w:rsid w:val="00AF2856"/>
    <w:rsid w:val="00AF2AAE"/>
    <w:rsid w:val="00AF33BC"/>
    <w:rsid w:val="00AF4B0D"/>
    <w:rsid w:val="00AF6243"/>
    <w:rsid w:val="00AF7206"/>
    <w:rsid w:val="00B036D4"/>
    <w:rsid w:val="00B03A69"/>
    <w:rsid w:val="00B0546E"/>
    <w:rsid w:val="00B05A81"/>
    <w:rsid w:val="00B063B8"/>
    <w:rsid w:val="00B06D12"/>
    <w:rsid w:val="00B07D42"/>
    <w:rsid w:val="00B11DC1"/>
    <w:rsid w:val="00B121CE"/>
    <w:rsid w:val="00B1378A"/>
    <w:rsid w:val="00B145C7"/>
    <w:rsid w:val="00B158D4"/>
    <w:rsid w:val="00B175D9"/>
    <w:rsid w:val="00B17E7C"/>
    <w:rsid w:val="00B2114D"/>
    <w:rsid w:val="00B221C2"/>
    <w:rsid w:val="00B224D5"/>
    <w:rsid w:val="00B23F5D"/>
    <w:rsid w:val="00B24C79"/>
    <w:rsid w:val="00B25180"/>
    <w:rsid w:val="00B262AB"/>
    <w:rsid w:val="00B2656A"/>
    <w:rsid w:val="00B3031E"/>
    <w:rsid w:val="00B3090C"/>
    <w:rsid w:val="00B315BC"/>
    <w:rsid w:val="00B32866"/>
    <w:rsid w:val="00B334EA"/>
    <w:rsid w:val="00B34D34"/>
    <w:rsid w:val="00B35889"/>
    <w:rsid w:val="00B358C4"/>
    <w:rsid w:val="00B36695"/>
    <w:rsid w:val="00B373BC"/>
    <w:rsid w:val="00B40716"/>
    <w:rsid w:val="00B415EC"/>
    <w:rsid w:val="00B43F32"/>
    <w:rsid w:val="00B46724"/>
    <w:rsid w:val="00B509A8"/>
    <w:rsid w:val="00B51059"/>
    <w:rsid w:val="00B555BC"/>
    <w:rsid w:val="00B55841"/>
    <w:rsid w:val="00B558A6"/>
    <w:rsid w:val="00B57265"/>
    <w:rsid w:val="00B61C1A"/>
    <w:rsid w:val="00B61DDE"/>
    <w:rsid w:val="00B6322A"/>
    <w:rsid w:val="00B6417E"/>
    <w:rsid w:val="00B6441F"/>
    <w:rsid w:val="00B65E14"/>
    <w:rsid w:val="00B66DC3"/>
    <w:rsid w:val="00B67CFE"/>
    <w:rsid w:val="00B67F02"/>
    <w:rsid w:val="00B70228"/>
    <w:rsid w:val="00B704BE"/>
    <w:rsid w:val="00B70720"/>
    <w:rsid w:val="00B71416"/>
    <w:rsid w:val="00B71863"/>
    <w:rsid w:val="00B72B4C"/>
    <w:rsid w:val="00B73D51"/>
    <w:rsid w:val="00B73D67"/>
    <w:rsid w:val="00B755F8"/>
    <w:rsid w:val="00B76005"/>
    <w:rsid w:val="00B767B1"/>
    <w:rsid w:val="00B76ACA"/>
    <w:rsid w:val="00B76F8B"/>
    <w:rsid w:val="00B77694"/>
    <w:rsid w:val="00B808DF"/>
    <w:rsid w:val="00B82610"/>
    <w:rsid w:val="00B832EC"/>
    <w:rsid w:val="00B8544B"/>
    <w:rsid w:val="00B8577D"/>
    <w:rsid w:val="00B91E17"/>
    <w:rsid w:val="00B94334"/>
    <w:rsid w:val="00B95EAB"/>
    <w:rsid w:val="00B95EF0"/>
    <w:rsid w:val="00B95F00"/>
    <w:rsid w:val="00B95FC8"/>
    <w:rsid w:val="00B9759A"/>
    <w:rsid w:val="00B97BE8"/>
    <w:rsid w:val="00BA1015"/>
    <w:rsid w:val="00BA2DD9"/>
    <w:rsid w:val="00BA419B"/>
    <w:rsid w:val="00BA620D"/>
    <w:rsid w:val="00BA67F1"/>
    <w:rsid w:val="00BB12DA"/>
    <w:rsid w:val="00BB32D2"/>
    <w:rsid w:val="00BB4FEE"/>
    <w:rsid w:val="00BB6438"/>
    <w:rsid w:val="00BB64FC"/>
    <w:rsid w:val="00BB657F"/>
    <w:rsid w:val="00BB7519"/>
    <w:rsid w:val="00BB758C"/>
    <w:rsid w:val="00BB7926"/>
    <w:rsid w:val="00BB7E8A"/>
    <w:rsid w:val="00BC3791"/>
    <w:rsid w:val="00BC3966"/>
    <w:rsid w:val="00BC3A18"/>
    <w:rsid w:val="00BC49F5"/>
    <w:rsid w:val="00BC5CC7"/>
    <w:rsid w:val="00BC5F29"/>
    <w:rsid w:val="00BC618C"/>
    <w:rsid w:val="00BC676F"/>
    <w:rsid w:val="00BD0A4F"/>
    <w:rsid w:val="00BD11F5"/>
    <w:rsid w:val="00BD1724"/>
    <w:rsid w:val="00BD1AF1"/>
    <w:rsid w:val="00BD29CD"/>
    <w:rsid w:val="00BD4BE5"/>
    <w:rsid w:val="00BD665E"/>
    <w:rsid w:val="00BD78D3"/>
    <w:rsid w:val="00BE159F"/>
    <w:rsid w:val="00BE2A2C"/>
    <w:rsid w:val="00BE389A"/>
    <w:rsid w:val="00BE416D"/>
    <w:rsid w:val="00BE46AA"/>
    <w:rsid w:val="00BE5CCE"/>
    <w:rsid w:val="00BE788B"/>
    <w:rsid w:val="00BF099E"/>
    <w:rsid w:val="00BF145B"/>
    <w:rsid w:val="00BF2343"/>
    <w:rsid w:val="00BF2934"/>
    <w:rsid w:val="00BF3E1C"/>
    <w:rsid w:val="00BF6CAE"/>
    <w:rsid w:val="00BF7DA3"/>
    <w:rsid w:val="00C01F19"/>
    <w:rsid w:val="00C02186"/>
    <w:rsid w:val="00C0295B"/>
    <w:rsid w:val="00C03EB6"/>
    <w:rsid w:val="00C0467D"/>
    <w:rsid w:val="00C058B2"/>
    <w:rsid w:val="00C06F52"/>
    <w:rsid w:val="00C07D1B"/>
    <w:rsid w:val="00C11422"/>
    <w:rsid w:val="00C12D08"/>
    <w:rsid w:val="00C1397D"/>
    <w:rsid w:val="00C14FF5"/>
    <w:rsid w:val="00C15C2D"/>
    <w:rsid w:val="00C17B36"/>
    <w:rsid w:val="00C17C00"/>
    <w:rsid w:val="00C236F1"/>
    <w:rsid w:val="00C23F40"/>
    <w:rsid w:val="00C31A9B"/>
    <w:rsid w:val="00C3320A"/>
    <w:rsid w:val="00C36D64"/>
    <w:rsid w:val="00C36E61"/>
    <w:rsid w:val="00C36F28"/>
    <w:rsid w:val="00C41E8E"/>
    <w:rsid w:val="00C4661D"/>
    <w:rsid w:val="00C47633"/>
    <w:rsid w:val="00C47F4C"/>
    <w:rsid w:val="00C51D29"/>
    <w:rsid w:val="00C5344F"/>
    <w:rsid w:val="00C53850"/>
    <w:rsid w:val="00C53DE2"/>
    <w:rsid w:val="00C54228"/>
    <w:rsid w:val="00C54B1A"/>
    <w:rsid w:val="00C56284"/>
    <w:rsid w:val="00C563EA"/>
    <w:rsid w:val="00C571E8"/>
    <w:rsid w:val="00C579D3"/>
    <w:rsid w:val="00C57BBB"/>
    <w:rsid w:val="00C61DAC"/>
    <w:rsid w:val="00C62B0C"/>
    <w:rsid w:val="00C63149"/>
    <w:rsid w:val="00C643A6"/>
    <w:rsid w:val="00C66F08"/>
    <w:rsid w:val="00C670AC"/>
    <w:rsid w:val="00C7457E"/>
    <w:rsid w:val="00C76422"/>
    <w:rsid w:val="00C7784D"/>
    <w:rsid w:val="00C81C57"/>
    <w:rsid w:val="00C835A7"/>
    <w:rsid w:val="00C854FE"/>
    <w:rsid w:val="00C86F48"/>
    <w:rsid w:val="00C8789C"/>
    <w:rsid w:val="00C87B58"/>
    <w:rsid w:val="00C87FC3"/>
    <w:rsid w:val="00C95D4D"/>
    <w:rsid w:val="00C97759"/>
    <w:rsid w:val="00CA05C7"/>
    <w:rsid w:val="00CA10C6"/>
    <w:rsid w:val="00CA1670"/>
    <w:rsid w:val="00CA2028"/>
    <w:rsid w:val="00CA264F"/>
    <w:rsid w:val="00CA2A48"/>
    <w:rsid w:val="00CA46CB"/>
    <w:rsid w:val="00CA4DCC"/>
    <w:rsid w:val="00CA5DB0"/>
    <w:rsid w:val="00CB0507"/>
    <w:rsid w:val="00CB0F53"/>
    <w:rsid w:val="00CB1760"/>
    <w:rsid w:val="00CB19F4"/>
    <w:rsid w:val="00CB23C6"/>
    <w:rsid w:val="00CB3EB9"/>
    <w:rsid w:val="00CC07B7"/>
    <w:rsid w:val="00CC2394"/>
    <w:rsid w:val="00CC4584"/>
    <w:rsid w:val="00CC508A"/>
    <w:rsid w:val="00CD00F7"/>
    <w:rsid w:val="00CD04C4"/>
    <w:rsid w:val="00CD096D"/>
    <w:rsid w:val="00CD1B7C"/>
    <w:rsid w:val="00CD2235"/>
    <w:rsid w:val="00CD2419"/>
    <w:rsid w:val="00CD33FA"/>
    <w:rsid w:val="00CD3494"/>
    <w:rsid w:val="00CD357B"/>
    <w:rsid w:val="00CD3E72"/>
    <w:rsid w:val="00CD547D"/>
    <w:rsid w:val="00CD6EC5"/>
    <w:rsid w:val="00CD6F24"/>
    <w:rsid w:val="00CE1671"/>
    <w:rsid w:val="00CE4E0E"/>
    <w:rsid w:val="00CE5106"/>
    <w:rsid w:val="00CE530C"/>
    <w:rsid w:val="00CE60F7"/>
    <w:rsid w:val="00CE6D1F"/>
    <w:rsid w:val="00CE74E6"/>
    <w:rsid w:val="00CE7521"/>
    <w:rsid w:val="00CE7C1C"/>
    <w:rsid w:val="00CF04E2"/>
    <w:rsid w:val="00CF2532"/>
    <w:rsid w:val="00CF3835"/>
    <w:rsid w:val="00CF4759"/>
    <w:rsid w:val="00CF4E70"/>
    <w:rsid w:val="00CF55AD"/>
    <w:rsid w:val="00CF5C64"/>
    <w:rsid w:val="00CF5CB6"/>
    <w:rsid w:val="00CF66E3"/>
    <w:rsid w:val="00D002C9"/>
    <w:rsid w:val="00D0096F"/>
    <w:rsid w:val="00D01876"/>
    <w:rsid w:val="00D03199"/>
    <w:rsid w:val="00D048BC"/>
    <w:rsid w:val="00D06726"/>
    <w:rsid w:val="00D14CB1"/>
    <w:rsid w:val="00D15FD0"/>
    <w:rsid w:val="00D171CA"/>
    <w:rsid w:val="00D20351"/>
    <w:rsid w:val="00D22161"/>
    <w:rsid w:val="00D229AD"/>
    <w:rsid w:val="00D232C0"/>
    <w:rsid w:val="00D24F51"/>
    <w:rsid w:val="00D251ED"/>
    <w:rsid w:val="00D2596E"/>
    <w:rsid w:val="00D25ED2"/>
    <w:rsid w:val="00D27010"/>
    <w:rsid w:val="00D278D3"/>
    <w:rsid w:val="00D31D7A"/>
    <w:rsid w:val="00D321D4"/>
    <w:rsid w:val="00D32C8D"/>
    <w:rsid w:val="00D33B4D"/>
    <w:rsid w:val="00D350E2"/>
    <w:rsid w:val="00D351E8"/>
    <w:rsid w:val="00D37A46"/>
    <w:rsid w:val="00D41201"/>
    <w:rsid w:val="00D436C2"/>
    <w:rsid w:val="00D446AA"/>
    <w:rsid w:val="00D46F23"/>
    <w:rsid w:val="00D51124"/>
    <w:rsid w:val="00D53FF5"/>
    <w:rsid w:val="00D5476B"/>
    <w:rsid w:val="00D548D1"/>
    <w:rsid w:val="00D55F1B"/>
    <w:rsid w:val="00D56801"/>
    <w:rsid w:val="00D56B71"/>
    <w:rsid w:val="00D576D9"/>
    <w:rsid w:val="00D57C5A"/>
    <w:rsid w:val="00D57EAC"/>
    <w:rsid w:val="00D609D6"/>
    <w:rsid w:val="00D60D4A"/>
    <w:rsid w:val="00D61604"/>
    <w:rsid w:val="00D6197F"/>
    <w:rsid w:val="00D61A51"/>
    <w:rsid w:val="00D62B38"/>
    <w:rsid w:val="00D632FB"/>
    <w:rsid w:val="00D65523"/>
    <w:rsid w:val="00D655F3"/>
    <w:rsid w:val="00D66409"/>
    <w:rsid w:val="00D677C1"/>
    <w:rsid w:val="00D70667"/>
    <w:rsid w:val="00D722ED"/>
    <w:rsid w:val="00D72C20"/>
    <w:rsid w:val="00D72C40"/>
    <w:rsid w:val="00D7304B"/>
    <w:rsid w:val="00D735EB"/>
    <w:rsid w:val="00D75326"/>
    <w:rsid w:val="00D760A4"/>
    <w:rsid w:val="00D80B84"/>
    <w:rsid w:val="00D810C0"/>
    <w:rsid w:val="00D81C27"/>
    <w:rsid w:val="00D83AAC"/>
    <w:rsid w:val="00D84974"/>
    <w:rsid w:val="00D84BE0"/>
    <w:rsid w:val="00D84CD8"/>
    <w:rsid w:val="00D8544A"/>
    <w:rsid w:val="00D874CF"/>
    <w:rsid w:val="00D87A32"/>
    <w:rsid w:val="00D87C3B"/>
    <w:rsid w:val="00D87EA2"/>
    <w:rsid w:val="00D91A9B"/>
    <w:rsid w:val="00D91D64"/>
    <w:rsid w:val="00D92845"/>
    <w:rsid w:val="00D943AB"/>
    <w:rsid w:val="00D95ABC"/>
    <w:rsid w:val="00D95DC3"/>
    <w:rsid w:val="00D9669F"/>
    <w:rsid w:val="00D976E9"/>
    <w:rsid w:val="00D97E02"/>
    <w:rsid w:val="00D97E1F"/>
    <w:rsid w:val="00DA1D22"/>
    <w:rsid w:val="00DA1E3F"/>
    <w:rsid w:val="00DA22E5"/>
    <w:rsid w:val="00DA4853"/>
    <w:rsid w:val="00DA63D1"/>
    <w:rsid w:val="00DB0B39"/>
    <w:rsid w:val="00DB348F"/>
    <w:rsid w:val="00DB34CE"/>
    <w:rsid w:val="00DB4852"/>
    <w:rsid w:val="00DB4AF3"/>
    <w:rsid w:val="00DB5658"/>
    <w:rsid w:val="00DB5998"/>
    <w:rsid w:val="00DB6918"/>
    <w:rsid w:val="00DB6FAA"/>
    <w:rsid w:val="00DB71B2"/>
    <w:rsid w:val="00DB7243"/>
    <w:rsid w:val="00DC45FA"/>
    <w:rsid w:val="00DC7689"/>
    <w:rsid w:val="00DD11F5"/>
    <w:rsid w:val="00DD2003"/>
    <w:rsid w:val="00DD2547"/>
    <w:rsid w:val="00DD30A9"/>
    <w:rsid w:val="00DD42F8"/>
    <w:rsid w:val="00DD70E1"/>
    <w:rsid w:val="00DD7459"/>
    <w:rsid w:val="00DD7637"/>
    <w:rsid w:val="00DE00D7"/>
    <w:rsid w:val="00DE0FDB"/>
    <w:rsid w:val="00DE43FF"/>
    <w:rsid w:val="00DE502A"/>
    <w:rsid w:val="00DE56A0"/>
    <w:rsid w:val="00DE5FEB"/>
    <w:rsid w:val="00DF0F18"/>
    <w:rsid w:val="00DF32B6"/>
    <w:rsid w:val="00DF4E10"/>
    <w:rsid w:val="00DF5D59"/>
    <w:rsid w:val="00DF7F4F"/>
    <w:rsid w:val="00E00EE7"/>
    <w:rsid w:val="00E0207B"/>
    <w:rsid w:val="00E0305A"/>
    <w:rsid w:val="00E03FFF"/>
    <w:rsid w:val="00E040EE"/>
    <w:rsid w:val="00E04304"/>
    <w:rsid w:val="00E04EFC"/>
    <w:rsid w:val="00E05363"/>
    <w:rsid w:val="00E062CD"/>
    <w:rsid w:val="00E063D4"/>
    <w:rsid w:val="00E06497"/>
    <w:rsid w:val="00E07556"/>
    <w:rsid w:val="00E11E8F"/>
    <w:rsid w:val="00E21DBE"/>
    <w:rsid w:val="00E21F68"/>
    <w:rsid w:val="00E23980"/>
    <w:rsid w:val="00E24965"/>
    <w:rsid w:val="00E25924"/>
    <w:rsid w:val="00E261AC"/>
    <w:rsid w:val="00E26804"/>
    <w:rsid w:val="00E27723"/>
    <w:rsid w:val="00E279B3"/>
    <w:rsid w:val="00E30436"/>
    <w:rsid w:val="00E305A1"/>
    <w:rsid w:val="00E30BAD"/>
    <w:rsid w:val="00E325E7"/>
    <w:rsid w:val="00E33067"/>
    <w:rsid w:val="00E35751"/>
    <w:rsid w:val="00E36FAD"/>
    <w:rsid w:val="00E45664"/>
    <w:rsid w:val="00E45BC9"/>
    <w:rsid w:val="00E476E4"/>
    <w:rsid w:val="00E511C6"/>
    <w:rsid w:val="00E511EA"/>
    <w:rsid w:val="00E519C4"/>
    <w:rsid w:val="00E51C00"/>
    <w:rsid w:val="00E52A87"/>
    <w:rsid w:val="00E53696"/>
    <w:rsid w:val="00E53AC6"/>
    <w:rsid w:val="00E54017"/>
    <w:rsid w:val="00E546A2"/>
    <w:rsid w:val="00E60790"/>
    <w:rsid w:val="00E676BC"/>
    <w:rsid w:val="00E67F0A"/>
    <w:rsid w:val="00E7011D"/>
    <w:rsid w:val="00E702D0"/>
    <w:rsid w:val="00E70870"/>
    <w:rsid w:val="00E7537F"/>
    <w:rsid w:val="00E763DE"/>
    <w:rsid w:val="00E81187"/>
    <w:rsid w:val="00E81C7F"/>
    <w:rsid w:val="00E84561"/>
    <w:rsid w:val="00E86492"/>
    <w:rsid w:val="00E86B96"/>
    <w:rsid w:val="00E9032B"/>
    <w:rsid w:val="00E904E4"/>
    <w:rsid w:val="00E90D25"/>
    <w:rsid w:val="00E91241"/>
    <w:rsid w:val="00E92022"/>
    <w:rsid w:val="00E93E7E"/>
    <w:rsid w:val="00E94350"/>
    <w:rsid w:val="00E95E85"/>
    <w:rsid w:val="00E96407"/>
    <w:rsid w:val="00EA031A"/>
    <w:rsid w:val="00EA0950"/>
    <w:rsid w:val="00EA1EB0"/>
    <w:rsid w:val="00EA355C"/>
    <w:rsid w:val="00EA4195"/>
    <w:rsid w:val="00EB094D"/>
    <w:rsid w:val="00EB12E2"/>
    <w:rsid w:val="00EB1935"/>
    <w:rsid w:val="00EB19C3"/>
    <w:rsid w:val="00EB1F51"/>
    <w:rsid w:val="00EB345E"/>
    <w:rsid w:val="00EB5015"/>
    <w:rsid w:val="00EB75F4"/>
    <w:rsid w:val="00EC1797"/>
    <w:rsid w:val="00EC1C66"/>
    <w:rsid w:val="00EC2029"/>
    <w:rsid w:val="00EC21AE"/>
    <w:rsid w:val="00EC32F1"/>
    <w:rsid w:val="00EC5545"/>
    <w:rsid w:val="00ED0514"/>
    <w:rsid w:val="00ED06FF"/>
    <w:rsid w:val="00ED1E5B"/>
    <w:rsid w:val="00ED65D9"/>
    <w:rsid w:val="00ED7E35"/>
    <w:rsid w:val="00EE16DE"/>
    <w:rsid w:val="00EE43A6"/>
    <w:rsid w:val="00EE4A19"/>
    <w:rsid w:val="00EE6213"/>
    <w:rsid w:val="00EE6384"/>
    <w:rsid w:val="00EF3A38"/>
    <w:rsid w:val="00EF4513"/>
    <w:rsid w:val="00EF485F"/>
    <w:rsid w:val="00EF5910"/>
    <w:rsid w:val="00EF5915"/>
    <w:rsid w:val="00EF5AAD"/>
    <w:rsid w:val="00EF5C32"/>
    <w:rsid w:val="00EF5C51"/>
    <w:rsid w:val="00EF7CD1"/>
    <w:rsid w:val="00F0112C"/>
    <w:rsid w:val="00F01DDC"/>
    <w:rsid w:val="00F01EB7"/>
    <w:rsid w:val="00F02850"/>
    <w:rsid w:val="00F02E03"/>
    <w:rsid w:val="00F04219"/>
    <w:rsid w:val="00F059CE"/>
    <w:rsid w:val="00F07E4C"/>
    <w:rsid w:val="00F10185"/>
    <w:rsid w:val="00F113C4"/>
    <w:rsid w:val="00F11C8F"/>
    <w:rsid w:val="00F124C8"/>
    <w:rsid w:val="00F15578"/>
    <w:rsid w:val="00F2008B"/>
    <w:rsid w:val="00F20E85"/>
    <w:rsid w:val="00F21DD0"/>
    <w:rsid w:val="00F22DDA"/>
    <w:rsid w:val="00F25E55"/>
    <w:rsid w:val="00F27C44"/>
    <w:rsid w:val="00F31D0D"/>
    <w:rsid w:val="00F3318E"/>
    <w:rsid w:val="00F33B7B"/>
    <w:rsid w:val="00F34426"/>
    <w:rsid w:val="00F3462F"/>
    <w:rsid w:val="00F347CD"/>
    <w:rsid w:val="00F35915"/>
    <w:rsid w:val="00F40037"/>
    <w:rsid w:val="00F42026"/>
    <w:rsid w:val="00F42080"/>
    <w:rsid w:val="00F42ED1"/>
    <w:rsid w:val="00F42F1A"/>
    <w:rsid w:val="00F44CEF"/>
    <w:rsid w:val="00F4562F"/>
    <w:rsid w:val="00F45F76"/>
    <w:rsid w:val="00F47108"/>
    <w:rsid w:val="00F47D02"/>
    <w:rsid w:val="00F5096B"/>
    <w:rsid w:val="00F523FB"/>
    <w:rsid w:val="00F5267C"/>
    <w:rsid w:val="00F5346B"/>
    <w:rsid w:val="00F53C11"/>
    <w:rsid w:val="00F54C85"/>
    <w:rsid w:val="00F57B54"/>
    <w:rsid w:val="00F602AD"/>
    <w:rsid w:val="00F611EA"/>
    <w:rsid w:val="00F61A32"/>
    <w:rsid w:val="00F6207A"/>
    <w:rsid w:val="00F62645"/>
    <w:rsid w:val="00F64BF2"/>
    <w:rsid w:val="00F6514B"/>
    <w:rsid w:val="00F66B76"/>
    <w:rsid w:val="00F67327"/>
    <w:rsid w:val="00F677CC"/>
    <w:rsid w:val="00F7025C"/>
    <w:rsid w:val="00F70750"/>
    <w:rsid w:val="00F729B6"/>
    <w:rsid w:val="00F73756"/>
    <w:rsid w:val="00F74C21"/>
    <w:rsid w:val="00F753B2"/>
    <w:rsid w:val="00F75C5C"/>
    <w:rsid w:val="00F76B6A"/>
    <w:rsid w:val="00F76FE7"/>
    <w:rsid w:val="00F804EC"/>
    <w:rsid w:val="00F814EF"/>
    <w:rsid w:val="00F82AFD"/>
    <w:rsid w:val="00F84DF1"/>
    <w:rsid w:val="00F87A10"/>
    <w:rsid w:val="00F9267F"/>
    <w:rsid w:val="00F94658"/>
    <w:rsid w:val="00F948C6"/>
    <w:rsid w:val="00F95BA6"/>
    <w:rsid w:val="00F95F75"/>
    <w:rsid w:val="00F971CD"/>
    <w:rsid w:val="00F974BE"/>
    <w:rsid w:val="00FA0AA1"/>
    <w:rsid w:val="00FA2718"/>
    <w:rsid w:val="00FA277A"/>
    <w:rsid w:val="00FA293B"/>
    <w:rsid w:val="00FA44BD"/>
    <w:rsid w:val="00FA4B7F"/>
    <w:rsid w:val="00FA58D6"/>
    <w:rsid w:val="00FA6B80"/>
    <w:rsid w:val="00FB09B3"/>
    <w:rsid w:val="00FB1797"/>
    <w:rsid w:val="00FB1900"/>
    <w:rsid w:val="00FB1D28"/>
    <w:rsid w:val="00FB7973"/>
    <w:rsid w:val="00FB7EFC"/>
    <w:rsid w:val="00FC09DC"/>
    <w:rsid w:val="00FC11FB"/>
    <w:rsid w:val="00FC3784"/>
    <w:rsid w:val="00FC3E73"/>
    <w:rsid w:val="00FC501A"/>
    <w:rsid w:val="00FC5318"/>
    <w:rsid w:val="00FC633B"/>
    <w:rsid w:val="00FC63D5"/>
    <w:rsid w:val="00FD193D"/>
    <w:rsid w:val="00FD2E81"/>
    <w:rsid w:val="00FD59C2"/>
    <w:rsid w:val="00FD5E41"/>
    <w:rsid w:val="00FD6711"/>
    <w:rsid w:val="00FE25E6"/>
    <w:rsid w:val="00FE356F"/>
    <w:rsid w:val="00FE3CDE"/>
    <w:rsid w:val="00FE43BE"/>
    <w:rsid w:val="00FE62B9"/>
    <w:rsid w:val="00FE74ED"/>
    <w:rsid w:val="00FF020C"/>
    <w:rsid w:val="00FF040A"/>
    <w:rsid w:val="00FF093A"/>
    <w:rsid w:val="00FF0BDD"/>
    <w:rsid w:val="00FF2164"/>
    <w:rsid w:val="00FF3980"/>
    <w:rsid w:val="00FF572C"/>
    <w:rsid w:val="00FF5D77"/>
    <w:rsid w:val="00FF5EA5"/>
    <w:rsid w:val="00FF61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E31E2F9"/>
  <w15:docId w15:val="{778EC654-C82B-4811-BE91-3B9CC0FE2C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BCA"/>
    <w:pPr>
      <w:spacing w:after="0" w:line="240" w:lineRule="auto"/>
    </w:pPr>
    <w:rPr>
      <w:rFonts w:ascii="Calibri" w:eastAsia="Times New Roman" w:hAnsi="Calibri" w:cs="Times New Roman"/>
      <w:szCs w:val="20"/>
    </w:rPr>
  </w:style>
  <w:style w:type="paragraph" w:styleId="Heading1">
    <w:name w:val="heading 1"/>
    <w:basedOn w:val="Normal"/>
    <w:next w:val="BodyText"/>
    <w:link w:val="Heading1Char"/>
    <w:qFormat/>
    <w:rsid w:val="0077527A"/>
    <w:pPr>
      <w:keepNext/>
      <w:numPr>
        <w:numId w:val="22"/>
      </w:numPr>
      <w:outlineLvl w:val="0"/>
    </w:pPr>
    <w:rPr>
      <w:b/>
      <w:kern w:val="28"/>
    </w:rPr>
  </w:style>
  <w:style w:type="paragraph" w:styleId="Heading2">
    <w:name w:val="heading 2"/>
    <w:basedOn w:val="Normal"/>
    <w:next w:val="BodyText"/>
    <w:link w:val="Heading2Char"/>
    <w:qFormat/>
    <w:rsid w:val="00CC4584"/>
    <w:pPr>
      <w:keepNext/>
      <w:numPr>
        <w:numId w:val="70"/>
      </w:numPr>
      <w:spacing w:before="60"/>
      <w:outlineLvl w:val="1"/>
    </w:pPr>
    <w:rPr>
      <w:b/>
      <w:kern w:val="28"/>
    </w:rPr>
  </w:style>
  <w:style w:type="paragraph" w:styleId="Heading3">
    <w:name w:val="heading 3"/>
    <w:basedOn w:val="Normal"/>
    <w:next w:val="BodyText"/>
    <w:link w:val="Heading3Char"/>
    <w:qFormat/>
    <w:rsid w:val="005413F4"/>
    <w:pPr>
      <w:keepNext/>
      <w:numPr>
        <w:numId w:val="63"/>
      </w:numPr>
      <w:spacing w:before="120" w:after="80"/>
      <w:outlineLvl w:val="2"/>
    </w:pPr>
    <w:rPr>
      <w:b/>
      <w:kern w:val="28"/>
    </w:rPr>
  </w:style>
  <w:style w:type="paragraph" w:styleId="Heading4">
    <w:name w:val="heading 4"/>
    <w:basedOn w:val="Normal"/>
    <w:next w:val="BodyText"/>
    <w:link w:val="Heading4Char"/>
    <w:qFormat/>
    <w:rsid w:val="007A6232"/>
    <w:pPr>
      <w:keepNext/>
      <w:numPr>
        <w:ilvl w:val="3"/>
        <w:numId w:val="22"/>
      </w:numPr>
      <w:spacing w:before="120" w:after="80"/>
      <w:outlineLvl w:val="3"/>
    </w:pPr>
    <w:rPr>
      <w:b/>
      <w:i/>
      <w:kern w:val="28"/>
    </w:rPr>
  </w:style>
  <w:style w:type="paragraph" w:styleId="Heading5">
    <w:name w:val="heading 5"/>
    <w:basedOn w:val="Normal"/>
    <w:next w:val="BodyText"/>
    <w:link w:val="Heading5Char"/>
    <w:qFormat/>
    <w:rsid w:val="007A6232"/>
    <w:pPr>
      <w:keepNext/>
      <w:numPr>
        <w:ilvl w:val="4"/>
        <w:numId w:val="22"/>
      </w:numPr>
      <w:spacing w:before="120" w:after="80"/>
      <w:outlineLvl w:val="4"/>
    </w:pPr>
    <w:rPr>
      <w:rFonts w:ascii="Arial" w:hAnsi="Arial"/>
      <w:b/>
      <w:kern w:val="28"/>
    </w:rPr>
  </w:style>
  <w:style w:type="paragraph" w:styleId="Heading6">
    <w:name w:val="heading 6"/>
    <w:basedOn w:val="Normal"/>
    <w:next w:val="BodyText"/>
    <w:link w:val="Heading6Char"/>
    <w:qFormat/>
    <w:rsid w:val="007A6232"/>
    <w:pPr>
      <w:keepNext/>
      <w:numPr>
        <w:ilvl w:val="5"/>
        <w:numId w:val="22"/>
      </w:numPr>
      <w:spacing w:before="120" w:after="80"/>
      <w:outlineLvl w:val="5"/>
    </w:pPr>
    <w:rPr>
      <w:rFonts w:ascii="Arial" w:hAnsi="Arial"/>
      <w:b/>
      <w:i/>
      <w:kern w:val="28"/>
    </w:rPr>
  </w:style>
  <w:style w:type="paragraph" w:styleId="Heading7">
    <w:name w:val="heading 7"/>
    <w:basedOn w:val="Normal"/>
    <w:next w:val="BodyText"/>
    <w:link w:val="Heading7Char"/>
    <w:qFormat/>
    <w:rsid w:val="007A6232"/>
    <w:pPr>
      <w:keepNext/>
      <w:numPr>
        <w:ilvl w:val="6"/>
        <w:numId w:val="22"/>
      </w:numPr>
      <w:spacing w:before="80" w:after="60"/>
      <w:outlineLvl w:val="6"/>
    </w:pPr>
    <w:rPr>
      <w:b/>
      <w:kern w:val="28"/>
    </w:rPr>
  </w:style>
  <w:style w:type="paragraph" w:styleId="Heading8">
    <w:name w:val="heading 8"/>
    <w:basedOn w:val="Normal"/>
    <w:next w:val="BodyText"/>
    <w:link w:val="Heading8Char"/>
    <w:qFormat/>
    <w:rsid w:val="007A6232"/>
    <w:pPr>
      <w:keepNext/>
      <w:numPr>
        <w:ilvl w:val="7"/>
        <w:numId w:val="22"/>
      </w:numPr>
      <w:spacing w:before="80" w:after="60"/>
      <w:outlineLvl w:val="7"/>
    </w:pPr>
    <w:rPr>
      <w:b/>
      <w:i/>
      <w:kern w:val="28"/>
    </w:rPr>
  </w:style>
  <w:style w:type="paragraph" w:styleId="Heading9">
    <w:name w:val="heading 9"/>
    <w:basedOn w:val="Normal"/>
    <w:next w:val="BodyText"/>
    <w:link w:val="Heading9Char"/>
    <w:qFormat/>
    <w:rsid w:val="007A6232"/>
    <w:pPr>
      <w:keepNext/>
      <w:numPr>
        <w:ilvl w:val="8"/>
        <w:numId w:val="22"/>
      </w:numPr>
      <w:spacing w:before="80" w:after="60"/>
      <w:outlineLvl w:val="8"/>
    </w:pPr>
    <w:rPr>
      <w:b/>
      <w:i/>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28D2"/>
    <w:pPr>
      <w:ind w:left="720"/>
      <w:contextualSpacing/>
    </w:pPr>
  </w:style>
  <w:style w:type="character" w:styleId="Emphasis">
    <w:name w:val="Emphasis"/>
    <w:uiPriority w:val="20"/>
    <w:qFormat/>
    <w:rsid w:val="007A6232"/>
    <w:rPr>
      <w:i/>
    </w:rPr>
  </w:style>
  <w:style w:type="paragraph" w:styleId="BodyText">
    <w:name w:val="Body Text"/>
    <w:basedOn w:val="Normal"/>
    <w:link w:val="BodyTextChar"/>
    <w:rsid w:val="007A6232"/>
    <w:pPr>
      <w:spacing w:after="160"/>
    </w:pPr>
  </w:style>
  <w:style w:type="character" w:customStyle="1" w:styleId="BodyTextChar">
    <w:name w:val="Body Text Char"/>
    <w:basedOn w:val="DefaultParagraphFont"/>
    <w:link w:val="BodyText"/>
    <w:rsid w:val="00841789"/>
    <w:rPr>
      <w:rFonts w:ascii="Times New Roman" w:eastAsia="Times New Roman" w:hAnsi="Times New Roman" w:cs="Times New Roman"/>
      <w:sz w:val="24"/>
      <w:szCs w:val="20"/>
    </w:rPr>
  </w:style>
  <w:style w:type="paragraph" w:styleId="Caption">
    <w:name w:val="caption"/>
    <w:basedOn w:val="Normal"/>
    <w:next w:val="BodyText"/>
    <w:uiPriority w:val="35"/>
    <w:qFormat/>
    <w:rsid w:val="007A6232"/>
    <w:pPr>
      <w:spacing w:before="120" w:after="160"/>
    </w:pPr>
    <w:rPr>
      <w:i/>
      <w:sz w:val="18"/>
    </w:rPr>
  </w:style>
  <w:style w:type="character" w:styleId="Hyperlink">
    <w:name w:val="Hyperlink"/>
    <w:basedOn w:val="DefaultParagraphFont"/>
    <w:uiPriority w:val="99"/>
    <w:rsid w:val="007A6232"/>
    <w:rPr>
      <w:color w:val="0000FF"/>
      <w:u w:val="single"/>
    </w:rPr>
  </w:style>
  <w:style w:type="paragraph" w:customStyle="1" w:styleId="Default">
    <w:name w:val="Default"/>
    <w:rsid w:val="00841789"/>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PlainText">
    <w:name w:val="Plain Text"/>
    <w:basedOn w:val="Normal"/>
    <w:link w:val="PlainTextChar1"/>
    <w:uiPriority w:val="99"/>
    <w:rsid w:val="00841789"/>
    <w:rPr>
      <w:sz w:val="21"/>
    </w:rPr>
  </w:style>
  <w:style w:type="character" w:customStyle="1" w:styleId="PlainTextChar">
    <w:name w:val="Plain Text Char"/>
    <w:basedOn w:val="DefaultParagraphFont"/>
    <w:uiPriority w:val="99"/>
    <w:rsid w:val="00841789"/>
    <w:rPr>
      <w:rFonts w:ascii="Consolas" w:hAnsi="Consolas" w:cs="Consolas"/>
      <w:sz w:val="21"/>
      <w:szCs w:val="21"/>
    </w:rPr>
  </w:style>
  <w:style w:type="character" w:customStyle="1" w:styleId="PlainTextChar1">
    <w:name w:val="Plain Text Char1"/>
    <w:basedOn w:val="DefaultParagraphFont"/>
    <w:link w:val="PlainText"/>
    <w:uiPriority w:val="99"/>
    <w:locked/>
    <w:rsid w:val="00841789"/>
    <w:rPr>
      <w:rFonts w:ascii="Times New Roman" w:eastAsia="Times New Roman" w:hAnsi="Times New Roman" w:cs="Times New Roman"/>
      <w:sz w:val="21"/>
      <w:szCs w:val="20"/>
    </w:rPr>
  </w:style>
  <w:style w:type="paragraph" w:styleId="BalloonText">
    <w:name w:val="Balloon Text"/>
    <w:basedOn w:val="Normal"/>
    <w:link w:val="BalloonTextChar"/>
    <w:rsid w:val="007A6232"/>
    <w:rPr>
      <w:rFonts w:ascii="Tahoma" w:hAnsi="Tahoma" w:cs="Tahoma"/>
      <w:sz w:val="16"/>
      <w:szCs w:val="16"/>
    </w:rPr>
  </w:style>
  <w:style w:type="character" w:customStyle="1" w:styleId="BalloonTextChar">
    <w:name w:val="Balloon Text Char"/>
    <w:basedOn w:val="DefaultParagraphFont"/>
    <w:link w:val="BalloonText"/>
    <w:rsid w:val="007A6232"/>
    <w:rPr>
      <w:rFonts w:ascii="Tahoma" w:eastAsia="Times New Roman" w:hAnsi="Tahoma" w:cs="Tahoma"/>
      <w:sz w:val="16"/>
      <w:szCs w:val="16"/>
    </w:rPr>
  </w:style>
  <w:style w:type="character" w:styleId="CommentReference">
    <w:name w:val="annotation reference"/>
    <w:semiHidden/>
    <w:rsid w:val="007A6232"/>
    <w:rPr>
      <w:sz w:val="16"/>
    </w:rPr>
  </w:style>
  <w:style w:type="paragraph" w:styleId="CommentText">
    <w:name w:val="annotation text"/>
    <w:basedOn w:val="Normal"/>
    <w:link w:val="CommentTextChar"/>
    <w:semiHidden/>
    <w:rsid w:val="007A6232"/>
    <w:pPr>
      <w:tabs>
        <w:tab w:val="left" w:pos="187"/>
      </w:tabs>
      <w:spacing w:after="120" w:line="220" w:lineRule="exact"/>
      <w:ind w:left="187" w:hanging="187"/>
    </w:pPr>
  </w:style>
  <w:style w:type="character" w:customStyle="1" w:styleId="CommentTextChar">
    <w:name w:val="Comment Text Char"/>
    <w:basedOn w:val="DefaultParagraphFont"/>
    <w:link w:val="CommentText"/>
    <w:semiHidden/>
    <w:rsid w:val="00187184"/>
    <w:rPr>
      <w:rFonts w:ascii="Times New Roman" w:eastAsia="Times New Roman" w:hAnsi="Times New Roman" w:cs="Times New Roman"/>
      <w:sz w:val="24"/>
      <w:szCs w:val="20"/>
    </w:rPr>
  </w:style>
  <w:style w:type="character" w:customStyle="1" w:styleId="Heading2Char">
    <w:name w:val="Heading 2 Char"/>
    <w:basedOn w:val="DefaultParagraphFont"/>
    <w:link w:val="Heading2"/>
    <w:rsid w:val="00CC4584"/>
    <w:rPr>
      <w:rFonts w:ascii="Calibri" w:eastAsia="Times New Roman" w:hAnsi="Calibri" w:cs="Times New Roman"/>
      <w:b/>
      <w:kern w:val="28"/>
      <w:szCs w:val="20"/>
    </w:rPr>
  </w:style>
  <w:style w:type="character" w:customStyle="1" w:styleId="author">
    <w:name w:val="author"/>
    <w:basedOn w:val="DefaultParagraphFont"/>
    <w:rsid w:val="006E270B"/>
  </w:style>
  <w:style w:type="character" w:customStyle="1" w:styleId="nlmsource">
    <w:name w:val="nlm_source"/>
    <w:basedOn w:val="DefaultParagraphFont"/>
    <w:rsid w:val="006E270B"/>
  </w:style>
  <w:style w:type="paragraph" w:styleId="Header">
    <w:name w:val="header"/>
    <w:basedOn w:val="Normal"/>
    <w:link w:val="HeaderChar"/>
    <w:rsid w:val="007A6232"/>
    <w:pPr>
      <w:keepLines/>
      <w:tabs>
        <w:tab w:val="center" w:pos="4320"/>
        <w:tab w:val="right" w:pos="8640"/>
      </w:tabs>
    </w:pPr>
  </w:style>
  <w:style w:type="character" w:customStyle="1" w:styleId="HeaderChar">
    <w:name w:val="Header Char"/>
    <w:basedOn w:val="DefaultParagraphFont"/>
    <w:link w:val="Header"/>
    <w:rsid w:val="00AB569A"/>
    <w:rPr>
      <w:rFonts w:ascii="Times New Roman" w:eastAsia="Times New Roman" w:hAnsi="Times New Roman" w:cs="Times New Roman"/>
      <w:sz w:val="24"/>
      <w:szCs w:val="20"/>
    </w:rPr>
  </w:style>
  <w:style w:type="paragraph" w:styleId="Footer">
    <w:name w:val="footer"/>
    <w:basedOn w:val="Normal"/>
    <w:link w:val="FooterChar"/>
    <w:uiPriority w:val="99"/>
    <w:rsid w:val="007A6232"/>
    <w:pPr>
      <w:keepLines/>
      <w:tabs>
        <w:tab w:val="center" w:pos="4320"/>
        <w:tab w:val="right" w:pos="8640"/>
      </w:tabs>
    </w:pPr>
  </w:style>
  <w:style w:type="character" w:customStyle="1" w:styleId="FooterChar">
    <w:name w:val="Footer Char"/>
    <w:basedOn w:val="DefaultParagraphFont"/>
    <w:link w:val="Footer"/>
    <w:uiPriority w:val="99"/>
    <w:rsid w:val="00AB569A"/>
    <w:rPr>
      <w:rFonts w:ascii="Times New Roman" w:eastAsia="Times New Roman" w:hAnsi="Times New Roman" w:cs="Times New Roman"/>
      <w:sz w:val="24"/>
      <w:szCs w:val="20"/>
    </w:rPr>
  </w:style>
  <w:style w:type="paragraph" w:customStyle="1" w:styleId="AttentionLine">
    <w:name w:val="Attention Line"/>
    <w:basedOn w:val="BodyText"/>
    <w:rsid w:val="007A6232"/>
    <w:rPr>
      <w:b/>
      <w:i/>
    </w:rPr>
  </w:style>
  <w:style w:type="paragraph" w:customStyle="1" w:styleId="BlockQuotation">
    <w:name w:val="Block Quotation"/>
    <w:basedOn w:val="BodyText"/>
    <w:rsid w:val="007A6232"/>
    <w:pPr>
      <w:keepLines/>
      <w:ind w:left="720" w:right="720"/>
    </w:pPr>
    <w:rPr>
      <w:i/>
    </w:rPr>
  </w:style>
  <w:style w:type="paragraph" w:customStyle="1" w:styleId="BlockQuotationFirst">
    <w:name w:val="Block Quotation First"/>
    <w:basedOn w:val="BlockQuotation"/>
    <w:next w:val="BlockQuotation"/>
    <w:rsid w:val="007A6232"/>
    <w:pPr>
      <w:spacing w:before="120"/>
    </w:pPr>
  </w:style>
  <w:style w:type="paragraph" w:customStyle="1" w:styleId="BlockQuotationLast">
    <w:name w:val="Block Quotation Last"/>
    <w:basedOn w:val="BlockQuotation"/>
    <w:next w:val="BodyText"/>
    <w:rsid w:val="007A6232"/>
    <w:pPr>
      <w:spacing w:after="240"/>
    </w:pPr>
  </w:style>
  <w:style w:type="paragraph" w:styleId="BodyTextIndent">
    <w:name w:val="Body Text Indent"/>
    <w:basedOn w:val="BodyText"/>
    <w:link w:val="BodyTextIndentChar"/>
    <w:rsid w:val="007A6232"/>
    <w:pPr>
      <w:ind w:left="360"/>
    </w:pPr>
  </w:style>
  <w:style w:type="character" w:customStyle="1" w:styleId="BodyTextIndentChar">
    <w:name w:val="Body Text Indent Char"/>
    <w:basedOn w:val="DefaultParagraphFont"/>
    <w:link w:val="BodyTextIndent"/>
    <w:rsid w:val="007A6232"/>
    <w:rPr>
      <w:rFonts w:ascii="Times New Roman" w:eastAsia="Times New Roman" w:hAnsi="Times New Roman" w:cs="Times New Roman"/>
      <w:sz w:val="24"/>
      <w:szCs w:val="20"/>
    </w:rPr>
  </w:style>
  <w:style w:type="paragraph" w:customStyle="1" w:styleId="BodyTextKeep">
    <w:name w:val="Body Text Keep"/>
    <w:basedOn w:val="BodyText"/>
    <w:rsid w:val="007A6232"/>
    <w:pPr>
      <w:keepNext/>
    </w:pPr>
  </w:style>
  <w:style w:type="paragraph" w:customStyle="1" w:styleId="ChapterLabel">
    <w:name w:val="Chapter Label"/>
    <w:basedOn w:val="Normal"/>
    <w:next w:val="Normal"/>
    <w:rsid w:val="007A6232"/>
    <w:pPr>
      <w:keepNext/>
      <w:spacing w:before="360"/>
      <w:jc w:val="center"/>
    </w:pPr>
    <w:rPr>
      <w:rFonts w:ascii="Arial" w:hAnsi="Arial"/>
      <w:b/>
      <w:kern w:val="28"/>
      <w:u w:val="single"/>
    </w:rPr>
  </w:style>
  <w:style w:type="paragraph" w:customStyle="1" w:styleId="ChapterSubtitle">
    <w:name w:val="Chapter Subtitle"/>
    <w:basedOn w:val="Normal"/>
    <w:next w:val="BodyText"/>
    <w:rsid w:val="007A6232"/>
    <w:pPr>
      <w:keepNext/>
      <w:keepLines/>
      <w:spacing w:before="360" w:after="360"/>
      <w:jc w:val="center"/>
    </w:pPr>
    <w:rPr>
      <w:rFonts w:ascii="Arial" w:hAnsi="Arial"/>
      <w:i/>
      <w:kern w:val="28"/>
      <w:sz w:val="28"/>
    </w:rPr>
  </w:style>
  <w:style w:type="paragraph" w:customStyle="1" w:styleId="ChapterTitle">
    <w:name w:val="Chapter Title"/>
    <w:basedOn w:val="Normal"/>
    <w:next w:val="ChapterSubtitle"/>
    <w:rsid w:val="007A6232"/>
    <w:pPr>
      <w:keepNext/>
      <w:keepLines/>
      <w:spacing w:before="600"/>
      <w:jc w:val="center"/>
    </w:pPr>
    <w:rPr>
      <w:rFonts w:ascii="Arial" w:hAnsi="Arial"/>
      <w:b/>
      <w:kern w:val="28"/>
      <w:sz w:val="32"/>
    </w:rPr>
  </w:style>
  <w:style w:type="paragraph" w:styleId="Date">
    <w:name w:val="Date"/>
    <w:basedOn w:val="BodyText"/>
    <w:link w:val="DateChar"/>
    <w:rsid w:val="007A6232"/>
    <w:pPr>
      <w:spacing w:before="480"/>
    </w:pPr>
    <w:rPr>
      <w:b/>
    </w:rPr>
  </w:style>
  <w:style w:type="character" w:customStyle="1" w:styleId="DateChar">
    <w:name w:val="Date Char"/>
    <w:basedOn w:val="DefaultParagraphFont"/>
    <w:link w:val="Date"/>
    <w:rsid w:val="007A6232"/>
    <w:rPr>
      <w:rFonts w:ascii="Times New Roman" w:eastAsia="Times New Roman" w:hAnsi="Times New Roman" w:cs="Times New Roman"/>
      <w:b/>
      <w:sz w:val="24"/>
      <w:szCs w:val="20"/>
    </w:rPr>
  </w:style>
  <w:style w:type="paragraph" w:customStyle="1" w:styleId="DocumentLabel">
    <w:name w:val="Document Label"/>
    <w:basedOn w:val="Normal"/>
    <w:rsid w:val="007A6232"/>
    <w:pPr>
      <w:keepNext/>
      <w:spacing w:before="240" w:after="360"/>
    </w:pPr>
    <w:rPr>
      <w:b/>
      <w:kern w:val="28"/>
      <w:sz w:val="36"/>
    </w:rPr>
  </w:style>
  <w:style w:type="character" w:styleId="EndnoteReference">
    <w:name w:val="endnote reference"/>
    <w:semiHidden/>
    <w:rsid w:val="007A6232"/>
    <w:rPr>
      <w:vertAlign w:val="superscript"/>
    </w:rPr>
  </w:style>
  <w:style w:type="paragraph" w:styleId="EndnoteText">
    <w:name w:val="endnote text"/>
    <w:basedOn w:val="Normal"/>
    <w:link w:val="EndnoteTextChar"/>
    <w:semiHidden/>
    <w:rsid w:val="007A6232"/>
    <w:pPr>
      <w:tabs>
        <w:tab w:val="left" w:pos="187"/>
      </w:tabs>
      <w:spacing w:after="120" w:line="220" w:lineRule="exact"/>
      <w:ind w:left="187" w:hanging="187"/>
    </w:pPr>
    <w:rPr>
      <w:sz w:val="18"/>
    </w:rPr>
  </w:style>
  <w:style w:type="character" w:customStyle="1" w:styleId="EndnoteTextChar">
    <w:name w:val="Endnote Text Char"/>
    <w:basedOn w:val="DefaultParagraphFont"/>
    <w:link w:val="EndnoteText"/>
    <w:semiHidden/>
    <w:rsid w:val="007A6232"/>
    <w:rPr>
      <w:rFonts w:ascii="Times New Roman" w:eastAsia="Times New Roman" w:hAnsi="Times New Roman" w:cs="Times New Roman"/>
      <w:sz w:val="18"/>
      <w:szCs w:val="20"/>
    </w:rPr>
  </w:style>
  <w:style w:type="character" w:styleId="FollowedHyperlink">
    <w:name w:val="FollowedHyperlink"/>
    <w:basedOn w:val="DefaultParagraphFont"/>
    <w:rsid w:val="007A6232"/>
    <w:rPr>
      <w:color w:val="800080"/>
      <w:u w:val="single"/>
    </w:rPr>
  </w:style>
  <w:style w:type="paragraph" w:customStyle="1" w:styleId="FooterEven">
    <w:name w:val="Footer Even"/>
    <w:basedOn w:val="Footer"/>
    <w:rsid w:val="007A6232"/>
  </w:style>
  <w:style w:type="paragraph" w:customStyle="1" w:styleId="FooterFirst">
    <w:name w:val="Footer First"/>
    <w:basedOn w:val="Footer"/>
    <w:rsid w:val="007A6232"/>
    <w:pPr>
      <w:tabs>
        <w:tab w:val="clear" w:pos="8640"/>
      </w:tabs>
      <w:jc w:val="center"/>
    </w:pPr>
  </w:style>
  <w:style w:type="paragraph" w:customStyle="1" w:styleId="FooterOdd">
    <w:name w:val="Footer Odd"/>
    <w:basedOn w:val="Footer"/>
    <w:rsid w:val="007A6232"/>
    <w:pPr>
      <w:tabs>
        <w:tab w:val="right" w:pos="0"/>
      </w:tabs>
      <w:jc w:val="right"/>
    </w:pPr>
  </w:style>
  <w:style w:type="paragraph" w:customStyle="1" w:styleId="FootnoteBase">
    <w:name w:val="Footnote Base"/>
    <w:basedOn w:val="Normal"/>
    <w:rsid w:val="007A6232"/>
    <w:pPr>
      <w:tabs>
        <w:tab w:val="left" w:pos="187"/>
      </w:tabs>
      <w:spacing w:line="220" w:lineRule="exact"/>
      <w:ind w:left="187" w:hanging="187"/>
    </w:pPr>
    <w:rPr>
      <w:sz w:val="18"/>
    </w:rPr>
  </w:style>
  <w:style w:type="character" w:styleId="FootnoteReference">
    <w:name w:val="footnote reference"/>
    <w:semiHidden/>
    <w:rsid w:val="007A6232"/>
    <w:rPr>
      <w:vertAlign w:val="superscript"/>
    </w:rPr>
  </w:style>
  <w:style w:type="paragraph" w:styleId="FootnoteText">
    <w:name w:val="footnote text"/>
    <w:basedOn w:val="FootnoteBase"/>
    <w:link w:val="FootnoteTextChar"/>
    <w:semiHidden/>
    <w:rsid w:val="007A6232"/>
    <w:pPr>
      <w:spacing w:after="120"/>
    </w:pPr>
  </w:style>
  <w:style w:type="character" w:customStyle="1" w:styleId="FootnoteTextChar">
    <w:name w:val="Footnote Text Char"/>
    <w:basedOn w:val="DefaultParagraphFont"/>
    <w:link w:val="FootnoteText"/>
    <w:semiHidden/>
    <w:rsid w:val="007A6232"/>
    <w:rPr>
      <w:rFonts w:ascii="Times New Roman" w:eastAsia="Times New Roman" w:hAnsi="Times New Roman" w:cs="Times New Roman"/>
      <w:sz w:val="18"/>
      <w:szCs w:val="20"/>
    </w:rPr>
  </w:style>
  <w:style w:type="paragraph" w:customStyle="1" w:styleId="HeaderBase">
    <w:name w:val="Header Base"/>
    <w:basedOn w:val="Normal"/>
    <w:rsid w:val="007A6232"/>
    <w:pPr>
      <w:keepLines/>
      <w:tabs>
        <w:tab w:val="center" w:pos="4320"/>
        <w:tab w:val="right" w:pos="8640"/>
      </w:tabs>
    </w:pPr>
  </w:style>
  <w:style w:type="paragraph" w:customStyle="1" w:styleId="HeaderEven">
    <w:name w:val="Header Even"/>
    <w:basedOn w:val="Header"/>
    <w:rsid w:val="007A6232"/>
  </w:style>
  <w:style w:type="paragraph" w:customStyle="1" w:styleId="HeaderFirst">
    <w:name w:val="Header First"/>
    <w:basedOn w:val="Header"/>
    <w:rsid w:val="007A6232"/>
    <w:pPr>
      <w:tabs>
        <w:tab w:val="clear" w:pos="8640"/>
      </w:tabs>
      <w:jc w:val="center"/>
    </w:pPr>
  </w:style>
  <w:style w:type="paragraph" w:customStyle="1" w:styleId="HeaderOdd">
    <w:name w:val="Header Odd"/>
    <w:basedOn w:val="Header"/>
    <w:rsid w:val="007A6232"/>
    <w:pPr>
      <w:tabs>
        <w:tab w:val="right" w:pos="0"/>
      </w:tabs>
      <w:jc w:val="right"/>
    </w:pPr>
  </w:style>
  <w:style w:type="character" w:customStyle="1" w:styleId="Heading1Char">
    <w:name w:val="Heading 1 Char"/>
    <w:basedOn w:val="DefaultParagraphFont"/>
    <w:link w:val="Heading1"/>
    <w:rsid w:val="0077527A"/>
    <w:rPr>
      <w:rFonts w:ascii="Calibri" w:eastAsia="Times New Roman" w:hAnsi="Calibri" w:cs="Times New Roman"/>
      <w:b/>
      <w:kern w:val="28"/>
      <w:szCs w:val="20"/>
    </w:rPr>
  </w:style>
  <w:style w:type="character" w:customStyle="1" w:styleId="Heading3Char">
    <w:name w:val="Heading 3 Char"/>
    <w:basedOn w:val="DefaultParagraphFont"/>
    <w:link w:val="Heading3"/>
    <w:rsid w:val="005413F4"/>
    <w:rPr>
      <w:rFonts w:ascii="Calibri" w:eastAsia="Times New Roman" w:hAnsi="Calibri" w:cs="Times New Roman"/>
      <w:b/>
      <w:kern w:val="28"/>
      <w:szCs w:val="20"/>
    </w:rPr>
  </w:style>
  <w:style w:type="character" w:customStyle="1" w:styleId="Heading4Char">
    <w:name w:val="Heading 4 Char"/>
    <w:basedOn w:val="DefaultParagraphFont"/>
    <w:link w:val="Heading4"/>
    <w:rsid w:val="007A6232"/>
    <w:rPr>
      <w:rFonts w:ascii="Times New Roman" w:eastAsia="Times New Roman" w:hAnsi="Times New Roman" w:cs="Times New Roman"/>
      <w:b/>
      <w:i/>
      <w:kern w:val="28"/>
      <w:sz w:val="24"/>
      <w:szCs w:val="20"/>
    </w:rPr>
  </w:style>
  <w:style w:type="character" w:customStyle="1" w:styleId="Heading5Char">
    <w:name w:val="Heading 5 Char"/>
    <w:basedOn w:val="DefaultParagraphFont"/>
    <w:link w:val="Heading5"/>
    <w:rsid w:val="007A6232"/>
    <w:rPr>
      <w:rFonts w:ascii="Arial" w:eastAsia="Times New Roman" w:hAnsi="Arial" w:cs="Times New Roman"/>
      <w:b/>
      <w:kern w:val="28"/>
      <w:sz w:val="24"/>
      <w:szCs w:val="20"/>
    </w:rPr>
  </w:style>
  <w:style w:type="character" w:customStyle="1" w:styleId="Heading6Char">
    <w:name w:val="Heading 6 Char"/>
    <w:basedOn w:val="DefaultParagraphFont"/>
    <w:link w:val="Heading6"/>
    <w:rsid w:val="007A6232"/>
    <w:rPr>
      <w:rFonts w:ascii="Arial" w:eastAsia="Times New Roman" w:hAnsi="Arial" w:cs="Times New Roman"/>
      <w:b/>
      <w:i/>
      <w:kern w:val="28"/>
      <w:sz w:val="24"/>
      <w:szCs w:val="20"/>
    </w:rPr>
  </w:style>
  <w:style w:type="character" w:customStyle="1" w:styleId="Heading7Char">
    <w:name w:val="Heading 7 Char"/>
    <w:basedOn w:val="DefaultParagraphFont"/>
    <w:link w:val="Heading7"/>
    <w:rsid w:val="007A6232"/>
    <w:rPr>
      <w:rFonts w:ascii="Times New Roman" w:eastAsia="Times New Roman" w:hAnsi="Times New Roman" w:cs="Times New Roman"/>
      <w:b/>
      <w:kern w:val="28"/>
      <w:sz w:val="24"/>
      <w:szCs w:val="20"/>
    </w:rPr>
  </w:style>
  <w:style w:type="character" w:customStyle="1" w:styleId="Heading8Char">
    <w:name w:val="Heading 8 Char"/>
    <w:basedOn w:val="DefaultParagraphFont"/>
    <w:link w:val="Heading8"/>
    <w:rsid w:val="007A6232"/>
    <w:rPr>
      <w:rFonts w:ascii="Times New Roman" w:eastAsia="Times New Roman" w:hAnsi="Times New Roman" w:cs="Times New Roman"/>
      <w:b/>
      <w:i/>
      <w:kern w:val="28"/>
      <w:sz w:val="24"/>
      <w:szCs w:val="20"/>
    </w:rPr>
  </w:style>
  <w:style w:type="character" w:customStyle="1" w:styleId="Heading9Char">
    <w:name w:val="Heading 9 Char"/>
    <w:basedOn w:val="DefaultParagraphFont"/>
    <w:link w:val="Heading9"/>
    <w:rsid w:val="007A6232"/>
    <w:rPr>
      <w:rFonts w:ascii="Times New Roman" w:eastAsia="Times New Roman" w:hAnsi="Times New Roman" w:cs="Times New Roman"/>
      <w:b/>
      <w:i/>
      <w:kern w:val="28"/>
      <w:sz w:val="24"/>
      <w:szCs w:val="20"/>
    </w:rPr>
  </w:style>
  <w:style w:type="paragraph" w:customStyle="1" w:styleId="HeadingBase">
    <w:name w:val="Heading Base"/>
    <w:basedOn w:val="Normal"/>
    <w:next w:val="BodyText"/>
    <w:rsid w:val="007A6232"/>
    <w:pPr>
      <w:keepNext/>
      <w:keepLines/>
      <w:spacing w:before="240" w:after="120"/>
    </w:pPr>
    <w:rPr>
      <w:rFonts w:ascii="Arial" w:hAnsi="Arial"/>
      <w:b/>
      <w:kern w:val="28"/>
      <w:sz w:val="36"/>
    </w:rPr>
  </w:style>
  <w:style w:type="paragraph" w:customStyle="1" w:styleId="Heading10">
    <w:name w:val="Heading1"/>
    <w:basedOn w:val="BodyText"/>
    <w:rsid w:val="007A6232"/>
  </w:style>
  <w:style w:type="paragraph" w:styleId="Index1">
    <w:name w:val="index 1"/>
    <w:basedOn w:val="Normal"/>
    <w:semiHidden/>
    <w:rsid w:val="007A6232"/>
    <w:pPr>
      <w:tabs>
        <w:tab w:val="right" w:leader="dot" w:pos="3960"/>
      </w:tabs>
      <w:ind w:left="720" w:hanging="720"/>
    </w:pPr>
  </w:style>
  <w:style w:type="paragraph" w:styleId="Index2">
    <w:name w:val="index 2"/>
    <w:basedOn w:val="Normal"/>
    <w:semiHidden/>
    <w:rsid w:val="007A6232"/>
    <w:pPr>
      <w:tabs>
        <w:tab w:val="right" w:leader="dot" w:pos="3960"/>
      </w:tabs>
      <w:ind w:left="1080" w:hanging="720"/>
    </w:pPr>
  </w:style>
  <w:style w:type="paragraph" w:styleId="Index3">
    <w:name w:val="index 3"/>
    <w:basedOn w:val="Normal"/>
    <w:semiHidden/>
    <w:rsid w:val="007A6232"/>
    <w:pPr>
      <w:tabs>
        <w:tab w:val="right" w:leader="dot" w:pos="3960"/>
      </w:tabs>
      <w:ind w:left="1440" w:hanging="720"/>
    </w:pPr>
  </w:style>
  <w:style w:type="paragraph" w:styleId="Index4">
    <w:name w:val="index 4"/>
    <w:basedOn w:val="Normal"/>
    <w:semiHidden/>
    <w:rsid w:val="007A6232"/>
    <w:pPr>
      <w:tabs>
        <w:tab w:val="right" w:leader="dot" w:pos="3960"/>
      </w:tabs>
      <w:ind w:left="1800" w:hanging="720"/>
    </w:pPr>
  </w:style>
  <w:style w:type="paragraph" w:styleId="Index5">
    <w:name w:val="index 5"/>
    <w:basedOn w:val="Normal"/>
    <w:semiHidden/>
    <w:rsid w:val="007A6232"/>
    <w:pPr>
      <w:tabs>
        <w:tab w:val="right" w:leader="dot" w:pos="3960"/>
      </w:tabs>
      <w:ind w:left="2160" w:hanging="720"/>
    </w:pPr>
  </w:style>
  <w:style w:type="paragraph" w:styleId="Index6">
    <w:name w:val="index 6"/>
    <w:basedOn w:val="Normal"/>
    <w:semiHidden/>
    <w:rsid w:val="007A6232"/>
    <w:pPr>
      <w:tabs>
        <w:tab w:val="right" w:leader="dot" w:pos="3960"/>
      </w:tabs>
      <w:ind w:left="1800" w:hanging="720"/>
    </w:pPr>
  </w:style>
  <w:style w:type="paragraph" w:styleId="Index7">
    <w:name w:val="index 7"/>
    <w:basedOn w:val="Normal"/>
    <w:semiHidden/>
    <w:rsid w:val="007A6232"/>
    <w:pPr>
      <w:tabs>
        <w:tab w:val="right" w:leader="dot" w:pos="3960"/>
      </w:tabs>
      <w:ind w:left="2160" w:hanging="720"/>
    </w:pPr>
  </w:style>
  <w:style w:type="paragraph" w:styleId="Index8">
    <w:name w:val="index 8"/>
    <w:basedOn w:val="Normal"/>
    <w:semiHidden/>
    <w:rsid w:val="007A6232"/>
    <w:pPr>
      <w:tabs>
        <w:tab w:val="right" w:leader="dot" w:pos="3960"/>
      </w:tabs>
      <w:ind w:left="2520" w:hanging="720"/>
    </w:pPr>
  </w:style>
  <w:style w:type="paragraph" w:styleId="Index9">
    <w:name w:val="index 9"/>
    <w:basedOn w:val="Normal"/>
    <w:semiHidden/>
    <w:rsid w:val="007A6232"/>
    <w:pPr>
      <w:tabs>
        <w:tab w:val="right" w:leader="dot" w:pos="3960"/>
      </w:tabs>
      <w:ind w:left="2880" w:hanging="720"/>
    </w:pPr>
  </w:style>
  <w:style w:type="paragraph" w:customStyle="1" w:styleId="IndexBase">
    <w:name w:val="Index Base"/>
    <w:basedOn w:val="Normal"/>
    <w:rsid w:val="007A6232"/>
    <w:pPr>
      <w:tabs>
        <w:tab w:val="right" w:leader="dot" w:pos="3960"/>
      </w:tabs>
      <w:ind w:left="720" w:hanging="720"/>
    </w:pPr>
  </w:style>
  <w:style w:type="paragraph" w:styleId="IndexHeading">
    <w:name w:val="index heading"/>
    <w:basedOn w:val="Normal"/>
    <w:next w:val="Index1"/>
    <w:semiHidden/>
    <w:rsid w:val="007A6232"/>
    <w:pPr>
      <w:keepNext/>
      <w:spacing w:before="240"/>
    </w:pPr>
    <w:rPr>
      <w:rFonts w:ascii="Arial" w:hAnsi="Arial"/>
      <w:b/>
      <w:kern w:val="28"/>
      <w:sz w:val="28"/>
    </w:rPr>
  </w:style>
  <w:style w:type="paragraph" w:customStyle="1" w:styleId="insert">
    <w:name w:val="insert"/>
    <w:basedOn w:val="BodyText"/>
    <w:next w:val="BodyText"/>
    <w:rsid w:val="007A6232"/>
    <w:rPr>
      <w:i/>
      <w:color w:val="FF0000"/>
    </w:rPr>
  </w:style>
  <w:style w:type="character" w:customStyle="1" w:styleId="Lead-inEmphasis">
    <w:name w:val="Lead-in Emphasis"/>
    <w:rsid w:val="007A6232"/>
    <w:rPr>
      <w:b/>
      <w:i/>
    </w:rPr>
  </w:style>
  <w:style w:type="character" w:styleId="LineNumber">
    <w:name w:val="line number"/>
    <w:rsid w:val="007A6232"/>
    <w:rPr>
      <w:rFonts w:ascii="Arial" w:hAnsi="Arial"/>
      <w:sz w:val="18"/>
    </w:rPr>
  </w:style>
  <w:style w:type="paragraph" w:styleId="List">
    <w:name w:val="List"/>
    <w:basedOn w:val="BodyText"/>
    <w:rsid w:val="007A6232"/>
    <w:pPr>
      <w:tabs>
        <w:tab w:val="left" w:pos="720"/>
      </w:tabs>
      <w:spacing w:after="80"/>
      <w:ind w:left="720" w:hanging="360"/>
    </w:pPr>
  </w:style>
  <w:style w:type="paragraph" w:styleId="List2">
    <w:name w:val="List 2"/>
    <w:basedOn w:val="List"/>
    <w:rsid w:val="007A6232"/>
    <w:pPr>
      <w:tabs>
        <w:tab w:val="clear" w:pos="720"/>
        <w:tab w:val="left" w:pos="1080"/>
      </w:tabs>
      <w:ind w:left="1080"/>
    </w:pPr>
  </w:style>
  <w:style w:type="paragraph" w:styleId="List3">
    <w:name w:val="List 3"/>
    <w:basedOn w:val="List"/>
    <w:rsid w:val="007A6232"/>
    <w:pPr>
      <w:tabs>
        <w:tab w:val="clear" w:pos="720"/>
        <w:tab w:val="left" w:pos="1440"/>
      </w:tabs>
      <w:ind w:left="1440"/>
    </w:pPr>
  </w:style>
  <w:style w:type="paragraph" w:styleId="List4">
    <w:name w:val="List 4"/>
    <w:basedOn w:val="List"/>
    <w:rsid w:val="007A6232"/>
    <w:pPr>
      <w:tabs>
        <w:tab w:val="clear" w:pos="720"/>
        <w:tab w:val="left" w:pos="1800"/>
      </w:tabs>
      <w:ind w:left="1800"/>
    </w:pPr>
  </w:style>
  <w:style w:type="paragraph" w:styleId="List5">
    <w:name w:val="List 5"/>
    <w:basedOn w:val="List"/>
    <w:rsid w:val="007A6232"/>
    <w:pPr>
      <w:tabs>
        <w:tab w:val="clear" w:pos="720"/>
        <w:tab w:val="left" w:pos="2160"/>
      </w:tabs>
      <w:ind w:left="2160"/>
    </w:pPr>
  </w:style>
  <w:style w:type="paragraph" w:styleId="ListBullet">
    <w:name w:val="List Bullet"/>
    <w:basedOn w:val="List"/>
    <w:rsid w:val="007A6232"/>
    <w:pPr>
      <w:tabs>
        <w:tab w:val="clear" w:pos="720"/>
      </w:tabs>
      <w:spacing w:after="160"/>
    </w:pPr>
  </w:style>
  <w:style w:type="paragraph" w:styleId="ListBullet2">
    <w:name w:val="List Bullet 2"/>
    <w:basedOn w:val="ListBullet"/>
    <w:rsid w:val="007A6232"/>
    <w:pPr>
      <w:ind w:left="1080"/>
    </w:pPr>
  </w:style>
  <w:style w:type="paragraph" w:styleId="ListBullet3">
    <w:name w:val="List Bullet 3"/>
    <w:basedOn w:val="ListBullet"/>
    <w:rsid w:val="007A6232"/>
    <w:pPr>
      <w:ind w:left="1440"/>
    </w:pPr>
  </w:style>
  <w:style w:type="paragraph" w:styleId="ListBullet4">
    <w:name w:val="List Bullet 4"/>
    <w:basedOn w:val="ListBullet"/>
    <w:rsid w:val="007A6232"/>
    <w:pPr>
      <w:ind w:left="1800"/>
    </w:pPr>
  </w:style>
  <w:style w:type="paragraph" w:styleId="ListBullet5">
    <w:name w:val="List Bullet 5"/>
    <w:basedOn w:val="ListBullet"/>
    <w:rsid w:val="007A6232"/>
    <w:pPr>
      <w:ind w:left="2160"/>
    </w:pPr>
  </w:style>
  <w:style w:type="paragraph" w:customStyle="1" w:styleId="ListBulletFirst">
    <w:name w:val="List Bullet First"/>
    <w:basedOn w:val="ListBullet"/>
    <w:next w:val="ListBullet"/>
    <w:rsid w:val="007A6232"/>
    <w:pPr>
      <w:spacing w:before="80"/>
    </w:pPr>
  </w:style>
  <w:style w:type="paragraph" w:customStyle="1" w:styleId="ListBulletLast">
    <w:name w:val="List Bullet Last"/>
    <w:basedOn w:val="ListBullet"/>
    <w:next w:val="BodyText"/>
    <w:rsid w:val="007A6232"/>
    <w:pPr>
      <w:spacing w:after="240"/>
    </w:pPr>
  </w:style>
  <w:style w:type="paragraph" w:styleId="ListContinue">
    <w:name w:val="List Continue"/>
    <w:basedOn w:val="List"/>
    <w:rsid w:val="007A6232"/>
    <w:pPr>
      <w:tabs>
        <w:tab w:val="clear" w:pos="720"/>
      </w:tabs>
      <w:spacing w:after="160"/>
    </w:pPr>
  </w:style>
  <w:style w:type="paragraph" w:styleId="ListContinue2">
    <w:name w:val="List Continue 2"/>
    <w:basedOn w:val="ListContinue"/>
    <w:rsid w:val="007A6232"/>
    <w:pPr>
      <w:ind w:left="1080"/>
    </w:pPr>
  </w:style>
  <w:style w:type="paragraph" w:styleId="ListContinue3">
    <w:name w:val="List Continue 3"/>
    <w:basedOn w:val="ListContinue"/>
    <w:rsid w:val="007A6232"/>
    <w:pPr>
      <w:ind w:left="1440"/>
    </w:pPr>
  </w:style>
  <w:style w:type="paragraph" w:styleId="ListContinue4">
    <w:name w:val="List Continue 4"/>
    <w:basedOn w:val="ListContinue"/>
    <w:rsid w:val="007A6232"/>
    <w:pPr>
      <w:ind w:left="1800"/>
    </w:pPr>
  </w:style>
  <w:style w:type="paragraph" w:styleId="ListContinue5">
    <w:name w:val="List Continue 5"/>
    <w:basedOn w:val="ListContinue"/>
    <w:rsid w:val="007A6232"/>
    <w:pPr>
      <w:ind w:left="2160"/>
    </w:pPr>
  </w:style>
  <w:style w:type="paragraph" w:customStyle="1" w:styleId="ListFirst">
    <w:name w:val="List First"/>
    <w:basedOn w:val="List"/>
    <w:next w:val="List"/>
    <w:rsid w:val="007A6232"/>
    <w:pPr>
      <w:spacing w:before="80"/>
    </w:pPr>
  </w:style>
  <w:style w:type="paragraph" w:customStyle="1" w:styleId="ListLast">
    <w:name w:val="List Last"/>
    <w:basedOn w:val="List"/>
    <w:next w:val="BodyText"/>
    <w:rsid w:val="007A6232"/>
    <w:pPr>
      <w:spacing w:after="240"/>
    </w:pPr>
  </w:style>
  <w:style w:type="paragraph" w:styleId="ListNumber">
    <w:name w:val="List Number"/>
    <w:basedOn w:val="List"/>
    <w:rsid w:val="007A6232"/>
    <w:pPr>
      <w:tabs>
        <w:tab w:val="clear" w:pos="720"/>
      </w:tabs>
      <w:spacing w:after="160"/>
    </w:pPr>
  </w:style>
  <w:style w:type="paragraph" w:styleId="ListNumber2">
    <w:name w:val="List Number 2"/>
    <w:basedOn w:val="ListNumber"/>
    <w:rsid w:val="007A6232"/>
    <w:pPr>
      <w:ind w:left="1080"/>
    </w:pPr>
  </w:style>
  <w:style w:type="paragraph" w:styleId="ListNumber3">
    <w:name w:val="List Number 3"/>
    <w:basedOn w:val="ListNumber"/>
    <w:rsid w:val="007A6232"/>
    <w:pPr>
      <w:ind w:left="1440"/>
    </w:pPr>
  </w:style>
  <w:style w:type="paragraph" w:styleId="ListNumber4">
    <w:name w:val="List Number 4"/>
    <w:basedOn w:val="ListNumber"/>
    <w:rsid w:val="007A6232"/>
    <w:pPr>
      <w:ind w:left="1800"/>
    </w:pPr>
  </w:style>
  <w:style w:type="paragraph" w:styleId="ListNumber5">
    <w:name w:val="List Number 5"/>
    <w:basedOn w:val="ListNumber"/>
    <w:rsid w:val="007A6232"/>
    <w:pPr>
      <w:ind w:left="2160"/>
    </w:pPr>
  </w:style>
  <w:style w:type="paragraph" w:customStyle="1" w:styleId="ListNumberFirst">
    <w:name w:val="List Number First"/>
    <w:basedOn w:val="ListNumber"/>
    <w:next w:val="ListNumber"/>
    <w:rsid w:val="007A6232"/>
    <w:pPr>
      <w:spacing w:before="80"/>
    </w:pPr>
  </w:style>
  <w:style w:type="paragraph" w:customStyle="1" w:styleId="ListNumberLast">
    <w:name w:val="List Number Last"/>
    <w:basedOn w:val="ListNumber"/>
    <w:next w:val="BodyText"/>
    <w:rsid w:val="007A6232"/>
    <w:pPr>
      <w:spacing w:after="240"/>
    </w:pPr>
  </w:style>
  <w:style w:type="paragraph" w:styleId="MacroText">
    <w:name w:val="macro"/>
    <w:basedOn w:val="BodyText"/>
    <w:link w:val="MacroTextChar"/>
    <w:semiHidden/>
    <w:rsid w:val="007A6232"/>
    <w:pPr>
      <w:spacing w:after="120"/>
    </w:pPr>
    <w:rPr>
      <w:rFonts w:ascii="Courier New" w:hAnsi="Courier New"/>
    </w:rPr>
  </w:style>
  <w:style w:type="character" w:customStyle="1" w:styleId="MacroTextChar">
    <w:name w:val="Macro Text Char"/>
    <w:basedOn w:val="DefaultParagraphFont"/>
    <w:link w:val="MacroText"/>
    <w:semiHidden/>
    <w:rsid w:val="007A6232"/>
    <w:rPr>
      <w:rFonts w:ascii="Courier New" w:eastAsia="Times New Roman" w:hAnsi="Courier New" w:cs="Times New Roman"/>
      <w:sz w:val="24"/>
      <w:szCs w:val="20"/>
    </w:rPr>
  </w:style>
  <w:style w:type="paragraph" w:styleId="MessageHeader">
    <w:name w:val="Message Header"/>
    <w:basedOn w:val="BodyText"/>
    <w:link w:val="MessageHeaderChar"/>
    <w:rsid w:val="007A6232"/>
    <w:pPr>
      <w:keepLines/>
      <w:tabs>
        <w:tab w:val="left" w:pos="3600"/>
        <w:tab w:val="left" w:pos="4680"/>
      </w:tabs>
      <w:spacing w:after="240"/>
      <w:ind w:left="1080" w:right="2880" w:hanging="1080"/>
    </w:pPr>
    <w:rPr>
      <w:rFonts w:ascii="Arial" w:hAnsi="Arial"/>
    </w:rPr>
  </w:style>
  <w:style w:type="character" w:customStyle="1" w:styleId="MessageHeaderChar">
    <w:name w:val="Message Header Char"/>
    <w:basedOn w:val="DefaultParagraphFont"/>
    <w:link w:val="MessageHeader"/>
    <w:rsid w:val="007A6232"/>
    <w:rPr>
      <w:rFonts w:ascii="Arial" w:eastAsia="Times New Roman" w:hAnsi="Arial" w:cs="Times New Roman"/>
      <w:sz w:val="24"/>
      <w:szCs w:val="20"/>
    </w:rPr>
  </w:style>
  <w:style w:type="paragraph" w:styleId="NormalWeb">
    <w:name w:val="Normal (Web)"/>
    <w:basedOn w:val="Normal"/>
    <w:uiPriority w:val="99"/>
    <w:rsid w:val="007A6232"/>
    <w:pPr>
      <w:spacing w:before="100" w:beforeAutospacing="1" w:after="100" w:afterAutospacing="1"/>
    </w:pPr>
    <w:rPr>
      <w:szCs w:val="24"/>
    </w:rPr>
  </w:style>
  <w:style w:type="paragraph" w:customStyle="1" w:styleId="Option">
    <w:name w:val="Option"/>
    <w:basedOn w:val="Normal"/>
    <w:next w:val="ListContinue"/>
    <w:rsid w:val="007A6232"/>
    <w:pPr>
      <w:keepNext/>
      <w:spacing w:before="160"/>
      <w:ind w:left="288"/>
    </w:pPr>
    <w:rPr>
      <w:i/>
    </w:rPr>
  </w:style>
  <w:style w:type="character" w:styleId="PageNumber">
    <w:name w:val="page number"/>
    <w:rsid w:val="007A6232"/>
    <w:rPr>
      <w:b/>
    </w:rPr>
  </w:style>
  <w:style w:type="paragraph" w:customStyle="1" w:styleId="PartLabel">
    <w:name w:val="Part Label"/>
    <w:basedOn w:val="HeadingBase"/>
    <w:next w:val="Normal"/>
    <w:rsid w:val="007A6232"/>
    <w:pPr>
      <w:spacing w:before="600" w:after="160"/>
      <w:jc w:val="center"/>
    </w:pPr>
    <w:rPr>
      <w:b w:val="0"/>
      <w:sz w:val="24"/>
      <w:u w:val="single"/>
    </w:rPr>
  </w:style>
  <w:style w:type="paragraph" w:customStyle="1" w:styleId="PartSubtitle">
    <w:name w:val="Part Subtitle"/>
    <w:basedOn w:val="Normal"/>
    <w:next w:val="BodyText"/>
    <w:rsid w:val="007A6232"/>
    <w:pPr>
      <w:keepNext/>
      <w:spacing w:before="360" w:after="120"/>
      <w:jc w:val="center"/>
    </w:pPr>
    <w:rPr>
      <w:rFonts w:ascii="Arial" w:hAnsi="Arial"/>
      <w:i/>
      <w:kern w:val="28"/>
      <w:sz w:val="32"/>
    </w:rPr>
  </w:style>
  <w:style w:type="paragraph" w:customStyle="1" w:styleId="PartTitle">
    <w:name w:val="Part Title"/>
    <w:basedOn w:val="HeadingBase"/>
    <w:next w:val="PartSubtitle"/>
    <w:rsid w:val="007A6232"/>
    <w:pPr>
      <w:spacing w:before="600"/>
      <w:jc w:val="center"/>
    </w:pPr>
  </w:style>
  <w:style w:type="paragraph" w:customStyle="1" w:styleId="Picture">
    <w:name w:val="Picture"/>
    <w:basedOn w:val="BodyText"/>
    <w:next w:val="Caption"/>
    <w:rsid w:val="007A6232"/>
    <w:pPr>
      <w:keepNext/>
    </w:pPr>
  </w:style>
  <w:style w:type="paragraph" w:customStyle="1" w:styleId="SectionHeading">
    <w:name w:val="Section Heading"/>
    <w:basedOn w:val="HeadingBase"/>
    <w:rsid w:val="007A6232"/>
    <w:pPr>
      <w:spacing w:after="80"/>
    </w:pPr>
    <w:rPr>
      <w:sz w:val="28"/>
    </w:rPr>
  </w:style>
  <w:style w:type="paragraph" w:customStyle="1" w:styleId="SectionLabel">
    <w:name w:val="Section Label"/>
    <w:basedOn w:val="HeadingBase"/>
    <w:next w:val="BodyText"/>
    <w:rsid w:val="007A6232"/>
    <w:pPr>
      <w:spacing w:after="360"/>
      <w:jc w:val="center"/>
    </w:pPr>
  </w:style>
  <w:style w:type="paragraph" w:customStyle="1" w:styleId="space">
    <w:name w:val="space"/>
    <w:basedOn w:val="BodyText"/>
    <w:rsid w:val="007A6232"/>
    <w:pPr>
      <w:spacing w:after="0"/>
      <w:jc w:val="both"/>
    </w:pPr>
    <w:rPr>
      <w:rFonts w:ascii="Arial" w:hAnsi="Arial"/>
      <w:sz w:val="12"/>
    </w:rPr>
  </w:style>
  <w:style w:type="paragraph" w:customStyle="1" w:styleId="SubjectLine">
    <w:name w:val="Subject Line"/>
    <w:basedOn w:val="BodyText"/>
    <w:next w:val="BodyText"/>
    <w:rsid w:val="007A6232"/>
    <w:rPr>
      <w:i/>
      <w:u w:val="single"/>
    </w:rPr>
  </w:style>
  <w:style w:type="paragraph" w:styleId="Title">
    <w:name w:val="Title"/>
    <w:basedOn w:val="HeadingBase"/>
    <w:next w:val="Subtitle"/>
    <w:link w:val="TitleChar"/>
    <w:uiPriority w:val="10"/>
    <w:qFormat/>
    <w:rsid w:val="007A6232"/>
    <w:pPr>
      <w:spacing w:before="360" w:after="160"/>
      <w:jc w:val="center"/>
    </w:pPr>
    <w:rPr>
      <w:rFonts w:ascii="Times New Roman" w:hAnsi="Times New Roman"/>
      <w:sz w:val="40"/>
    </w:rPr>
  </w:style>
  <w:style w:type="character" w:customStyle="1" w:styleId="TitleChar">
    <w:name w:val="Title Char"/>
    <w:basedOn w:val="DefaultParagraphFont"/>
    <w:link w:val="Title"/>
    <w:uiPriority w:val="10"/>
    <w:rsid w:val="007A6232"/>
    <w:rPr>
      <w:rFonts w:ascii="Times New Roman" w:eastAsia="Times New Roman" w:hAnsi="Times New Roman" w:cs="Times New Roman"/>
      <w:b/>
      <w:kern w:val="28"/>
      <w:sz w:val="40"/>
      <w:szCs w:val="20"/>
    </w:rPr>
  </w:style>
  <w:style w:type="paragraph" w:styleId="Subtitle">
    <w:name w:val="Subtitle"/>
    <w:basedOn w:val="Title"/>
    <w:next w:val="BodyText"/>
    <w:link w:val="SubtitleChar"/>
    <w:qFormat/>
    <w:rsid w:val="007A6232"/>
    <w:pPr>
      <w:spacing w:before="0" w:after="240"/>
    </w:pPr>
    <w:rPr>
      <w:b w:val="0"/>
      <w:i/>
      <w:sz w:val="28"/>
    </w:rPr>
  </w:style>
  <w:style w:type="character" w:customStyle="1" w:styleId="SubtitleChar">
    <w:name w:val="Subtitle Char"/>
    <w:basedOn w:val="DefaultParagraphFont"/>
    <w:link w:val="Subtitle"/>
    <w:rsid w:val="007A6232"/>
    <w:rPr>
      <w:rFonts w:ascii="Times New Roman" w:eastAsia="Times New Roman" w:hAnsi="Times New Roman" w:cs="Times New Roman"/>
      <w:i/>
      <w:kern w:val="28"/>
      <w:sz w:val="28"/>
      <w:szCs w:val="20"/>
    </w:rPr>
  </w:style>
  <w:style w:type="paragraph" w:customStyle="1" w:styleId="SubtitleCover">
    <w:name w:val="Subtitle Cover"/>
    <w:basedOn w:val="Normal"/>
    <w:next w:val="BodyText"/>
    <w:rsid w:val="007A6232"/>
    <w:pPr>
      <w:keepNext/>
      <w:spacing w:before="240" w:after="160"/>
      <w:jc w:val="center"/>
    </w:pPr>
    <w:rPr>
      <w:rFonts w:ascii="Arial" w:hAnsi="Arial"/>
      <w:i/>
      <w:kern w:val="28"/>
      <w:sz w:val="36"/>
    </w:rPr>
  </w:style>
  <w:style w:type="character" w:customStyle="1" w:styleId="Superscript">
    <w:name w:val="Superscript"/>
    <w:rsid w:val="007A6232"/>
    <w:rPr>
      <w:vertAlign w:val="superscript"/>
    </w:rPr>
  </w:style>
  <w:style w:type="paragraph" w:styleId="TableofAuthorities">
    <w:name w:val="table of authorities"/>
    <w:basedOn w:val="Normal"/>
    <w:semiHidden/>
    <w:rsid w:val="007A6232"/>
    <w:pPr>
      <w:tabs>
        <w:tab w:val="right" w:leader="dot" w:pos="8640"/>
      </w:tabs>
      <w:ind w:left="360" w:hanging="360"/>
    </w:pPr>
  </w:style>
  <w:style w:type="paragraph" w:styleId="TableofFigures">
    <w:name w:val="table of figures"/>
    <w:basedOn w:val="Normal"/>
    <w:semiHidden/>
    <w:rsid w:val="007A6232"/>
    <w:pPr>
      <w:tabs>
        <w:tab w:val="right" w:leader="dot" w:pos="8640"/>
      </w:tabs>
      <w:ind w:left="720" w:hanging="720"/>
    </w:pPr>
  </w:style>
  <w:style w:type="paragraph" w:customStyle="1" w:styleId="taskdesc">
    <w:name w:val="task desc"/>
    <w:basedOn w:val="BodyText"/>
    <w:rsid w:val="007A6232"/>
    <w:pPr>
      <w:spacing w:after="40"/>
      <w:ind w:left="720"/>
      <w:jc w:val="both"/>
    </w:pPr>
  </w:style>
  <w:style w:type="paragraph" w:customStyle="1" w:styleId="TitleCover">
    <w:name w:val="Title Cover"/>
    <w:basedOn w:val="HeadingBase"/>
    <w:next w:val="SubtitleCover"/>
    <w:rsid w:val="007A6232"/>
    <w:pPr>
      <w:spacing w:before="720" w:after="160"/>
      <w:jc w:val="center"/>
    </w:pPr>
    <w:rPr>
      <w:sz w:val="48"/>
    </w:rPr>
  </w:style>
  <w:style w:type="paragraph" w:styleId="TOAHeading">
    <w:name w:val="toa heading"/>
    <w:basedOn w:val="SectionHeading"/>
    <w:next w:val="TableofAuthorities"/>
    <w:semiHidden/>
    <w:rsid w:val="007A6232"/>
  </w:style>
  <w:style w:type="paragraph" w:styleId="TOC1">
    <w:name w:val="toc 1"/>
    <w:basedOn w:val="Normal"/>
    <w:uiPriority w:val="39"/>
    <w:rsid w:val="007A6232"/>
    <w:pPr>
      <w:tabs>
        <w:tab w:val="right" w:leader="dot" w:pos="8640"/>
      </w:tabs>
      <w:spacing w:before="180" w:after="120"/>
    </w:pPr>
    <w:rPr>
      <w:rFonts w:ascii="Arial" w:hAnsi="Arial"/>
      <w:b/>
    </w:rPr>
  </w:style>
  <w:style w:type="paragraph" w:styleId="TOC2">
    <w:name w:val="toc 2"/>
    <w:basedOn w:val="Normal"/>
    <w:uiPriority w:val="39"/>
    <w:rsid w:val="007A6232"/>
    <w:pPr>
      <w:tabs>
        <w:tab w:val="right" w:leader="dot" w:pos="8640"/>
      </w:tabs>
      <w:ind w:left="360"/>
    </w:pPr>
  </w:style>
  <w:style w:type="paragraph" w:styleId="TOC3">
    <w:name w:val="toc 3"/>
    <w:basedOn w:val="Normal"/>
    <w:uiPriority w:val="39"/>
    <w:rsid w:val="007A6232"/>
    <w:pPr>
      <w:tabs>
        <w:tab w:val="right" w:leader="dot" w:pos="8640"/>
      </w:tabs>
      <w:ind w:left="720"/>
    </w:pPr>
  </w:style>
  <w:style w:type="paragraph" w:styleId="TOC4">
    <w:name w:val="toc 4"/>
    <w:basedOn w:val="Normal"/>
    <w:semiHidden/>
    <w:rsid w:val="007A6232"/>
    <w:pPr>
      <w:tabs>
        <w:tab w:val="right" w:leader="dot" w:pos="8640"/>
      </w:tabs>
      <w:ind w:left="1080"/>
    </w:pPr>
  </w:style>
  <w:style w:type="paragraph" w:styleId="TOC5">
    <w:name w:val="toc 5"/>
    <w:basedOn w:val="Normal"/>
    <w:semiHidden/>
    <w:rsid w:val="007A6232"/>
    <w:pPr>
      <w:tabs>
        <w:tab w:val="right" w:leader="dot" w:pos="8640"/>
      </w:tabs>
      <w:ind w:left="1440"/>
    </w:pPr>
  </w:style>
  <w:style w:type="paragraph" w:styleId="TOC6">
    <w:name w:val="toc 6"/>
    <w:basedOn w:val="Normal"/>
    <w:semiHidden/>
    <w:rsid w:val="007A6232"/>
    <w:pPr>
      <w:tabs>
        <w:tab w:val="right" w:leader="dot" w:pos="8640"/>
      </w:tabs>
      <w:ind w:left="1800"/>
    </w:pPr>
  </w:style>
  <w:style w:type="paragraph" w:styleId="TOC7">
    <w:name w:val="toc 7"/>
    <w:basedOn w:val="Normal"/>
    <w:semiHidden/>
    <w:rsid w:val="007A6232"/>
    <w:pPr>
      <w:tabs>
        <w:tab w:val="right" w:leader="dot" w:pos="8640"/>
      </w:tabs>
      <w:ind w:left="2160"/>
    </w:pPr>
  </w:style>
  <w:style w:type="paragraph" w:styleId="TOC8">
    <w:name w:val="toc 8"/>
    <w:basedOn w:val="Normal"/>
    <w:semiHidden/>
    <w:rsid w:val="007A6232"/>
    <w:pPr>
      <w:tabs>
        <w:tab w:val="right" w:leader="dot" w:pos="8640"/>
      </w:tabs>
      <w:ind w:left="2520"/>
    </w:pPr>
  </w:style>
  <w:style w:type="paragraph" w:styleId="TOC9">
    <w:name w:val="toc 9"/>
    <w:basedOn w:val="Normal"/>
    <w:semiHidden/>
    <w:rsid w:val="007A6232"/>
    <w:pPr>
      <w:tabs>
        <w:tab w:val="right" w:leader="dot" w:pos="8640"/>
      </w:tabs>
      <w:ind w:left="2880"/>
    </w:pPr>
  </w:style>
  <w:style w:type="paragraph" w:customStyle="1" w:styleId="TOCBase">
    <w:name w:val="TOC Base"/>
    <w:basedOn w:val="Normal"/>
    <w:rsid w:val="007A6232"/>
    <w:pPr>
      <w:tabs>
        <w:tab w:val="right" w:leader="dot" w:pos="8640"/>
      </w:tabs>
    </w:pPr>
  </w:style>
  <w:style w:type="paragraph" w:styleId="TOCHeading">
    <w:name w:val="TOC Heading"/>
    <w:basedOn w:val="Heading1"/>
    <w:next w:val="Normal"/>
    <w:uiPriority w:val="39"/>
    <w:unhideWhenUsed/>
    <w:qFormat/>
    <w:rsid w:val="00866C04"/>
    <w:pPr>
      <w:keepLines/>
      <w:numPr>
        <w:numId w:val="0"/>
      </w:numPr>
      <w:spacing w:before="480" w:line="276" w:lineRule="auto"/>
      <w:outlineLvl w:val="9"/>
    </w:pPr>
    <w:rPr>
      <w:rFonts w:asciiTheme="majorHAnsi" w:eastAsiaTheme="majorEastAsia" w:hAnsiTheme="majorHAnsi" w:cstheme="majorBidi"/>
      <w:bCs/>
      <w:color w:val="365F91" w:themeColor="accent1" w:themeShade="BF"/>
      <w:kern w:val="0"/>
      <w:sz w:val="28"/>
      <w:szCs w:val="28"/>
      <w:lang w:eastAsia="ja-JP"/>
    </w:rPr>
  </w:style>
  <w:style w:type="table" w:styleId="TableGrid">
    <w:name w:val="Table Grid"/>
    <w:basedOn w:val="TableNormal"/>
    <w:uiPriority w:val="59"/>
    <w:rsid w:val="001A69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semiHidden/>
    <w:unhideWhenUsed/>
    <w:rsid w:val="00B555BC"/>
    <w:pPr>
      <w:spacing w:after="120" w:line="480" w:lineRule="auto"/>
      <w:ind w:left="360"/>
    </w:pPr>
    <w:rPr>
      <w:szCs w:val="22"/>
    </w:rPr>
  </w:style>
  <w:style w:type="character" w:customStyle="1" w:styleId="BodyTextIndent2Char">
    <w:name w:val="Body Text Indent 2 Char"/>
    <w:basedOn w:val="DefaultParagraphFont"/>
    <w:link w:val="BodyTextIndent2"/>
    <w:uiPriority w:val="99"/>
    <w:semiHidden/>
    <w:rsid w:val="00B555BC"/>
    <w:rPr>
      <w:rFonts w:ascii="Times New Roman" w:eastAsia="Times New Roman" w:hAnsi="Times New Roman" w:cs="Times New Roman"/>
    </w:rPr>
  </w:style>
  <w:style w:type="paragraph" w:customStyle="1" w:styleId="references">
    <w:name w:val="references"/>
    <w:basedOn w:val="Normal"/>
    <w:rsid w:val="00FD193D"/>
    <w:pPr>
      <w:ind w:left="360" w:hanging="360"/>
    </w:pPr>
  </w:style>
  <w:style w:type="character" w:customStyle="1" w:styleId="StyleArial">
    <w:name w:val="Style Arial"/>
    <w:basedOn w:val="DefaultParagraphFont"/>
    <w:rsid w:val="00FD193D"/>
    <w:rPr>
      <w:rFonts w:ascii="Arial" w:hAnsi="Arial"/>
    </w:rPr>
  </w:style>
  <w:style w:type="paragraph" w:styleId="CommentSubject">
    <w:name w:val="annotation subject"/>
    <w:basedOn w:val="CommentText"/>
    <w:next w:val="CommentText"/>
    <w:link w:val="CommentSubjectChar"/>
    <w:uiPriority w:val="99"/>
    <w:semiHidden/>
    <w:unhideWhenUsed/>
    <w:rsid w:val="00EA0950"/>
    <w:pPr>
      <w:tabs>
        <w:tab w:val="clear" w:pos="187"/>
      </w:tabs>
      <w:spacing w:after="0" w:line="240" w:lineRule="auto"/>
      <w:ind w:left="0" w:firstLine="0"/>
    </w:pPr>
    <w:rPr>
      <w:b/>
      <w:bCs/>
      <w:sz w:val="20"/>
    </w:rPr>
  </w:style>
  <w:style w:type="character" w:customStyle="1" w:styleId="CommentSubjectChar">
    <w:name w:val="Comment Subject Char"/>
    <w:basedOn w:val="CommentTextChar"/>
    <w:link w:val="CommentSubject"/>
    <w:uiPriority w:val="99"/>
    <w:semiHidden/>
    <w:rsid w:val="00EA0950"/>
    <w:rPr>
      <w:rFonts w:ascii="Times New Roman" w:eastAsia="Times New Roman" w:hAnsi="Times New Roman" w:cs="Times New Roman"/>
      <w:b/>
      <w:bCs/>
      <w:sz w:val="20"/>
      <w:szCs w:val="20"/>
    </w:rPr>
  </w:style>
  <w:style w:type="paragraph" w:customStyle="1" w:styleId="JMAPalatino">
    <w:name w:val="JMA_Palatino"/>
    <w:basedOn w:val="Normal"/>
    <w:autoRedefine/>
    <w:qFormat/>
    <w:rsid w:val="00F4562F"/>
    <w:pPr>
      <w:overflowPunct w:val="0"/>
      <w:autoSpaceDE w:val="0"/>
      <w:autoSpaceDN w:val="0"/>
      <w:adjustRightInd w:val="0"/>
      <w:spacing w:before="60"/>
      <w:jc w:val="center"/>
      <w:textAlignment w:val="baseline"/>
    </w:pPr>
    <w:rPr>
      <w:szCs w:val="24"/>
      <w:lang w:eastAsia="de-DE"/>
    </w:rPr>
  </w:style>
  <w:style w:type="character" w:customStyle="1" w:styleId="asset-metabar-author">
    <w:name w:val="asset-metabar-author"/>
    <w:basedOn w:val="DefaultParagraphFont"/>
    <w:rsid w:val="00CD3494"/>
  </w:style>
  <w:style w:type="character" w:customStyle="1" w:styleId="asset-metabar-time">
    <w:name w:val="asset-metabar-time"/>
    <w:basedOn w:val="DefaultParagraphFont"/>
    <w:rsid w:val="00CD3494"/>
  </w:style>
  <w:style w:type="character" w:customStyle="1" w:styleId="A2">
    <w:name w:val="A2"/>
    <w:uiPriority w:val="99"/>
    <w:rsid w:val="005001BA"/>
    <w:rPr>
      <w:rFonts w:cs="Univers 47 CondensedLight"/>
      <w:b/>
      <w:bCs/>
      <w:color w:val="000000"/>
      <w:sz w:val="42"/>
      <w:szCs w:val="42"/>
    </w:rPr>
  </w:style>
  <w:style w:type="character" w:styleId="PlaceholderText">
    <w:name w:val="Placeholder Text"/>
    <w:basedOn w:val="DefaultParagraphFont"/>
    <w:uiPriority w:val="99"/>
    <w:semiHidden/>
    <w:rsid w:val="00650C71"/>
    <w:rPr>
      <w:color w:val="808080"/>
    </w:rPr>
  </w:style>
  <w:style w:type="paragraph" w:customStyle="1" w:styleId="EndNoteBibliography">
    <w:name w:val="EndNote Bibliography"/>
    <w:basedOn w:val="Normal"/>
    <w:rsid w:val="009965C6"/>
    <w:pPr>
      <w:ind w:left="288"/>
    </w:pPr>
    <w:rPr>
      <w:rFonts w:eastAsiaTheme="minorEastAsia"/>
      <w:szCs w:val="24"/>
    </w:rPr>
  </w:style>
  <w:style w:type="character" w:styleId="HTMLCite">
    <w:name w:val="HTML Cite"/>
    <w:basedOn w:val="DefaultParagraphFont"/>
    <w:uiPriority w:val="99"/>
    <w:semiHidden/>
    <w:unhideWhenUsed/>
    <w:rsid w:val="00D51124"/>
    <w:rPr>
      <w:i/>
      <w:iCs/>
    </w:rPr>
  </w:style>
  <w:style w:type="paragraph" w:customStyle="1" w:styleId="Pa7">
    <w:name w:val="Pa7"/>
    <w:basedOn w:val="Default"/>
    <w:next w:val="Default"/>
    <w:uiPriority w:val="99"/>
    <w:rsid w:val="003B716B"/>
    <w:pPr>
      <w:spacing w:line="281" w:lineRule="atLeast"/>
    </w:pPr>
    <w:rPr>
      <w:rFonts w:ascii="URWGroteskT" w:eastAsiaTheme="minorHAnsi" w:hAnsi="URWGroteskT" w:cstheme="minorBidi"/>
      <w:color w:val="auto"/>
    </w:rPr>
  </w:style>
  <w:style w:type="character" w:customStyle="1" w:styleId="A8">
    <w:name w:val="A8"/>
    <w:uiPriority w:val="99"/>
    <w:rsid w:val="003B716B"/>
    <w:rPr>
      <w:rFonts w:cs="URWGroteskT"/>
      <w:color w:val="000000"/>
      <w:sz w:val="22"/>
      <w:szCs w:val="22"/>
    </w:rPr>
  </w:style>
  <w:style w:type="paragraph" w:customStyle="1" w:styleId="Reference">
    <w:name w:val="Reference"/>
    <w:basedOn w:val="Normal"/>
    <w:link w:val="ReferenceChar"/>
    <w:uiPriority w:val="99"/>
    <w:rsid w:val="007A2095"/>
    <w:pPr>
      <w:spacing w:before="60" w:after="60" w:line="200" w:lineRule="exact"/>
      <w:ind w:left="288" w:hanging="288"/>
      <w:jc w:val="both"/>
    </w:pPr>
    <w:rPr>
      <w:sz w:val="20"/>
    </w:rPr>
  </w:style>
  <w:style w:type="character" w:customStyle="1" w:styleId="ReferenceChar">
    <w:name w:val="Reference Char"/>
    <w:link w:val="Reference"/>
    <w:uiPriority w:val="99"/>
    <w:locked/>
    <w:rsid w:val="007A2095"/>
    <w:rPr>
      <w:rFonts w:ascii="Calibri" w:eastAsia="Times New Roman" w:hAnsi="Calibri" w:cs="Times New Roman"/>
      <w:sz w:val="20"/>
      <w:szCs w:val="20"/>
    </w:rPr>
  </w:style>
  <w:style w:type="paragraph" w:styleId="Revision">
    <w:name w:val="Revision"/>
    <w:hidden/>
    <w:uiPriority w:val="99"/>
    <w:semiHidden/>
    <w:rsid w:val="00C4661D"/>
    <w:pPr>
      <w:spacing w:after="0" w:line="240" w:lineRule="auto"/>
    </w:pPr>
    <w:rPr>
      <w:rFonts w:ascii="Times New Roman" w:eastAsia="Times New Roman" w:hAnsi="Times New Roman" w:cs="Times New Roman"/>
      <w:sz w:val="24"/>
      <w:szCs w:val="20"/>
    </w:rPr>
  </w:style>
  <w:style w:type="character" w:customStyle="1" w:styleId="UnresolvedMention1">
    <w:name w:val="Unresolved Mention1"/>
    <w:basedOn w:val="DefaultParagraphFont"/>
    <w:uiPriority w:val="99"/>
    <w:semiHidden/>
    <w:unhideWhenUsed/>
    <w:rsid w:val="00D83AAC"/>
    <w:rPr>
      <w:color w:val="605E5C"/>
      <w:shd w:val="clear" w:color="auto" w:fill="E1DFDD"/>
    </w:rPr>
  </w:style>
  <w:style w:type="character" w:styleId="UnresolvedMention">
    <w:name w:val="Unresolved Mention"/>
    <w:basedOn w:val="DefaultParagraphFont"/>
    <w:uiPriority w:val="99"/>
    <w:semiHidden/>
    <w:unhideWhenUsed/>
    <w:rsid w:val="00CA5DB0"/>
    <w:rPr>
      <w:color w:val="605E5C"/>
      <w:shd w:val="clear" w:color="auto" w:fill="E1DFDD"/>
    </w:rPr>
  </w:style>
  <w:style w:type="paragraph" w:customStyle="1" w:styleId="Style1">
    <w:name w:val="Style1"/>
    <w:basedOn w:val="Heading2"/>
    <w:link w:val="Style1Char"/>
    <w:qFormat/>
    <w:rsid w:val="00CA5DB0"/>
    <w:pPr>
      <w:numPr>
        <w:ilvl w:val="1"/>
        <w:numId w:val="1"/>
      </w:numPr>
      <w:spacing w:after="120"/>
      <w:ind w:left="0"/>
    </w:pPr>
  </w:style>
  <w:style w:type="character" w:customStyle="1" w:styleId="Style1Char">
    <w:name w:val="Style1 Char"/>
    <w:basedOn w:val="Heading2Char"/>
    <w:link w:val="Style1"/>
    <w:rsid w:val="00CA5DB0"/>
    <w:rPr>
      <w:rFonts w:ascii="Calibri" w:eastAsia="Times New Roman" w:hAnsi="Calibri" w:cs="Times New Roman"/>
      <w:b/>
      <w:kern w:val="28"/>
      <w:szCs w:val="20"/>
    </w:rPr>
  </w:style>
  <w:style w:type="paragraph" w:customStyle="1" w:styleId="ember-view">
    <w:name w:val="ember-view"/>
    <w:basedOn w:val="Normal"/>
    <w:rsid w:val="00CA5DB0"/>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22608">
      <w:bodyDiv w:val="1"/>
      <w:marLeft w:val="0"/>
      <w:marRight w:val="0"/>
      <w:marTop w:val="0"/>
      <w:marBottom w:val="0"/>
      <w:divBdr>
        <w:top w:val="none" w:sz="0" w:space="0" w:color="auto"/>
        <w:left w:val="none" w:sz="0" w:space="0" w:color="auto"/>
        <w:bottom w:val="none" w:sz="0" w:space="0" w:color="auto"/>
        <w:right w:val="none" w:sz="0" w:space="0" w:color="auto"/>
      </w:divBdr>
      <w:divsChild>
        <w:div w:id="216627823">
          <w:marLeft w:val="0"/>
          <w:marRight w:val="0"/>
          <w:marTop w:val="0"/>
          <w:marBottom w:val="0"/>
          <w:divBdr>
            <w:top w:val="none" w:sz="0" w:space="0" w:color="auto"/>
            <w:left w:val="none" w:sz="0" w:space="0" w:color="auto"/>
            <w:bottom w:val="none" w:sz="0" w:space="0" w:color="auto"/>
            <w:right w:val="none" w:sz="0" w:space="0" w:color="auto"/>
          </w:divBdr>
        </w:div>
        <w:div w:id="837116601">
          <w:marLeft w:val="0"/>
          <w:marRight w:val="0"/>
          <w:marTop w:val="0"/>
          <w:marBottom w:val="0"/>
          <w:divBdr>
            <w:top w:val="none" w:sz="0" w:space="0" w:color="auto"/>
            <w:left w:val="none" w:sz="0" w:space="0" w:color="auto"/>
            <w:bottom w:val="none" w:sz="0" w:space="0" w:color="auto"/>
            <w:right w:val="none" w:sz="0" w:space="0" w:color="auto"/>
          </w:divBdr>
        </w:div>
      </w:divsChild>
    </w:div>
    <w:div w:id="83963208">
      <w:bodyDiv w:val="1"/>
      <w:marLeft w:val="0"/>
      <w:marRight w:val="0"/>
      <w:marTop w:val="0"/>
      <w:marBottom w:val="0"/>
      <w:divBdr>
        <w:top w:val="none" w:sz="0" w:space="0" w:color="auto"/>
        <w:left w:val="none" w:sz="0" w:space="0" w:color="auto"/>
        <w:bottom w:val="none" w:sz="0" w:space="0" w:color="auto"/>
        <w:right w:val="none" w:sz="0" w:space="0" w:color="auto"/>
      </w:divBdr>
      <w:divsChild>
        <w:div w:id="396786091">
          <w:marLeft w:val="0"/>
          <w:marRight w:val="0"/>
          <w:marTop w:val="0"/>
          <w:marBottom w:val="0"/>
          <w:divBdr>
            <w:top w:val="none" w:sz="0" w:space="0" w:color="auto"/>
            <w:left w:val="none" w:sz="0" w:space="0" w:color="auto"/>
            <w:bottom w:val="none" w:sz="0" w:space="0" w:color="auto"/>
            <w:right w:val="none" w:sz="0" w:space="0" w:color="auto"/>
          </w:divBdr>
        </w:div>
        <w:div w:id="1032803343">
          <w:marLeft w:val="0"/>
          <w:marRight w:val="0"/>
          <w:marTop w:val="0"/>
          <w:marBottom w:val="0"/>
          <w:divBdr>
            <w:top w:val="none" w:sz="0" w:space="0" w:color="auto"/>
            <w:left w:val="none" w:sz="0" w:space="0" w:color="auto"/>
            <w:bottom w:val="none" w:sz="0" w:space="0" w:color="auto"/>
            <w:right w:val="none" w:sz="0" w:space="0" w:color="auto"/>
          </w:divBdr>
        </w:div>
        <w:div w:id="1646467577">
          <w:marLeft w:val="0"/>
          <w:marRight w:val="0"/>
          <w:marTop w:val="0"/>
          <w:marBottom w:val="0"/>
          <w:divBdr>
            <w:top w:val="none" w:sz="0" w:space="0" w:color="auto"/>
            <w:left w:val="none" w:sz="0" w:space="0" w:color="auto"/>
            <w:bottom w:val="none" w:sz="0" w:space="0" w:color="auto"/>
            <w:right w:val="none" w:sz="0" w:space="0" w:color="auto"/>
          </w:divBdr>
        </w:div>
        <w:div w:id="2138256645">
          <w:marLeft w:val="0"/>
          <w:marRight w:val="0"/>
          <w:marTop w:val="0"/>
          <w:marBottom w:val="0"/>
          <w:divBdr>
            <w:top w:val="none" w:sz="0" w:space="0" w:color="auto"/>
            <w:left w:val="none" w:sz="0" w:space="0" w:color="auto"/>
            <w:bottom w:val="none" w:sz="0" w:space="0" w:color="auto"/>
            <w:right w:val="none" w:sz="0" w:space="0" w:color="auto"/>
          </w:divBdr>
        </w:div>
      </w:divsChild>
    </w:div>
    <w:div w:id="104616823">
      <w:bodyDiv w:val="1"/>
      <w:marLeft w:val="0"/>
      <w:marRight w:val="0"/>
      <w:marTop w:val="0"/>
      <w:marBottom w:val="0"/>
      <w:divBdr>
        <w:top w:val="none" w:sz="0" w:space="0" w:color="auto"/>
        <w:left w:val="none" w:sz="0" w:space="0" w:color="auto"/>
        <w:bottom w:val="none" w:sz="0" w:space="0" w:color="auto"/>
        <w:right w:val="none" w:sz="0" w:space="0" w:color="auto"/>
      </w:divBdr>
    </w:div>
    <w:div w:id="197161407">
      <w:bodyDiv w:val="1"/>
      <w:marLeft w:val="0"/>
      <w:marRight w:val="0"/>
      <w:marTop w:val="0"/>
      <w:marBottom w:val="0"/>
      <w:divBdr>
        <w:top w:val="none" w:sz="0" w:space="0" w:color="auto"/>
        <w:left w:val="none" w:sz="0" w:space="0" w:color="auto"/>
        <w:bottom w:val="none" w:sz="0" w:space="0" w:color="auto"/>
        <w:right w:val="none" w:sz="0" w:space="0" w:color="auto"/>
      </w:divBdr>
      <w:divsChild>
        <w:div w:id="735787815">
          <w:marLeft w:val="0"/>
          <w:marRight w:val="0"/>
          <w:marTop w:val="0"/>
          <w:marBottom w:val="0"/>
          <w:divBdr>
            <w:top w:val="none" w:sz="0" w:space="0" w:color="auto"/>
            <w:left w:val="none" w:sz="0" w:space="0" w:color="auto"/>
            <w:bottom w:val="none" w:sz="0" w:space="0" w:color="auto"/>
            <w:right w:val="none" w:sz="0" w:space="0" w:color="auto"/>
          </w:divBdr>
        </w:div>
        <w:div w:id="772481000">
          <w:marLeft w:val="0"/>
          <w:marRight w:val="0"/>
          <w:marTop w:val="0"/>
          <w:marBottom w:val="0"/>
          <w:divBdr>
            <w:top w:val="none" w:sz="0" w:space="0" w:color="auto"/>
            <w:left w:val="none" w:sz="0" w:space="0" w:color="auto"/>
            <w:bottom w:val="none" w:sz="0" w:space="0" w:color="auto"/>
            <w:right w:val="none" w:sz="0" w:space="0" w:color="auto"/>
          </w:divBdr>
        </w:div>
        <w:div w:id="1475563452">
          <w:marLeft w:val="0"/>
          <w:marRight w:val="0"/>
          <w:marTop w:val="0"/>
          <w:marBottom w:val="0"/>
          <w:divBdr>
            <w:top w:val="none" w:sz="0" w:space="0" w:color="auto"/>
            <w:left w:val="none" w:sz="0" w:space="0" w:color="auto"/>
            <w:bottom w:val="none" w:sz="0" w:space="0" w:color="auto"/>
            <w:right w:val="none" w:sz="0" w:space="0" w:color="auto"/>
          </w:divBdr>
        </w:div>
        <w:div w:id="2050454894">
          <w:marLeft w:val="0"/>
          <w:marRight w:val="0"/>
          <w:marTop w:val="0"/>
          <w:marBottom w:val="0"/>
          <w:divBdr>
            <w:top w:val="none" w:sz="0" w:space="0" w:color="auto"/>
            <w:left w:val="none" w:sz="0" w:space="0" w:color="auto"/>
            <w:bottom w:val="none" w:sz="0" w:space="0" w:color="auto"/>
            <w:right w:val="none" w:sz="0" w:space="0" w:color="auto"/>
          </w:divBdr>
        </w:div>
      </w:divsChild>
    </w:div>
    <w:div w:id="249000838">
      <w:bodyDiv w:val="1"/>
      <w:marLeft w:val="0"/>
      <w:marRight w:val="0"/>
      <w:marTop w:val="0"/>
      <w:marBottom w:val="0"/>
      <w:divBdr>
        <w:top w:val="none" w:sz="0" w:space="0" w:color="auto"/>
        <w:left w:val="none" w:sz="0" w:space="0" w:color="auto"/>
        <w:bottom w:val="none" w:sz="0" w:space="0" w:color="auto"/>
        <w:right w:val="none" w:sz="0" w:space="0" w:color="auto"/>
      </w:divBdr>
    </w:div>
    <w:div w:id="251476611">
      <w:bodyDiv w:val="1"/>
      <w:marLeft w:val="0"/>
      <w:marRight w:val="0"/>
      <w:marTop w:val="0"/>
      <w:marBottom w:val="0"/>
      <w:divBdr>
        <w:top w:val="none" w:sz="0" w:space="0" w:color="auto"/>
        <w:left w:val="none" w:sz="0" w:space="0" w:color="auto"/>
        <w:bottom w:val="none" w:sz="0" w:space="0" w:color="auto"/>
        <w:right w:val="none" w:sz="0" w:space="0" w:color="auto"/>
      </w:divBdr>
    </w:div>
    <w:div w:id="271979509">
      <w:bodyDiv w:val="1"/>
      <w:marLeft w:val="0"/>
      <w:marRight w:val="0"/>
      <w:marTop w:val="0"/>
      <w:marBottom w:val="0"/>
      <w:divBdr>
        <w:top w:val="none" w:sz="0" w:space="0" w:color="auto"/>
        <w:left w:val="none" w:sz="0" w:space="0" w:color="auto"/>
        <w:bottom w:val="none" w:sz="0" w:space="0" w:color="auto"/>
        <w:right w:val="none" w:sz="0" w:space="0" w:color="auto"/>
      </w:divBdr>
      <w:divsChild>
        <w:div w:id="422457889">
          <w:marLeft w:val="0"/>
          <w:marRight w:val="0"/>
          <w:marTop w:val="0"/>
          <w:marBottom w:val="0"/>
          <w:divBdr>
            <w:top w:val="none" w:sz="0" w:space="0" w:color="auto"/>
            <w:left w:val="none" w:sz="0" w:space="0" w:color="auto"/>
            <w:bottom w:val="none" w:sz="0" w:space="0" w:color="auto"/>
            <w:right w:val="none" w:sz="0" w:space="0" w:color="auto"/>
          </w:divBdr>
        </w:div>
        <w:div w:id="721566024">
          <w:marLeft w:val="0"/>
          <w:marRight w:val="0"/>
          <w:marTop w:val="0"/>
          <w:marBottom w:val="0"/>
          <w:divBdr>
            <w:top w:val="none" w:sz="0" w:space="0" w:color="auto"/>
            <w:left w:val="none" w:sz="0" w:space="0" w:color="auto"/>
            <w:bottom w:val="none" w:sz="0" w:space="0" w:color="auto"/>
            <w:right w:val="none" w:sz="0" w:space="0" w:color="auto"/>
          </w:divBdr>
        </w:div>
        <w:div w:id="754283663">
          <w:marLeft w:val="0"/>
          <w:marRight w:val="0"/>
          <w:marTop w:val="0"/>
          <w:marBottom w:val="0"/>
          <w:divBdr>
            <w:top w:val="none" w:sz="0" w:space="0" w:color="auto"/>
            <w:left w:val="none" w:sz="0" w:space="0" w:color="auto"/>
            <w:bottom w:val="none" w:sz="0" w:space="0" w:color="auto"/>
            <w:right w:val="none" w:sz="0" w:space="0" w:color="auto"/>
          </w:divBdr>
        </w:div>
        <w:div w:id="1150754488">
          <w:marLeft w:val="0"/>
          <w:marRight w:val="0"/>
          <w:marTop w:val="0"/>
          <w:marBottom w:val="0"/>
          <w:divBdr>
            <w:top w:val="none" w:sz="0" w:space="0" w:color="auto"/>
            <w:left w:val="none" w:sz="0" w:space="0" w:color="auto"/>
            <w:bottom w:val="none" w:sz="0" w:space="0" w:color="auto"/>
            <w:right w:val="none" w:sz="0" w:space="0" w:color="auto"/>
          </w:divBdr>
        </w:div>
      </w:divsChild>
    </w:div>
    <w:div w:id="334574714">
      <w:bodyDiv w:val="1"/>
      <w:marLeft w:val="0"/>
      <w:marRight w:val="0"/>
      <w:marTop w:val="0"/>
      <w:marBottom w:val="0"/>
      <w:divBdr>
        <w:top w:val="none" w:sz="0" w:space="0" w:color="auto"/>
        <w:left w:val="none" w:sz="0" w:space="0" w:color="auto"/>
        <w:bottom w:val="none" w:sz="0" w:space="0" w:color="auto"/>
        <w:right w:val="none" w:sz="0" w:space="0" w:color="auto"/>
      </w:divBdr>
    </w:div>
    <w:div w:id="399443337">
      <w:bodyDiv w:val="1"/>
      <w:marLeft w:val="0"/>
      <w:marRight w:val="0"/>
      <w:marTop w:val="0"/>
      <w:marBottom w:val="0"/>
      <w:divBdr>
        <w:top w:val="none" w:sz="0" w:space="0" w:color="auto"/>
        <w:left w:val="none" w:sz="0" w:space="0" w:color="auto"/>
        <w:bottom w:val="none" w:sz="0" w:space="0" w:color="auto"/>
        <w:right w:val="none" w:sz="0" w:space="0" w:color="auto"/>
      </w:divBdr>
      <w:divsChild>
        <w:div w:id="1279528404">
          <w:marLeft w:val="0"/>
          <w:marRight w:val="0"/>
          <w:marTop w:val="0"/>
          <w:marBottom w:val="0"/>
          <w:divBdr>
            <w:top w:val="none" w:sz="0" w:space="0" w:color="auto"/>
            <w:left w:val="none" w:sz="0" w:space="0" w:color="auto"/>
            <w:bottom w:val="none" w:sz="0" w:space="0" w:color="auto"/>
            <w:right w:val="none" w:sz="0" w:space="0" w:color="auto"/>
          </w:divBdr>
        </w:div>
        <w:div w:id="2062829605">
          <w:marLeft w:val="0"/>
          <w:marRight w:val="0"/>
          <w:marTop w:val="0"/>
          <w:marBottom w:val="0"/>
          <w:divBdr>
            <w:top w:val="none" w:sz="0" w:space="0" w:color="auto"/>
            <w:left w:val="none" w:sz="0" w:space="0" w:color="auto"/>
            <w:bottom w:val="none" w:sz="0" w:space="0" w:color="auto"/>
            <w:right w:val="none" w:sz="0" w:space="0" w:color="auto"/>
          </w:divBdr>
        </w:div>
      </w:divsChild>
    </w:div>
    <w:div w:id="451949052">
      <w:bodyDiv w:val="1"/>
      <w:marLeft w:val="0"/>
      <w:marRight w:val="0"/>
      <w:marTop w:val="0"/>
      <w:marBottom w:val="0"/>
      <w:divBdr>
        <w:top w:val="none" w:sz="0" w:space="0" w:color="auto"/>
        <w:left w:val="none" w:sz="0" w:space="0" w:color="auto"/>
        <w:bottom w:val="none" w:sz="0" w:space="0" w:color="auto"/>
        <w:right w:val="none" w:sz="0" w:space="0" w:color="auto"/>
      </w:divBdr>
      <w:divsChild>
        <w:div w:id="1052387338">
          <w:marLeft w:val="0"/>
          <w:marRight w:val="0"/>
          <w:marTop w:val="0"/>
          <w:marBottom w:val="0"/>
          <w:divBdr>
            <w:top w:val="none" w:sz="0" w:space="0" w:color="auto"/>
            <w:left w:val="none" w:sz="0" w:space="0" w:color="auto"/>
            <w:bottom w:val="none" w:sz="0" w:space="0" w:color="auto"/>
            <w:right w:val="none" w:sz="0" w:space="0" w:color="auto"/>
          </w:divBdr>
          <w:divsChild>
            <w:div w:id="85354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940728">
      <w:bodyDiv w:val="1"/>
      <w:marLeft w:val="0"/>
      <w:marRight w:val="0"/>
      <w:marTop w:val="0"/>
      <w:marBottom w:val="0"/>
      <w:divBdr>
        <w:top w:val="none" w:sz="0" w:space="0" w:color="auto"/>
        <w:left w:val="none" w:sz="0" w:space="0" w:color="auto"/>
        <w:bottom w:val="none" w:sz="0" w:space="0" w:color="auto"/>
        <w:right w:val="none" w:sz="0" w:space="0" w:color="auto"/>
      </w:divBdr>
    </w:div>
    <w:div w:id="756556257">
      <w:bodyDiv w:val="1"/>
      <w:marLeft w:val="0"/>
      <w:marRight w:val="0"/>
      <w:marTop w:val="0"/>
      <w:marBottom w:val="0"/>
      <w:divBdr>
        <w:top w:val="none" w:sz="0" w:space="0" w:color="auto"/>
        <w:left w:val="none" w:sz="0" w:space="0" w:color="auto"/>
        <w:bottom w:val="none" w:sz="0" w:space="0" w:color="auto"/>
        <w:right w:val="none" w:sz="0" w:space="0" w:color="auto"/>
      </w:divBdr>
      <w:divsChild>
        <w:div w:id="2029795750">
          <w:marLeft w:val="0"/>
          <w:marRight w:val="0"/>
          <w:marTop w:val="0"/>
          <w:marBottom w:val="0"/>
          <w:divBdr>
            <w:top w:val="none" w:sz="0" w:space="0" w:color="auto"/>
            <w:left w:val="none" w:sz="0" w:space="0" w:color="auto"/>
            <w:bottom w:val="none" w:sz="0" w:space="0" w:color="auto"/>
            <w:right w:val="none" w:sz="0" w:space="0" w:color="auto"/>
          </w:divBdr>
        </w:div>
      </w:divsChild>
    </w:div>
    <w:div w:id="761997274">
      <w:bodyDiv w:val="1"/>
      <w:marLeft w:val="0"/>
      <w:marRight w:val="0"/>
      <w:marTop w:val="0"/>
      <w:marBottom w:val="0"/>
      <w:divBdr>
        <w:top w:val="none" w:sz="0" w:space="0" w:color="auto"/>
        <w:left w:val="none" w:sz="0" w:space="0" w:color="auto"/>
        <w:bottom w:val="none" w:sz="0" w:space="0" w:color="auto"/>
        <w:right w:val="none" w:sz="0" w:space="0" w:color="auto"/>
      </w:divBdr>
      <w:divsChild>
        <w:div w:id="360589469">
          <w:marLeft w:val="0"/>
          <w:marRight w:val="0"/>
          <w:marTop w:val="0"/>
          <w:marBottom w:val="0"/>
          <w:divBdr>
            <w:top w:val="none" w:sz="0" w:space="0" w:color="auto"/>
            <w:left w:val="none" w:sz="0" w:space="0" w:color="auto"/>
            <w:bottom w:val="none" w:sz="0" w:space="0" w:color="auto"/>
            <w:right w:val="none" w:sz="0" w:space="0" w:color="auto"/>
          </w:divBdr>
        </w:div>
        <w:div w:id="429814213">
          <w:marLeft w:val="0"/>
          <w:marRight w:val="0"/>
          <w:marTop w:val="0"/>
          <w:marBottom w:val="0"/>
          <w:divBdr>
            <w:top w:val="none" w:sz="0" w:space="0" w:color="auto"/>
            <w:left w:val="none" w:sz="0" w:space="0" w:color="auto"/>
            <w:bottom w:val="none" w:sz="0" w:space="0" w:color="auto"/>
            <w:right w:val="none" w:sz="0" w:space="0" w:color="auto"/>
          </w:divBdr>
        </w:div>
        <w:div w:id="695231302">
          <w:marLeft w:val="0"/>
          <w:marRight w:val="0"/>
          <w:marTop w:val="0"/>
          <w:marBottom w:val="0"/>
          <w:divBdr>
            <w:top w:val="none" w:sz="0" w:space="0" w:color="auto"/>
            <w:left w:val="none" w:sz="0" w:space="0" w:color="auto"/>
            <w:bottom w:val="none" w:sz="0" w:space="0" w:color="auto"/>
            <w:right w:val="none" w:sz="0" w:space="0" w:color="auto"/>
          </w:divBdr>
        </w:div>
        <w:div w:id="1715083330">
          <w:marLeft w:val="0"/>
          <w:marRight w:val="0"/>
          <w:marTop w:val="0"/>
          <w:marBottom w:val="0"/>
          <w:divBdr>
            <w:top w:val="none" w:sz="0" w:space="0" w:color="auto"/>
            <w:left w:val="none" w:sz="0" w:space="0" w:color="auto"/>
            <w:bottom w:val="none" w:sz="0" w:space="0" w:color="auto"/>
            <w:right w:val="none" w:sz="0" w:space="0" w:color="auto"/>
          </w:divBdr>
        </w:div>
      </w:divsChild>
    </w:div>
    <w:div w:id="764887875">
      <w:bodyDiv w:val="1"/>
      <w:marLeft w:val="0"/>
      <w:marRight w:val="0"/>
      <w:marTop w:val="0"/>
      <w:marBottom w:val="0"/>
      <w:divBdr>
        <w:top w:val="none" w:sz="0" w:space="0" w:color="auto"/>
        <w:left w:val="none" w:sz="0" w:space="0" w:color="auto"/>
        <w:bottom w:val="none" w:sz="0" w:space="0" w:color="auto"/>
        <w:right w:val="none" w:sz="0" w:space="0" w:color="auto"/>
      </w:divBdr>
    </w:div>
    <w:div w:id="765350951">
      <w:bodyDiv w:val="1"/>
      <w:marLeft w:val="0"/>
      <w:marRight w:val="0"/>
      <w:marTop w:val="0"/>
      <w:marBottom w:val="0"/>
      <w:divBdr>
        <w:top w:val="none" w:sz="0" w:space="0" w:color="auto"/>
        <w:left w:val="none" w:sz="0" w:space="0" w:color="auto"/>
        <w:bottom w:val="none" w:sz="0" w:space="0" w:color="auto"/>
        <w:right w:val="none" w:sz="0" w:space="0" w:color="auto"/>
      </w:divBdr>
      <w:divsChild>
        <w:div w:id="1215890651">
          <w:marLeft w:val="0"/>
          <w:marRight w:val="0"/>
          <w:marTop w:val="0"/>
          <w:marBottom w:val="0"/>
          <w:divBdr>
            <w:top w:val="none" w:sz="0" w:space="0" w:color="auto"/>
            <w:left w:val="none" w:sz="0" w:space="0" w:color="auto"/>
            <w:bottom w:val="none" w:sz="0" w:space="0" w:color="auto"/>
            <w:right w:val="none" w:sz="0" w:space="0" w:color="auto"/>
          </w:divBdr>
        </w:div>
        <w:div w:id="1529443104">
          <w:marLeft w:val="0"/>
          <w:marRight w:val="0"/>
          <w:marTop w:val="0"/>
          <w:marBottom w:val="0"/>
          <w:divBdr>
            <w:top w:val="none" w:sz="0" w:space="0" w:color="auto"/>
            <w:left w:val="none" w:sz="0" w:space="0" w:color="auto"/>
            <w:bottom w:val="none" w:sz="0" w:space="0" w:color="auto"/>
            <w:right w:val="none" w:sz="0" w:space="0" w:color="auto"/>
          </w:divBdr>
        </w:div>
      </w:divsChild>
    </w:div>
    <w:div w:id="785924870">
      <w:bodyDiv w:val="1"/>
      <w:marLeft w:val="0"/>
      <w:marRight w:val="0"/>
      <w:marTop w:val="0"/>
      <w:marBottom w:val="0"/>
      <w:divBdr>
        <w:top w:val="none" w:sz="0" w:space="0" w:color="auto"/>
        <w:left w:val="none" w:sz="0" w:space="0" w:color="auto"/>
        <w:bottom w:val="none" w:sz="0" w:space="0" w:color="auto"/>
        <w:right w:val="none" w:sz="0" w:space="0" w:color="auto"/>
      </w:divBdr>
      <w:divsChild>
        <w:div w:id="1676032859">
          <w:marLeft w:val="0"/>
          <w:marRight w:val="0"/>
          <w:marTop w:val="0"/>
          <w:marBottom w:val="0"/>
          <w:divBdr>
            <w:top w:val="none" w:sz="0" w:space="0" w:color="auto"/>
            <w:left w:val="none" w:sz="0" w:space="0" w:color="auto"/>
            <w:bottom w:val="none" w:sz="0" w:space="0" w:color="auto"/>
            <w:right w:val="none" w:sz="0" w:space="0" w:color="auto"/>
          </w:divBdr>
        </w:div>
      </w:divsChild>
    </w:div>
    <w:div w:id="808715023">
      <w:bodyDiv w:val="1"/>
      <w:marLeft w:val="0"/>
      <w:marRight w:val="0"/>
      <w:marTop w:val="0"/>
      <w:marBottom w:val="0"/>
      <w:divBdr>
        <w:top w:val="none" w:sz="0" w:space="0" w:color="auto"/>
        <w:left w:val="none" w:sz="0" w:space="0" w:color="auto"/>
        <w:bottom w:val="none" w:sz="0" w:space="0" w:color="auto"/>
        <w:right w:val="none" w:sz="0" w:space="0" w:color="auto"/>
      </w:divBdr>
      <w:divsChild>
        <w:div w:id="2115514803">
          <w:marLeft w:val="0"/>
          <w:marRight w:val="0"/>
          <w:marTop w:val="0"/>
          <w:marBottom w:val="0"/>
          <w:divBdr>
            <w:top w:val="none" w:sz="0" w:space="0" w:color="auto"/>
            <w:left w:val="none" w:sz="0" w:space="0" w:color="auto"/>
            <w:bottom w:val="none" w:sz="0" w:space="0" w:color="auto"/>
            <w:right w:val="none" w:sz="0" w:space="0" w:color="auto"/>
          </w:divBdr>
        </w:div>
      </w:divsChild>
    </w:div>
    <w:div w:id="831024699">
      <w:bodyDiv w:val="1"/>
      <w:marLeft w:val="0"/>
      <w:marRight w:val="0"/>
      <w:marTop w:val="0"/>
      <w:marBottom w:val="0"/>
      <w:divBdr>
        <w:top w:val="none" w:sz="0" w:space="0" w:color="auto"/>
        <w:left w:val="none" w:sz="0" w:space="0" w:color="auto"/>
        <w:bottom w:val="none" w:sz="0" w:space="0" w:color="auto"/>
        <w:right w:val="none" w:sz="0" w:space="0" w:color="auto"/>
      </w:divBdr>
    </w:div>
    <w:div w:id="881402043">
      <w:bodyDiv w:val="1"/>
      <w:marLeft w:val="0"/>
      <w:marRight w:val="0"/>
      <w:marTop w:val="0"/>
      <w:marBottom w:val="0"/>
      <w:divBdr>
        <w:top w:val="none" w:sz="0" w:space="0" w:color="auto"/>
        <w:left w:val="none" w:sz="0" w:space="0" w:color="auto"/>
        <w:bottom w:val="none" w:sz="0" w:space="0" w:color="auto"/>
        <w:right w:val="none" w:sz="0" w:space="0" w:color="auto"/>
      </w:divBdr>
      <w:divsChild>
        <w:div w:id="1835534478">
          <w:marLeft w:val="0"/>
          <w:marRight w:val="0"/>
          <w:marTop w:val="0"/>
          <w:marBottom w:val="0"/>
          <w:divBdr>
            <w:top w:val="none" w:sz="0" w:space="0" w:color="auto"/>
            <w:left w:val="none" w:sz="0" w:space="0" w:color="auto"/>
            <w:bottom w:val="none" w:sz="0" w:space="0" w:color="auto"/>
            <w:right w:val="none" w:sz="0" w:space="0" w:color="auto"/>
          </w:divBdr>
        </w:div>
      </w:divsChild>
    </w:div>
    <w:div w:id="930547357">
      <w:bodyDiv w:val="1"/>
      <w:marLeft w:val="0"/>
      <w:marRight w:val="0"/>
      <w:marTop w:val="0"/>
      <w:marBottom w:val="0"/>
      <w:divBdr>
        <w:top w:val="none" w:sz="0" w:space="0" w:color="auto"/>
        <w:left w:val="none" w:sz="0" w:space="0" w:color="auto"/>
        <w:bottom w:val="none" w:sz="0" w:space="0" w:color="auto"/>
        <w:right w:val="none" w:sz="0" w:space="0" w:color="auto"/>
      </w:divBdr>
      <w:divsChild>
        <w:div w:id="29260820">
          <w:marLeft w:val="0"/>
          <w:marRight w:val="0"/>
          <w:marTop w:val="0"/>
          <w:marBottom w:val="0"/>
          <w:divBdr>
            <w:top w:val="none" w:sz="0" w:space="0" w:color="auto"/>
            <w:left w:val="none" w:sz="0" w:space="0" w:color="auto"/>
            <w:bottom w:val="none" w:sz="0" w:space="0" w:color="auto"/>
            <w:right w:val="none" w:sz="0" w:space="0" w:color="auto"/>
          </w:divBdr>
          <w:divsChild>
            <w:div w:id="782459724">
              <w:marLeft w:val="0"/>
              <w:marRight w:val="0"/>
              <w:marTop w:val="0"/>
              <w:marBottom w:val="0"/>
              <w:divBdr>
                <w:top w:val="none" w:sz="0" w:space="0" w:color="auto"/>
                <w:left w:val="none" w:sz="0" w:space="0" w:color="auto"/>
                <w:bottom w:val="none" w:sz="0" w:space="0" w:color="auto"/>
                <w:right w:val="none" w:sz="0" w:space="0" w:color="auto"/>
              </w:divBdr>
            </w:div>
            <w:div w:id="801733200">
              <w:marLeft w:val="0"/>
              <w:marRight w:val="0"/>
              <w:marTop w:val="0"/>
              <w:marBottom w:val="0"/>
              <w:divBdr>
                <w:top w:val="none" w:sz="0" w:space="0" w:color="auto"/>
                <w:left w:val="none" w:sz="0" w:space="0" w:color="auto"/>
                <w:bottom w:val="none" w:sz="0" w:space="0" w:color="auto"/>
                <w:right w:val="none" w:sz="0" w:space="0" w:color="auto"/>
              </w:divBdr>
            </w:div>
            <w:div w:id="191162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329749">
      <w:bodyDiv w:val="1"/>
      <w:marLeft w:val="0"/>
      <w:marRight w:val="0"/>
      <w:marTop w:val="0"/>
      <w:marBottom w:val="0"/>
      <w:divBdr>
        <w:top w:val="none" w:sz="0" w:space="0" w:color="auto"/>
        <w:left w:val="none" w:sz="0" w:space="0" w:color="auto"/>
        <w:bottom w:val="none" w:sz="0" w:space="0" w:color="auto"/>
        <w:right w:val="none" w:sz="0" w:space="0" w:color="auto"/>
      </w:divBdr>
    </w:div>
    <w:div w:id="1061444724">
      <w:bodyDiv w:val="1"/>
      <w:marLeft w:val="0"/>
      <w:marRight w:val="0"/>
      <w:marTop w:val="0"/>
      <w:marBottom w:val="0"/>
      <w:divBdr>
        <w:top w:val="none" w:sz="0" w:space="0" w:color="auto"/>
        <w:left w:val="none" w:sz="0" w:space="0" w:color="auto"/>
        <w:bottom w:val="none" w:sz="0" w:space="0" w:color="auto"/>
        <w:right w:val="none" w:sz="0" w:space="0" w:color="auto"/>
      </w:divBdr>
    </w:div>
    <w:div w:id="1113981464">
      <w:bodyDiv w:val="1"/>
      <w:marLeft w:val="0"/>
      <w:marRight w:val="0"/>
      <w:marTop w:val="0"/>
      <w:marBottom w:val="0"/>
      <w:divBdr>
        <w:top w:val="none" w:sz="0" w:space="0" w:color="auto"/>
        <w:left w:val="none" w:sz="0" w:space="0" w:color="auto"/>
        <w:bottom w:val="none" w:sz="0" w:space="0" w:color="auto"/>
        <w:right w:val="none" w:sz="0" w:space="0" w:color="auto"/>
      </w:divBdr>
      <w:divsChild>
        <w:div w:id="261451158">
          <w:marLeft w:val="0"/>
          <w:marRight w:val="0"/>
          <w:marTop w:val="0"/>
          <w:marBottom w:val="0"/>
          <w:divBdr>
            <w:top w:val="none" w:sz="0" w:space="0" w:color="auto"/>
            <w:left w:val="none" w:sz="0" w:space="0" w:color="auto"/>
            <w:bottom w:val="none" w:sz="0" w:space="0" w:color="auto"/>
            <w:right w:val="none" w:sz="0" w:space="0" w:color="auto"/>
          </w:divBdr>
        </w:div>
      </w:divsChild>
    </w:div>
    <w:div w:id="1131822422">
      <w:bodyDiv w:val="1"/>
      <w:marLeft w:val="0"/>
      <w:marRight w:val="0"/>
      <w:marTop w:val="0"/>
      <w:marBottom w:val="0"/>
      <w:divBdr>
        <w:top w:val="none" w:sz="0" w:space="0" w:color="auto"/>
        <w:left w:val="none" w:sz="0" w:space="0" w:color="auto"/>
        <w:bottom w:val="none" w:sz="0" w:space="0" w:color="auto"/>
        <w:right w:val="none" w:sz="0" w:space="0" w:color="auto"/>
      </w:divBdr>
      <w:divsChild>
        <w:div w:id="148792746">
          <w:marLeft w:val="0"/>
          <w:marRight w:val="0"/>
          <w:marTop w:val="0"/>
          <w:marBottom w:val="0"/>
          <w:divBdr>
            <w:top w:val="none" w:sz="0" w:space="0" w:color="auto"/>
            <w:left w:val="none" w:sz="0" w:space="0" w:color="auto"/>
            <w:bottom w:val="none" w:sz="0" w:space="0" w:color="auto"/>
            <w:right w:val="none" w:sz="0" w:space="0" w:color="auto"/>
          </w:divBdr>
        </w:div>
        <w:div w:id="253367173">
          <w:marLeft w:val="0"/>
          <w:marRight w:val="0"/>
          <w:marTop w:val="0"/>
          <w:marBottom w:val="0"/>
          <w:divBdr>
            <w:top w:val="none" w:sz="0" w:space="0" w:color="auto"/>
            <w:left w:val="none" w:sz="0" w:space="0" w:color="auto"/>
            <w:bottom w:val="none" w:sz="0" w:space="0" w:color="auto"/>
            <w:right w:val="none" w:sz="0" w:space="0" w:color="auto"/>
          </w:divBdr>
        </w:div>
        <w:div w:id="318075146">
          <w:marLeft w:val="0"/>
          <w:marRight w:val="0"/>
          <w:marTop w:val="0"/>
          <w:marBottom w:val="0"/>
          <w:divBdr>
            <w:top w:val="none" w:sz="0" w:space="0" w:color="auto"/>
            <w:left w:val="none" w:sz="0" w:space="0" w:color="auto"/>
            <w:bottom w:val="none" w:sz="0" w:space="0" w:color="auto"/>
            <w:right w:val="none" w:sz="0" w:space="0" w:color="auto"/>
          </w:divBdr>
        </w:div>
        <w:div w:id="470100723">
          <w:marLeft w:val="0"/>
          <w:marRight w:val="0"/>
          <w:marTop w:val="0"/>
          <w:marBottom w:val="0"/>
          <w:divBdr>
            <w:top w:val="none" w:sz="0" w:space="0" w:color="auto"/>
            <w:left w:val="none" w:sz="0" w:space="0" w:color="auto"/>
            <w:bottom w:val="none" w:sz="0" w:space="0" w:color="auto"/>
            <w:right w:val="none" w:sz="0" w:space="0" w:color="auto"/>
          </w:divBdr>
        </w:div>
        <w:div w:id="499008196">
          <w:marLeft w:val="0"/>
          <w:marRight w:val="0"/>
          <w:marTop w:val="0"/>
          <w:marBottom w:val="0"/>
          <w:divBdr>
            <w:top w:val="none" w:sz="0" w:space="0" w:color="auto"/>
            <w:left w:val="none" w:sz="0" w:space="0" w:color="auto"/>
            <w:bottom w:val="none" w:sz="0" w:space="0" w:color="auto"/>
            <w:right w:val="none" w:sz="0" w:space="0" w:color="auto"/>
          </w:divBdr>
        </w:div>
        <w:div w:id="653026963">
          <w:marLeft w:val="0"/>
          <w:marRight w:val="0"/>
          <w:marTop w:val="0"/>
          <w:marBottom w:val="0"/>
          <w:divBdr>
            <w:top w:val="none" w:sz="0" w:space="0" w:color="auto"/>
            <w:left w:val="none" w:sz="0" w:space="0" w:color="auto"/>
            <w:bottom w:val="none" w:sz="0" w:space="0" w:color="auto"/>
            <w:right w:val="none" w:sz="0" w:space="0" w:color="auto"/>
          </w:divBdr>
        </w:div>
        <w:div w:id="688994856">
          <w:marLeft w:val="0"/>
          <w:marRight w:val="0"/>
          <w:marTop w:val="0"/>
          <w:marBottom w:val="0"/>
          <w:divBdr>
            <w:top w:val="none" w:sz="0" w:space="0" w:color="auto"/>
            <w:left w:val="none" w:sz="0" w:space="0" w:color="auto"/>
            <w:bottom w:val="none" w:sz="0" w:space="0" w:color="auto"/>
            <w:right w:val="none" w:sz="0" w:space="0" w:color="auto"/>
          </w:divBdr>
        </w:div>
        <w:div w:id="773673824">
          <w:marLeft w:val="0"/>
          <w:marRight w:val="0"/>
          <w:marTop w:val="0"/>
          <w:marBottom w:val="0"/>
          <w:divBdr>
            <w:top w:val="none" w:sz="0" w:space="0" w:color="auto"/>
            <w:left w:val="none" w:sz="0" w:space="0" w:color="auto"/>
            <w:bottom w:val="none" w:sz="0" w:space="0" w:color="auto"/>
            <w:right w:val="none" w:sz="0" w:space="0" w:color="auto"/>
          </w:divBdr>
        </w:div>
        <w:div w:id="776560210">
          <w:marLeft w:val="0"/>
          <w:marRight w:val="0"/>
          <w:marTop w:val="0"/>
          <w:marBottom w:val="0"/>
          <w:divBdr>
            <w:top w:val="none" w:sz="0" w:space="0" w:color="auto"/>
            <w:left w:val="none" w:sz="0" w:space="0" w:color="auto"/>
            <w:bottom w:val="none" w:sz="0" w:space="0" w:color="auto"/>
            <w:right w:val="none" w:sz="0" w:space="0" w:color="auto"/>
          </w:divBdr>
        </w:div>
        <w:div w:id="1055666461">
          <w:marLeft w:val="0"/>
          <w:marRight w:val="0"/>
          <w:marTop w:val="0"/>
          <w:marBottom w:val="0"/>
          <w:divBdr>
            <w:top w:val="none" w:sz="0" w:space="0" w:color="auto"/>
            <w:left w:val="none" w:sz="0" w:space="0" w:color="auto"/>
            <w:bottom w:val="none" w:sz="0" w:space="0" w:color="auto"/>
            <w:right w:val="none" w:sz="0" w:space="0" w:color="auto"/>
          </w:divBdr>
        </w:div>
        <w:div w:id="1065445063">
          <w:marLeft w:val="0"/>
          <w:marRight w:val="0"/>
          <w:marTop w:val="0"/>
          <w:marBottom w:val="0"/>
          <w:divBdr>
            <w:top w:val="none" w:sz="0" w:space="0" w:color="auto"/>
            <w:left w:val="none" w:sz="0" w:space="0" w:color="auto"/>
            <w:bottom w:val="none" w:sz="0" w:space="0" w:color="auto"/>
            <w:right w:val="none" w:sz="0" w:space="0" w:color="auto"/>
          </w:divBdr>
        </w:div>
        <w:div w:id="1180923003">
          <w:marLeft w:val="0"/>
          <w:marRight w:val="0"/>
          <w:marTop w:val="0"/>
          <w:marBottom w:val="0"/>
          <w:divBdr>
            <w:top w:val="none" w:sz="0" w:space="0" w:color="auto"/>
            <w:left w:val="none" w:sz="0" w:space="0" w:color="auto"/>
            <w:bottom w:val="none" w:sz="0" w:space="0" w:color="auto"/>
            <w:right w:val="none" w:sz="0" w:space="0" w:color="auto"/>
          </w:divBdr>
        </w:div>
        <w:div w:id="1202324583">
          <w:marLeft w:val="0"/>
          <w:marRight w:val="0"/>
          <w:marTop w:val="0"/>
          <w:marBottom w:val="0"/>
          <w:divBdr>
            <w:top w:val="none" w:sz="0" w:space="0" w:color="auto"/>
            <w:left w:val="none" w:sz="0" w:space="0" w:color="auto"/>
            <w:bottom w:val="none" w:sz="0" w:space="0" w:color="auto"/>
            <w:right w:val="none" w:sz="0" w:space="0" w:color="auto"/>
          </w:divBdr>
        </w:div>
        <w:div w:id="1297681113">
          <w:marLeft w:val="0"/>
          <w:marRight w:val="0"/>
          <w:marTop w:val="0"/>
          <w:marBottom w:val="0"/>
          <w:divBdr>
            <w:top w:val="none" w:sz="0" w:space="0" w:color="auto"/>
            <w:left w:val="none" w:sz="0" w:space="0" w:color="auto"/>
            <w:bottom w:val="none" w:sz="0" w:space="0" w:color="auto"/>
            <w:right w:val="none" w:sz="0" w:space="0" w:color="auto"/>
          </w:divBdr>
        </w:div>
        <w:div w:id="1517619286">
          <w:marLeft w:val="0"/>
          <w:marRight w:val="0"/>
          <w:marTop w:val="0"/>
          <w:marBottom w:val="0"/>
          <w:divBdr>
            <w:top w:val="none" w:sz="0" w:space="0" w:color="auto"/>
            <w:left w:val="none" w:sz="0" w:space="0" w:color="auto"/>
            <w:bottom w:val="none" w:sz="0" w:space="0" w:color="auto"/>
            <w:right w:val="none" w:sz="0" w:space="0" w:color="auto"/>
          </w:divBdr>
        </w:div>
        <w:div w:id="1554924062">
          <w:marLeft w:val="0"/>
          <w:marRight w:val="0"/>
          <w:marTop w:val="0"/>
          <w:marBottom w:val="0"/>
          <w:divBdr>
            <w:top w:val="none" w:sz="0" w:space="0" w:color="auto"/>
            <w:left w:val="none" w:sz="0" w:space="0" w:color="auto"/>
            <w:bottom w:val="none" w:sz="0" w:space="0" w:color="auto"/>
            <w:right w:val="none" w:sz="0" w:space="0" w:color="auto"/>
          </w:divBdr>
        </w:div>
        <w:div w:id="1785272709">
          <w:marLeft w:val="0"/>
          <w:marRight w:val="0"/>
          <w:marTop w:val="0"/>
          <w:marBottom w:val="0"/>
          <w:divBdr>
            <w:top w:val="none" w:sz="0" w:space="0" w:color="auto"/>
            <w:left w:val="none" w:sz="0" w:space="0" w:color="auto"/>
            <w:bottom w:val="none" w:sz="0" w:space="0" w:color="auto"/>
            <w:right w:val="none" w:sz="0" w:space="0" w:color="auto"/>
          </w:divBdr>
        </w:div>
        <w:div w:id="1800293433">
          <w:marLeft w:val="0"/>
          <w:marRight w:val="0"/>
          <w:marTop w:val="0"/>
          <w:marBottom w:val="0"/>
          <w:divBdr>
            <w:top w:val="none" w:sz="0" w:space="0" w:color="auto"/>
            <w:left w:val="none" w:sz="0" w:space="0" w:color="auto"/>
            <w:bottom w:val="none" w:sz="0" w:space="0" w:color="auto"/>
            <w:right w:val="none" w:sz="0" w:space="0" w:color="auto"/>
          </w:divBdr>
        </w:div>
        <w:div w:id="2141608504">
          <w:marLeft w:val="0"/>
          <w:marRight w:val="0"/>
          <w:marTop w:val="0"/>
          <w:marBottom w:val="0"/>
          <w:divBdr>
            <w:top w:val="none" w:sz="0" w:space="0" w:color="auto"/>
            <w:left w:val="none" w:sz="0" w:space="0" w:color="auto"/>
            <w:bottom w:val="none" w:sz="0" w:space="0" w:color="auto"/>
            <w:right w:val="none" w:sz="0" w:space="0" w:color="auto"/>
          </w:divBdr>
        </w:div>
        <w:div w:id="2145542916">
          <w:marLeft w:val="0"/>
          <w:marRight w:val="0"/>
          <w:marTop w:val="0"/>
          <w:marBottom w:val="0"/>
          <w:divBdr>
            <w:top w:val="none" w:sz="0" w:space="0" w:color="auto"/>
            <w:left w:val="none" w:sz="0" w:space="0" w:color="auto"/>
            <w:bottom w:val="none" w:sz="0" w:space="0" w:color="auto"/>
            <w:right w:val="none" w:sz="0" w:space="0" w:color="auto"/>
          </w:divBdr>
        </w:div>
      </w:divsChild>
    </w:div>
    <w:div w:id="1139498270">
      <w:bodyDiv w:val="1"/>
      <w:marLeft w:val="0"/>
      <w:marRight w:val="0"/>
      <w:marTop w:val="0"/>
      <w:marBottom w:val="0"/>
      <w:divBdr>
        <w:top w:val="none" w:sz="0" w:space="0" w:color="auto"/>
        <w:left w:val="none" w:sz="0" w:space="0" w:color="auto"/>
        <w:bottom w:val="none" w:sz="0" w:space="0" w:color="auto"/>
        <w:right w:val="none" w:sz="0" w:space="0" w:color="auto"/>
      </w:divBdr>
      <w:divsChild>
        <w:div w:id="761799238">
          <w:marLeft w:val="0"/>
          <w:marRight w:val="0"/>
          <w:marTop w:val="0"/>
          <w:marBottom w:val="0"/>
          <w:divBdr>
            <w:top w:val="none" w:sz="0" w:space="0" w:color="auto"/>
            <w:left w:val="none" w:sz="0" w:space="0" w:color="auto"/>
            <w:bottom w:val="none" w:sz="0" w:space="0" w:color="auto"/>
            <w:right w:val="none" w:sz="0" w:space="0" w:color="auto"/>
          </w:divBdr>
        </w:div>
        <w:div w:id="945037787">
          <w:marLeft w:val="0"/>
          <w:marRight w:val="0"/>
          <w:marTop w:val="0"/>
          <w:marBottom w:val="0"/>
          <w:divBdr>
            <w:top w:val="none" w:sz="0" w:space="0" w:color="auto"/>
            <w:left w:val="none" w:sz="0" w:space="0" w:color="auto"/>
            <w:bottom w:val="none" w:sz="0" w:space="0" w:color="auto"/>
            <w:right w:val="none" w:sz="0" w:space="0" w:color="auto"/>
          </w:divBdr>
        </w:div>
        <w:div w:id="1132406751">
          <w:marLeft w:val="0"/>
          <w:marRight w:val="0"/>
          <w:marTop w:val="0"/>
          <w:marBottom w:val="0"/>
          <w:divBdr>
            <w:top w:val="none" w:sz="0" w:space="0" w:color="auto"/>
            <w:left w:val="none" w:sz="0" w:space="0" w:color="auto"/>
            <w:bottom w:val="none" w:sz="0" w:space="0" w:color="auto"/>
            <w:right w:val="none" w:sz="0" w:space="0" w:color="auto"/>
          </w:divBdr>
        </w:div>
        <w:div w:id="1627733274">
          <w:marLeft w:val="0"/>
          <w:marRight w:val="0"/>
          <w:marTop w:val="0"/>
          <w:marBottom w:val="0"/>
          <w:divBdr>
            <w:top w:val="none" w:sz="0" w:space="0" w:color="auto"/>
            <w:left w:val="none" w:sz="0" w:space="0" w:color="auto"/>
            <w:bottom w:val="none" w:sz="0" w:space="0" w:color="auto"/>
            <w:right w:val="none" w:sz="0" w:space="0" w:color="auto"/>
          </w:divBdr>
        </w:div>
        <w:div w:id="1717657135">
          <w:marLeft w:val="0"/>
          <w:marRight w:val="0"/>
          <w:marTop w:val="0"/>
          <w:marBottom w:val="0"/>
          <w:divBdr>
            <w:top w:val="none" w:sz="0" w:space="0" w:color="auto"/>
            <w:left w:val="none" w:sz="0" w:space="0" w:color="auto"/>
            <w:bottom w:val="none" w:sz="0" w:space="0" w:color="auto"/>
            <w:right w:val="none" w:sz="0" w:space="0" w:color="auto"/>
          </w:divBdr>
        </w:div>
      </w:divsChild>
    </w:div>
    <w:div w:id="1140656373">
      <w:bodyDiv w:val="1"/>
      <w:marLeft w:val="0"/>
      <w:marRight w:val="0"/>
      <w:marTop w:val="0"/>
      <w:marBottom w:val="0"/>
      <w:divBdr>
        <w:top w:val="none" w:sz="0" w:space="0" w:color="auto"/>
        <w:left w:val="none" w:sz="0" w:space="0" w:color="auto"/>
        <w:bottom w:val="none" w:sz="0" w:space="0" w:color="auto"/>
        <w:right w:val="none" w:sz="0" w:space="0" w:color="auto"/>
      </w:divBdr>
    </w:div>
    <w:div w:id="1154950995">
      <w:bodyDiv w:val="1"/>
      <w:marLeft w:val="0"/>
      <w:marRight w:val="0"/>
      <w:marTop w:val="0"/>
      <w:marBottom w:val="0"/>
      <w:divBdr>
        <w:top w:val="none" w:sz="0" w:space="0" w:color="auto"/>
        <w:left w:val="none" w:sz="0" w:space="0" w:color="auto"/>
        <w:bottom w:val="none" w:sz="0" w:space="0" w:color="auto"/>
        <w:right w:val="none" w:sz="0" w:space="0" w:color="auto"/>
      </w:divBdr>
    </w:div>
    <w:div w:id="1242249828">
      <w:bodyDiv w:val="1"/>
      <w:marLeft w:val="0"/>
      <w:marRight w:val="0"/>
      <w:marTop w:val="0"/>
      <w:marBottom w:val="0"/>
      <w:divBdr>
        <w:top w:val="none" w:sz="0" w:space="0" w:color="auto"/>
        <w:left w:val="none" w:sz="0" w:space="0" w:color="auto"/>
        <w:bottom w:val="none" w:sz="0" w:space="0" w:color="auto"/>
        <w:right w:val="none" w:sz="0" w:space="0" w:color="auto"/>
      </w:divBdr>
    </w:div>
    <w:div w:id="1267612856">
      <w:bodyDiv w:val="1"/>
      <w:marLeft w:val="0"/>
      <w:marRight w:val="0"/>
      <w:marTop w:val="0"/>
      <w:marBottom w:val="0"/>
      <w:divBdr>
        <w:top w:val="none" w:sz="0" w:space="0" w:color="auto"/>
        <w:left w:val="none" w:sz="0" w:space="0" w:color="auto"/>
        <w:bottom w:val="none" w:sz="0" w:space="0" w:color="auto"/>
        <w:right w:val="none" w:sz="0" w:space="0" w:color="auto"/>
      </w:divBdr>
    </w:div>
    <w:div w:id="1350567072">
      <w:bodyDiv w:val="1"/>
      <w:marLeft w:val="0"/>
      <w:marRight w:val="0"/>
      <w:marTop w:val="0"/>
      <w:marBottom w:val="0"/>
      <w:divBdr>
        <w:top w:val="none" w:sz="0" w:space="0" w:color="auto"/>
        <w:left w:val="none" w:sz="0" w:space="0" w:color="auto"/>
        <w:bottom w:val="none" w:sz="0" w:space="0" w:color="auto"/>
        <w:right w:val="none" w:sz="0" w:space="0" w:color="auto"/>
      </w:divBdr>
    </w:div>
    <w:div w:id="1373265749">
      <w:bodyDiv w:val="1"/>
      <w:marLeft w:val="0"/>
      <w:marRight w:val="0"/>
      <w:marTop w:val="0"/>
      <w:marBottom w:val="0"/>
      <w:divBdr>
        <w:top w:val="none" w:sz="0" w:space="0" w:color="auto"/>
        <w:left w:val="none" w:sz="0" w:space="0" w:color="auto"/>
        <w:bottom w:val="none" w:sz="0" w:space="0" w:color="auto"/>
        <w:right w:val="none" w:sz="0" w:space="0" w:color="auto"/>
      </w:divBdr>
      <w:divsChild>
        <w:div w:id="424811340">
          <w:marLeft w:val="0"/>
          <w:marRight w:val="0"/>
          <w:marTop w:val="0"/>
          <w:marBottom w:val="0"/>
          <w:divBdr>
            <w:top w:val="none" w:sz="0" w:space="0" w:color="auto"/>
            <w:left w:val="none" w:sz="0" w:space="0" w:color="auto"/>
            <w:bottom w:val="none" w:sz="0" w:space="0" w:color="auto"/>
            <w:right w:val="none" w:sz="0" w:space="0" w:color="auto"/>
          </w:divBdr>
        </w:div>
        <w:div w:id="472212217">
          <w:marLeft w:val="0"/>
          <w:marRight w:val="0"/>
          <w:marTop w:val="0"/>
          <w:marBottom w:val="0"/>
          <w:divBdr>
            <w:top w:val="none" w:sz="0" w:space="0" w:color="auto"/>
            <w:left w:val="none" w:sz="0" w:space="0" w:color="auto"/>
            <w:bottom w:val="none" w:sz="0" w:space="0" w:color="auto"/>
            <w:right w:val="none" w:sz="0" w:space="0" w:color="auto"/>
          </w:divBdr>
        </w:div>
      </w:divsChild>
    </w:div>
    <w:div w:id="1431506746">
      <w:bodyDiv w:val="1"/>
      <w:marLeft w:val="0"/>
      <w:marRight w:val="0"/>
      <w:marTop w:val="0"/>
      <w:marBottom w:val="0"/>
      <w:divBdr>
        <w:top w:val="none" w:sz="0" w:space="0" w:color="auto"/>
        <w:left w:val="none" w:sz="0" w:space="0" w:color="auto"/>
        <w:bottom w:val="none" w:sz="0" w:space="0" w:color="auto"/>
        <w:right w:val="none" w:sz="0" w:space="0" w:color="auto"/>
      </w:divBdr>
    </w:div>
    <w:div w:id="1464495653">
      <w:bodyDiv w:val="1"/>
      <w:marLeft w:val="0"/>
      <w:marRight w:val="0"/>
      <w:marTop w:val="0"/>
      <w:marBottom w:val="0"/>
      <w:divBdr>
        <w:top w:val="none" w:sz="0" w:space="0" w:color="auto"/>
        <w:left w:val="none" w:sz="0" w:space="0" w:color="auto"/>
        <w:bottom w:val="none" w:sz="0" w:space="0" w:color="auto"/>
        <w:right w:val="none" w:sz="0" w:space="0" w:color="auto"/>
      </w:divBdr>
      <w:divsChild>
        <w:div w:id="44070077">
          <w:marLeft w:val="0"/>
          <w:marRight w:val="0"/>
          <w:marTop w:val="0"/>
          <w:marBottom w:val="0"/>
          <w:divBdr>
            <w:top w:val="none" w:sz="0" w:space="0" w:color="auto"/>
            <w:left w:val="none" w:sz="0" w:space="0" w:color="auto"/>
            <w:bottom w:val="none" w:sz="0" w:space="0" w:color="auto"/>
            <w:right w:val="none" w:sz="0" w:space="0" w:color="auto"/>
          </w:divBdr>
        </w:div>
        <w:div w:id="768549282">
          <w:marLeft w:val="0"/>
          <w:marRight w:val="0"/>
          <w:marTop w:val="0"/>
          <w:marBottom w:val="0"/>
          <w:divBdr>
            <w:top w:val="none" w:sz="0" w:space="0" w:color="auto"/>
            <w:left w:val="none" w:sz="0" w:space="0" w:color="auto"/>
            <w:bottom w:val="none" w:sz="0" w:space="0" w:color="auto"/>
            <w:right w:val="none" w:sz="0" w:space="0" w:color="auto"/>
          </w:divBdr>
        </w:div>
      </w:divsChild>
    </w:div>
    <w:div w:id="1495801580">
      <w:bodyDiv w:val="1"/>
      <w:marLeft w:val="0"/>
      <w:marRight w:val="0"/>
      <w:marTop w:val="0"/>
      <w:marBottom w:val="0"/>
      <w:divBdr>
        <w:top w:val="none" w:sz="0" w:space="0" w:color="auto"/>
        <w:left w:val="none" w:sz="0" w:space="0" w:color="auto"/>
        <w:bottom w:val="none" w:sz="0" w:space="0" w:color="auto"/>
        <w:right w:val="none" w:sz="0" w:space="0" w:color="auto"/>
      </w:divBdr>
    </w:div>
    <w:div w:id="1505128971">
      <w:bodyDiv w:val="1"/>
      <w:marLeft w:val="0"/>
      <w:marRight w:val="0"/>
      <w:marTop w:val="0"/>
      <w:marBottom w:val="0"/>
      <w:divBdr>
        <w:top w:val="none" w:sz="0" w:space="0" w:color="auto"/>
        <w:left w:val="none" w:sz="0" w:space="0" w:color="auto"/>
        <w:bottom w:val="none" w:sz="0" w:space="0" w:color="auto"/>
        <w:right w:val="none" w:sz="0" w:space="0" w:color="auto"/>
      </w:divBdr>
      <w:divsChild>
        <w:div w:id="1888686193">
          <w:marLeft w:val="0"/>
          <w:marRight w:val="0"/>
          <w:marTop w:val="0"/>
          <w:marBottom w:val="0"/>
          <w:divBdr>
            <w:top w:val="none" w:sz="0" w:space="0" w:color="auto"/>
            <w:left w:val="none" w:sz="0" w:space="0" w:color="auto"/>
            <w:bottom w:val="none" w:sz="0" w:space="0" w:color="auto"/>
            <w:right w:val="none" w:sz="0" w:space="0" w:color="auto"/>
          </w:divBdr>
        </w:div>
      </w:divsChild>
    </w:div>
    <w:div w:id="1537622283">
      <w:bodyDiv w:val="1"/>
      <w:marLeft w:val="0"/>
      <w:marRight w:val="0"/>
      <w:marTop w:val="0"/>
      <w:marBottom w:val="0"/>
      <w:divBdr>
        <w:top w:val="none" w:sz="0" w:space="0" w:color="auto"/>
        <w:left w:val="none" w:sz="0" w:space="0" w:color="auto"/>
        <w:bottom w:val="none" w:sz="0" w:space="0" w:color="auto"/>
        <w:right w:val="none" w:sz="0" w:space="0" w:color="auto"/>
      </w:divBdr>
      <w:divsChild>
        <w:div w:id="1061946140">
          <w:marLeft w:val="0"/>
          <w:marRight w:val="0"/>
          <w:marTop w:val="0"/>
          <w:marBottom w:val="0"/>
          <w:divBdr>
            <w:top w:val="none" w:sz="0" w:space="0" w:color="auto"/>
            <w:left w:val="none" w:sz="0" w:space="0" w:color="auto"/>
            <w:bottom w:val="none" w:sz="0" w:space="0" w:color="auto"/>
            <w:right w:val="none" w:sz="0" w:space="0" w:color="auto"/>
          </w:divBdr>
        </w:div>
      </w:divsChild>
    </w:div>
    <w:div w:id="1553881631">
      <w:bodyDiv w:val="1"/>
      <w:marLeft w:val="0"/>
      <w:marRight w:val="0"/>
      <w:marTop w:val="0"/>
      <w:marBottom w:val="0"/>
      <w:divBdr>
        <w:top w:val="none" w:sz="0" w:space="0" w:color="auto"/>
        <w:left w:val="none" w:sz="0" w:space="0" w:color="auto"/>
        <w:bottom w:val="none" w:sz="0" w:space="0" w:color="auto"/>
        <w:right w:val="none" w:sz="0" w:space="0" w:color="auto"/>
      </w:divBdr>
    </w:div>
    <w:div w:id="1589850922">
      <w:bodyDiv w:val="1"/>
      <w:marLeft w:val="0"/>
      <w:marRight w:val="0"/>
      <w:marTop w:val="0"/>
      <w:marBottom w:val="0"/>
      <w:divBdr>
        <w:top w:val="none" w:sz="0" w:space="0" w:color="auto"/>
        <w:left w:val="none" w:sz="0" w:space="0" w:color="auto"/>
        <w:bottom w:val="none" w:sz="0" w:space="0" w:color="auto"/>
        <w:right w:val="none" w:sz="0" w:space="0" w:color="auto"/>
      </w:divBdr>
      <w:divsChild>
        <w:div w:id="1684286373">
          <w:marLeft w:val="0"/>
          <w:marRight w:val="0"/>
          <w:marTop w:val="0"/>
          <w:marBottom w:val="0"/>
          <w:divBdr>
            <w:top w:val="none" w:sz="0" w:space="0" w:color="auto"/>
            <w:left w:val="none" w:sz="0" w:space="0" w:color="auto"/>
            <w:bottom w:val="none" w:sz="0" w:space="0" w:color="auto"/>
            <w:right w:val="none" w:sz="0" w:space="0" w:color="auto"/>
          </w:divBdr>
        </w:div>
      </w:divsChild>
    </w:div>
    <w:div w:id="1592085292">
      <w:bodyDiv w:val="1"/>
      <w:marLeft w:val="0"/>
      <w:marRight w:val="0"/>
      <w:marTop w:val="0"/>
      <w:marBottom w:val="0"/>
      <w:divBdr>
        <w:top w:val="none" w:sz="0" w:space="0" w:color="auto"/>
        <w:left w:val="none" w:sz="0" w:space="0" w:color="auto"/>
        <w:bottom w:val="none" w:sz="0" w:space="0" w:color="auto"/>
        <w:right w:val="none" w:sz="0" w:space="0" w:color="auto"/>
      </w:divBdr>
      <w:divsChild>
        <w:div w:id="372727480">
          <w:marLeft w:val="0"/>
          <w:marRight w:val="0"/>
          <w:marTop w:val="0"/>
          <w:marBottom w:val="0"/>
          <w:divBdr>
            <w:top w:val="none" w:sz="0" w:space="0" w:color="auto"/>
            <w:left w:val="none" w:sz="0" w:space="0" w:color="auto"/>
            <w:bottom w:val="none" w:sz="0" w:space="0" w:color="auto"/>
            <w:right w:val="none" w:sz="0" w:space="0" w:color="auto"/>
          </w:divBdr>
        </w:div>
        <w:div w:id="428623424">
          <w:marLeft w:val="0"/>
          <w:marRight w:val="0"/>
          <w:marTop w:val="0"/>
          <w:marBottom w:val="0"/>
          <w:divBdr>
            <w:top w:val="none" w:sz="0" w:space="0" w:color="auto"/>
            <w:left w:val="none" w:sz="0" w:space="0" w:color="auto"/>
            <w:bottom w:val="none" w:sz="0" w:space="0" w:color="auto"/>
            <w:right w:val="none" w:sz="0" w:space="0" w:color="auto"/>
          </w:divBdr>
        </w:div>
      </w:divsChild>
    </w:div>
    <w:div w:id="1638729709">
      <w:bodyDiv w:val="1"/>
      <w:marLeft w:val="0"/>
      <w:marRight w:val="0"/>
      <w:marTop w:val="0"/>
      <w:marBottom w:val="0"/>
      <w:divBdr>
        <w:top w:val="none" w:sz="0" w:space="0" w:color="auto"/>
        <w:left w:val="none" w:sz="0" w:space="0" w:color="auto"/>
        <w:bottom w:val="none" w:sz="0" w:space="0" w:color="auto"/>
        <w:right w:val="none" w:sz="0" w:space="0" w:color="auto"/>
      </w:divBdr>
    </w:div>
    <w:div w:id="1697727890">
      <w:bodyDiv w:val="1"/>
      <w:marLeft w:val="0"/>
      <w:marRight w:val="0"/>
      <w:marTop w:val="0"/>
      <w:marBottom w:val="0"/>
      <w:divBdr>
        <w:top w:val="none" w:sz="0" w:space="0" w:color="auto"/>
        <w:left w:val="none" w:sz="0" w:space="0" w:color="auto"/>
        <w:bottom w:val="none" w:sz="0" w:space="0" w:color="auto"/>
        <w:right w:val="none" w:sz="0" w:space="0" w:color="auto"/>
      </w:divBdr>
      <w:divsChild>
        <w:div w:id="8682230">
          <w:marLeft w:val="0"/>
          <w:marRight w:val="0"/>
          <w:marTop w:val="0"/>
          <w:marBottom w:val="0"/>
          <w:divBdr>
            <w:top w:val="none" w:sz="0" w:space="0" w:color="auto"/>
            <w:left w:val="none" w:sz="0" w:space="0" w:color="auto"/>
            <w:bottom w:val="none" w:sz="0" w:space="0" w:color="auto"/>
            <w:right w:val="none" w:sz="0" w:space="0" w:color="auto"/>
          </w:divBdr>
        </w:div>
        <w:div w:id="546065667">
          <w:marLeft w:val="0"/>
          <w:marRight w:val="0"/>
          <w:marTop w:val="0"/>
          <w:marBottom w:val="0"/>
          <w:divBdr>
            <w:top w:val="none" w:sz="0" w:space="0" w:color="auto"/>
            <w:left w:val="none" w:sz="0" w:space="0" w:color="auto"/>
            <w:bottom w:val="none" w:sz="0" w:space="0" w:color="auto"/>
            <w:right w:val="none" w:sz="0" w:space="0" w:color="auto"/>
          </w:divBdr>
        </w:div>
        <w:div w:id="1920406776">
          <w:marLeft w:val="0"/>
          <w:marRight w:val="0"/>
          <w:marTop w:val="0"/>
          <w:marBottom w:val="0"/>
          <w:divBdr>
            <w:top w:val="none" w:sz="0" w:space="0" w:color="auto"/>
            <w:left w:val="none" w:sz="0" w:space="0" w:color="auto"/>
            <w:bottom w:val="none" w:sz="0" w:space="0" w:color="auto"/>
            <w:right w:val="none" w:sz="0" w:space="0" w:color="auto"/>
          </w:divBdr>
        </w:div>
        <w:div w:id="2070837968">
          <w:marLeft w:val="0"/>
          <w:marRight w:val="0"/>
          <w:marTop w:val="0"/>
          <w:marBottom w:val="0"/>
          <w:divBdr>
            <w:top w:val="none" w:sz="0" w:space="0" w:color="auto"/>
            <w:left w:val="none" w:sz="0" w:space="0" w:color="auto"/>
            <w:bottom w:val="none" w:sz="0" w:space="0" w:color="auto"/>
            <w:right w:val="none" w:sz="0" w:space="0" w:color="auto"/>
          </w:divBdr>
        </w:div>
      </w:divsChild>
    </w:div>
    <w:div w:id="1743331924">
      <w:bodyDiv w:val="1"/>
      <w:marLeft w:val="0"/>
      <w:marRight w:val="0"/>
      <w:marTop w:val="0"/>
      <w:marBottom w:val="0"/>
      <w:divBdr>
        <w:top w:val="none" w:sz="0" w:space="0" w:color="auto"/>
        <w:left w:val="none" w:sz="0" w:space="0" w:color="auto"/>
        <w:bottom w:val="none" w:sz="0" w:space="0" w:color="auto"/>
        <w:right w:val="none" w:sz="0" w:space="0" w:color="auto"/>
      </w:divBdr>
      <w:divsChild>
        <w:div w:id="132262367">
          <w:marLeft w:val="0"/>
          <w:marRight w:val="0"/>
          <w:marTop w:val="0"/>
          <w:marBottom w:val="0"/>
          <w:divBdr>
            <w:top w:val="none" w:sz="0" w:space="0" w:color="auto"/>
            <w:left w:val="none" w:sz="0" w:space="0" w:color="auto"/>
            <w:bottom w:val="none" w:sz="0" w:space="0" w:color="auto"/>
            <w:right w:val="none" w:sz="0" w:space="0" w:color="auto"/>
          </w:divBdr>
        </w:div>
        <w:div w:id="204610508">
          <w:marLeft w:val="0"/>
          <w:marRight w:val="0"/>
          <w:marTop w:val="0"/>
          <w:marBottom w:val="0"/>
          <w:divBdr>
            <w:top w:val="none" w:sz="0" w:space="0" w:color="auto"/>
            <w:left w:val="none" w:sz="0" w:space="0" w:color="auto"/>
            <w:bottom w:val="none" w:sz="0" w:space="0" w:color="auto"/>
            <w:right w:val="none" w:sz="0" w:space="0" w:color="auto"/>
          </w:divBdr>
        </w:div>
        <w:div w:id="229580825">
          <w:marLeft w:val="0"/>
          <w:marRight w:val="0"/>
          <w:marTop w:val="0"/>
          <w:marBottom w:val="0"/>
          <w:divBdr>
            <w:top w:val="none" w:sz="0" w:space="0" w:color="auto"/>
            <w:left w:val="none" w:sz="0" w:space="0" w:color="auto"/>
            <w:bottom w:val="none" w:sz="0" w:space="0" w:color="auto"/>
            <w:right w:val="none" w:sz="0" w:space="0" w:color="auto"/>
          </w:divBdr>
        </w:div>
        <w:div w:id="463281809">
          <w:marLeft w:val="0"/>
          <w:marRight w:val="0"/>
          <w:marTop w:val="0"/>
          <w:marBottom w:val="0"/>
          <w:divBdr>
            <w:top w:val="none" w:sz="0" w:space="0" w:color="auto"/>
            <w:left w:val="none" w:sz="0" w:space="0" w:color="auto"/>
            <w:bottom w:val="none" w:sz="0" w:space="0" w:color="auto"/>
            <w:right w:val="none" w:sz="0" w:space="0" w:color="auto"/>
          </w:divBdr>
        </w:div>
        <w:div w:id="500389619">
          <w:marLeft w:val="0"/>
          <w:marRight w:val="0"/>
          <w:marTop w:val="0"/>
          <w:marBottom w:val="0"/>
          <w:divBdr>
            <w:top w:val="none" w:sz="0" w:space="0" w:color="auto"/>
            <w:left w:val="none" w:sz="0" w:space="0" w:color="auto"/>
            <w:bottom w:val="none" w:sz="0" w:space="0" w:color="auto"/>
            <w:right w:val="none" w:sz="0" w:space="0" w:color="auto"/>
          </w:divBdr>
        </w:div>
        <w:div w:id="646738288">
          <w:marLeft w:val="0"/>
          <w:marRight w:val="0"/>
          <w:marTop w:val="0"/>
          <w:marBottom w:val="0"/>
          <w:divBdr>
            <w:top w:val="none" w:sz="0" w:space="0" w:color="auto"/>
            <w:left w:val="none" w:sz="0" w:space="0" w:color="auto"/>
            <w:bottom w:val="none" w:sz="0" w:space="0" w:color="auto"/>
            <w:right w:val="none" w:sz="0" w:space="0" w:color="auto"/>
          </w:divBdr>
        </w:div>
        <w:div w:id="649678621">
          <w:marLeft w:val="0"/>
          <w:marRight w:val="0"/>
          <w:marTop w:val="0"/>
          <w:marBottom w:val="0"/>
          <w:divBdr>
            <w:top w:val="none" w:sz="0" w:space="0" w:color="auto"/>
            <w:left w:val="none" w:sz="0" w:space="0" w:color="auto"/>
            <w:bottom w:val="none" w:sz="0" w:space="0" w:color="auto"/>
            <w:right w:val="none" w:sz="0" w:space="0" w:color="auto"/>
          </w:divBdr>
        </w:div>
        <w:div w:id="710112859">
          <w:marLeft w:val="0"/>
          <w:marRight w:val="0"/>
          <w:marTop w:val="0"/>
          <w:marBottom w:val="0"/>
          <w:divBdr>
            <w:top w:val="none" w:sz="0" w:space="0" w:color="auto"/>
            <w:left w:val="none" w:sz="0" w:space="0" w:color="auto"/>
            <w:bottom w:val="none" w:sz="0" w:space="0" w:color="auto"/>
            <w:right w:val="none" w:sz="0" w:space="0" w:color="auto"/>
          </w:divBdr>
        </w:div>
        <w:div w:id="970284219">
          <w:marLeft w:val="0"/>
          <w:marRight w:val="0"/>
          <w:marTop w:val="0"/>
          <w:marBottom w:val="0"/>
          <w:divBdr>
            <w:top w:val="none" w:sz="0" w:space="0" w:color="auto"/>
            <w:left w:val="none" w:sz="0" w:space="0" w:color="auto"/>
            <w:bottom w:val="none" w:sz="0" w:space="0" w:color="auto"/>
            <w:right w:val="none" w:sz="0" w:space="0" w:color="auto"/>
          </w:divBdr>
        </w:div>
        <w:div w:id="1051417580">
          <w:marLeft w:val="0"/>
          <w:marRight w:val="0"/>
          <w:marTop w:val="0"/>
          <w:marBottom w:val="0"/>
          <w:divBdr>
            <w:top w:val="none" w:sz="0" w:space="0" w:color="auto"/>
            <w:left w:val="none" w:sz="0" w:space="0" w:color="auto"/>
            <w:bottom w:val="none" w:sz="0" w:space="0" w:color="auto"/>
            <w:right w:val="none" w:sz="0" w:space="0" w:color="auto"/>
          </w:divBdr>
        </w:div>
        <w:div w:id="1077826169">
          <w:marLeft w:val="0"/>
          <w:marRight w:val="0"/>
          <w:marTop w:val="0"/>
          <w:marBottom w:val="0"/>
          <w:divBdr>
            <w:top w:val="none" w:sz="0" w:space="0" w:color="auto"/>
            <w:left w:val="none" w:sz="0" w:space="0" w:color="auto"/>
            <w:bottom w:val="none" w:sz="0" w:space="0" w:color="auto"/>
            <w:right w:val="none" w:sz="0" w:space="0" w:color="auto"/>
          </w:divBdr>
        </w:div>
        <w:div w:id="1360857151">
          <w:marLeft w:val="0"/>
          <w:marRight w:val="0"/>
          <w:marTop w:val="0"/>
          <w:marBottom w:val="0"/>
          <w:divBdr>
            <w:top w:val="none" w:sz="0" w:space="0" w:color="auto"/>
            <w:left w:val="none" w:sz="0" w:space="0" w:color="auto"/>
            <w:bottom w:val="none" w:sz="0" w:space="0" w:color="auto"/>
            <w:right w:val="none" w:sz="0" w:space="0" w:color="auto"/>
          </w:divBdr>
        </w:div>
        <w:div w:id="1588146824">
          <w:marLeft w:val="0"/>
          <w:marRight w:val="0"/>
          <w:marTop w:val="0"/>
          <w:marBottom w:val="0"/>
          <w:divBdr>
            <w:top w:val="none" w:sz="0" w:space="0" w:color="auto"/>
            <w:left w:val="none" w:sz="0" w:space="0" w:color="auto"/>
            <w:bottom w:val="none" w:sz="0" w:space="0" w:color="auto"/>
            <w:right w:val="none" w:sz="0" w:space="0" w:color="auto"/>
          </w:divBdr>
        </w:div>
        <w:div w:id="1810591123">
          <w:marLeft w:val="0"/>
          <w:marRight w:val="0"/>
          <w:marTop w:val="0"/>
          <w:marBottom w:val="0"/>
          <w:divBdr>
            <w:top w:val="none" w:sz="0" w:space="0" w:color="auto"/>
            <w:left w:val="none" w:sz="0" w:space="0" w:color="auto"/>
            <w:bottom w:val="none" w:sz="0" w:space="0" w:color="auto"/>
            <w:right w:val="none" w:sz="0" w:space="0" w:color="auto"/>
          </w:divBdr>
        </w:div>
        <w:div w:id="1987121220">
          <w:marLeft w:val="0"/>
          <w:marRight w:val="0"/>
          <w:marTop w:val="0"/>
          <w:marBottom w:val="0"/>
          <w:divBdr>
            <w:top w:val="none" w:sz="0" w:space="0" w:color="auto"/>
            <w:left w:val="none" w:sz="0" w:space="0" w:color="auto"/>
            <w:bottom w:val="none" w:sz="0" w:space="0" w:color="auto"/>
            <w:right w:val="none" w:sz="0" w:space="0" w:color="auto"/>
          </w:divBdr>
        </w:div>
      </w:divsChild>
    </w:div>
    <w:div w:id="1784690520">
      <w:bodyDiv w:val="1"/>
      <w:marLeft w:val="0"/>
      <w:marRight w:val="0"/>
      <w:marTop w:val="0"/>
      <w:marBottom w:val="0"/>
      <w:divBdr>
        <w:top w:val="none" w:sz="0" w:space="0" w:color="auto"/>
        <w:left w:val="none" w:sz="0" w:space="0" w:color="auto"/>
        <w:bottom w:val="none" w:sz="0" w:space="0" w:color="auto"/>
        <w:right w:val="none" w:sz="0" w:space="0" w:color="auto"/>
      </w:divBdr>
    </w:div>
    <w:div w:id="1822036955">
      <w:bodyDiv w:val="1"/>
      <w:marLeft w:val="0"/>
      <w:marRight w:val="0"/>
      <w:marTop w:val="0"/>
      <w:marBottom w:val="0"/>
      <w:divBdr>
        <w:top w:val="none" w:sz="0" w:space="0" w:color="auto"/>
        <w:left w:val="none" w:sz="0" w:space="0" w:color="auto"/>
        <w:bottom w:val="none" w:sz="0" w:space="0" w:color="auto"/>
        <w:right w:val="none" w:sz="0" w:space="0" w:color="auto"/>
      </w:divBdr>
      <w:divsChild>
        <w:div w:id="1156915535">
          <w:marLeft w:val="0"/>
          <w:marRight w:val="0"/>
          <w:marTop w:val="0"/>
          <w:marBottom w:val="0"/>
          <w:divBdr>
            <w:top w:val="none" w:sz="0" w:space="0" w:color="auto"/>
            <w:left w:val="none" w:sz="0" w:space="0" w:color="auto"/>
            <w:bottom w:val="none" w:sz="0" w:space="0" w:color="auto"/>
            <w:right w:val="none" w:sz="0" w:space="0" w:color="auto"/>
          </w:divBdr>
          <w:divsChild>
            <w:div w:id="52062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427556">
      <w:bodyDiv w:val="1"/>
      <w:marLeft w:val="0"/>
      <w:marRight w:val="0"/>
      <w:marTop w:val="0"/>
      <w:marBottom w:val="0"/>
      <w:divBdr>
        <w:top w:val="none" w:sz="0" w:space="0" w:color="auto"/>
        <w:left w:val="none" w:sz="0" w:space="0" w:color="auto"/>
        <w:bottom w:val="none" w:sz="0" w:space="0" w:color="auto"/>
        <w:right w:val="none" w:sz="0" w:space="0" w:color="auto"/>
      </w:divBdr>
      <w:divsChild>
        <w:div w:id="519196860">
          <w:marLeft w:val="0"/>
          <w:marRight w:val="0"/>
          <w:marTop w:val="0"/>
          <w:marBottom w:val="0"/>
          <w:divBdr>
            <w:top w:val="none" w:sz="0" w:space="0" w:color="auto"/>
            <w:left w:val="none" w:sz="0" w:space="0" w:color="auto"/>
            <w:bottom w:val="none" w:sz="0" w:space="0" w:color="auto"/>
            <w:right w:val="none" w:sz="0" w:space="0" w:color="auto"/>
          </w:divBdr>
        </w:div>
      </w:divsChild>
    </w:div>
    <w:div w:id="1912033451">
      <w:bodyDiv w:val="1"/>
      <w:marLeft w:val="0"/>
      <w:marRight w:val="0"/>
      <w:marTop w:val="0"/>
      <w:marBottom w:val="0"/>
      <w:divBdr>
        <w:top w:val="none" w:sz="0" w:space="0" w:color="auto"/>
        <w:left w:val="none" w:sz="0" w:space="0" w:color="auto"/>
        <w:bottom w:val="none" w:sz="0" w:space="0" w:color="auto"/>
        <w:right w:val="none" w:sz="0" w:space="0" w:color="auto"/>
      </w:divBdr>
    </w:div>
    <w:div w:id="1977683318">
      <w:bodyDiv w:val="1"/>
      <w:marLeft w:val="0"/>
      <w:marRight w:val="0"/>
      <w:marTop w:val="0"/>
      <w:marBottom w:val="0"/>
      <w:divBdr>
        <w:top w:val="none" w:sz="0" w:space="0" w:color="auto"/>
        <w:left w:val="none" w:sz="0" w:space="0" w:color="auto"/>
        <w:bottom w:val="none" w:sz="0" w:space="0" w:color="auto"/>
        <w:right w:val="none" w:sz="0" w:space="0" w:color="auto"/>
      </w:divBdr>
    </w:div>
    <w:div w:id="2135364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emf"/><Relationship Id="rId26" Type="http://schemas.openxmlformats.org/officeDocument/2006/relationships/image" Target="media/image14.wmf"/><Relationship Id="rId39" Type="http://schemas.openxmlformats.org/officeDocument/2006/relationships/hyperlink" Target="https://vegetablegrowersnews.com/news/3-states-produced-76-percent-u-s-veggies-2017/" TargetMode="External"/><Relationship Id="rId21" Type="http://schemas.openxmlformats.org/officeDocument/2006/relationships/image" Target="media/image9.wmf"/><Relationship Id="rId34" Type="http://schemas.openxmlformats.org/officeDocument/2006/relationships/image" Target="media/image18.png"/><Relationship Id="rId42" Type="http://schemas.openxmlformats.org/officeDocument/2006/relationships/image" Target="media/image22.png"/><Relationship Id="rId47" Type="http://schemas.openxmlformats.org/officeDocument/2006/relationships/hyperlink" Target="https://www.ers.usda.gov/topics/farm-economy/socially-disadvantaged-beginning-limited-resource-and-female-farmers-and-ranchers/" TargetMode="External"/><Relationship Id="rId50" Type="http://schemas.openxmlformats.org/officeDocument/2006/relationships/hyperlink" Target="https://dr.lib.iastate.edu/entities/publication/f7217da5-63d2-44a7-a226-2ffb49c5454c"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nsstc.uah.edu/data/mcnider/AUII%20Report/AUII%20Background%2004-02-23.docx" TargetMode="External"/><Relationship Id="rId29" Type="http://schemas.openxmlformats.org/officeDocument/2006/relationships/hyperlink" Target="https://www.nass.usda.gov/Publications/AgCensus/2017/Online_Resources/County_Profiles/Alabama/cp01105.pdf" TargetMode="External"/><Relationship Id="rId11" Type="http://schemas.openxmlformats.org/officeDocument/2006/relationships/image" Target="media/image1.wmf"/><Relationship Id="rId24" Type="http://schemas.openxmlformats.org/officeDocument/2006/relationships/image" Target="media/image12.wmf"/><Relationship Id="rId32" Type="http://schemas.openxmlformats.org/officeDocument/2006/relationships/hyperlink" Target="https://d.docs.live.net/76cb38857fb4a987/Desktop/CPRG/Actual%20Project%20Narrative/see%20https:/www.rpssolarpumps.com/)" TargetMode="External"/><Relationship Id="rId37" Type="http://schemas.openxmlformats.org/officeDocument/2006/relationships/hyperlink" Target="https://www.usda.gov/sites/default/files/documents/USDA-GHG-Inventory-1990-2018.pdf" TargetMode="External"/><Relationship Id="rId40" Type="http://schemas.openxmlformats.org/officeDocument/2006/relationships/hyperlink" Target="https://www.nytimes.com/2024/02/22/" TargetMode="External"/><Relationship Id="rId45" Type="http://schemas.openxmlformats.org/officeDocument/2006/relationships/hyperlink" Target="https://www.aces.edu/wp-content/uploads/2021/02/Final-ChocPea_Plan-EA-11-5-2021.pdf"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nsstc.uah.edu/few.workshop/docs/Boulder_Workshop_%20Report_Jan11_2015.pdf" TargetMode="External"/><Relationship Id="rId19" Type="http://schemas.openxmlformats.org/officeDocument/2006/relationships/image" Target="media/image7.wmf"/><Relationship Id="rId31" Type="http://schemas.openxmlformats.org/officeDocument/2006/relationships/image" Target="media/image17.png"/><Relationship Id="rId44" Type="http://schemas.openxmlformats.org/officeDocument/2006/relationships/image" Target="media/image23.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nsstc.uah.edu/few.workshop/index.html" TargetMode="External"/><Relationship Id="rId14" Type="http://schemas.openxmlformats.org/officeDocument/2006/relationships/hyperlink" Target="https://www.nsstc.uah.edu/few.workshop/docs/Boulder_Workshop_%20Report_Jan11_2015.pdf" TargetMode="External"/><Relationship Id="rId22" Type="http://schemas.openxmlformats.org/officeDocument/2006/relationships/image" Target="media/image10.wmf"/><Relationship Id="rId27" Type="http://schemas.openxmlformats.org/officeDocument/2006/relationships/image" Target="media/image15.wmf"/><Relationship Id="rId30" Type="http://schemas.openxmlformats.org/officeDocument/2006/relationships/image" Target="media/image16.wmf"/><Relationship Id="rId35" Type="http://schemas.openxmlformats.org/officeDocument/2006/relationships/hyperlink" Target="https://maritime-executive.com/article/barge-transport-wins-on-fuel-efficiency" TargetMode="External"/><Relationship Id="rId43" Type="http://schemas.openxmlformats.org/officeDocument/2006/relationships/hyperlink" Target="http://www.nbcnews.com/storyline/selma-50th-anniversary/50-years-past-selma-famed-town-makes-slow-march-towards-n319106" TargetMode="External"/><Relationship Id="rId48" Type="http://schemas.openxmlformats.org/officeDocument/2006/relationships/hyperlink" Target="https://www.nrcs.usda.gov/wps/portal/nrcs/detail/national/people/outreach/slbfr/?cid=nrcsdev11_001040" TargetMode="External"/><Relationship Id="rId8" Type="http://schemas.openxmlformats.org/officeDocument/2006/relationships/hyperlink" Target="https://www.nsstc.uah.edu/data/mcnider/AUII%20Report/AUII%20Background%2004-02-23.docx"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image" Target="media/image5.wmf"/><Relationship Id="rId25" Type="http://schemas.openxmlformats.org/officeDocument/2006/relationships/image" Target="media/image13.wmf"/><Relationship Id="rId33" Type="http://schemas.openxmlformats.org/officeDocument/2006/relationships/hyperlink" Target="https://d.docs.live.net/76cb38857fb4a987/Desktop/CPRG/Actual%20Project%20Narrative/see%20https:/www.rpssolarpumps.com/)" TargetMode="External"/><Relationship Id="rId38" Type="http://schemas.openxmlformats.org/officeDocument/2006/relationships/image" Target="media/image20.wmf"/><Relationship Id="rId46" Type="http://schemas.openxmlformats.org/officeDocument/2006/relationships/hyperlink" Target="https://www.aces.edu/blog/topics/watershed-planning/planning-for-sustainable-irrigation-expansion-in-alabama/" TargetMode="External"/><Relationship Id="rId20" Type="http://schemas.openxmlformats.org/officeDocument/2006/relationships/image" Target="media/image8.emf"/><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11.wmf"/><Relationship Id="rId28" Type="http://schemas.openxmlformats.org/officeDocument/2006/relationships/hyperlink" Target="https://www.epa.gov/system/files/documents/2023-11/20230712_solar-for-all-nofo-webinar_website_0.pdf" TargetMode="External"/><Relationship Id="rId36" Type="http://schemas.openxmlformats.org/officeDocument/2006/relationships/image" Target="media/image19.emf"/><Relationship Id="rId49" Type="http://schemas.openxmlformats.org/officeDocument/2006/relationships/hyperlink" Target="https://www.extension.iastate.edu/grain/topics/EstimatesofTotalFuelConsumptio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0B12C2-0CFC-4E27-8704-CAF634D2DCE4}">
  <ds:schemaRefs>
    <ds:schemaRef ds:uri="http://schemas.openxmlformats.org/officeDocument/2006/bibliography"/>
  </ds:schemaRefs>
</ds:datastoreItem>
</file>

<file path=docMetadata/LabelInfo.xml><?xml version="1.0" encoding="utf-8"?>
<clbl:labelList xmlns:clbl="http://schemas.microsoft.com/office/2020/mipLabelMetadata">
  <clbl:label id="{bedd5d6f-bcfc-46d4-918d-7fb210e57897}" enabled="0" method="" siteId="{bedd5d6f-bcfc-46d4-918d-7fb210e57897}" removed="1"/>
</clbl:labelList>
</file>

<file path=docProps/app.xml><?xml version="1.0" encoding="utf-8"?>
<Properties xmlns="http://schemas.openxmlformats.org/officeDocument/2006/extended-properties" xmlns:vt="http://schemas.openxmlformats.org/officeDocument/2006/docPropsVTypes">
  <Template>Normal</Template>
  <TotalTime>62</TotalTime>
  <Pages>26</Pages>
  <Words>13474</Words>
  <Characters>76802</Characters>
  <Application>Microsoft Office Word</Application>
  <DocSecurity>0</DocSecurity>
  <Lines>640</Lines>
  <Paragraphs>180</Paragraphs>
  <ScaleCrop>false</ScaleCrop>
  <HeadingPairs>
    <vt:vector size="2" baseType="variant">
      <vt:variant>
        <vt:lpstr>Title</vt:lpstr>
      </vt:variant>
      <vt:variant>
        <vt:i4>1</vt:i4>
      </vt:variant>
    </vt:vector>
  </HeadingPairs>
  <TitlesOfParts>
    <vt:vector size="1" baseType="lpstr">
      <vt:lpstr/>
    </vt:vector>
  </TitlesOfParts>
  <Company>ESSC</Company>
  <LinksUpToDate>false</LinksUpToDate>
  <CharactersWithSpaces>90096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McNider</dc:creator>
  <cp:lastModifiedBy>Henderson, Ashley</cp:lastModifiedBy>
  <cp:revision>58</cp:revision>
  <dcterms:created xsi:type="dcterms:W3CDTF">2024-03-28T21:23:00Z</dcterms:created>
  <dcterms:modified xsi:type="dcterms:W3CDTF">2024-03-29T17:11:00Z</dcterms:modified>
</cp:coreProperties>
</file>