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xmlns:wp14="http://schemas.microsoft.com/office/word/2010/wordml" w:rsidP="5C0195BB" wp14:paraId="0B4851A8" wp14:textId="7F52B39B">
      <w:pPr>
        <w:spacing w:before="0" w:beforeAutospacing="off" w:after="160" w:afterAutospacing="off" w:line="259" w:lineRule="auto"/>
        <w:ind w:left="0" w:right="0"/>
        <w:jc w:val="center"/>
        <w:rPr>
          <w:rFonts w:ascii="Calibri" w:hAnsi="Calibri" w:eastAsia="Calibri" w:cs="Calibri"/>
          <w:b w:val="0"/>
          <w:bCs w:val="0"/>
          <w:i w:val="0"/>
          <w:iCs w:val="0"/>
          <w:caps w:val="0"/>
          <w:smallCaps w:val="0"/>
          <w:noProof w:val="0"/>
          <w:color w:val="000000" w:themeColor="text1" w:themeTint="FF" w:themeShade="FF"/>
          <w:sz w:val="28"/>
          <w:szCs w:val="28"/>
          <w:lang w:val="en-US"/>
        </w:rPr>
      </w:pPr>
      <w:r w:rsidRPr="5C0195BB" w:rsidR="2D21E1D1">
        <w:rPr>
          <w:rFonts w:ascii="Calibri" w:hAnsi="Calibri" w:eastAsia="Calibri" w:cs="Calibri"/>
          <w:b w:val="1"/>
          <w:bCs w:val="1"/>
          <w:i w:val="0"/>
          <w:iCs w:val="0"/>
          <w:caps w:val="0"/>
          <w:smallCaps w:val="0"/>
          <w:noProof w:val="0"/>
          <w:color w:val="000000" w:themeColor="text1" w:themeTint="FF" w:themeShade="FF"/>
          <w:sz w:val="28"/>
          <w:szCs w:val="28"/>
          <w:lang w:val="en-US"/>
        </w:rPr>
        <w:t>Moving Birmingham Towards Climate Action</w:t>
      </w:r>
    </w:p>
    <w:p xmlns:wp14="http://schemas.microsoft.com/office/word/2010/wordml" w:rsidP="5C0195BB" wp14:paraId="448C3B35" wp14:textId="06C952A2">
      <w:pPr>
        <w:pStyle w:val="Normal"/>
        <w:suppressLineNumbers w:val="0"/>
        <w:bidi w:val="0"/>
        <w:spacing w:before="0" w:beforeAutospacing="off" w:after="160" w:afterAutospacing="off" w:line="259" w:lineRule="auto"/>
        <w:ind w:left="0" w:right="0"/>
        <w:jc w:val="center"/>
        <w:rPr>
          <w:rFonts w:ascii="Calibri" w:hAnsi="Calibri" w:eastAsia="Calibri" w:cs="Calibri"/>
          <w:b w:val="1"/>
          <w:bCs w:val="1"/>
          <w:i w:val="0"/>
          <w:iCs w:val="0"/>
          <w:caps w:val="0"/>
          <w:smallCaps w:val="0"/>
          <w:noProof w:val="0"/>
          <w:color w:val="000000" w:themeColor="text1" w:themeTint="FF" w:themeShade="FF"/>
          <w:sz w:val="28"/>
          <w:szCs w:val="28"/>
          <w:lang w:val="en-US"/>
        </w:rPr>
      </w:pPr>
      <w:r w:rsidRPr="5C0195BB" w:rsidR="2D21E1D1">
        <w:rPr>
          <w:rFonts w:ascii="Calibri" w:hAnsi="Calibri" w:eastAsia="Calibri" w:cs="Calibri"/>
          <w:b w:val="1"/>
          <w:bCs w:val="1"/>
          <w:i w:val="0"/>
          <w:iCs w:val="0"/>
          <w:caps w:val="0"/>
          <w:smallCaps w:val="0"/>
          <w:noProof w:val="0"/>
          <w:color w:val="000000" w:themeColor="text1" w:themeTint="FF" w:themeShade="FF"/>
          <w:sz w:val="28"/>
          <w:szCs w:val="28"/>
          <w:lang w:val="en-US"/>
        </w:rPr>
        <w:t xml:space="preserve">Budget </w:t>
      </w:r>
      <w:r w:rsidRPr="5C0195BB" w:rsidR="462704E4">
        <w:rPr>
          <w:rFonts w:ascii="Calibri" w:hAnsi="Calibri" w:eastAsia="Calibri" w:cs="Calibri"/>
          <w:b w:val="1"/>
          <w:bCs w:val="1"/>
          <w:i w:val="0"/>
          <w:iCs w:val="0"/>
          <w:caps w:val="0"/>
          <w:smallCaps w:val="0"/>
          <w:noProof w:val="0"/>
          <w:color w:val="000000" w:themeColor="text1" w:themeTint="FF" w:themeShade="FF"/>
          <w:sz w:val="28"/>
          <w:szCs w:val="28"/>
          <w:lang w:val="en-US"/>
        </w:rPr>
        <w:t>Narrative</w:t>
      </w:r>
    </w:p>
    <w:p xmlns:wp14="http://schemas.microsoft.com/office/word/2010/wordml" w:rsidP="5C0195BB" wp14:paraId="24B420B8" wp14:textId="5A40E919">
      <w:pPr>
        <w:pStyle w:val="Heading1"/>
        <w:bidi w:val="0"/>
        <w:rPr>
          <w:noProof w:val="0"/>
          <w:lang w:val="en-US"/>
        </w:rPr>
      </w:pPr>
      <w:r w:rsidRPr="5C0195BB" w:rsidR="462704E4">
        <w:rPr>
          <w:noProof w:val="0"/>
          <w:lang w:val="en-US"/>
        </w:rPr>
        <w:t>Introduction</w:t>
      </w:r>
    </w:p>
    <w:p xmlns:wp14="http://schemas.microsoft.com/office/word/2010/wordml" w:rsidP="5C0195BB" wp14:paraId="2C078E63" wp14:textId="11F29D41">
      <w:pPr>
        <w:pStyle w:val="Normal"/>
        <w:bidi w:val="0"/>
        <w:rPr>
          <w:rFonts w:ascii="Calibri" w:hAnsi="Calibri" w:eastAsia="Calibri" w:cs="Calibri"/>
          <w:noProof w:val="0"/>
          <w:sz w:val="22"/>
          <w:szCs w:val="22"/>
          <w:lang w:val="en-US"/>
        </w:rPr>
      </w:pPr>
      <w:r w:rsidRPr="5C0195BB" w:rsidR="462704E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The City of Birmingham is requesting </w:t>
      </w:r>
      <w:r w:rsidRPr="5C0195BB" w:rsidR="462704E4">
        <w:rPr>
          <w:rFonts w:ascii="Calibri" w:hAnsi="Calibri" w:eastAsia="Calibri" w:cs="Calibri"/>
          <w:b w:val="1"/>
          <w:bCs w:val="1"/>
          <w:i w:val="0"/>
          <w:iCs w:val="0"/>
          <w:caps w:val="0"/>
          <w:smallCaps w:val="0"/>
          <w:noProof w:val="0"/>
          <w:color w:val="000000" w:themeColor="text1" w:themeTint="FF" w:themeShade="FF"/>
          <w:sz w:val="22"/>
          <w:szCs w:val="22"/>
          <w:lang w:val="en-US"/>
        </w:rPr>
        <w:t xml:space="preserve">$9,830,00 </w:t>
      </w:r>
      <w:r w:rsidRPr="5C0195BB" w:rsidR="462704E4">
        <w:rPr>
          <w:rFonts w:ascii="Calibri" w:hAnsi="Calibri" w:eastAsia="Calibri" w:cs="Calibri"/>
          <w:b w:val="0"/>
          <w:bCs w:val="0"/>
          <w:i w:val="0"/>
          <w:iCs w:val="0"/>
          <w:caps w:val="0"/>
          <w:smallCaps w:val="0"/>
          <w:noProof w:val="0"/>
          <w:color w:val="000000" w:themeColor="text1" w:themeTint="FF" w:themeShade="FF"/>
          <w:sz w:val="22"/>
          <w:szCs w:val="22"/>
          <w:lang w:val="en-US"/>
        </w:rPr>
        <w:t>in</w:t>
      </w:r>
      <w:r w:rsidRPr="5C0195BB" w:rsidR="462704E4">
        <w:rPr>
          <w:rFonts w:ascii="Calibri" w:hAnsi="Calibri" w:eastAsia="Calibri" w:cs="Calibri"/>
          <w:b w:val="1"/>
          <w:bCs w:val="1"/>
          <w:i w:val="0"/>
          <w:iCs w:val="0"/>
          <w:caps w:val="0"/>
          <w:smallCaps w:val="0"/>
          <w:noProof w:val="0"/>
          <w:color w:val="000000" w:themeColor="text1" w:themeTint="FF" w:themeShade="FF"/>
          <w:sz w:val="22"/>
          <w:szCs w:val="22"/>
          <w:lang w:val="en-US"/>
        </w:rPr>
        <w:t xml:space="preserve"> </w:t>
      </w:r>
      <w:r w:rsidRPr="5C0195BB" w:rsidR="462704E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funding for a suite of complimentary projects which were </w:t>
      </w:r>
      <w:r w:rsidRPr="5C0195BB" w:rsidR="462704E4">
        <w:rPr>
          <w:rFonts w:ascii="Calibri" w:hAnsi="Calibri" w:eastAsia="Calibri" w:cs="Calibri"/>
          <w:b w:val="0"/>
          <w:bCs w:val="0"/>
          <w:i w:val="0"/>
          <w:iCs w:val="0"/>
          <w:caps w:val="0"/>
          <w:smallCaps w:val="0"/>
          <w:noProof w:val="0"/>
          <w:color w:val="000000" w:themeColor="text1" w:themeTint="FF" w:themeShade="FF"/>
          <w:sz w:val="22"/>
          <w:szCs w:val="22"/>
          <w:lang w:val="en-US"/>
        </w:rPr>
        <w:t>identified</w:t>
      </w:r>
      <w:r w:rsidRPr="5C0195BB" w:rsidR="462704E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in the City’s </w:t>
      </w:r>
      <w:r w:rsidRPr="5C0195BB" w:rsidR="462704E4">
        <w:rPr>
          <w:rFonts w:ascii="Calibri" w:hAnsi="Calibri" w:eastAsia="Calibri" w:cs="Calibri"/>
          <w:b w:val="0"/>
          <w:bCs w:val="0"/>
          <w:i w:val="1"/>
          <w:iCs w:val="1"/>
          <w:caps w:val="0"/>
          <w:smallCaps w:val="0"/>
          <w:noProof w:val="0"/>
          <w:color w:val="000000" w:themeColor="text1" w:themeTint="FF" w:themeShade="FF"/>
          <w:sz w:val="22"/>
          <w:szCs w:val="22"/>
          <w:lang w:val="en-US"/>
        </w:rPr>
        <w:t>Clean Air &amp; Birmingham</w:t>
      </w:r>
      <w:r w:rsidRPr="5C0195BB" w:rsidR="462704E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March 2024 Birmingham-Hoover Metropolitan Statistical Area Priority Climate Action Plan (PCAP). The following GHG reduction measures were </w:t>
      </w:r>
      <w:r w:rsidRPr="5C0195BB" w:rsidR="462704E4">
        <w:rPr>
          <w:rFonts w:ascii="Calibri" w:hAnsi="Calibri" w:eastAsia="Calibri" w:cs="Calibri"/>
          <w:b w:val="0"/>
          <w:bCs w:val="0"/>
          <w:i w:val="0"/>
          <w:iCs w:val="0"/>
          <w:caps w:val="0"/>
          <w:smallCaps w:val="0"/>
          <w:noProof w:val="0"/>
          <w:color w:val="000000" w:themeColor="text1" w:themeTint="FF" w:themeShade="FF"/>
          <w:sz w:val="22"/>
          <w:szCs w:val="22"/>
          <w:lang w:val="en-US"/>
        </w:rPr>
        <w:t>identified</w:t>
      </w:r>
      <w:r w:rsidRPr="5C0195BB" w:rsidR="462704E4">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from the PCAP as they were determined to be the most suitable for rapid implementation and most impactful in terms of near-term GHG reductions.</w:t>
      </w:r>
    </w:p>
    <w:p w:rsidR="462704E4" w:rsidP="5C0195BB" w:rsidRDefault="462704E4" w14:paraId="5DB55A44" w14:textId="78C18235">
      <w:pPr>
        <w:pStyle w:val="Normal"/>
        <w:bidi w:val="0"/>
        <w:rPr>
          <w:rFonts w:ascii="Calibri" w:hAnsi="Calibri" w:eastAsia="Calibri" w:cs="Calibri"/>
          <w:b w:val="0"/>
          <w:bCs w:val="0"/>
          <w:i w:val="0"/>
          <w:iCs w:val="0"/>
          <w:caps w:val="0"/>
          <w:smallCaps w:val="0"/>
          <w:noProof w:val="0"/>
          <w:color w:val="000000" w:themeColor="text1" w:themeTint="FF" w:themeShade="FF"/>
          <w:sz w:val="22"/>
          <w:szCs w:val="22"/>
          <w:lang w:val="en-US"/>
        </w:rPr>
      </w:pPr>
      <w:r w:rsidRPr="5C0195BB" w:rsidR="462704E4">
        <w:rPr>
          <w:rFonts w:ascii="Calibri" w:hAnsi="Calibri" w:eastAsia="Calibri" w:cs="Calibri"/>
          <w:b w:val="0"/>
          <w:bCs w:val="0"/>
          <w:i w:val="0"/>
          <w:iCs w:val="0"/>
          <w:caps w:val="0"/>
          <w:smallCaps w:val="0"/>
          <w:noProof w:val="0"/>
          <w:color w:val="000000" w:themeColor="text1" w:themeTint="FF" w:themeShade="FF"/>
          <w:sz w:val="22"/>
          <w:szCs w:val="22"/>
          <w:lang w:val="en-US"/>
        </w:rPr>
        <w:t>The projects are as follows:</w:t>
      </w:r>
    </w:p>
    <w:p w:rsidR="1CDF3591" w:rsidP="5C0195BB" w:rsidRDefault="1CDF3591" w14:paraId="7AD05FB3" w14:textId="7805DC21">
      <w:pPr>
        <w:bidi w:val="0"/>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5C0195BB" w:rsidR="1CDF3591">
        <w:rPr>
          <w:rFonts w:ascii="Calibri" w:hAnsi="Calibri" w:eastAsia="Calibri" w:cs="Calibri"/>
          <w:b w:val="0"/>
          <w:bCs w:val="0"/>
          <w:i w:val="0"/>
          <w:iCs w:val="0"/>
          <w:caps w:val="0"/>
          <w:smallCaps w:val="0"/>
          <w:noProof w:val="0"/>
          <w:color w:val="000000" w:themeColor="text1" w:themeTint="FF" w:themeShade="FF"/>
          <w:sz w:val="22"/>
          <w:szCs w:val="22"/>
          <w:lang w:val="en-US"/>
        </w:rPr>
        <w:t>1. City Vehicle EV Fleet Conversion</w:t>
      </w:r>
    </w:p>
    <w:p w:rsidR="1CDF3591" w:rsidP="5C0195BB" w:rsidRDefault="1CDF3591" w14:paraId="64187674" w14:textId="4C8BDE9D">
      <w:pPr>
        <w:bidi w:val="0"/>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5C0195BB" w:rsidR="1CDF3591">
        <w:rPr>
          <w:rFonts w:ascii="Calibri" w:hAnsi="Calibri" w:eastAsia="Calibri" w:cs="Calibri"/>
          <w:b w:val="0"/>
          <w:bCs w:val="0"/>
          <w:i w:val="0"/>
          <w:iCs w:val="0"/>
          <w:caps w:val="0"/>
          <w:smallCaps w:val="0"/>
          <w:noProof w:val="0"/>
          <w:color w:val="000000" w:themeColor="text1" w:themeTint="FF" w:themeShade="FF"/>
          <w:sz w:val="22"/>
          <w:szCs w:val="22"/>
          <w:lang w:val="en-US"/>
        </w:rPr>
        <w:t>2. Electric Bike Voucher Program</w:t>
      </w:r>
    </w:p>
    <w:p w:rsidR="1CDF3591" w:rsidP="5C0195BB" w:rsidRDefault="1CDF3591" w14:paraId="0AEC74CC" w14:textId="087200F6">
      <w:pPr>
        <w:bidi w:val="0"/>
        <w:spacing w:after="160" w:line="259" w:lineRule="auto"/>
        <w:ind w:firstLine="0"/>
        <w:rPr>
          <w:rFonts w:ascii="Calibri" w:hAnsi="Calibri" w:eastAsia="Calibri" w:cs="Calibri"/>
          <w:b w:val="0"/>
          <w:bCs w:val="0"/>
          <w:i w:val="0"/>
          <w:iCs w:val="0"/>
          <w:caps w:val="0"/>
          <w:smallCaps w:val="0"/>
          <w:noProof w:val="0"/>
          <w:color w:val="000000" w:themeColor="text1" w:themeTint="FF" w:themeShade="FF"/>
          <w:sz w:val="22"/>
          <w:szCs w:val="22"/>
          <w:lang w:val="en-US"/>
        </w:rPr>
      </w:pPr>
      <w:r w:rsidRPr="5C0195BB" w:rsidR="1CDF3591">
        <w:rPr>
          <w:rFonts w:ascii="Calibri" w:hAnsi="Calibri" w:eastAsia="Calibri" w:cs="Calibri"/>
          <w:b w:val="0"/>
          <w:bCs w:val="0"/>
          <w:i w:val="0"/>
          <w:iCs w:val="0"/>
          <w:caps w:val="0"/>
          <w:smallCaps w:val="0"/>
          <w:noProof w:val="0"/>
          <w:color w:val="000000" w:themeColor="text1" w:themeTint="FF" w:themeShade="FF"/>
          <w:sz w:val="22"/>
          <w:szCs w:val="22"/>
          <w:lang w:val="en-US"/>
        </w:rPr>
        <w:t>3. Comprehensive Transportation Oriented Development Corridor Plan</w:t>
      </w:r>
    </w:p>
    <w:p w:rsidR="1CDF3591" w:rsidP="5C0195BB" w:rsidRDefault="1CDF3591" w14:paraId="08ED7BFB" w14:textId="0576C936">
      <w:pPr>
        <w:pStyle w:val="Normal"/>
        <w:bidi w:val="0"/>
        <w:spacing w:after="160" w:line="259" w:lineRule="auto"/>
        <w:ind w:firstLine="0"/>
        <w:rPr>
          <w:rFonts w:ascii="Calibri" w:hAnsi="Calibri" w:eastAsia="Calibri" w:cs="Calibri"/>
          <w:b w:val="0"/>
          <w:bCs w:val="0"/>
          <w:i w:val="0"/>
          <w:iCs w:val="0"/>
          <w:caps w:val="0"/>
          <w:smallCaps w:val="0"/>
          <w:noProof w:val="0"/>
          <w:color w:val="000000" w:themeColor="text1" w:themeTint="FF" w:themeShade="FF"/>
          <w:sz w:val="22"/>
          <w:szCs w:val="22"/>
          <w:lang w:val="en-US"/>
        </w:rPr>
      </w:pPr>
      <w:r w:rsidRPr="5C0195BB" w:rsidR="1CDF3591">
        <w:rPr>
          <w:rFonts w:ascii="Calibri" w:hAnsi="Calibri" w:eastAsia="Calibri" w:cs="Calibri"/>
          <w:b w:val="0"/>
          <w:bCs w:val="0"/>
          <w:i w:val="0"/>
          <w:iCs w:val="0"/>
          <w:caps w:val="0"/>
          <w:smallCaps w:val="0"/>
          <w:noProof w:val="0"/>
          <w:color w:val="000000" w:themeColor="text1" w:themeTint="FF" w:themeShade="FF"/>
          <w:sz w:val="22"/>
          <w:szCs w:val="22"/>
          <w:lang w:val="en-US"/>
        </w:rPr>
        <w:t>For the purposes of the budget narrative each GHG reduction measure will be broken down into it’s own section below:</w:t>
      </w:r>
    </w:p>
    <w:p w:rsidR="1CDF3591" w:rsidP="5C0195BB" w:rsidRDefault="1CDF3591" w14:paraId="720EDEF3" w14:textId="365F8070">
      <w:pPr>
        <w:pStyle w:val="Heading2"/>
        <w:bidi w:val="0"/>
        <w:rPr>
          <w:rFonts w:ascii="Calibri" w:hAnsi="Calibri" w:eastAsia="Calibri" w:cs="Calibri"/>
          <w:b w:val="0"/>
          <w:bCs w:val="0"/>
          <w:i w:val="0"/>
          <w:iCs w:val="0"/>
          <w:caps w:val="0"/>
          <w:smallCaps w:val="0"/>
          <w:noProof w:val="0"/>
          <w:color w:val="000000" w:themeColor="text1" w:themeTint="FF" w:themeShade="FF"/>
          <w:sz w:val="22"/>
          <w:szCs w:val="22"/>
          <w:lang w:val="en-US"/>
        </w:rPr>
      </w:pPr>
      <w:r w:rsidRPr="5C0195BB" w:rsidR="1CDF3591">
        <w:rPr>
          <w:noProof w:val="0"/>
          <w:lang w:val="en-US"/>
        </w:rPr>
        <w:t>1. City Vehicle EV Fleet Conversion Budget Narrative</w:t>
      </w:r>
    </w:p>
    <w:p w:rsidR="1CDF3591" w:rsidP="5C0195BB" w:rsidRDefault="1CDF3591" w14:paraId="25578D4E" w14:textId="162C19DB">
      <w:pPr>
        <w:bidi w:val="0"/>
        <w:spacing w:before="0" w:beforeAutospacing="off" w:after="160" w:afterAutospacing="off" w:line="259" w:lineRule="auto"/>
        <w:ind w:left="0"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5C0195BB" w:rsidR="1CDF3591">
        <w:rPr>
          <w:rStyle w:val="Heading2Char"/>
          <w:rFonts w:ascii="Calibri" w:hAnsi="Calibri" w:eastAsia="Calibri" w:cs="Calibri"/>
          <w:b w:val="0"/>
          <w:bCs w:val="0"/>
          <w:i w:val="0"/>
          <w:iCs w:val="0"/>
          <w:caps w:val="0"/>
          <w:smallCaps w:val="0"/>
          <w:noProof w:val="0"/>
          <w:color w:val="000000" w:themeColor="text1" w:themeTint="FF" w:themeShade="FF"/>
          <w:sz w:val="22"/>
          <w:szCs w:val="22"/>
          <w:lang w:val="en-US"/>
        </w:rPr>
        <w:t xml:space="preserve">the City is requesting </w:t>
      </w:r>
      <w:r w:rsidRPr="5C0195BB" w:rsidR="1CDF3591">
        <w:rPr>
          <w:rStyle w:val="Heading2Char"/>
          <w:rFonts w:ascii="Calibri" w:hAnsi="Calibri" w:eastAsia="Calibri" w:cs="Calibri"/>
          <w:b w:val="1"/>
          <w:bCs w:val="1"/>
          <w:i w:val="0"/>
          <w:iCs w:val="0"/>
          <w:caps w:val="0"/>
          <w:smallCaps w:val="0"/>
          <w:noProof w:val="0"/>
          <w:color w:val="000000" w:themeColor="text1" w:themeTint="FF" w:themeShade="FF"/>
          <w:sz w:val="22"/>
          <w:szCs w:val="22"/>
          <w:lang w:val="en-US"/>
        </w:rPr>
        <w:t>$7,830,000.00</w:t>
      </w:r>
      <w:r w:rsidRPr="5C0195BB" w:rsidR="1CDF3591">
        <w:rPr>
          <w:rStyle w:val="Heading2Char"/>
          <w:rFonts w:ascii="Calibri" w:hAnsi="Calibri" w:eastAsia="Calibri" w:cs="Calibri"/>
          <w:b w:val="0"/>
          <w:bCs w:val="0"/>
          <w:i w:val="0"/>
          <w:iCs w:val="0"/>
          <w:caps w:val="0"/>
          <w:smallCaps w:val="0"/>
          <w:noProof w:val="0"/>
          <w:color w:val="000000" w:themeColor="text1" w:themeTint="FF" w:themeShade="FF"/>
          <w:sz w:val="22"/>
          <w:szCs w:val="22"/>
          <w:lang w:val="en-US"/>
        </w:rPr>
        <w:t xml:space="preserve"> for the replacement of approximately 180 Vehicles and 45 level 2 commercial grade chargers to support the daily use of those vehicles. The table below is an estimated breakdown by vehicle type. The estimated cost is based on the MSRP of an example vehicle which would fit the needs of the City. Due to supply and availability constraints as well as the specific needs that would be identified by the Department of Public Works, the vehicles listed are not necessarily the exact make and model the City would purchase, but instead should be viewed as a best possible approximation of the style of vehicle that would be needed:</w:t>
      </w:r>
    </w:p>
    <w:p w:rsidR="5C0195BB" w:rsidP="5C0195BB" w:rsidRDefault="5C0195BB" w14:paraId="124025C0" w14:textId="167858F3">
      <w:pPr>
        <w:bidi w:val="0"/>
        <w:spacing w:before="0" w:beforeAutospacing="off" w:after="160" w:afterAutospacing="off" w:line="259" w:lineRule="auto"/>
        <w:ind w:left="0"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p>
    <w:tbl>
      <w:tblPr>
        <w:tblStyle w:val="TableGrid"/>
        <w:bidiVisual w:val="0"/>
        <w:tblW w:w="0" w:type="auto"/>
        <w:tblBorders>
          <w:top w:val="single" w:sz="6"/>
          <w:left w:val="single" w:sz="6"/>
          <w:bottom w:val="single" w:sz="6"/>
          <w:right w:val="single" w:sz="6"/>
        </w:tblBorders>
        <w:tblLayout w:type="fixed"/>
        <w:tblLook w:val="06A0" w:firstRow="1" w:lastRow="0" w:firstColumn="1" w:lastColumn="0" w:noHBand="1" w:noVBand="1"/>
      </w:tblPr>
      <w:tblGrid>
        <w:gridCol w:w="1860"/>
        <w:gridCol w:w="1860"/>
        <w:gridCol w:w="1860"/>
        <w:gridCol w:w="1860"/>
        <w:gridCol w:w="1860"/>
      </w:tblGrid>
      <w:tr w:rsidR="5C0195BB" w:rsidTr="5C0195BB" w14:paraId="67F6850B">
        <w:trPr>
          <w:trHeight w:val="300"/>
        </w:trPr>
        <w:tc>
          <w:tcPr>
            <w:tcW w:w="1860" w:type="dxa"/>
            <w:tcMar>
              <w:left w:w="105" w:type="dxa"/>
              <w:right w:w="105" w:type="dxa"/>
            </w:tcMar>
            <w:vAlign w:val="top"/>
          </w:tcPr>
          <w:p w:rsidR="5C0195BB" w:rsidP="5C0195BB" w:rsidRDefault="5C0195BB" w14:paraId="519D17FA" w14:textId="448E2963">
            <w:pPr>
              <w:bidi w:val="0"/>
              <w:spacing w:line="259" w:lineRule="auto"/>
              <w:rPr>
                <w:rFonts w:ascii="Calibri" w:hAnsi="Calibri" w:eastAsia="Calibri" w:cs="Calibri"/>
                <w:b w:val="0"/>
                <w:bCs w:val="0"/>
                <w:i w:val="0"/>
                <w:iCs w:val="0"/>
                <w:sz w:val="22"/>
                <w:szCs w:val="22"/>
              </w:rPr>
            </w:pPr>
            <w:r w:rsidRPr="5C0195BB" w:rsidR="5C0195BB">
              <w:rPr>
                <w:rStyle w:val="Heading2Char"/>
                <w:rFonts w:ascii="Calibri" w:hAnsi="Calibri" w:eastAsia="Calibri" w:cs="Calibri"/>
                <w:b w:val="1"/>
                <w:bCs w:val="1"/>
                <w:i w:val="0"/>
                <w:iCs w:val="0"/>
                <w:sz w:val="22"/>
                <w:szCs w:val="22"/>
                <w:lang w:val="en-US"/>
              </w:rPr>
              <w:t>Vehicle Type/Charger</w:t>
            </w:r>
          </w:p>
        </w:tc>
        <w:tc>
          <w:tcPr>
            <w:tcW w:w="1860" w:type="dxa"/>
            <w:tcMar>
              <w:left w:w="105" w:type="dxa"/>
              <w:right w:w="105" w:type="dxa"/>
            </w:tcMar>
            <w:vAlign w:val="top"/>
          </w:tcPr>
          <w:p w:rsidR="5C0195BB" w:rsidP="5C0195BB" w:rsidRDefault="5C0195BB" w14:paraId="50B77B53" w14:textId="0A4BA749">
            <w:pPr>
              <w:bidi w:val="0"/>
              <w:spacing w:line="259" w:lineRule="auto"/>
              <w:rPr>
                <w:rFonts w:ascii="Calibri" w:hAnsi="Calibri" w:eastAsia="Calibri" w:cs="Calibri"/>
                <w:b w:val="0"/>
                <w:bCs w:val="0"/>
                <w:i w:val="0"/>
                <w:iCs w:val="0"/>
                <w:sz w:val="22"/>
                <w:szCs w:val="22"/>
              </w:rPr>
            </w:pPr>
            <w:r w:rsidRPr="5C0195BB" w:rsidR="5C0195BB">
              <w:rPr>
                <w:rStyle w:val="Heading2Char"/>
                <w:rFonts w:ascii="Calibri" w:hAnsi="Calibri" w:eastAsia="Calibri" w:cs="Calibri"/>
                <w:b w:val="1"/>
                <w:bCs w:val="1"/>
                <w:i w:val="0"/>
                <w:iCs w:val="0"/>
                <w:sz w:val="22"/>
                <w:szCs w:val="22"/>
                <w:lang w:val="en-US"/>
              </w:rPr>
              <w:t>Example Model</w:t>
            </w:r>
          </w:p>
        </w:tc>
        <w:tc>
          <w:tcPr>
            <w:tcW w:w="1860" w:type="dxa"/>
            <w:tcMar>
              <w:left w:w="105" w:type="dxa"/>
              <w:right w:w="105" w:type="dxa"/>
            </w:tcMar>
            <w:vAlign w:val="top"/>
          </w:tcPr>
          <w:p w:rsidR="5C0195BB" w:rsidP="5C0195BB" w:rsidRDefault="5C0195BB" w14:paraId="1FBA6FBE" w14:textId="28441846">
            <w:pPr>
              <w:bidi w:val="0"/>
              <w:spacing w:line="259" w:lineRule="auto"/>
              <w:rPr>
                <w:rFonts w:ascii="Calibri" w:hAnsi="Calibri" w:eastAsia="Calibri" w:cs="Calibri"/>
                <w:b w:val="0"/>
                <w:bCs w:val="0"/>
                <w:i w:val="0"/>
                <w:iCs w:val="0"/>
                <w:sz w:val="22"/>
                <w:szCs w:val="22"/>
              </w:rPr>
            </w:pPr>
            <w:r w:rsidRPr="5C0195BB" w:rsidR="5C0195BB">
              <w:rPr>
                <w:rStyle w:val="Heading2Char"/>
                <w:rFonts w:ascii="Calibri" w:hAnsi="Calibri" w:eastAsia="Calibri" w:cs="Calibri"/>
                <w:b w:val="1"/>
                <w:bCs w:val="1"/>
                <w:i w:val="0"/>
                <w:iCs w:val="0"/>
                <w:sz w:val="22"/>
                <w:szCs w:val="22"/>
                <w:lang w:val="en-US"/>
              </w:rPr>
              <w:t>Unit MSRP</w:t>
            </w:r>
          </w:p>
        </w:tc>
        <w:tc>
          <w:tcPr>
            <w:tcW w:w="1860" w:type="dxa"/>
            <w:tcMar>
              <w:left w:w="105" w:type="dxa"/>
              <w:right w:w="105" w:type="dxa"/>
            </w:tcMar>
            <w:vAlign w:val="top"/>
          </w:tcPr>
          <w:p w:rsidR="5C0195BB" w:rsidP="5C0195BB" w:rsidRDefault="5C0195BB" w14:paraId="31B96816" w14:textId="4D15D26A">
            <w:pPr>
              <w:bidi w:val="0"/>
              <w:spacing w:line="259" w:lineRule="auto"/>
              <w:rPr>
                <w:rFonts w:ascii="Calibri" w:hAnsi="Calibri" w:eastAsia="Calibri" w:cs="Calibri"/>
                <w:b w:val="0"/>
                <w:bCs w:val="0"/>
                <w:i w:val="0"/>
                <w:iCs w:val="0"/>
                <w:sz w:val="22"/>
                <w:szCs w:val="22"/>
              </w:rPr>
            </w:pPr>
            <w:r w:rsidRPr="5C0195BB" w:rsidR="5C0195BB">
              <w:rPr>
                <w:rStyle w:val="Heading2Char"/>
                <w:rFonts w:ascii="Calibri" w:hAnsi="Calibri" w:eastAsia="Calibri" w:cs="Calibri"/>
                <w:b w:val="1"/>
                <w:bCs w:val="1"/>
                <w:i w:val="0"/>
                <w:iCs w:val="0"/>
                <w:sz w:val="22"/>
                <w:szCs w:val="22"/>
                <w:lang w:val="en-US"/>
              </w:rPr>
              <w:t>Number of Units</w:t>
            </w:r>
          </w:p>
        </w:tc>
        <w:tc>
          <w:tcPr>
            <w:tcW w:w="1860" w:type="dxa"/>
            <w:tcMar>
              <w:left w:w="105" w:type="dxa"/>
              <w:right w:w="105" w:type="dxa"/>
            </w:tcMar>
            <w:vAlign w:val="top"/>
          </w:tcPr>
          <w:p w:rsidR="5C0195BB" w:rsidP="5C0195BB" w:rsidRDefault="5C0195BB" w14:paraId="492E69E3" w14:textId="57336EA1">
            <w:pPr>
              <w:bidi w:val="0"/>
              <w:spacing w:line="259" w:lineRule="auto"/>
              <w:rPr>
                <w:rFonts w:ascii="Calibri" w:hAnsi="Calibri" w:eastAsia="Calibri" w:cs="Calibri"/>
                <w:b w:val="0"/>
                <w:bCs w:val="0"/>
                <w:i w:val="0"/>
                <w:iCs w:val="0"/>
                <w:sz w:val="22"/>
                <w:szCs w:val="22"/>
              </w:rPr>
            </w:pPr>
            <w:r w:rsidRPr="5C0195BB" w:rsidR="5C0195BB">
              <w:rPr>
                <w:rStyle w:val="Heading2Char"/>
                <w:rFonts w:ascii="Calibri" w:hAnsi="Calibri" w:eastAsia="Calibri" w:cs="Calibri"/>
                <w:b w:val="1"/>
                <w:bCs w:val="1"/>
                <w:i w:val="0"/>
                <w:iCs w:val="0"/>
                <w:sz w:val="22"/>
                <w:szCs w:val="22"/>
                <w:lang w:val="en-US"/>
              </w:rPr>
              <w:t>Total Cost</w:t>
            </w:r>
          </w:p>
        </w:tc>
      </w:tr>
      <w:tr w:rsidR="5C0195BB" w:rsidTr="5C0195BB" w14:paraId="7B0E41D1">
        <w:trPr>
          <w:trHeight w:val="300"/>
        </w:trPr>
        <w:tc>
          <w:tcPr>
            <w:tcW w:w="1860" w:type="dxa"/>
            <w:tcMar>
              <w:left w:w="105" w:type="dxa"/>
              <w:right w:w="105" w:type="dxa"/>
            </w:tcMar>
            <w:vAlign w:val="top"/>
          </w:tcPr>
          <w:p w:rsidR="5C0195BB" w:rsidP="5C0195BB" w:rsidRDefault="5C0195BB" w14:paraId="0A1B4C9F" w14:textId="0E3BB835">
            <w:pPr>
              <w:bidi w:val="0"/>
              <w:spacing w:line="259" w:lineRule="auto"/>
              <w:rPr>
                <w:rFonts w:ascii="Calibri" w:hAnsi="Calibri" w:eastAsia="Calibri" w:cs="Calibri"/>
                <w:b w:val="1"/>
                <w:bCs w:val="1"/>
                <w:i w:val="0"/>
                <w:iCs w:val="0"/>
                <w:color w:val="auto"/>
                <w:sz w:val="22"/>
                <w:szCs w:val="22"/>
              </w:rPr>
            </w:pPr>
            <w:r w:rsidRPr="5C0195BB" w:rsidR="5C0195BB">
              <w:rPr>
                <w:rStyle w:val="Heading2Char"/>
                <w:rFonts w:ascii="Calibri" w:hAnsi="Calibri" w:eastAsia="Calibri" w:cs="Calibri"/>
                <w:b w:val="1"/>
                <w:bCs w:val="1"/>
                <w:i w:val="0"/>
                <w:iCs w:val="0"/>
                <w:color w:val="auto"/>
                <w:sz w:val="22"/>
                <w:szCs w:val="22"/>
                <w:lang w:val="en-US"/>
              </w:rPr>
              <w:t>Compact Car</w:t>
            </w:r>
          </w:p>
        </w:tc>
        <w:tc>
          <w:tcPr>
            <w:tcW w:w="1860" w:type="dxa"/>
            <w:tcMar>
              <w:left w:w="105" w:type="dxa"/>
              <w:right w:w="105" w:type="dxa"/>
            </w:tcMar>
            <w:vAlign w:val="top"/>
          </w:tcPr>
          <w:p w:rsidR="5C0195BB" w:rsidP="5C0195BB" w:rsidRDefault="5C0195BB" w14:paraId="1D8C444F" w14:textId="73F80742">
            <w:pPr>
              <w:bidi w:val="0"/>
              <w:spacing w:line="259" w:lineRule="auto"/>
              <w:rPr>
                <w:rFonts w:ascii="Calibri" w:hAnsi="Calibri" w:eastAsia="Calibri" w:cs="Calibri"/>
                <w:b w:val="0"/>
                <w:bCs w:val="0"/>
                <w:i w:val="0"/>
                <w:iCs w:val="0"/>
                <w:color w:val="auto"/>
                <w:sz w:val="22"/>
                <w:szCs w:val="22"/>
              </w:rPr>
            </w:pPr>
            <w:r w:rsidRPr="5C0195BB" w:rsidR="5C0195BB">
              <w:rPr>
                <w:rStyle w:val="Heading2Char"/>
                <w:rFonts w:ascii="Calibri" w:hAnsi="Calibri" w:eastAsia="Calibri" w:cs="Calibri"/>
                <w:b w:val="0"/>
                <w:bCs w:val="0"/>
                <w:i w:val="0"/>
                <w:iCs w:val="0"/>
                <w:color w:val="auto"/>
                <w:sz w:val="22"/>
                <w:szCs w:val="22"/>
                <w:lang w:val="en-US"/>
              </w:rPr>
              <w:t>2024 Nissan Leaf</w:t>
            </w:r>
          </w:p>
        </w:tc>
        <w:tc>
          <w:tcPr>
            <w:tcW w:w="1860" w:type="dxa"/>
            <w:tcMar>
              <w:left w:w="105" w:type="dxa"/>
              <w:right w:w="105" w:type="dxa"/>
            </w:tcMar>
            <w:vAlign w:val="top"/>
          </w:tcPr>
          <w:p w:rsidR="5C0195BB" w:rsidP="5C0195BB" w:rsidRDefault="5C0195BB" w14:paraId="6F46F5CF" w14:textId="0F66A5D1">
            <w:pPr>
              <w:bidi w:val="0"/>
              <w:spacing w:line="259" w:lineRule="auto"/>
              <w:jc w:val="right"/>
              <w:rPr>
                <w:rFonts w:ascii="Calibri" w:hAnsi="Calibri" w:eastAsia="Calibri" w:cs="Calibri"/>
                <w:b w:val="0"/>
                <w:bCs w:val="0"/>
                <w:i w:val="0"/>
                <w:iCs w:val="0"/>
                <w:color w:val="auto"/>
                <w:sz w:val="22"/>
                <w:szCs w:val="22"/>
              </w:rPr>
            </w:pPr>
            <w:r w:rsidRPr="5C0195BB" w:rsidR="5C0195BB">
              <w:rPr>
                <w:rStyle w:val="Heading2Char"/>
                <w:rFonts w:ascii="Calibri" w:hAnsi="Calibri" w:eastAsia="Calibri" w:cs="Calibri"/>
                <w:b w:val="0"/>
                <w:bCs w:val="0"/>
                <w:i w:val="0"/>
                <w:iCs w:val="0"/>
                <w:color w:val="auto"/>
                <w:sz w:val="22"/>
                <w:szCs w:val="22"/>
                <w:lang w:val="en-US"/>
              </w:rPr>
              <w:t>$30,000</w:t>
            </w:r>
          </w:p>
        </w:tc>
        <w:tc>
          <w:tcPr>
            <w:tcW w:w="1860" w:type="dxa"/>
            <w:tcMar>
              <w:left w:w="105" w:type="dxa"/>
              <w:right w:w="105" w:type="dxa"/>
            </w:tcMar>
            <w:vAlign w:val="top"/>
          </w:tcPr>
          <w:p w:rsidR="5C0195BB" w:rsidP="5C0195BB" w:rsidRDefault="5C0195BB" w14:paraId="4349E475" w14:textId="79B07540">
            <w:pPr>
              <w:bidi w:val="0"/>
              <w:spacing w:before="0" w:beforeAutospacing="off" w:after="0" w:afterAutospacing="off" w:line="259" w:lineRule="auto"/>
              <w:jc w:val="right"/>
              <w:rPr>
                <w:rFonts w:ascii="Arial" w:hAnsi="Arial" w:eastAsia="Arial" w:cs="Arial"/>
                <w:b w:val="0"/>
                <w:bCs w:val="0"/>
                <w:i w:val="0"/>
                <w:iCs w:val="0"/>
                <w:color w:val="auto"/>
                <w:sz w:val="20"/>
                <w:szCs w:val="20"/>
              </w:rPr>
            </w:pPr>
            <w:r w:rsidRPr="5C0195BB" w:rsidR="5C0195BB">
              <w:rPr>
                <w:rFonts w:ascii="Arial" w:hAnsi="Arial" w:eastAsia="Arial" w:cs="Arial"/>
                <w:b w:val="0"/>
                <w:bCs w:val="0"/>
                <w:i w:val="0"/>
                <w:iCs w:val="0"/>
                <w:strike w:val="0"/>
                <w:dstrike w:val="0"/>
                <w:color w:val="auto"/>
                <w:sz w:val="20"/>
                <w:szCs w:val="20"/>
                <w:u w:val="none"/>
                <w:lang w:val="en-US"/>
              </w:rPr>
              <w:t>45</w:t>
            </w:r>
          </w:p>
        </w:tc>
        <w:tc>
          <w:tcPr>
            <w:tcW w:w="1860" w:type="dxa"/>
            <w:tcMar>
              <w:left w:w="105" w:type="dxa"/>
              <w:right w:w="105" w:type="dxa"/>
            </w:tcMar>
            <w:vAlign w:val="top"/>
          </w:tcPr>
          <w:p w:rsidR="5C0195BB" w:rsidP="5C0195BB" w:rsidRDefault="5C0195BB" w14:paraId="0F3DA99C" w14:textId="27CCC345">
            <w:pPr>
              <w:bidi w:val="0"/>
              <w:spacing w:before="0" w:beforeAutospacing="off" w:after="0" w:afterAutospacing="off" w:line="259" w:lineRule="auto"/>
              <w:rPr>
                <w:rFonts w:ascii="Arial" w:hAnsi="Arial" w:eastAsia="Arial" w:cs="Arial"/>
                <w:b w:val="0"/>
                <w:bCs w:val="0"/>
                <w:i w:val="0"/>
                <w:iCs w:val="0"/>
                <w:color w:val="auto"/>
                <w:sz w:val="20"/>
                <w:szCs w:val="20"/>
              </w:rPr>
            </w:pPr>
            <w:r w:rsidRPr="5C0195BB" w:rsidR="5C0195BB">
              <w:rPr>
                <w:rFonts w:ascii="Arial" w:hAnsi="Arial" w:eastAsia="Arial" w:cs="Arial"/>
                <w:b w:val="0"/>
                <w:bCs w:val="0"/>
                <w:i w:val="0"/>
                <w:iCs w:val="0"/>
                <w:strike w:val="0"/>
                <w:dstrike w:val="0"/>
                <w:color w:val="auto"/>
                <w:sz w:val="20"/>
                <w:szCs w:val="20"/>
                <w:u w:val="none"/>
                <w:lang w:val="en-US"/>
              </w:rPr>
              <w:t xml:space="preserve">$       1,305,000.00 </w:t>
            </w:r>
          </w:p>
        </w:tc>
      </w:tr>
      <w:tr w:rsidR="5C0195BB" w:rsidTr="5C0195BB" w14:paraId="24E4AD70">
        <w:trPr>
          <w:trHeight w:val="300"/>
        </w:trPr>
        <w:tc>
          <w:tcPr>
            <w:tcW w:w="1860" w:type="dxa"/>
            <w:tcMar>
              <w:left w:w="105" w:type="dxa"/>
              <w:right w:w="105" w:type="dxa"/>
            </w:tcMar>
            <w:vAlign w:val="top"/>
          </w:tcPr>
          <w:p w:rsidR="5C0195BB" w:rsidP="5C0195BB" w:rsidRDefault="5C0195BB" w14:paraId="02A58E4D" w14:textId="6FA3032F">
            <w:pPr>
              <w:bidi w:val="0"/>
              <w:spacing w:line="259" w:lineRule="auto"/>
              <w:rPr>
                <w:rFonts w:ascii="Calibri" w:hAnsi="Calibri" w:eastAsia="Calibri" w:cs="Calibri"/>
                <w:b w:val="0"/>
                <w:bCs w:val="0"/>
                <w:i w:val="0"/>
                <w:iCs w:val="0"/>
                <w:color w:val="auto"/>
                <w:sz w:val="22"/>
                <w:szCs w:val="22"/>
              </w:rPr>
            </w:pPr>
            <w:r w:rsidRPr="5C0195BB" w:rsidR="5C0195BB">
              <w:rPr>
                <w:rStyle w:val="Heading2Char"/>
                <w:rFonts w:ascii="Calibri" w:hAnsi="Calibri" w:eastAsia="Calibri" w:cs="Calibri"/>
                <w:b w:val="1"/>
                <w:bCs w:val="1"/>
                <w:i w:val="0"/>
                <w:iCs w:val="0"/>
                <w:color w:val="auto"/>
                <w:sz w:val="22"/>
                <w:szCs w:val="22"/>
                <w:lang w:val="en-US"/>
              </w:rPr>
              <w:t>Crossover/ Full-Size Sedan</w:t>
            </w:r>
          </w:p>
        </w:tc>
        <w:tc>
          <w:tcPr>
            <w:tcW w:w="1860" w:type="dxa"/>
            <w:tcMar>
              <w:left w:w="105" w:type="dxa"/>
              <w:right w:w="105" w:type="dxa"/>
            </w:tcMar>
            <w:vAlign w:val="top"/>
          </w:tcPr>
          <w:p w:rsidR="5C0195BB" w:rsidP="5C0195BB" w:rsidRDefault="5C0195BB" w14:paraId="141B43AE" w14:textId="326E0425">
            <w:pPr>
              <w:bidi w:val="0"/>
              <w:spacing w:line="259" w:lineRule="auto"/>
              <w:rPr>
                <w:rFonts w:ascii="Calibri" w:hAnsi="Calibri" w:eastAsia="Calibri" w:cs="Calibri"/>
                <w:b w:val="0"/>
                <w:bCs w:val="0"/>
                <w:i w:val="0"/>
                <w:iCs w:val="0"/>
                <w:color w:val="auto"/>
                <w:sz w:val="22"/>
                <w:szCs w:val="22"/>
              </w:rPr>
            </w:pPr>
            <w:r w:rsidRPr="5C0195BB" w:rsidR="5C0195BB">
              <w:rPr>
                <w:rStyle w:val="Heading2Char"/>
                <w:rFonts w:ascii="Calibri" w:hAnsi="Calibri" w:eastAsia="Calibri" w:cs="Calibri"/>
                <w:b w:val="0"/>
                <w:bCs w:val="0"/>
                <w:i w:val="0"/>
                <w:iCs w:val="0"/>
                <w:color w:val="auto"/>
                <w:sz w:val="22"/>
                <w:szCs w:val="22"/>
                <w:lang w:val="en-US"/>
              </w:rPr>
              <w:t>2024 Kia Nero EV</w:t>
            </w:r>
          </w:p>
        </w:tc>
        <w:tc>
          <w:tcPr>
            <w:tcW w:w="1860" w:type="dxa"/>
            <w:tcMar>
              <w:left w:w="105" w:type="dxa"/>
              <w:right w:w="105" w:type="dxa"/>
            </w:tcMar>
            <w:vAlign w:val="top"/>
          </w:tcPr>
          <w:p w:rsidR="5C0195BB" w:rsidP="5C0195BB" w:rsidRDefault="5C0195BB" w14:paraId="76F6F465" w14:textId="7B636A69">
            <w:pPr>
              <w:bidi w:val="0"/>
              <w:spacing w:line="259" w:lineRule="auto"/>
              <w:jc w:val="right"/>
              <w:rPr>
                <w:rFonts w:ascii="Calibri" w:hAnsi="Calibri" w:eastAsia="Calibri" w:cs="Calibri"/>
                <w:b w:val="0"/>
                <w:bCs w:val="0"/>
                <w:i w:val="0"/>
                <w:iCs w:val="0"/>
                <w:color w:val="auto"/>
                <w:sz w:val="22"/>
                <w:szCs w:val="22"/>
              </w:rPr>
            </w:pPr>
            <w:r w:rsidRPr="5C0195BB" w:rsidR="5C0195BB">
              <w:rPr>
                <w:rStyle w:val="Heading2Char"/>
                <w:rFonts w:ascii="Calibri" w:hAnsi="Calibri" w:eastAsia="Calibri" w:cs="Calibri"/>
                <w:b w:val="0"/>
                <w:bCs w:val="0"/>
                <w:i w:val="0"/>
                <w:iCs w:val="0"/>
                <w:color w:val="auto"/>
                <w:sz w:val="22"/>
                <w:szCs w:val="22"/>
                <w:lang w:val="en-US"/>
              </w:rPr>
              <w:t>$40,000</w:t>
            </w:r>
          </w:p>
        </w:tc>
        <w:tc>
          <w:tcPr>
            <w:tcW w:w="1860" w:type="dxa"/>
            <w:tcMar>
              <w:left w:w="105" w:type="dxa"/>
              <w:right w:w="105" w:type="dxa"/>
            </w:tcMar>
            <w:vAlign w:val="top"/>
          </w:tcPr>
          <w:p w:rsidR="5C0195BB" w:rsidP="5C0195BB" w:rsidRDefault="5C0195BB" w14:paraId="5DFEC154" w14:textId="5093E072">
            <w:pPr>
              <w:bidi w:val="0"/>
              <w:spacing w:before="0" w:beforeAutospacing="off" w:after="0" w:afterAutospacing="off" w:line="259" w:lineRule="auto"/>
              <w:jc w:val="right"/>
              <w:rPr>
                <w:rFonts w:ascii="Arial" w:hAnsi="Arial" w:eastAsia="Arial" w:cs="Arial"/>
                <w:b w:val="0"/>
                <w:bCs w:val="0"/>
                <w:i w:val="0"/>
                <w:iCs w:val="0"/>
                <w:color w:val="auto"/>
                <w:sz w:val="20"/>
                <w:szCs w:val="20"/>
              </w:rPr>
            </w:pPr>
            <w:r w:rsidRPr="5C0195BB" w:rsidR="5C0195BB">
              <w:rPr>
                <w:rFonts w:ascii="Arial" w:hAnsi="Arial" w:eastAsia="Arial" w:cs="Arial"/>
                <w:b w:val="0"/>
                <w:bCs w:val="0"/>
                <w:i w:val="0"/>
                <w:iCs w:val="0"/>
                <w:strike w:val="0"/>
                <w:dstrike w:val="0"/>
                <w:color w:val="auto"/>
                <w:sz w:val="20"/>
                <w:szCs w:val="20"/>
                <w:u w:val="none"/>
                <w:lang w:val="en-US"/>
              </w:rPr>
              <w:t>45</w:t>
            </w:r>
          </w:p>
        </w:tc>
        <w:tc>
          <w:tcPr>
            <w:tcW w:w="1860" w:type="dxa"/>
            <w:tcMar>
              <w:left w:w="105" w:type="dxa"/>
              <w:right w:w="105" w:type="dxa"/>
            </w:tcMar>
            <w:vAlign w:val="top"/>
          </w:tcPr>
          <w:p w:rsidR="5C0195BB" w:rsidP="5C0195BB" w:rsidRDefault="5C0195BB" w14:paraId="0A30AAEE" w14:textId="0816DE76">
            <w:pPr>
              <w:bidi w:val="0"/>
              <w:spacing w:before="0" w:beforeAutospacing="off" w:after="0" w:afterAutospacing="off" w:line="259" w:lineRule="auto"/>
              <w:rPr>
                <w:rFonts w:ascii="Arial" w:hAnsi="Arial" w:eastAsia="Arial" w:cs="Arial"/>
                <w:b w:val="0"/>
                <w:bCs w:val="0"/>
                <w:i w:val="0"/>
                <w:iCs w:val="0"/>
                <w:color w:val="auto"/>
                <w:sz w:val="20"/>
                <w:szCs w:val="20"/>
              </w:rPr>
            </w:pPr>
            <w:r w:rsidRPr="5C0195BB" w:rsidR="5C0195BB">
              <w:rPr>
                <w:rFonts w:ascii="Arial" w:hAnsi="Arial" w:eastAsia="Arial" w:cs="Arial"/>
                <w:b w:val="0"/>
                <w:bCs w:val="0"/>
                <w:i w:val="0"/>
                <w:iCs w:val="0"/>
                <w:strike w:val="0"/>
                <w:dstrike w:val="0"/>
                <w:color w:val="auto"/>
                <w:sz w:val="20"/>
                <w:szCs w:val="20"/>
                <w:u w:val="none"/>
                <w:lang w:val="en-US"/>
              </w:rPr>
              <w:t xml:space="preserve"> $       1,800,000.00 </w:t>
            </w:r>
          </w:p>
        </w:tc>
      </w:tr>
      <w:tr w:rsidR="5C0195BB" w:rsidTr="5C0195BB" w14:paraId="780AE74F">
        <w:trPr>
          <w:trHeight w:val="300"/>
        </w:trPr>
        <w:tc>
          <w:tcPr>
            <w:tcW w:w="1860" w:type="dxa"/>
            <w:tcMar>
              <w:left w:w="105" w:type="dxa"/>
              <w:right w:w="105" w:type="dxa"/>
            </w:tcMar>
            <w:vAlign w:val="top"/>
          </w:tcPr>
          <w:p w:rsidR="5C0195BB" w:rsidP="5C0195BB" w:rsidRDefault="5C0195BB" w14:paraId="73ED4B43" w14:textId="60ED53B6">
            <w:pPr>
              <w:bidi w:val="0"/>
              <w:spacing w:line="259" w:lineRule="auto"/>
              <w:rPr>
                <w:rFonts w:ascii="Calibri" w:hAnsi="Calibri" w:eastAsia="Calibri" w:cs="Calibri"/>
                <w:b w:val="0"/>
                <w:bCs w:val="0"/>
                <w:i w:val="0"/>
                <w:iCs w:val="0"/>
                <w:color w:val="auto"/>
                <w:sz w:val="22"/>
                <w:szCs w:val="22"/>
              </w:rPr>
            </w:pPr>
            <w:r w:rsidRPr="5C0195BB" w:rsidR="5C0195BB">
              <w:rPr>
                <w:rStyle w:val="Heading2Char"/>
                <w:rFonts w:ascii="Calibri" w:hAnsi="Calibri" w:eastAsia="Calibri" w:cs="Calibri"/>
                <w:b w:val="1"/>
                <w:bCs w:val="1"/>
                <w:i w:val="0"/>
                <w:iCs w:val="0"/>
                <w:color w:val="auto"/>
                <w:sz w:val="22"/>
                <w:szCs w:val="22"/>
                <w:lang w:val="en-US"/>
              </w:rPr>
              <w:t>Truck/Full-Size SUV</w:t>
            </w:r>
          </w:p>
        </w:tc>
        <w:tc>
          <w:tcPr>
            <w:tcW w:w="1860" w:type="dxa"/>
            <w:tcMar>
              <w:left w:w="105" w:type="dxa"/>
              <w:right w:w="105" w:type="dxa"/>
            </w:tcMar>
            <w:vAlign w:val="top"/>
          </w:tcPr>
          <w:p w:rsidR="5C0195BB" w:rsidP="5C0195BB" w:rsidRDefault="5C0195BB" w14:paraId="0360D6AB" w14:textId="3C301A0E">
            <w:pPr>
              <w:bidi w:val="0"/>
              <w:spacing w:line="259" w:lineRule="auto"/>
              <w:rPr>
                <w:rFonts w:ascii="Calibri" w:hAnsi="Calibri" w:eastAsia="Calibri" w:cs="Calibri"/>
                <w:b w:val="0"/>
                <w:bCs w:val="0"/>
                <w:i w:val="0"/>
                <w:iCs w:val="0"/>
                <w:color w:val="auto"/>
                <w:sz w:val="22"/>
                <w:szCs w:val="22"/>
              </w:rPr>
            </w:pPr>
            <w:r w:rsidRPr="5C0195BB" w:rsidR="5C0195BB">
              <w:rPr>
                <w:rStyle w:val="Heading2Char"/>
                <w:rFonts w:ascii="Calibri" w:hAnsi="Calibri" w:eastAsia="Calibri" w:cs="Calibri"/>
                <w:b w:val="0"/>
                <w:bCs w:val="0"/>
                <w:i w:val="0"/>
                <w:iCs w:val="0"/>
                <w:color w:val="auto"/>
                <w:sz w:val="22"/>
                <w:szCs w:val="22"/>
                <w:lang w:val="en-US"/>
              </w:rPr>
              <w:t>Ford F-150 Lightning</w:t>
            </w:r>
          </w:p>
        </w:tc>
        <w:tc>
          <w:tcPr>
            <w:tcW w:w="1860" w:type="dxa"/>
            <w:tcMar>
              <w:left w:w="105" w:type="dxa"/>
              <w:right w:w="105" w:type="dxa"/>
            </w:tcMar>
            <w:vAlign w:val="top"/>
          </w:tcPr>
          <w:p w:rsidR="5C0195BB" w:rsidP="5C0195BB" w:rsidRDefault="5C0195BB" w14:paraId="5DE784E2" w14:textId="75E06A13">
            <w:pPr>
              <w:bidi w:val="0"/>
              <w:spacing w:line="259" w:lineRule="auto"/>
              <w:jc w:val="right"/>
              <w:rPr>
                <w:rFonts w:ascii="Calibri" w:hAnsi="Calibri" w:eastAsia="Calibri" w:cs="Calibri"/>
                <w:b w:val="0"/>
                <w:bCs w:val="0"/>
                <w:i w:val="0"/>
                <w:iCs w:val="0"/>
                <w:color w:val="auto"/>
                <w:sz w:val="22"/>
                <w:szCs w:val="22"/>
              </w:rPr>
            </w:pPr>
            <w:r w:rsidRPr="5C0195BB" w:rsidR="5C0195BB">
              <w:rPr>
                <w:rStyle w:val="Heading2Char"/>
                <w:rFonts w:ascii="Calibri" w:hAnsi="Calibri" w:eastAsia="Calibri" w:cs="Calibri"/>
                <w:b w:val="0"/>
                <w:bCs w:val="0"/>
                <w:i w:val="0"/>
                <w:iCs w:val="0"/>
                <w:color w:val="auto"/>
                <w:sz w:val="22"/>
                <w:szCs w:val="22"/>
                <w:lang w:val="en-US"/>
              </w:rPr>
              <w:t>$50,000</w:t>
            </w:r>
          </w:p>
        </w:tc>
        <w:tc>
          <w:tcPr>
            <w:tcW w:w="1860" w:type="dxa"/>
            <w:tcMar>
              <w:left w:w="105" w:type="dxa"/>
              <w:right w:w="105" w:type="dxa"/>
            </w:tcMar>
            <w:vAlign w:val="top"/>
          </w:tcPr>
          <w:p w:rsidR="5C0195BB" w:rsidP="5C0195BB" w:rsidRDefault="5C0195BB" w14:paraId="62A66F25" w14:textId="306DCC39">
            <w:pPr>
              <w:bidi w:val="0"/>
              <w:spacing w:before="0" w:beforeAutospacing="off" w:after="0" w:afterAutospacing="off" w:line="259" w:lineRule="auto"/>
              <w:ind w:left="0" w:right="0"/>
              <w:jc w:val="right"/>
              <w:rPr>
                <w:rFonts w:ascii="Arial" w:hAnsi="Arial" w:eastAsia="Arial" w:cs="Arial"/>
                <w:b w:val="0"/>
                <w:bCs w:val="0"/>
                <w:i w:val="0"/>
                <w:iCs w:val="0"/>
                <w:color w:val="auto"/>
                <w:sz w:val="20"/>
                <w:szCs w:val="20"/>
              </w:rPr>
            </w:pPr>
            <w:r w:rsidRPr="5C0195BB" w:rsidR="5C0195BB">
              <w:rPr>
                <w:rFonts w:ascii="Arial" w:hAnsi="Arial" w:eastAsia="Arial" w:cs="Arial"/>
                <w:b w:val="0"/>
                <w:bCs w:val="0"/>
                <w:i w:val="0"/>
                <w:iCs w:val="0"/>
                <w:strike w:val="0"/>
                <w:dstrike w:val="0"/>
                <w:color w:val="auto"/>
                <w:sz w:val="20"/>
                <w:szCs w:val="20"/>
                <w:u w:val="none"/>
                <w:lang w:val="en-US"/>
              </w:rPr>
              <w:t>45</w:t>
            </w:r>
          </w:p>
        </w:tc>
        <w:tc>
          <w:tcPr>
            <w:tcW w:w="1860" w:type="dxa"/>
            <w:tcMar>
              <w:left w:w="105" w:type="dxa"/>
              <w:right w:w="105" w:type="dxa"/>
            </w:tcMar>
            <w:vAlign w:val="top"/>
          </w:tcPr>
          <w:p w:rsidR="5C0195BB" w:rsidP="5C0195BB" w:rsidRDefault="5C0195BB" w14:paraId="21F7E405" w14:textId="0D5A59F2">
            <w:pPr>
              <w:bidi w:val="0"/>
              <w:spacing w:before="0" w:beforeAutospacing="off" w:after="0" w:afterAutospacing="off" w:line="259" w:lineRule="auto"/>
              <w:rPr>
                <w:rFonts w:ascii="Arial" w:hAnsi="Arial" w:eastAsia="Arial" w:cs="Arial"/>
                <w:b w:val="0"/>
                <w:bCs w:val="0"/>
                <w:i w:val="0"/>
                <w:iCs w:val="0"/>
                <w:color w:val="auto"/>
                <w:sz w:val="20"/>
                <w:szCs w:val="20"/>
              </w:rPr>
            </w:pPr>
            <w:r w:rsidRPr="5C0195BB" w:rsidR="5C0195BB">
              <w:rPr>
                <w:rFonts w:ascii="Arial" w:hAnsi="Arial" w:eastAsia="Arial" w:cs="Arial"/>
                <w:b w:val="0"/>
                <w:bCs w:val="0"/>
                <w:i w:val="0"/>
                <w:iCs w:val="0"/>
                <w:strike w:val="0"/>
                <w:dstrike w:val="0"/>
                <w:color w:val="auto"/>
                <w:sz w:val="20"/>
                <w:szCs w:val="20"/>
                <w:u w:val="none"/>
                <w:lang w:val="en-US"/>
              </w:rPr>
              <w:t xml:space="preserve"> $       2,250,000.00 </w:t>
            </w:r>
          </w:p>
        </w:tc>
      </w:tr>
      <w:tr w:rsidR="5C0195BB" w:rsidTr="5C0195BB" w14:paraId="37554ED8">
        <w:trPr>
          <w:trHeight w:val="300"/>
        </w:trPr>
        <w:tc>
          <w:tcPr>
            <w:tcW w:w="1860" w:type="dxa"/>
            <w:tcMar>
              <w:left w:w="105" w:type="dxa"/>
              <w:right w:w="105" w:type="dxa"/>
            </w:tcMar>
            <w:vAlign w:val="top"/>
          </w:tcPr>
          <w:p w:rsidR="5C0195BB" w:rsidP="5C0195BB" w:rsidRDefault="5C0195BB" w14:paraId="655AD251" w14:textId="673A8558">
            <w:pPr>
              <w:bidi w:val="0"/>
              <w:spacing w:line="259" w:lineRule="auto"/>
              <w:rPr>
                <w:rFonts w:ascii="Calibri" w:hAnsi="Calibri" w:eastAsia="Calibri" w:cs="Calibri"/>
                <w:b w:val="0"/>
                <w:bCs w:val="0"/>
                <w:i w:val="0"/>
                <w:iCs w:val="0"/>
                <w:color w:val="auto"/>
                <w:sz w:val="22"/>
                <w:szCs w:val="22"/>
              </w:rPr>
            </w:pPr>
            <w:r w:rsidRPr="5C0195BB" w:rsidR="5C0195BB">
              <w:rPr>
                <w:rStyle w:val="Heading2Char"/>
                <w:rFonts w:ascii="Calibri" w:hAnsi="Calibri" w:eastAsia="Calibri" w:cs="Calibri"/>
                <w:b w:val="1"/>
                <w:bCs w:val="1"/>
                <w:i w:val="0"/>
                <w:iCs w:val="0"/>
                <w:color w:val="auto"/>
                <w:sz w:val="22"/>
                <w:szCs w:val="22"/>
                <w:lang w:val="en-US"/>
              </w:rPr>
              <w:t>Full Size Cargo/Passenger Van</w:t>
            </w:r>
          </w:p>
        </w:tc>
        <w:tc>
          <w:tcPr>
            <w:tcW w:w="1860" w:type="dxa"/>
            <w:tcMar>
              <w:left w:w="105" w:type="dxa"/>
              <w:right w:w="105" w:type="dxa"/>
            </w:tcMar>
            <w:vAlign w:val="top"/>
          </w:tcPr>
          <w:p w:rsidR="5C0195BB" w:rsidP="5C0195BB" w:rsidRDefault="5C0195BB" w14:paraId="610491CA" w14:textId="785AF3F8">
            <w:pPr>
              <w:bidi w:val="0"/>
              <w:spacing w:line="259" w:lineRule="auto"/>
              <w:rPr>
                <w:rFonts w:ascii="Calibri" w:hAnsi="Calibri" w:eastAsia="Calibri" w:cs="Calibri"/>
                <w:b w:val="0"/>
                <w:bCs w:val="0"/>
                <w:i w:val="0"/>
                <w:iCs w:val="0"/>
                <w:color w:val="auto"/>
                <w:sz w:val="22"/>
                <w:szCs w:val="22"/>
              </w:rPr>
            </w:pPr>
            <w:r w:rsidRPr="5C0195BB" w:rsidR="5C0195BB">
              <w:rPr>
                <w:rStyle w:val="Heading2Char"/>
                <w:rFonts w:ascii="Calibri" w:hAnsi="Calibri" w:eastAsia="Calibri" w:cs="Calibri"/>
                <w:b w:val="0"/>
                <w:bCs w:val="0"/>
                <w:i w:val="0"/>
                <w:iCs w:val="0"/>
                <w:color w:val="auto"/>
                <w:sz w:val="22"/>
                <w:szCs w:val="22"/>
                <w:lang w:val="en-US"/>
              </w:rPr>
              <w:t>Ford EV Transit Van</w:t>
            </w:r>
          </w:p>
        </w:tc>
        <w:tc>
          <w:tcPr>
            <w:tcW w:w="1860" w:type="dxa"/>
            <w:tcMar>
              <w:left w:w="105" w:type="dxa"/>
              <w:right w:w="105" w:type="dxa"/>
            </w:tcMar>
            <w:vAlign w:val="top"/>
          </w:tcPr>
          <w:p w:rsidR="5C0195BB" w:rsidP="5C0195BB" w:rsidRDefault="5C0195BB" w14:paraId="497728B5" w14:textId="6C39706D">
            <w:pPr>
              <w:bidi w:val="0"/>
              <w:spacing w:line="259" w:lineRule="auto"/>
              <w:jc w:val="right"/>
              <w:rPr>
                <w:rFonts w:ascii="Calibri" w:hAnsi="Calibri" w:eastAsia="Calibri" w:cs="Calibri"/>
                <w:b w:val="0"/>
                <w:bCs w:val="0"/>
                <w:i w:val="0"/>
                <w:iCs w:val="0"/>
                <w:color w:val="auto"/>
                <w:sz w:val="22"/>
                <w:szCs w:val="22"/>
              </w:rPr>
            </w:pPr>
            <w:r w:rsidRPr="5C0195BB" w:rsidR="5C0195BB">
              <w:rPr>
                <w:rStyle w:val="Heading2Char"/>
                <w:rFonts w:ascii="Calibri" w:hAnsi="Calibri" w:eastAsia="Calibri" w:cs="Calibri"/>
                <w:b w:val="0"/>
                <w:bCs w:val="0"/>
                <w:i w:val="0"/>
                <w:iCs w:val="0"/>
                <w:color w:val="auto"/>
                <w:sz w:val="22"/>
                <w:szCs w:val="22"/>
                <w:lang w:val="en-US"/>
              </w:rPr>
              <w:t>$46,000</w:t>
            </w:r>
          </w:p>
        </w:tc>
        <w:tc>
          <w:tcPr>
            <w:tcW w:w="1860" w:type="dxa"/>
            <w:tcMar>
              <w:left w:w="105" w:type="dxa"/>
              <w:right w:w="105" w:type="dxa"/>
            </w:tcMar>
            <w:vAlign w:val="top"/>
          </w:tcPr>
          <w:p w:rsidR="5C0195BB" w:rsidP="5C0195BB" w:rsidRDefault="5C0195BB" w14:paraId="53F8A8DA" w14:textId="351B8191">
            <w:pPr>
              <w:bidi w:val="0"/>
              <w:spacing w:before="0" w:beforeAutospacing="off" w:after="0" w:afterAutospacing="off" w:line="259" w:lineRule="auto"/>
              <w:jc w:val="right"/>
              <w:rPr>
                <w:rFonts w:ascii="Arial" w:hAnsi="Arial" w:eastAsia="Arial" w:cs="Arial"/>
                <w:b w:val="0"/>
                <w:bCs w:val="0"/>
                <w:i w:val="0"/>
                <w:iCs w:val="0"/>
                <w:color w:val="auto"/>
                <w:sz w:val="20"/>
                <w:szCs w:val="20"/>
              </w:rPr>
            </w:pPr>
            <w:r w:rsidRPr="5C0195BB" w:rsidR="5C0195BB">
              <w:rPr>
                <w:rFonts w:ascii="Arial" w:hAnsi="Arial" w:eastAsia="Arial" w:cs="Arial"/>
                <w:b w:val="0"/>
                <w:bCs w:val="0"/>
                <w:i w:val="0"/>
                <w:iCs w:val="0"/>
                <w:strike w:val="0"/>
                <w:dstrike w:val="0"/>
                <w:color w:val="auto"/>
                <w:sz w:val="20"/>
                <w:szCs w:val="20"/>
                <w:u w:val="none"/>
                <w:lang w:val="en-US"/>
              </w:rPr>
              <w:t>45</w:t>
            </w:r>
          </w:p>
        </w:tc>
        <w:tc>
          <w:tcPr>
            <w:tcW w:w="1860" w:type="dxa"/>
            <w:tcMar>
              <w:left w:w="105" w:type="dxa"/>
              <w:right w:w="105" w:type="dxa"/>
            </w:tcMar>
            <w:vAlign w:val="top"/>
          </w:tcPr>
          <w:p w:rsidR="5C0195BB" w:rsidP="5C0195BB" w:rsidRDefault="5C0195BB" w14:paraId="75FD5A5E" w14:textId="38E3DB70">
            <w:pPr>
              <w:bidi w:val="0"/>
              <w:spacing w:before="0" w:beforeAutospacing="off" w:after="0" w:afterAutospacing="off" w:line="259" w:lineRule="auto"/>
              <w:rPr>
                <w:rFonts w:ascii="Arial" w:hAnsi="Arial" w:eastAsia="Arial" w:cs="Arial"/>
                <w:b w:val="0"/>
                <w:bCs w:val="0"/>
                <w:i w:val="0"/>
                <w:iCs w:val="0"/>
                <w:color w:val="auto"/>
                <w:sz w:val="20"/>
                <w:szCs w:val="20"/>
              </w:rPr>
            </w:pPr>
            <w:r w:rsidRPr="5C0195BB" w:rsidR="5C0195BB">
              <w:rPr>
                <w:rFonts w:ascii="Arial" w:hAnsi="Arial" w:eastAsia="Arial" w:cs="Arial"/>
                <w:b w:val="0"/>
                <w:bCs w:val="0"/>
                <w:i w:val="0"/>
                <w:iCs w:val="0"/>
                <w:strike w:val="0"/>
                <w:dstrike w:val="0"/>
                <w:color w:val="auto"/>
                <w:sz w:val="20"/>
                <w:szCs w:val="20"/>
                <w:u w:val="none"/>
                <w:lang w:val="en-US"/>
              </w:rPr>
              <w:t>$2,025,000</w:t>
            </w:r>
          </w:p>
        </w:tc>
      </w:tr>
      <w:tr w:rsidR="5C0195BB" w:rsidTr="5C0195BB" w14:paraId="223727DB">
        <w:trPr>
          <w:trHeight w:val="300"/>
        </w:trPr>
        <w:tc>
          <w:tcPr>
            <w:tcW w:w="1860" w:type="dxa"/>
            <w:tcMar>
              <w:left w:w="105" w:type="dxa"/>
              <w:right w:w="105" w:type="dxa"/>
            </w:tcMar>
            <w:vAlign w:val="top"/>
          </w:tcPr>
          <w:p w:rsidR="5C0195BB" w:rsidP="5C0195BB" w:rsidRDefault="5C0195BB" w14:paraId="27E2019A" w14:textId="55679780">
            <w:pPr>
              <w:bidi w:val="0"/>
              <w:spacing w:line="259" w:lineRule="auto"/>
              <w:rPr>
                <w:rFonts w:ascii="Calibri" w:hAnsi="Calibri" w:eastAsia="Calibri" w:cs="Calibri"/>
                <w:b w:val="0"/>
                <w:bCs w:val="0"/>
                <w:i w:val="0"/>
                <w:iCs w:val="0"/>
                <w:color w:val="auto"/>
                <w:sz w:val="22"/>
                <w:szCs w:val="22"/>
              </w:rPr>
            </w:pPr>
            <w:r w:rsidRPr="5C0195BB" w:rsidR="5C0195BB">
              <w:rPr>
                <w:rStyle w:val="Heading2Char"/>
                <w:rFonts w:ascii="Calibri" w:hAnsi="Calibri" w:eastAsia="Calibri" w:cs="Calibri"/>
                <w:b w:val="1"/>
                <w:bCs w:val="1"/>
                <w:i w:val="0"/>
                <w:iCs w:val="0"/>
                <w:color w:val="auto"/>
                <w:sz w:val="22"/>
                <w:szCs w:val="22"/>
                <w:lang w:val="en-US"/>
              </w:rPr>
              <w:t>Dual EV Charging Station Level 2</w:t>
            </w:r>
          </w:p>
        </w:tc>
        <w:tc>
          <w:tcPr>
            <w:tcW w:w="1860" w:type="dxa"/>
            <w:tcMar>
              <w:left w:w="105" w:type="dxa"/>
              <w:right w:w="105" w:type="dxa"/>
            </w:tcMar>
            <w:vAlign w:val="top"/>
          </w:tcPr>
          <w:p w:rsidR="5C0195BB" w:rsidP="5C0195BB" w:rsidRDefault="5C0195BB" w14:paraId="6D64959E" w14:textId="778FCB11">
            <w:pPr>
              <w:bidi w:val="0"/>
              <w:spacing w:line="259" w:lineRule="auto"/>
              <w:rPr>
                <w:rFonts w:ascii="Calibri" w:hAnsi="Calibri" w:eastAsia="Calibri" w:cs="Calibri"/>
                <w:b w:val="0"/>
                <w:bCs w:val="0"/>
                <w:i w:val="0"/>
                <w:iCs w:val="0"/>
                <w:color w:val="auto"/>
                <w:sz w:val="22"/>
                <w:szCs w:val="22"/>
              </w:rPr>
            </w:pPr>
            <w:r w:rsidRPr="5C0195BB" w:rsidR="5C0195BB">
              <w:rPr>
                <w:rStyle w:val="Heading2Char"/>
                <w:rFonts w:ascii="Calibri" w:hAnsi="Calibri" w:eastAsia="Calibri" w:cs="Calibri"/>
                <w:b w:val="0"/>
                <w:bCs w:val="0"/>
                <w:i w:val="0"/>
                <w:iCs w:val="0"/>
                <w:color w:val="auto"/>
                <w:sz w:val="22"/>
                <w:szCs w:val="22"/>
                <w:lang w:val="en-US"/>
              </w:rPr>
              <w:t>Cyber-Switching Commercial Dual EV Station CSE1 Level 2 48 A with installation</w:t>
            </w:r>
          </w:p>
        </w:tc>
        <w:tc>
          <w:tcPr>
            <w:tcW w:w="1860" w:type="dxa"/>
            <w:tcMar>
              <w:left w:w="105" w:type="dxa"/>
              <w:right w:w="105" w:type="dxa"/>
            </w:tcMar>
            <w:vAlign w:val="top"/>
          </w:tcPr>
          <w:p w:rsidR="5C0195BB" w:rsidP="5C0195BB" w:rsidRDefault="5C0195BB" w14:paraId="5676D2D9" w14:textId="66B6E561">
            <w:pPr>
              <w:bidi w:val="0"/>
              <w:spacing w:line="259" w:lineRule="auto"/>
              <w:jc w:val="right"/>
              <w:rPr>
                <w:rFonts w:ascii="Calibri" w:hAnsi="Calibri" w:eastAsia="Calibri" w:cs="Calibri"/>
                <w:b w:val="0"/>
                <w:bCs w:val="0"/>
                <w:i w:val="0"/>
                <w:iCs w:val="0"/>
                <w:color w:val="auto"/>
                <w:sz w:val="22"/>
                <w:szCs w:val="22"/>
              </w:rPr>
            </w:pPr>
            <w:r w:rsidRPr="5C0195BB" w:rsidR="5C0195BB">
              <w:rPr>
                <w:rStyle w:val="Heading2Char"/>
                <w:rFonts w:ascii="Calibri" w:hAnsi="Calibri" w:eastAsia="Calibri" w:cs="Calibri"/>
                <w:b w:val="0"/>
                <w:bCs w:val="0"/>
                <w:i w:val="0"/>
                <w:iCs w:val="0"/>
                <w:color w:val="auto"/>
                <w:sz w:val="22"/>
                <w:szCs w:val="22"/>
                <w:lang w:val="en-US"/>
              </w:rPr>
              <w:t>$10,000</w:t>
            </w:r>
          </w:p>
        </w:tc>
        <w:tc>
          <w:tcPr>
            <w:tcW w:w="1860" w:type="dxa"/>
            <w:tcMar>
              <w:left w:w="105" w:type="dxa"/>
              <w:right w:w="105" w:type="dxa"/>
            </w:tcMar>
            <w:vAlign w:val="top"/>
          </w:tcPr>
          <w:p w:rsidR="5C0195BB" w:rsidP="5C0195BB" w:rsidRDefault="5C0195BB" w14:paraId="49B8CCBA" w14:textId="30954B55">
            <w:pPr>
              <w:bidi w:val="0"/>
              <w:spacing w:line="259" w:lineRule="auto"/>
              <w:jc w:val="right"/>
              <w:rPr>
                <w:rFonts w:ascii="Arial" w:hAnsi="Arial" w:eastAsia="Arial" w:cs="Arial"/>
                <w:b w:val="0"/>
                <w:bCs w:val="0"/>
                <w:i w:val="0"/>
                <w:iCs w:val="0"/>
                <w:color w:val="auto"/>
                <w:sz w:val="20"/>
                <w:szCs w:val="20"/>
              </w:rPr>
            </w:pPr>
            <w:r w:rsidRPr="5C0195BB" w:rsidR="5C0195BB">
              <w:rPr>
                <w:rFonts w:ascii="Arial" w:hAnsi="Arial" w:eastAsia="Arial" w:cs="Arial"/>
                <w:b w:val="0"/>
                <w:bCs w:val="0"/>
                <w:i w:val="0"/>
                <w:iCs w:val="0"/>
                <w:strike w:val="0"/>
                <w:dstrike w:val="0"/>
                <w:color w:val="auto"/>
                <w:sz w:val="20"/>
                <w:szCs w:val="20"/>
                <w:u w:val="none"/>
                <w:lang w:val="en-US"/>
              </w:rPr>
              <w:t>45</w:t>
            </w:r>
          </w:p>
        </w:tc>
        <w:tc>
          <w:tcPr>
            <w:tcW w:w="1860" w:type="dxa"/>
            <w:tcMar>
              <w:left w:w="105" w:type="dxa"/>
              <w:right w:w="105" w:type="dxa"/>
            </w:tcMar>
            <w:vAlign w:val="top"/>
          </w:tcPr>
          <w:p w:rsidR="5C0195BB" w:rsidP="5C0195BB" w:rsidRDefault="5C0195BB" w14:paraId="13203B1B" w14:textId="54A61031">
            <w:pPr>
              <w:bidi w:val="0"/>
              <w:spacing w:line="259" w:lineRule="auto"/>
              <w:rPr>
                <w:rFonts w:ascii="Arial" w:hAnsi="Arial" w:eastAsia="Arial" w:cs="Arial"/>
                <w:b w:val="0"/>
                <w:bCs w:val="0"/>
                <w:i w:val="0"/>
                <w:iCs w:val="0"/>
                <w:color w:val="auto"/>
                <w:sz w:val="20"/>
                <w:szCs w:val="20"/>
              </w:rPr>
            </w:pPr>
            <w:r w:rsidRPr="5C0195BB" w:rsidR="5C0195BB">
              <w:rPr>
                <w:rFonts w:ascii="Arial" w:hAnsi="Arial" w:eastAsia="Arial" w:cs="Arial"/>
                <w:b w:val="0"/>
                <w:bCs w:val="0"/>
                <w:i w:val="0"/>
                <w:iCs w:val="0"/>
                <w:strike w:val="0"/>
                <w:dstrike w:val="0"/>
                <w:color w:val="auto"/>
                <w:sz w:val="20"/>
                <w:szCs w:val="20"/>
                <w:u w:val="none"/>
                <w:lang w:val="en-US"/>
              </w:rPr>
              <w:t>$450,000</w:t>
            </w:r>
          </w:p>
        </w:tc>
      </w:tr>
      <w:tr w:rsidR="5C0195BB" w:rsidTr="5C0195BB" w14:paraId="0145E929">
        <w:trPr>
          <w:trHeight w:val="300"/>
        </w:trPr>
        <w:tc>
          <w:tcPr>
            <w:tcW w:w="5580" w:type="dxa"/>
            <w:gridSpan w:val="3"/>
            <w:tcMar>
              <w:left w:w="105" w:type="dxa"/>
              <w:right w:w="105" w:type="dxa"/>
            </w:tcMar>
            <w:vAlign w:val="top"/>
          </w:tcPr>
          <w:p w:rsidR="5C0195BB" w:rsidP="5C0195BB" w:rsidRDefault="5C0195BB" w14:paraId="60D7E229" w14:textId="2C4A5B10">
            <w:pPr>
              <w:bidi w:val="0"/>
              <w:spacing w:line="259" w:lineRule="auto"/>
              <w:jc w:val="right"/>
              <w:rPr>
                <w:rFonts w:ascii="Calibri" w:hAnsi="Calibri" w:eastAsia="Calibri" w:cs="Calibri"/>
                <w:b w:val="0"/>
                <w:bCs w:val="0"/>
                <w:i w:val="0"/>
                <w:iCs w:val="0"/>
                <w:color w:val="auto"/>
                <w:sz w:val="22"/>
                <w:szCs w:val="22"/>
              </w:rPr>
            </w:pPr>
          </w:p>
          <w:p w:rsidR="5C0195BB" w:rsidP="5C0195BB" w:rsidRDefault="5C0195BB" w14:paraId="5B9470E5" w14:textId="0C80DE93">
            <w:pPr>
              <w:bidi w:val="0"/>
              <w:spacing w:line="259" w:lineRule="auto"/>
              <w:jc w:val="right"/>
              <w:rPr>
                <w:rFonts w:ascii="Calibri" w:hAnsi="Calibri" w:eastAsia="Calibri" w:cs="Calibri"/>
                <w:b w:val="0"/>
                <w:bCs w:val="0"/>
                <w:i w:val="0"/>
                <w:iCs w:val="0"/>
                <w:color w:val="auto"/>
                <w:sz w:val="22"/>
                <w:szCs w:val="22"/>
              </w:rPr>
            </w:pPr>
            <w:r w:rsidRPr="5C0195BB" w:rsidR="5C0195BB">
              <w:rPr>
                <w:rStyle w:val="Heading2Char"/>
                <w:rFonts w:ascii="Calibri" w:hAnsi="Calibri" w:eastAsia="Calibri" w:cs="Calibri"/>
                <w:b w:val="0"/>
                <w:bCs w:val="0"/>
                <w:i w:val="0"/>
                <w:iCs w:val="0"/>
                <w:color w:val="auto"/>
                <w:sz w:val="22"/>
                <w:szCs w:val="22"/>
                <w:lang w:val="en-US"/>
              </w:rPr>
              <w:t xml:space="preserve">Sum Totals: </w:t>
            </w:r>
          </w:p>
        </w:tc>
        <w:tc>
          <w:tcPr>
            <w:tcW w:w="1860" w:type="dxa"/>
            <w:tcMar>
              <w:left w:w="105" w:type="dxa"/>
              <w:right w:w="105" w:type="dxa"/>
            </w:tcMar>
            <w:vAlign w:val="top"/>
          </w:tcPr>
          <w:p w:rsidR="5C0195BB" w:rsidP="5C0195BB" w:rsidRDefault="5C0195BB" w14:paraId="7B7E30DA" w14:textId="3407903A">
            <w:pPr>
              <w:bidi w:val="0"/>
              <w:spacing w:line="259" w:lineRule="auto"/>
              <w:jc w:val="right"/>
              <w:rPr>
                <w:rFonts w:ascii="Calibri" w:hAnsi="Calibri" w:eastAsia="Calibri" w:cs="Calibri"/>
                <w:b w:val="0"/>
                <w:bCs w:val="0"/>
                <w:i w:val="0"/>
                <w:iCs w:val="0"/>
                <w:color w:val="auto"/>
                <w:sz w:val="22"/>
                <w:szCs w:val="22"/>
              </w:rPr>
            </w:pPr>
            <w:r w:rsidRPr="5C0195BB" w:rsidR="5C0195BB">
              <w:rPr>
                <w:rStyle w:val="Heading2Char"/>
                <w:rFonts w:ascii="Calibri" w:hAnsi="Calibri" w:eastAsia="Calibri" w:cs="Calibri"/>
                <w:b w:val="0"/>
                <w:bCs w:val="0"/>
                <w:i w:val="0"/>
                <w:iCs w:val="0"/>
                <w:color w:val="auto"/>
                <w:sz w:val="22"/>
                <w:szCs w:val="22"/>
                <w:lang w:val="en-US"/>
              </w:rPr>
              <w:t>160</w:t>
            </w:r>
          </w:p>
        </w:tc>
        <w:tc>
          <w:tcPr>
            <w:tcW w:w="1860" w:type="dxa"/>
            <w:tcMar>
              <w:left w:w="105" w:type="dxa"/>
              <w:right w:w="105" w:type="dxa"/>
            </w:tcMar>
            <w:vAlign w:val="top"/>
          </w:tcPr>
          <w:p w:rsidR="5C0195BB" w:rsidP="5C0195BB" w:rsidRDefault="5C0195BB" w14:paraId="10FFDD89" w14:textId="63677CFF">
            <w:pPr>
              <w:bidi w:val="0"/>
              <w:spacing w:line="259" w:lineRule="auto"/>
              <w:rPr>
                <w:rFonts w:ascii="Calibri" w:hAnsi="Calibri" w:eastAsia="Calibri" w:cs="Calibri"/>
                <w:b w:val="0"/>
                <w:bCs w:val="0"/>
                <w:i w:val="0"/>
                <w:iCs w:val="0"/>
                <w:color w:val="auto"/>
                <w:sz w:val="22"/>
                <w:szCs w:val="22"/>
              </w:rPr>
            </w:pPr>
            <w:r w:rsidRPr="5C0195BB" w:rsidR="5C0195BB">
              <w:rPr>
                <w:rStyle w:val="Heading2Char"/>
                <w:rFonts w:ascii="Calibri" w:hAnsi="Calibri" w:eastAsia="Calibri" w:cs="Calibri"/>
                <w:b w:val="0"/>
                <w:bCs w:val="0"/>
                <w:i w:val="0"/>
                <w:iCs w:val="0"/>
                <w:color w:val="auto"/>
                <w:sz w:val="22"/>
                <w:szCs w:val="22"/>
                <w:lang w:val="en-US"/>
              </w:rPr>
              <w:t>$7,830,000.00</w:t>
            </w:r>
          </w:p>
        </w:tc>
      </w:tr>
    </w:tbl>
    <w:p w:rsidR="5C0195BB" w:rsidP="5C0195BB" w:rsidRDefault="5C0195BB" w14:paraId="652C5FC2" w14:textId="1F1C79FD">
      <w:pPr>
        <w:bidi w:val="0"/>
        <w:spacing w:before="0" w:beforeAutospacing="off" w:after="160" w:afterAutospacing="off" w:line="259" w:lineRule="auto"/>
        <w:ind w:left="0"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p>
    <w:p w:rsidR="05E3F4B5" w:rsidP="5C0195BB" w:rsidRDefault="05E3F4B5" w14:paraId="6EE31093" w14:textId="1E7683CD">
      <w:pPr>
        <w:pStyle w:val="Normal"/>
        <w:bidi w:val="0"/>
        <w:rPr>
          <w:rFonts w:ascii="Calibri" w:hAnsi="Calibri" w:eastAsia="Calibri" w:cs="Calibri"/>
          <w:noProof w:val="0"/>
          <w:sz w:val="22"/>
          <w:szCs w:val="22"/>
          <w:lang w:val="en-US"/>
        </w:rPr>
      </w:pPr>
      <w:r w:rsidRPr="5C0195BB" w:rsidR="05E3F4B5">
        <w:rPr>
          <w:noProof w:val="0"/>
          <w:lang w:val="en-US"/>
        </w:rPr>
        <w:t xml:space="preserve">As </w:t>
      </w:r>
      <w:r w:rsidRPr="5C0195BB" w:rsidR="05E3F4B5">
        <w:rPr>
          <w:noProof w:val="0"/>
          <w:lang w:val="en-US"/>
        </w:rPr>
        <w:t>stated</w:t>
      </w:r>
      <w:r w:rsidRPr="5C0195BB" w:rsidR="05E3F4B5">
        <w:rPr>
          <w:noProof w:val="0"/>
          <w:lang w:val="en-US"/>
        </w:rPr>
        <w:t xml:space="preserve"> above, the summary table is a best </w:t>
      </w:r>
      <w:r w:rsidRPr="5C0195BB" w:rsidR="05E3F4B5">
        <w:rPr>
          <w:noProof w:val="0"/>
          <w:lang w:val="en-US"/>
        </w:rPr>
        <w:t>possible estimate</w:t>
      </w:r>
      <w:r w:rsidRPr="5C0195BB" w:rsidR="05E3F4B5">
        <w:rPr>
          <w:noProof w:val="0"/>
          <w:lang w:val="en-US"/>
        </w:rPr>
        <w:t xml:space="preserve"> of cost. Due to the ability for government entities to receive some level of discounts for fleet purchases as well as </w:t>
      </w:r>
      <w:r w:rsidRPr="5C0195BB" w:rsidR="05E3F4B5">
        <w:rPr>
          <w:noProof w:val="0"/>
          <w:lang w:val="en-US"/>
        </w:rPr>
        <w:t>possible efficiencies</w:t>
      </w:r>
      <w:r w:rsidRPr="5C0195BB" w:rsidR="05E3F4B5">
        <w:rPr>
          <w:noProof w:val="0"/>
          <w:lang w:val="en-US"/>
        </w:rPr>
        <w:t xml:space="preserve"> that could be gained by concentrating charger stations, it is </w:t>
      </w:r>
      <w:r w:rsidRPr="5C0195BB" w:rsidR="05E3F4B5">
        <w:rPr>
          <w:noProof w:val="0"/>
          <w:lang w:val="en-US"/>
        </w:rPr>
        <w:t>possible cost</w:t>
      </w:r>
      <w:r w:rsidRPr="5C0195BB" w:rsidR="05E3F4B5">
        <w:rPr>
          <w:noProof w:val="0"/>
          <w:lang w:val="en-US"/>
        </w:rPr>
        <w:t xml:space="preserve"> could be lower. In that scenario, the </w:t>
      </w:r>
      <w:r w:rsidRPr="5C0195BB" w:rsidR="05E3F4B5">
        <w:rPr>
          <w:noProof w:val="0"/>
          <w:lang w:val="en-US"/>
        </w:rPr>
        <w:t>City</w:t>
      </w:r>
      <w:r w:rsidRPr="5C0195BB" w:rsidR="05E3F4B5">
        <w:rPr>
          <w:noProof w:val="0"/>
          <w:lang w:val="en-US"/>
        </w:rPr>
        <w:t xml:space="preserve"> would simply </w:t>
      </w:r>
      <w:r w:rsidRPr="5C0195BB" w:rsidR="05E3F4B5">
        <w:rPr>
          <w:noProof w:val="0"/>
          <w:lang w:val="en-US"/>
        </w:rPr>
        <w:t>purchase</w:t>
      </w:r>
      <w:r w:rsidRPr="5C0195BB" w:rsidR="05E3F4B5">
        <w:rPr>
          <w:noProof w:val="0"/>
          <w:lang w:val="en-US"/>
        </w:rPr>
        <w:t xml:space="preserve"> </w:t>
      </w:r>
      <w:r w:rsidRPr="5C0195BB" w:rsidR="05E3F4B5">
        <w:rPr>
          <w:noProof w:val="0"/>
          <w:lang w:val="en-US"/>
        </w:rPr>
        <w:t>additional</w:t>
      </w:r>
      <w:r w:rsidRPr="5C0195BB" w:rsidR="05E3F4B5">
        <w:rPr>
          <w:noProof w:val="0"/>
          <w:lang w:val="en-US"/>
        </w:rPr>
        <w:t xml:space="preserve"> EV’s.</w:t>
      </w:r>
    </w:p>
    <w:p w:rsidR="05E3F4B5" w:rsidP="5C0195BB" w:rsidRDefault="05E3F4B5" w14:paraId="0FE72C84" w14:textId="6537CC4C">
      <w:pPr>
        <w:pStyle w:val="Normal"/>
        <w:bidi w:val="0"/>
        <w:rPr>
          <w:noProof w:val="0"/>
          <w:lang w:val="en-US"/>
        </w:rPr>
      </w:pPr>
      <w:r w:rsidRPr="5C0195BB" w:rsidR="05E3F4B5">
        <w:rPr>
          <w:noProof w:val="0"/>
          <w:lang w:val="en-US"/>
        </w:rPr>
        <w:t>All of</w:t>
      </w:r>
      <w:r w:rsidRPr="5C0195BB" w:rsidR="05E3F4B5">
        <w:rPr>
          <w:noProof w:val="0"/>
          <w:lang w:val="en-US"/>
        </w:rPr>
        <w:t xml:space="preserve"> these vehicles would be replacing existing ICE vehicles within the </w:t>
      </w:r>
      <w:r w:rsidRPr="5C0195BB" w:rsidR="05E3F4B5">
        <w:rPr>
          <w:noProof w:val="0"/>
          <w:lang w:val="en-US"/>
        </w:rPr>
        <w:t>City</w:t>
      </w:r>
      <w:r w:rsidRPr="5C0195BB" w:rsidR="05E3F4B5">
        <w:rPr>
          <w:noProof w:val="0"/>
          <w:lang w:val="en-US"/>
        </w:rPr>
        <w:t xml:space="preserve"> fleet that have exceed their reasonable expected service </w:t>
      </w:r>
      <w:r w:rsidRPr="5C0195BB" w:rsidR="05E3F4B5">
        <w:rPr>
          <w:noProof w:val="0"/>
          <w:lang w:val="en-US"/>
        </w:rPr>
        <w:t xml:space="preserve">life. In fact, the </w:t>
      </w:r>
      <w:r w:rsidRPr="5C0195BB" w:rsidR="05E3F4B5">
        <w:rPr>
          <w:noProof w:val="0"/>
          <w:lang w:val="en-US"/>
        </w:rPr>
        <w:t>City</w:t>
      </w:r>
      <w:r w:rsidRPr="5C0195BB" w:rsidR="05E3F4B5">
        <w:rPr>
          <w:noProof w:val="0"/>
          <w:lang w:val="en-US"/>
        </w:rPr>
        <w:t xml:space="preserve"> has over 130 vehicles which were manufactured prior to 2004</w:t>
      </w:r>
      <w:r w:rsidRPr="5C0195BB" w:rsidR="1DC2205F">
        <w:rPr>
          <w:noProof w:val="0"/>
          <w:lang w:val="en-US"/>
        </w:rPr>
        <w:t xml:space="preserve">, and an </w:t>
      </w:r>
      <w:r w:rsidRPr="5C0195BB" w:rsidR="1DC2205F">
        <w:rPr>
          <w:noProof w:val="0"/>
          <w:lang w:val="en-US"/>
        </w:rPr>
        <w:t>additional</w:t>
      </w:r>
      <w:r w:rsidRPr="5C0195BB" w:rsidR="1DC2205F">
        <w:rPr>
          <w:noProof w:val="0"/>
          <w:lang w:val="en-US"/>
        </w:rPr>
        <w:t xml:space="preserve"> 72 vehicles manufactured in 2010 or earlier</w:t>
      </w:r>
      <w:r w:rsidRPr="5C0195BB" w:rsidR="4EEFC488">
        <w:rPr>
          <w:noProof w:val="0"/>
          <w:lang w:val="en-US"/>
        </w:rPr>
        <w:t xml:space="preserve">. </w:t>
      </w:r>
      <w:r w:rsidRPr="5C0195BB" w:rsidR="61CD34EA">
        <w:rPr>
          <w:noProof w:val="0"/>
          <w:lang w:val="en-US"/>
        </w:rPr>
        <w:t xml:space="preserve">By awarding this grant the older ICE vehicles </w:t>
      </w:r>
      <w:r w:rsidRPr="5C0195BB" w:rsidR="61CD34EA">
        <w:rPr>
          <w:noProof w:val="0"/>
          <w:lang w:val="en-US"/>
        </w:rPr>
        <w:t>would be</w:t>
      </w:r>
      <w:r w:rsidRPr="5C0195BB" w:rsidR="22E2F0EA">
        <w:rPr>
          <w:noProof w:val="0"/>
          <w:lang w:val="en-US"/>
        </w:rPr>
        <w:t xml:space="preserve"> d</w:t>
      </w:r>
      <w:r w:rsidRPr="5C0195BB" w:rsidR="22E2F0EA">
        <w:rPr>
          <w:noProof w:val="0"/>
          <w:lang w:val="en-US"/>
        </w:rPr>
        <w:t xml:space="preserve">ecommissioned and </w:t>
      </w:r>
      <w:r w:rsidRPr="5C0195BB" w:rsidR="22E2F0EA">
        <w:rPr>
          <w:noProof w:val="0"/>
          <w:lang w:val="en-US"/>
        </w:rPr>
        <w:t xml:space="preserve">the </w:t>
      </w:r>
      <w:r w:rsidRPr="5C0195BB" w:rsidR="22E2F0EA">
        <w:rPr>
          <w:noProof w:val="0"/>
          <w:lang w:val="en-US"/>
        </w:rPr>
        <w:t>Cit</w:t>
      </w:r>
      <w:r w:rsidRPr="5C0195BB" w:rsidR="22E2F0EA">
        <w:rPr>
          <w:noProof w:val="0"/>
          <w:lang w:val="en-US"/>
        </w:rPr>
        <w:t>y</w:t>
      </w:r>
      <w:r w:rsidRPr="5C0195BB" w:rsidR="22E2F0EA">
        <w:rPr>
          <w:noProof w:val="0"/>
          <w:lang w:val="en-US"/>
        </w:rPr>
        <w:t xml:space="preserve"> wo</w:t>
      </w:r>
      <w:r w:rsidRPr="5C0195BB" w:rsidR="22E2F0EA">
        <w:rPr>
          <w:noProof w:val="0"/>
          <w:lang w:val="en-US"/>
        </w:rPr>
        <w:t>uld be well positioned to continue the transition to a full EV fleet.</w:t>
      </w:r>
    </w:p>
    <w:p w:rsidR="39525A1A" w:rsidP="5C0195BB" w:rsidRDefault="39525A1A" w14:paraId="6B82463A" w14:textId="59F5F20A">
      <w:pPr>
        <w:pStyle w:val="Normal"/>
        <w:bidi w:val="0"/>
        <w:rPr>
          <w:noProof w:val="0"/>
          <w:lang w:val="en-US"/>
        </w:rPr>
      </w:pPr>
      <w:r w:rsidRPr="5C0195BB" w:rsidR="39525A1A">
        <w:rPr>
          <w:noProof w:val="0"/>
          <w:lang w:val="en-US"/>
        </w:rPr>
        <w:t xml:space="preserve">If necessary due to supply chain issues or limited vehicle availability, the City would phase the purchase of </w:t>
      </w:r>
      <w:r w:rsidRPr="5C0195BB" w:rsidR="5841B17A">
        <w:rPr>
          <w:noProof w:val="0"/>
          <w:lang w:val="en-US"/>
        </w:rPr>
        <w:t xml:space="preserve">vehicles over a </w:t>
      </w:r>
      <w:r w:rsidRPr="5C0195BB" w:rsidR="5841B17A">
        <w:rPr>
          <w:noProof w:val="0"/>
          <w:lang w:val="en-US"/>
        </w:rPr>
        <w:t>2 year</w:t>
      </w:r>
      <w:r w:rsidRPr="5C0195BB" w:rsidR="5841B17A">
        <w:rPr>
          <w:noProof w:val="0"/>
          <w:lang w:val="en-US"/>
        </w:rPr>
        <w:t xml:space="preserve"> period.</w:t>
      </w:r>
    </w:p>
    <w:p w:rsidR="52D6FC47" w:rsidP="5C0195BB" w:rsidRDefault="52D6FC47" w14:paraId="52D3B0BA" w14:textId="39788480">
      <w:pPr>
        <w:pStyle w:val="Heading2"/>
        <w:bidi w:val="0"/>
        <w:rPr>
          <w:rFonts w:ascii="Calibri" w:hAnsi="Calibri" w:eastAsia="Calibri" w:cs="Calibri"/>
          <w:b w:val="0"/>
          <w:bCs w:val="0"/>
          <w:i w:val="0"/>
          <w:iCs w:val="0"/>
          <w:caps w:val="0"/>
          <w:smallCaps w:val="0"/>
          <w:noProof w:val="0"/>
          <w:color w:val="000000" w:themeColor="text1" w:themeTint="FF" w:themeShade="FF"/>
          <w:sz w:val="22"/>
          <w:szCs w:val="22"/>
          <w:lang w:val="en-US"/>
        </w:rPr>
      </w:pPr>
      <w:r w:rsidRPr="5C0195BB" w:rsidR="52D6FC47">
        <w:rPr>
          <w:noProof w:val="0"/>
          <w:lang w:val="en-US"/>
        </w:rPr>
        <w:t>2</w:t>
      </w:r>
      <w:r w:rsidRPr="5C0195BB" w:rsidR="5841B17A">
        <w:rPr>
          <w:noProof w:val="0"/>
          <w:lang w:val="en-US"/>
        </w:rPr>
        <w:t xml:space="preserve">. </w:t>
      </w:r>
      <w:r w:rsidRPr="5C0195BB" w:rsidR="0BC1ABD7">
        <w:rPr>
          <w:noProof w:val="0"/>
          <w:lang w:val="en-US"/>
        </w:rPr>
        <w:t>Electric Bike Voucher Program</w:t>
      </w:r>
      <w:r w:rsidRPr="5C0195BB" w:rsidR="5841B17A">
        <w:rPr>
          <w:noProof w:val="0"/>
          <w:lang w:val="en-US"/>
        </w:rPr>
        <w:t xml:space="preserve"> Budget Narrative</w:t>
      </w:r>
    </w:p>
    <w:p w:rsidR="1708CDD1" w:rsidP="5C0195BB" w:rsidRDefault="1708CDD1" w14:paraId="5F04C2B4" w14:textId="224E65CC">
      <w:pPr>
        <w:pStyle w:val="Normal"/>
        <w:bidi w:val="0"/>
        <w:rPr>
          <w:rFonts w:ascii="Calibri" w:hAnsi="Calibri" w:eastAsia="Calibri" w:cs="Calibri"/>
          <w:b w:val="0"/>
          <w:bCs w:val="0"/>
          <w:i w:val="0"/>
          <w:iCs w:val="0"/>
          <w:caps w:val="0"/>
          <w:smallCaps w:val="0"/>
          <w:noProof w:val="0"/>
          <w:color w:val="000000" w:themeColor="text1" w:themeTint="FF" w:themeShade="FF"/>
          <w:sz w:val="22"/>
          <w:szCs w:val="22"/>
          <w:lang w:val="en-US"/>
        </w:rPr>
      </w:pPr>
      <w:r w:rsidRPr="5C0195BB" w:rsidR="1708CDD1">
        <w:rPr>
          <w:noProof w:val="0"/>
          <w:lang w:val="en-US"/>
        </w:rPr>
        <w:t xml:space="preserve">To implement this measure, the </w:t>
      </w:r>
      <w:r w:rsidRPr="5C0195BB" w:rsidR="1708CDD1">
        <w:rPr>
          <w:noProof w:val="0"/>
          <w:lang w:val="en-US"/>
        </w:rPr>
        <w:t>City</w:t>
      </w:r>
      <w:r w:rsidRPr="5C0195BB" w:rsidR="1708CDD1">
        <w:rPr>
          <w:noProof w:val="0"/>
          <w:lang w:val="en-US"/>
        </w:rPr>
        <w:t xml:space="preserve"> is requesting </w:t>
      </w:r>
      <w:r w:rsidRPr="5C0195BB" w:rsidR="1708CDD1">
        <w:rPr>
          <w:b w:val="1"/>
          <w:bCs w:val="1"/>
          <w:noProof w:val="0"/>
          <w:lang w:val="en-US"/>
        </w:rPr>
        <w:t xml:space="preserve">$1,500,000 </w:t>
      </w:r>
      <w:r w:rsidRPr="5C0195BB" w:rsidR="1708CDD1">
        <w:rPr>
          <w:noProof w:val="0"/>
          <w:lang w:val="en-US"/>
        </w:rPr>
        <w:t xml:space="preserve">for the E-Bike Voucher program. The requested funding includes </w:t>
      </w:r>
      <w:r w:rsidRPr="5C0195BB" w:rsidR="1708CDD1">
        <w:rPr>
          <w:noProof w:val="0"/>
          <w:lang w:val="en-US"/>
        </w:rPr>
        <w:t>anticipated</w:t>
      </w:r>
      <w:r w:rsidRPr="5C0195BB" w:rsidR="1708CDD1">
        <w:rPr>
          <w:noProof w:val="0"/>
          <w:lang w:val="en-US"/>
        </w:rPr>
        <w:t xml:space="preserve"> administrative cost from both the non-profit partner and the selected third-party consultant</w:t>
      </w:r>
      <w:r w:rsidRPr="5C0195BB" w:rsidR="1708CDD1">
        <w:rPr>
          <w:noProof w:val="0"/>
          <w:lang w:val="en-US"/>
        </w:rPr>
        <w:t xml:space="preserve">.  </w:t>
      </w:r>
      <w:r w:rsidRPr="5C0195BB" w:rsidR="1708CDD1">
        <w:rPr>
          <w:noProof w:val="0"/>
          <w:lang w:val="en-US"/>
        </w:rPr>
        <w:t xml:space="preserve">This reduction measure is </w:t>
      </w:r>
      <w:r w:rsidRPr="5C0195BB" w:rsidR="1708CDD1">
        <w:rPr>
          <w:noProof w:val="0"/>
          <w:lang w:val="en-US"/>
        </w:rPr>
        <w:t>identified</w:t>
      </w:r>
      <w:r w:rsidRPr="5C0195BB" w:rsidR="1708CDD1">
        <w:rPr>
          <w:noProof w:val="0"/>
          <w:lang w:val="en-US"/>
        </w:rPr>
        <w:t xml:space="preserve"> in the PCAP under 2.2.3 Electric Bike Voucher Program.</w:t>
      </w:r>
    </w:p>
    <w:p w:rsidR="688908AB" w:rsidP="5C0195BB" w:rsidRDefault="688908AB" w14:paraId="351A326C" w14:textId="5F2EF3F7">
      <w:pPr>
        <w:pStyle w:val="Normal"/>
        <w:bidi w:val="0"/>
        <w:rPr>
          <w:rFonts w:ascii="Calibri" w:hAnsi="Calibri" w:eastAsia="Calibri" w:cs="Calibri"/>
          <w:b w:val="0"/>
          <w:bCs w:val="0"/>
          <w:i w:val="0"/>
          <w:iCs w:val="0"/>
          <w:caps w:val="0"/>
          <w:smallCaps w:val="0"/>
          <w:noProof w:val="0"/>
          <w:color w:val="000000" w:themeColor="text1" w:themeTint="FF" w:themeShade="FF"/>
          <w:sz w:val="22"/>
          <w:szCs w:val="22"/>
          <w:lang w:val="en-US"/>
        </w:rPr>
      </w:pPr>
      <w:r w:rsidRPr="5C0195BB" w:rsidR="688908AB">
        <w:rPr>
          <w:rFonts w:ascii="Calibri" w:hAnsi="Calibri" w:eastAsia="Calibri" w:cs="Calibri"/>
          <w:b w:val="0"/>
          <w:bCs w:val="0"/>
          <w:i w:val="0"/>
          <w:iCs w:val="0"/>
          <w:caps w:val="0"/>
          <w:smallCaps w:val="0"/>
          <w:noProof w:val="0"/>
          <w:color w:val="000000" w:themeColor="text1" w:themeTint="FF" w:themeShade="FF"/>
          <w:sz w:val="22"/>
          <w:szCs w:val="22"/>
          <w:lang w:val="en-US"/>
        </w:rPr>
        <w:t>Due to existing State legislation Alabama municipalities are prevented from offering a direct benefit to residents, and as such, any funding for a voucher type program must come from an outside source such as this grant</w:t>
      </w:r>
      <w:r w:rsidRPr="5C0195BB" w:rsidR="354AB53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rsidRPr="5C0195BB" w:rsidR="688908AB">
        <w:rPr>
          <w:rFonts w:ascii="Calibri" w:hAnsi="Calibri" w:eastAsia="Calibri" w:cs="Calibri"/>
          <w:b w:val="0"/>
          <w:bCs w:val="0"/>
          <w:i w:val="0"/>
          <w:iCs w:val="0"/>
          <w:caps w:val="0"/>
          <w:smallCaps w:val="0"/>
          <w:noProof w:val="0"/>
          <w:color w:val="000000" w:themeColor="text1" w:themeTint="FF" w:themeShade="FF"/>
          <w:sz w:val="22"/>
          <w:szCs w:val="22"/>
          <w:lang w:val="en-US"/>
        </w:rPr>
        <w:t>and then coordinated with an outside non-profit entity to distribute the funding. The City would work with a selected non-profit entity</w:t>
      </w:r>
      <w:r w:rsidRPr="5C0195BB" w:rsidR="6749F9BF">
        <w:rPr>
          <w:rFonts w:ascii="Calibri" w:hAnsi="Calibri" w:eastAsia="Calibri" w:cs="Calibri"/>
          <w:b w:val="0"/>
          <w:bCs w:val="0"/>
          <w:i w:val="0"/>
          <w:iCs w:val="0"/>
          <w:caps w:val="0"/>
          <w:smallCaps w:val="0"/>
          <w:noProof w:val="0"/>
          <w:color w:val="000000" w:themeColor="text1" w:themeTint="FF" w:themeShade="FF"/>
          <w:sz w:val="22"/>
          <w:szCs w:val="22"/>
          <w:lang w:val="en-US"/>
        </w:rPr>
        <w:t>;</w:t>
      </w:r>
      <w:r w:rsidRPr="5C0195BB" w:rsidR="688908AB">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either the Community Foundation of Greater Birming</w:t>
      </w:r>
      <w:r w:rsidRPr="5C0195BB" w:rsidR="6B7E8358">
        <w:rPr>
          <w:rFonts w:ascii="Calibri" w:hAnsi="Calibri" w:eastAsia="Calibri" w:cs="Calibri"/>
          <w:b w:val="0"/>
          <w:bCs w:val="0"/>
          <w:i w:val="0"/>
          <w:iCs w:val="0"/>
          <w:caps w:val="0"/>
          <w:smallCaps w:val="0"/>
          <w:noProof w:val="0"/>
          <w:color w:val="000000" w:themeColor="text1" w:themeTint="FF" w:themeShade="FF"/>
          <w:sz w:val="22"/>
          <w:szCs w:val="22"/>
          <w:lang w:val="en-US"/>
        </w:rPr>
        <w:t xml:space="preserve">ham or </w:t>
      </w:r>
      <w:r w:rsidRPr="5C0195BB" w:rsidR="6B7E8358">
        <w:rPr>
          <w:rFonts w:ascii="Calibri" w:hAnsi="Calibri" w:eastAsia="Calibri" w:cs="Calibri"/>
          <w:b w:val="0"/>
          <w:bCs w:val="0"/>
          <w:i w:val="0"/>
          <w:iCs w:val="0"/>
          <w:caps w:val="0"/>
          <w:smallCaps w:val="0"/>
          <w:noProof w:val="0"/>
          <w:color w:val="000000" w:themeColor="text1" w:themeTint="FF" w:themeShade="FF"/>
          <w:sz w:val="22"/>
          <w:szCs w:val="22"/>
          <w:lang w:val="en-US"/>
        </w:rPr>
        <w:t>Cawaco</w:t>
      </w:r>
      <w:r w:rsidRPr="5C0195BB" w:rsidR="6B7E8358">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both </w:t>
      </w:r>
      <w:r w:rsidRPr="5C0195BB" w:rsidR="483F19A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of </w:t>
      </w:r>
      <w:r w:rsidRPr="5C0195BB" w:rsidR="483F19AE">
        <w:rPr>
          <w:rFonts w:ascii="Calibri" w:hAnsi="Calibri" w:eastAsia="Calibri" w:cs="Calibri"/>
          <w:b w:val="0"/>
          <w:bCs w:val="0"/>
          <w:i w:val="0"/>
          <w:iCs w:val="0"/>
          <w:caps w:val="0"/>
          <w:smallCaps w:val="0"/>
          <w:noProof w:val="0"/>
          <w:color w:val="000000" w:themeColor="text1" w:themeTint="FF" w:themeShade="FF"/>
          <w:sz w:val="22"/>
          <w:szCs w:val="22"/>
          <w:lang w:val="en-US"/>
        </w:rPr>
        <w:t>whom</w:t>
      </w:r>
      <w:r w:rsidRPr="5C0195BB" w:rsidR="6B7E8358">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have </w:t>
      </w:r>
      <w:r w:rsidRPr="5C0195BB" w:rsidR="6B7E8358">
        <w:rPr>
          <w:rFonts w:ascii="Calibri" w:hAnsi="Calibri" w:eastAsia="Calibri" w:cs="Calibri"/>
          <w:b w:val="0"/>
          <w:bCs w:val="0"/>
          <w:i w:val="0"/>
          <w:iCs w:val="0"/>
          <w:caps w:val="0"/>
          <w:smallCaps w:val="0"/>
          <w:noProof w:val="0"/>
          <w:color w:val="000000" w:themeColor="text1" w:themeTint="FF" w:themeShade="FF"/>
          <w:sz w:val="22"/>
          <w:szCs w:val="22"/>
          <w:lang w:val="en-US"/>
        </w:rPr>
        <w:t>submitted</w:t>
      </w:r>
      <w:r w:rsidRPr="5C0195BB" w:rsidR="6B7E8358">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letters of intent as part of the grant</w:t>
      </w:r>
      <w:r w:rsidRPr="5C0195BB" w:rsidR="442DEFED">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rsidRPr="5C0195BB" w:rsidR="2E0A334D">
        <w:rPr>
          <w:rFonts w:ascii="Calibri" w:hAnsi="Calibri" w:eastAsia="Calibri" w:cs="Calibri"/>
          <w:b w:val="0"/>
          <w:bCs w:val="0"/>
          <w:i w:val="0"/>
          <w:iCs w:val="0"/>
          <w:caps w:val="0"/>
          <w:smallCaps w:val="0"/>
          <w:noProof w:val="0"/>
          <w:color w:val="000000" w:themeColor="text1" w:themeTint="FF" w:themeShade="FF"/>
          <w:sz w:val="22"/>
          <w:szCs w:val="22"/>
          <w:lang w:val="en-US"/>
        </w:rPr>
        <w:t xml:space="preserve">as a </w:t>
      </w:r>
      <w:r w:rsidRPr="5C0195BB" w:rsidR="2E0A334D">
        <w:rPr>
          <w:rFonts w:ascii="Calibri" w:hAnsi="Calibri" w:eastAsia="Calibri" w:cs="Calibri"/>
          <w:b w:val="0"/>
          <w:bCs w:val="0"/>
          <w:i w:val="0"/>
          <w:iCs w:val="0"/>
          <w:caps w:val="0"/>
          <w:smallCaps w:val="0"/>
          <w:noProof w:val="0"/>
          <w:color w:val="000000" w:themeColor="text1" w:themeTint="FF" w:themeShade="FF"/>
          <w:sz w:val="22"/>
          <w:szCs w:val="22"/>
          <w:lang w:val="en-US"/>
        </w:rPr>
        <w:t>subawardee</w:t>
      </w:r>
      <w:r w:rsidRPr="5C0195BB" w:rsidR="2E0A334D">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of the grant fundings.</w:t>
      </w:r>
    </w:p>
    <w:p w:rsidR="0A2CB875" w:rsidP="5C0195BB" w:rsidRDefault="0A2CB875" w14:paraId="1598699C" w14:textId="06790CB2">
      <w:pPr>
        <w:bidi w:val="0"/>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5C0195BB" w:rsidR="0A2CB875">
        <w:rPr>
          <w:rFonts w:ascii="Calibri" w:hAnsi="Calibri" w:eastAsia="Calibri" w:cs="Calibri"/>
          <w:b w:val="0"/>
          <w:bCs w:val="0"/>
          <w:i w:val="0"/>
          <w:iCs w:val="0"/>
          <w:caps w:val="0"/>
          <w:smallCaps w:val="0"/>
          <w:noProof w:val="0"/>
          <w:color w:val="000000" w:themeColor="text1" w:themeTint="FF" w:themeShade="FF"/>
          <w:sz w:val="22"/>
          <w:szCs w:val="22"/>
          <w:lang w:val="en-US"/>
        </w:rPr>
        <w:t xml:space="preserve">Following the subaward, the non-profit in partnership with the City would issue an RFQ seeking a qualified consultant with experience administering similar E-Bike Voucher Programs. The administrative cost for the </w:t>
      </w:r>
      <w:r w:rsidRPr="5C0195BB" w:rsidR="110F9757">
        <w:rPr>
          <w:rFonts w:ascii="Calibri" w:hAnsi="Calibri" w:eastAsia="Calibri" w:cs="Calibri"/>
          <w:b w:val="0"/>
          <w:bCs w:val="0"/>
          <w:i w:val="0"/>
          <w:iCs w:val="0"/>
          <w:caps w:val="0"/>
          <w:smallCaps w:val="0"/>
          <w:noProof w:val="0"/>
          <w:color w:val="000000" w:themeColor="text1" w:themeTint="FF" w:themeShade="FF"/>
          <w:sz w:val="22"/>
          <w:szCs w:val="22"/>
          <w:lang w:val="en-US"/>
        </w:rPr>
        <w:t>consultant is estimated at $250,000 for $1,000,000 voucher program consisting of approximately 1000 vouchers.</w:t>
      </w:r>
      <w:r w:rsidRPr="5C0195BB" w:rsidR="4041A3F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Indirect cost estimates received from </w:t>
      </w:r>
      <w:r w:rsidRPr="5C0195BB" w:rsidR="4041A3FE">
        <w:rPr>
          <w:rFonts w:ascii="Calibri" w:hAnsi="Calibri" w:eastAsia="Calibri" w:cs="Calibri"/>
          <w:b w:val="0"/>
          <w:bCs w:val="0"/>
          <w:i w:val="0"/>
          <w:iCs w:val="0"/>
          <w:caps w:val="0"/>
          <w:smallCaps w:val="0"/>
          <w:noProof w:val="0"/>
          <w:color w:val="000000" w:themeColor="text1" w:themeTint="FF" w:themeShade="FF"/>
          <w:sz w:val="22"/>
          <w:szCs w:val="22"/>
          <w:lang w:val="en-US"/>
        </w:rPr>
        <w:t>Cawaco</w:t>
      </w:r>
      <w:r w:rsidRPr="5C0195BB" w:rsidR="4041A3F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to cover audits and staff capacity are estimated at $137,500.00</w:t>
      </w:r>
      <w:r w:rsidRPr="5C0195BB" w:rsidR="632C43E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rsidRPr="5C0195BB" w:rsidR="7A6C0B6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The Community Foundation of Greater Birmingham has not </w:t>
      </w:r>
      <w:r w:rsidRPr="5C0195BB" w:rsidR="7A6C0B6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compiled an </w:t>
      </w:r>
      <w:r w:rsidRPr="5C0195BB" w:rsidR="7A6C0B6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estimate </w:t>
      </w:r>
      <w:r w:rsidRPr="5C0195BB" w:rsidR="7A6C0B61">
        <w:rPr>
          <w:rFonts w:ascii="Calibri" w:hAnsi="Calibri" w:eastAsia="Calibri" w:cs="Calibri"/>
          <w:b w:val="0"/>
          <w:bCs w:val="0"/>
          <w:i w:val="0"/>
          <w:iCs w:val="0"/>
          <w:caps w:val="0"/>
          <w:smallCaps w:val="0"/>
          <w:noProof w:val="0"/>
          <w:color w:val="000000" w:themeColor="text1" w:themeTint="FF" w:themeShade="FF"/>
          <w:sz w:val="22"/>
          <w:szCs w:val="22"/>
          <w:lang w:val="en-US"/>
        </w:rPr>
        <w:t>at this time</w:t>
      </w:r>
      <w:r w:rsidRPr="5C0195BB" w:rsidR="7A6C0B61">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rsidRPr="5C0195BB" w:rsidR="632C43E3">
        <w:rPr>
          <w:rFonts w:ascii="Calibri" w:hAnsi="Calibri" w:eastAsia="Calibri" w:cs="Calibri"/>
          <w:b w:val="0"/>
          <w:bCs w:val="0"/>
          <w:i w:val="0"/>
          <w:iCs w:val="0"/>
          <w:caps w:val="0"/>
          <w:smallCaps w:val="0"/>
          <w:noProof w:val="0"/>
          <w:color w:val="000000" w:themeColor="text1" w:themeTint="FF" w:themeShade="FF"/>
          <w:sz w:val="22"/>
          <w:szCs w:val="22"/>
          <w:lang w:val="en-US"/>
        </w:rPr>
        <w:t>This would leave $1,112,500 for the E-Bike vouchers themselves. GHG reduction estimates were based on $1,000,000 for E-Bike vouchers to factor in unanticipated cost with consultants</w:t>
      </w:r>
      <w:r w:rsidRPr="5C0195BB" w:rsidR="3E32C8E5">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since the $250,000 figure was an approximation based on the City of Denver, CO’s E-Bike Voucher Program.</w:t>
      </w:r>
    </w:p>
    <w:p w:rsidR="5C0195BB" w:rsidP="5C0195BB" w:rsidRDefault="5C0195BB" w14:paraId="09C7F400" w14:textId="24EC26BA">
      <w:pPr>
        <w:pStyle w:val="Normal"/>
        <w:bidi w:val="0"/>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w:rsidR="1DB7F881" w:rsidP="5C0195BB" w:rsidRDefault="1DB7F881" w14:paraId="75A181B6" w14:textId="29500947">
      <w:pPr>
        <w:pStyle w:val="Normal"/>
        <w:bidi w:val="0"/>
        <w:spacing w:after="160" w:line="259" w:lineRule="auto"/>
        <w:ind w:firstLine="0"/>
        <w:rPr>
          <w:noProof w:val="0"/>
          <w:lang w:val="en-US"/>
        </w:rPr>
      </w:pPr>
      <w:r w:rsidRPr="5C0195BB" w:rsidR="1DB7F881">
        <w:rPr>
          <w:rStyle w:val="Heading2Char"/>
          <w:noProof w:val="0"/>
          <w:lang w:val="en-US"/>
        </w:rPr>
        <w:t xml:space="preserve"> </w:t>
      </w:r>
      <w:r w:rsidRPr="5C0195BB" w:rsidR="7BBDB979">
        <w:rPr>
          <w:rStyle w:val="Heading2Char"/>
          <w:noProof w:val="0"/>
          <w:lang w:val="en-US"/>
        </w:rPr>
        <w:t>3</w:t>
      </w:r>
      <w:r w:rsidRPr="5C0195BB" w:rsidR="7BBDB979">
        <w:rPr>
          <w:noProof w:val="0"/>
          <w:lang w:val="en-US"/>
        </w:rPr>
        <w:t>.</w:t>
      </w:r>
      <w:r w:rsidRPr="5C0195BB" w:rsidR="7BBDB979">
        <w:rPr>
          <w:rStyle w:val="Heading2Char"/>
          <w:rFonts w:ascii="Calibri Light" w:hAnsi="Calibri Light" w:eastAsia="Calibri Light" w:cs="Calibri Light"/>
          <w:b w:val="0"/>
          <w:bCs w:val="0"/>
          <w:i w:val="0"/>
          <w:iCs w:val="0"/>
          <w:caps w:val="0"/>
          <w:smallCaps w:val="0"/>
          <w:noProof w:val="0"/>
          <w:color w:val="2F5496" w:themeColor="accent1" w:themeTint="FF" w:themeShade="BF"/>
          <w:sz w:val="26"/>
          <w:szCs w:val="26"/>
          <w:lang w:val="en-US"/>
        </w:rPr>
        <w:t>Comprehensive</w:t>
      </w:r>
      <w:r w:rsidRPr="5C0195BB" w:rsidR="7BBDB979">
        <w:rPr>
          <w:rStyle w:val="Heading2Char"/>
          <w:rFonts w:ascii="Calibri Light" w:hAnsi="Calibri Light" w:eastAsia="Calibri Light" w:cs="Calibri Light"/>
          <w:b w:val="0"/>
          <w:bCs w:val="0"/>
          <w:i w:val="0"/>
          <w:iCs w:val="0"/>
          <w:caps w:val="0"/>
          <w:smallCaps w:val="0"/>
          <w:noProof w:val="0"/>
          <w:color w:val="2F5496" w:themeColor="accent1" w:themeTint="FF" w:themeShade="BF"/>
          <w:sz w:val="26"/>
          <w:szCs w:val="26"/>
          <w:lang w:val="en-US"/>
        </w:rPr>
        <w:t xml:space="preserve"> Transportation Oriented Development Corridor Plan</w:t>
      </w:r>
    </w:p>
    <w:p w:rsidR="48633759" w:rsidP="5C0195BB" w:rsidRDefault="48633759" w14:paraId="16734C52" w14:textId="14320DB5">
      <w:pPr>
        <w:pStyle w:val="Normal"/>
        <w:bidi w:val="0"/>
        <w:rPr>
          <w:rFonts w:ascii="Calibri" w:hAnsi="Calibri" w:eastAsia="Calibri" w:cs="Calibri"/>
          <w:b w:val="0"/>
          <w:bCs w:val="0"/>
          <w:i w:val="0"/>
          <w:iCs w:val="0"/>
          <w:caps w:val="0"/>
          <w:smallCaps w:val="0"/>
          <w:noProof w:val="0"/>
          <w:color w:val="000000" w:themeColor="text1" w:themeTint="FF" w:themeShade="FF"/>
          <w:sz w:val="22"/>
          <w:szCs w:val="22"/>
          <w:lang w:val="en-US"/>
        </w:rPr>
      </w:pPr>
      <w:r w:rsidRPr="5C0195BB" w:rsidR="48633759">
        <w:rPr>
          <w:rFonts w:ascii="Calibri" w:hAnsi="Calibri" w:eastAsia="Calibri" w:cs="Calibri"/>
          <w:b w:val="0"/>
          <w:bCs w:val="0"/>
          <w:i w:val="0"/>
          <w:iCs w:val="0"/>
          <w:caps w:val="0"/>
          <w:smallCaps w:val="0"/>
          <w:noProof w:val="0"/>
          <w:color w:val="000000" w:themeColor="text1" w:themeTint="FF" w:themeShade="FF"/>
          <w:sz w:val="22"/>
          <w:szCs w:val="22"/>
          <w:lang w:val="en-US"/>
        </w:rPr>
        <w:t>The City is requesting</w:t>
      </w:r>
      <w:r w:rsidRPr="5C0195BB" w:rsidR="48633759">
        <w:rPr>
          <w:rFonts w:ascii="Calibri" w:hAnsi="Calibri" w:eastAsia="Calibri" w:cs="Calibri"/>
          <w:b w:val="1"/>
          <w:bCs w:val="1"/>
          <w:i w:val="0"/>
          <w:iCs w:val="0"/>
          <w:caps w:val="0"/>
          <w:smallCaps w:val="0"/>
          <w:noProof w:val="0"/>
          <w:color w:val="000000" w:themeColor="text1" w:themeTint="FF" w:themeShade="FF"/>
          <w:sz w:val="22"/>
          <w:szCs w:val="22"/>
          <w:lang w:val="en-US"/>
        </w:rPr>
        <w:t xml:space="preserve"> $500,000</w:t>
      </w:r>
      <w:r w:rsidRPr="5C0195BB" w:rsidR="48633759">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to fund the plan. For the preparation of a Comprehensive TOD Corridor Plan, the </w:t>
      </w:r>
      <w:r w:rsidRPr="5C0195BB" w:rsidR="48633759">
        <w:rPr>
          <w:rFonts w:ascii="Calibri" w:hAnsi="Calibri" w:eastAsia="Calibri" w:cs="Calibri"/>
          <w:b w:val="0"/>
          <w:bCs w:val="0"/>
          <w:i w:val="0"/>
          <w:iCs w:val="0"/>
          <w:caps w:val="0"/>
          <w:smallCaps w:val="0"/>
          <w:noProof w:val="0"/>
          <w:color w:val="000000" w:themeColor="text1" w:themeTint="FF" w:themeShade="FF"/>
          <w:sz w:val="22"/>
          <w:szCs w:val="22"/>
          <w:lang w:val="en-US"/>
        </w:rPr>
        <w:t>City</w:t>
      </w:r>
      <w:r w:rsidRPr="5C0195BB" w:rsidR="48633759">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is prepared to </w:t>
      </w:r>
      <w:r w:rsidRPr="5C0195BB" w:rsidR="48633759">
        <w:rPr>
          <w:rFonts w:ascii="Calibri" w:hAnsi="Calibri" w:eastAsia="Calibri" w:cs="Calibri"/>
          <w:b w:val="0"/>
          <w:bCs w:val="0"/>
          <w:i w:val="0"/>
          <w:iCs w:val="0"/>
          <w:caps w:val="0"/>
          <w:smallCaps w:val="0"/>
          <w:noProof w:val="0"/>
          <w:color w:val="000000" w:themeColor="text1" w:themeTint="FF" w:themeShade="FF"/>
          <w:sz w:val="22"/>
          <w:szCs w:val="22"/>
          <w:lang w:val="en-US"/>
        </w:rPr>
        <w:t>utilize</w:t>
      </w:r>
      <w:r w:rsidRPr="5C0195BB" w:rsidR="48633759">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a qualified firm with a multifaceted skill set. The ideal candidate will be an outside consultant with a multidisciplinary planning team. To ensure that the prime candidate is selected from the RFP process, the </w:t>
      </w:r>
      <w:r w:rsidRPr="5C0195BB" w:rsidR="48633759">
        <w:rPr>
          <w:rFonts w:ascii="Calibri" w:hAnsi="Calibri" w:eastAsia="Calibri" w:cs="Calibri"/>
          <w:b w:val="0"/>
          <w:bCs w:val="0"/>
          <w:i w:val="0"/>
          <w:iCs w:val="0"/>
          <w:caps w:val="0"/>
          <w:smallCaps w:val="0"/>
          <w:noProof w:val="0"/>
          <w:color w:val="000000" w:themeColor="text1" w:themeTint="FF" w:themeShade="FF"/>
          <w:sz w:val="22"/>
          <w:szCs w:val="22"/>
          <w:lang w:val="en-US"/>
        </w:rPr>
        <w:t>City</w:t>
      </w:r>
      <w:r w:rsidRPr="5C0195BB" w:rsidR="48633759">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has </w:t>
      </w:r>
      <w:r w:rsidRPr="5C0195BB" w:rsidR="48633759">
        <w:rPr>
          <w:rFonts w:ascii="Calibri" w:hAnsi="Calibri" w:eastAsia="Calibri" w:cs="Calibri"/>
          <w:b w:val="0"/>
          <w:bCs w:val="0"/>
          <w:i w:val="0"/>
          <w:iCs w:val="0"/>
          <w:caps w:val="0"/>
          <w:smallCaps w:val="0"/>
          <w:noProof w:val="0"/>
          <w:color w:val="000000" w:themeColor="text1" w:themeTint="FF" w:themeShade="FF"/>
          <w:sz w:val="22"/>
          <w:szCs w:val="22"/>
          <w:lang w:val="en-US"/>
        </w:rPr>
        <w:t>designated</w:t>
      </w:r>
      <w:r w:rsidRPr="5C0195BB" w:rsidR="48633759">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a multi-departmental RFP committee that will review each bid. The </w:t>
      </w:r>
      <w:r w:rsidRPr="5C0195BB" w:rsidR="48633759">
        <w:rPr>
          <w:rFonts w:ascii="Calibri" w:hAnsi="Calibri" w:eastAsia="Calibri" w:cs="Calibri"/>
          <w:b w:val="0"/>
          <w:bCs w:val="0"/>
          <w:i w:val="0"/>
          <w:iCs w:val="0"/>
          <w:caps w:val="0"/>
          <w:smallCaps w:val="0"/>
          <w:noProof w:val="0"/>
          <w:color w:val="000000" w:themeColor="text1" w:themeTint="FF" w:themeShade="FF"/>
          <w:sz w:val="22"/>
          <w:szCs w:val="22"/>
          <w:lang w:val="en-US"/>
        </w:rPr>
        <w:t>City</w:t>
      </w:r>
      <w:r w:rsidRPr="5C0195BB" w:rsidR="48633759">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has received a letter of </w:t>
      </w:r>
      <w:r w:rsidRPr="5C0195BB" w:rsidR="48633759">
        <w:rPr>
          <w:rFonts w:ascii="Calibri" w:hAnsi="Calibri" w:eastAsia="Calibri" w:cs="Calibri"/>
          <w:b w:val="0"/>
          <w:bCs w:val="0"/>
          <w:i w:val="0"/>
          <w:iCs w:val="0"/>
          <w:caps w:val="0"/>
          <w:smallCaps w:val="0"/>
          <w:noProof w:val="0"/>
          <w:color w:val="000000" w:themeColor="text1" w:themeTint="FF" w:themeShade="FF"/>
          <w:sz w:val="22"/>
          <w:szCs w:val="22"/>
          <w:lang w:val="en-US"/>
        </w:rPr>
        <w:t>commitment, and</w:t>
      </w:r>
      <w:r w:rsidRPr="5C0195BB" w:rsidR="48633759">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will be entering into an MOA with BJCTA to ensure the success of the plan once it is implemented. As with any planning effort there are always risks involved. </w:t>
      </w:r>
    </w:p>
    <w:p w:rsidR="48633759" w:rsidP="5C0195BB" w:rsidRDefault="48633759" w14:paraId="0D230524" w14:textId="51C7D179">
      <w:pPr>
        <w:pStyle w:val="Normal"/>
        <w:bidi w:val="0"/>
        <w:rPr>
          <w:rFonts w:ascii="Calibri" w:hAnsi="Calibri" w:eastAsia="Calibri" w:cs="Calibri"/>
          <w:b w:val="0"/>
          <w:bCs w:val="0"/>
          <w:i w:val="0"/>
          <w:iCs w:val="0"/>
          <w:caps w:val="0"/>
          <w:smallCaps w:val="0"/>
          <w:noProof w:val="0"/>
          <w:color w:val="000000" w:themeColor="text1" w:themeTint="FF" w:themeShade="FF"/>
          <w:sz w:val="22"/>
          <w:szCs w:val="22"/>
          <w:lang w:val="en-US"/>
        </w:rPr>
      </w:pPr>
      <w:r w:rsidRPr="5C0195BB" w:rsidR="48633759">
        <w:rPr>
          <w:rFonts w:ascii="Calibri" w:hAnsi="Calibri" w:eastAsia="Calibri" w:cs="Calibri"/>
          <w:b w:val="0"/>
          <w:bCs w:val="0"/>
          <w:i w:val="0"/>
          <w:iCs w:val="0"/>
          <w:caps w:val="0"/>
          <w:smallCaps w:val="0"/>
          <w:noProof w:val="0"/>
          <w:color w:val="000000" w:themeColor="text1" w:themeTint="FF" w:themeShade="FF"/>
          <w:sz w:val="22"/>
          <w:szCs w:val="22"/>
          <w:lang w:val="en-US"/>
        </w:rPr>
        <w:t xml:space="preserve">This measure will be dictated by a scope-of-work </w:t>
      </w:r>
      <w:r w:rsidRPr="5C0195BB" w:rsidR="48633759">
        <w:rPr>
          <w:rFonts w:ascii="Calibri" w:hAnsi="Calibri" w:eastAsia="Calibri" w:cs="Calibri"/>
          <w:b w:val="0"/>
          <w:bCs w:val="0"/>
          <w:i w:val="0"/>
          <w:iCs w:val="0"/>
          <w:caps w:val="0"/>
          <w:smallCaps w:val="0"/>
          <w:noProof w:val="0"/>
          <w:color w:val="000000" w:themeColor="text1" w:themeTint="FF" w:themeShade="FF"/>
          <w:sz w:val="22"/>
          <w:szCs w:val="22"/>
          <w:lang w:val="en-US"/>
        </w:rPr>
        <w:t>established</w:t>
      </w:r>
      <w:r w:rsidRPr="5C0195BB" w:rsidR="48633759">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by the City and BJCTA and as such will consist of a fixed-budget that the selected planning consultant must adhere to. Any </w:t>
      </w:r>
      <w:r w:rsidRPr="5C0195BB" w:rsidR="3D0A3C1C">
        <w:rPr>
          <w:rFonts w:ascii="Calibri" w:hAnsi="Calibri" w:eastAsia="Calibri" w:cs="Calibri"/>
          <w:b w:val="0"/>
          <w:bCs w:val="0"/>
          <w:i w:val="0"/>
          <w:iCs w:val="0"/>
          <w:caps w:val="0"/>
          <w:smallCaps w:val="0"/>
          <w:noProof w:val="0"/>
          <w:color w:val="000000" w:themeColor="text1" w:themeTint="FF" w:themeShade="FF"/>
          <w:sz w:val="22"/>
          <w:szCs w:val="22"/>
          <w:lang w:val="en-US"/>
        </w:rPr>
        <w:t>w</w:t>
      </w:r>
      <w:r w:rsidRPr="5C0195BB" w:rsidR="48633759">
        <w:rPr>
          <w:rFonts w:ascii="Calibri" w:hAnsi="Calibri" w:eastAsia="Calibri" w:cs="Calibri"/>
          <w:b w:val="0"/>
          <w:bCs w:val="0"/>
          <w:i w:val="0"/>
          <w:iCs w:val="0"/>
          <w:caps w:val="0"/>
          <w:smallCaps w:val="0"/>
          <w:noProof w:val="0"/>
          <w:color w:val="000000" w:themeColor="text1" w:themeTint="FF" w:themeShade="FF"/>
          <w:sz w:val="22"/>
          <w:szCs w:val="22"/>
          <w:lang w:val="en-US"/>
        </w:rPr>
        <w:t xml:space="preserve">ork that exceeds the budget of the Plan is not the responsibility of the </w:t>
      </w:r>
      <w:r w:rsidRPr="5C0195BB" w:rsidR="48633759">
        <w:rPr>
          <w:rFonts w:ascii="Calibri" w:hAnsi="Calibri" w:eastAsia="Calibri" w:cs="Calibri"/>
          <w:b w:val="0"/>
          <w:bCs w:val="0"/>
          <w:i w:val="0"/>
          <w:iCs w:val="0"/>
          <w:caps w:val="0"/>
          <w:smallCaps w:val="0"/>
          <w:noProof w:val="0"/>
          <w:color w:val="000000" w:themeColor="text1" w:themeTint="FF" w:themeShade="FF"/>
          <w:sz w:val="22"/>
          <w:szCs w:val="22"/>
          <w:lang w:val="en-US"/>
        </w:rPr>
        <w:t>City</w:t>
      </w:r>
    </w:p>
    <w:p w:rsidR="2454DFDB" w:rsidP="5C0195BB" w:rsidRDefault="2454DFDB" w14:paraId="0FC08C37" w14:textId="7891A2DB">
      <w:pPr>
        <w:bidi w:val="0"/>
        <w:spacing w:before="240" w:beforeAutospacing="off" w:after="240" w:afterAutospacing="off" w:line="259" w:lineRule="auto"/>
        <w:rPr>
          <w:rFonts w:ascii="Calibri" w:hAnsi="Calibri" w:eastAsia="Calibri" w:cs="Calibri"/>
          <w:noProof w:val="0"/>
          <w:sz w:val="22"/>
          <w:szCs w:val="22"/>
          <w:lang w:val="en-US"/>
        </w:rPr>
      </w:pPr>
      <w:r w:rsidRPr="5C0195BB" w:rsidR="2454DFDB">
        <w:rPr>
          <w:rFonts w:ascii="Calibri" w:hAnsi="Calibri" w:eastAsia="Calibri" w:cs="Calibri"/>
          <w:b w:val="0"/>
          <w:bCs w:val="0"/>
          <w:i w:val="0"/>
          <w:iCs w:val="0"/>
          <w:caps w:val="0"/>
          <w:smallCaps w:val="0"/>
          <w:noProof w:val="0"/>
          <w:color w:val="000000" w:themeColor="text1" w:themeTint="FF" w:themeShade="FF"/>
          <w:sz w:val="22"/>
          <w:szCs w:val="22"/>
          <w:lang w:val="en-US"/>
        </w:rPr>
        <w:t>The</w:t>
      </w:r>
      <w:r w:rsidRPr="5C0195BB" w:rsidR="2454DFDB">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w:t>
      </w:r>
      <w:r w:rsidRPr="5C0195BB" w:rsidR="2454DFDB">
        <w:rPr>
          <w:rFonts w:ascii="Calibri" w:hAnsi="Calibri" w:eastAsia="Calibri" w:cs="Calibri"/>
          <w:b w:val="0"/>
          <w:bCs w:val="0"/>
          <w:i w:val="0"/>
          <w:iCs w:val="0"/>
          <w:caps w:val="0"/>
          <w:smallCaps w:val="0"/>
          <w:noProof w:val="0"/>
          <w:color w:val="000000" w:themeColor="text1" w:themeTint="FF" w:themeShade="FF"/>
          <w:sz w:val="22"/>
          <w:szCs w:val="22"/>
          <w:lang w:val="en-US"/>
        </w:rPr>
        <w:t>City</w:t>
      </w:r>
      <w:r w:rsidRPr="5C0195BB" w:rsidR="2454DFDB">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has </w:t>
      </w:r>
      <w:r w:rsidRPr="5C0195BB" w:rsidR="2454DFDB">
        <w:rPr>
          <w:rFonts w:ascii="Calibri" w:hAnsi="Calibri" w:eastAsia="Calibri" w:cs="Calibri"/>
          <w:b w:val="0"/>
          <w:bCs w:val="0"/>
          <w:i w:val="0"/>
          <w:iCs w:val="0"/>
          <w:caps w:val="0"/>
          <w:smallCaps w:val="0"/>
          <w:noProof w:val="0"/>
          <w:color w:val="000000" w:themeColor="text1" w:themeTint="FF" w:themeShade="FF"/>
          <w:sz w:val="22"/>
          <w:szCs w:val="22"/>
          <w:lang w:val="en-US"/>
        </w:rPr>
        <w:t>previous</w:t>
      </w:r>
      <w:r w:rsidRPr="5C0195BB" w:rsidR="2454DFDB">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experience budgeting funding for planning efforts and is confident that this budgetary estimate will adequately cover the cost of this implementation measure. Due to the extensive scope of the TOD Corridor Plan, the funding request has been primarily based </w:t>
      </w:r>
      <w:r w:rsidRPr="5C0195BB" w:rsidR="2454DFDB">
        <w:rPr>
          <w:rFonts w:ascii="Calibri" w:hAnsi="Calibri" w:eastAsia="Calibri" w:cs="Calibri"/>
          <w:b w:val="0"/>
          <w:bCs w:val="0"/>
          <w:i w:val="0"/>
          <w:iCs w:val="0"/>
          <w:caps w:val="0"/>
          <w:smallCaps w:val="0"/>
          <w:noProof w:val="0"/>
          <w:color w:val="000000" w:themeColor="text1" w:themeTint="FF" w:themeShade="FF"/>
          <w:sz w:val="22"/>
          <w:szCs w:val="22"/>
          <w:lang w:val="en-US"/>
        </w:rPr>
        <w:t>off of</w:t>
      </w:r>
      <w:r w:rsidRPr="5C0195BB" w:rsidR="2454DFDB">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the 2013 Comprehensive Plan total cost, which was $570,000. One of the recommended action items in the 2013 Comprehensive Plan was to </w:t>
      </w:r>
      <w:r w:rsidRPr="5C0195BB" w:rsidR="2454DFDB">
        <w:rPr>
          <w:rFonts w:ascii="Calibri" w:hAnsi="Calibri" w:eastAsia="Calibri" w:cs="Calibri"/>
          <w:b w:val="0"/>
          <w:bCs w:val="0"/>
          <w:i w:val="0"/>
          <w:iCs w:val="0"/>
          <w:caps w:val="0"/>
          <w:smallCaps w:val="0"/>
          <w:noProof w:val="0"/>
          <w:color w:val="000000" w:themeColor="text1" w:themeTint="FF" w:themeShade="FF"/>
          <w:sz w:val="22"/>
          <w:szCs w:val="22"/>
          <w:lang w:val="en-US"/>
        </w:rPr>
        <w:t>establish</w:t>
      </w:r>
      <w:r w:rsidRPr="5C0195BB" w:rsidR="2454DFDB">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individual community framework plans for Birmingham’s nine framework communities. These framework plans provide each community with </w:t>
      </w:r>
      <w:r w:rsidRPr="5C0195BB" w:rsidR="2454DFDB">
        <w:rPr>
          <w:rFonts w:ascii="Calibri" w:hAnsi="Calibri" w:eastAsia="Calibri" w:cs="Calibri"/>
          <w:b w:val="0"/>
          <w:bCs w:val="0"/>
          <w:i w:val="0"/>
          <w:iCs w:val="0"/>
          <w:caps w:val="0"/>
          <w:smallCaps w:val="0"/>
          <w:noProof w:val="0"/>
          <w:color w:val="000000" w:themeColor="text1" w:themeTint="FF" w:themeShade="FF"/>
          <w:sz w:val="22"/>
          <w:szCs w:val="22"/>
          <w:lang w:val="en-US"/>
        </w:rPr>
        <w:t>a clear vision</w:t>
      </w:r>
      <w:r w:rsidRPr="5C0195BB" w:rsidR="2454DFDB">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of what residents want for their community over a period of ten years. These nine framework plans have an average cost of $240,000 per framework area. The City, along with a cooperative coalition of partners, also funded the 2019 City Center Master Plan for $549,908. This master plan is also comprehensive in scope and provides a strategic plan for the city center that looks to the next 10-15 years. </w:t>
      </w:r>
      <w:r w:rsidRPr="5C0195BB" w:rsidR="2454DFDB">
        <w:rPr>
          <w:rFonts w:ascii="Calibri" w:hAnsi="Calibri" w:eastAsia="Calibri" w:cs="Calibri"/>
          <w:b w:val="0"/>
          <w:bCs w:val="0"/>
          <w:i w:val="0"/>
          <w:iCs w:val="0"/>
          <w:caps w:val="0"/>
          <w:smallCaps w:val="0"/>
          <w:noProof w:val="0"/>
          <w:color w:val="000000" w:themeColor="text1" w:themeTint="FF" w:themeShade="FF"/>
          <w:sz w:val="22"/>
          <w:szCs w:val="22"/>
          <w:lang w:val="en-US"/>
        </w:rPr>
        <w:t>Taking into account</w:t>
      </w:r>
      <w:r w:rsidRPr="5C0195BB" w:rsidR="2454DFDB">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inflation and the consideration that the TOD Corridor Plan will primarily focus on TOD in priority areas, the </w:t>
      </w:r>
      <w:r w:rsidRPr="5C0195BB" w:rsidR="2454DFDB">
        <w:rPr>
          <w:rFonts w:ascii="Calibri" w:hAnsi="Calibri" w:eastAsia="Calibri" w:cs="Calibri"/>
          <w:b w:val="0"/>
          <w:bCs w:val="0"/>
          <w:i w:val="0"/>
          <w:iCs w:val="0"/>
          <w:caps w:val="0"/>
          <w:smallCaps w:val="0"/>
          <w:noProof w:val="0"/>
          <w:color w:val="000000" w:themeColor="text1" w:themeTint="FF" w:themeShade="FF"/>
          <w:sz w:val="22"/>
          <w:szCs w:val="22"/>
          <w:lang w:val="en-US"/>
        </w:rPr>
        <w:t>City</w:t>
      </w:r>
      <w:r w:rsidRPr="5C0195BB" w:rsidR="2454DFDB">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believes $500,000 is a fair and </w:t>
      </w:r>
      <w:r w:rsidRPr="5C0195BB" w:rsidR="2454DFDB">
        <w:rPr>
          <w:rFonts w:ascii="Calibri" w:hAnsi="Calibri" w:eastAsia="Calibri" w:cs="Calibri"/>
          <w:b w:val="0"/>
          <w:bCs w:val="0"/>
          <w:i w:val="0"/>
          <w:iCs w:val="0"/>
          <w:caps w:val="0"/>
          <w:smallCaps w:val="0"/>
          <w:noProof w:val="0"/>
          <w:color w:val="000000" w:themeColor="text1" w:themeTint="FF" w:themeShade="FF"/>
          <w:sz w:val="22"/>
          <w:szCs w:val="22"/>
          <w:lang w:val="en-US"/>
        </w:rPr>
        <w:t>equitable</w:t>
      </w:r>
      <w:r w:rsidRPr="5C0195BB" w:rsidR="2454DFDB">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budget for this reduction measure based on </w:t>
      </w:r>
      <w:r w:rsidRPr="5C0195BB" w:rsidR="2454DFDB">
        <w:rPr>
          <w:rFonts w:ascii="Calibri" w:hAnsi="Calibri" w:eastAsia="Calibri" w:cs="Calibri"/>
          <w:b w:val="0"/>
          <w:bCs w:val="0"/>
          <w:i w:val="0"/>
          <w:iCs w:val="0"/>
          <w:caps w:val="0"/>
          <w:smallCaps w:val="0"/>
          <w:noProof w:val="0"/>
          <w:color w:val="000000" w:themeColor="text1" w:themeTint="FF" w:themeShade="FF"/>
          <w:sz w:val="22"/>
          <w:szCs w:val="22"/>
          <w:lang w:val="en-US"/>
        </w:rPr>
        <w:t>previous</w:t>
      </w:r>
      <w:r w:rsidRPr="5C0195BB" w:rsidR="2454DFDB">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planning costs.</w:t>
      </w:r>
    </w:p>
    <w:p w:rsidR="5C0195BB" w:rsidP="5C0195BB" w:rsidRDefault="5C0195BB" w14:paraId="36310475" w14:textId="49473E4D">
      <w:pPr>
        <w:pStyle w:val="Normal"/>
        <w:bidi w:val="0"/>
        <w:rPr>
          <w:rFonts w:ascii="Calibri" w:hAnsi="Calibri" w:eastAsia="Calibri" w:cs="Calibri"/>
          <w:b w:val="0"/>
          <w:bCs w:val="0"/>
          <w:i w:val="0"/>
          <w:iCs w:val="0"/>
          <w:caps w:val="0"/>
          <w:smallCaps w:val="0"/>
          <w:noProof w:val="0"/>
          <w:color w:val="000000" w:themeColor="text1" w:themeTint="FF" w:themeShade="FF"/>
          <w:sz w:val="22"/>
          <w:szCs w:val="22"/>
          <w:lang w:val="en-US"/>
        </w:rPr>
      </w:pPr>
    </w:p>
    <w:p w:rsidR="5C0195BB" w:rsidP="5C0195BB" w:rsidRDefault="5C0195BB" w14:paraId="3C19DFE9" w14:textId="3DB14511">
      <w:pPr>
        <w:pStyle w:val="Normal"/>
        <w:bidi w:val="0"/>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w:rsidR="5C0195BB" w:rsidP="5C0195BB" w:rsidRDefault="5C0195BB" w14:paraId="16A52AEF" w14:textId="3279E50D">
      <w:pPr>
        <w:pStyle w:val="Normal"/>
        <w:bidi w:val="0"/>
        <w:rPr>
          <w:noProof w:val="0"/>
          <w:lang w:val="en-US"/>
        </w:rPr>
      </w:pPr>
    </w:p>
    <w:p w:rsidR="5C0195BB" w:rsidP="5C0195BB" w:rsidRDefault="5C0195BB" w14:paraId="7A8F605F" w14:textId="262C8893">
      <w:pPr>
        <w:pStyle w:val="Normal"/>
        <w:bidi w:val="0"/>
        <w:rPr>
          <w:noProof w:val="0"/>
          <w:lang w:val="en-US"/>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http://schemas.openxmlformats.org/wordprocessingml/2006/main">
  <w:abstractNum xmlns:w="http://schemas.openxmlformats.org/wordprocessingml/2006/main" w:abstractNumId="1">
    <w:nsid w:val="4c8846cb"/>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4C28CE6"/>
    <w:rsid w:val="010769FE"/>
    <w:rsid w:val="02724C61"/>
    <w:rsid w:val="05E3F4B5"/>
    <w:rsid w:val="08C86588"/>
    <w:rsid w:val="09515747"/>
    <w:rsid w:val="0A2CB875"/>
    <w:rsid w:val="0BC1ABD7"/>
    <w:rsid w:val="0CEBDBB7"/>
    <w:rsid w:val="0E4BD19F"/>
    <w:rsid w:val="0E87AC18"/>
    <w:rsid w:val="10237C79"/>
    <w:rsid w:val="110F9757"/>
    <w:rsid w:val="11898DEC"/>
    <w:rsid w:val="11C3D5C9"/>
    <w:rsid w:val="1708CDD1"/>
    <w:rsid w:val="175FDF77"/>
    <w:rsid w:val="18784012"/>
    <w:rsid w:val="1C17FB14"/>
    <w:rsid w:val="1CDF3591"/>
    <w:rsid w:val="1DB7F881"/>
    <w:rsid w:val="1DC2205F"/>
    <w:rsid w:val="1E88D665"/>
    <w:rsid w:val="20B1572B"/>
    <w:rsid w:val="22E2F0EA"/>
    <w:rsid w:val="2454DFDB"/>
    <w:rsid w:val="26B0CF4D"/>
    <w:rsid w:val="26E9AAD1"/>
    <w:rsid w:val="27E6566E"/>
    <w:rsid w:val="298226CF"/>
    <w:rsid w:val="2A3F1114"/>
    <w:rsid w:val="2B5D046A"/>
    <w:rsid w:val="2D0158CE"/>
    <w:rsid w:val="2D21E1D1"/>
    <w:rsid w:val="2E0A334D"/>
    <w:rsid w:val="31E2471D"/>
    <w:rsid w:val="354AB53E"/>
    <w:rsid w:val="37A18DAD"/>
    <w:rsid w:val="39525A1A"/>
    <w:rsid w:val="3D0A3C1C"/>
    <w:rsid w:val="3DDB1043"/>
    <w:rsid w:val="3E32C8E5"/>
    <w:rsid w:val="4041A3FE"/>
    <w:rsid w:val="442DEFED"/>
    <w:rsid w:val="4618CF03"/>
    <w:rsid w:val="4618CF03"/>
    <w:rsid w:val="462704E4"/>
    <w:rsid w:val="47640F67"/>
    <w:rsid w:val="483F19AE"/>
    <w:rsid w:val="48633759"/>
    <w:rsid w:val="48FFDFC8"/>
    <w:rsid w:val="4EEFC488"/>
    <w:rsid w:val="52D6FC47"/>
    <w:rsid w:val="5620CA09"/>
    <w:rsid w:val="5841B17A"/>
    <w:rsid w:val="58F2218B"/>
    <w:rsid w:val="59586ACB"/>
    <w:rsid w:val="5A8DF1EC"/>
    <w:rsid w:val="5C0195BB"/>
    <w:rsid w:val="5C18EC1D"/>
    <w:rsid w:val="5C29C24D"/>
    <w:rsid w:val="5DC592AE"/>
    <w:rsid w:val="5F508CDF"/>
    <w:rsid w:val="61CD34EA"/>
    <w:rsid w:val="623E1746"/>
    <w:rsid w:val="62882DA1"/>
    <w:rsid w:val="632C43E3"/>
    <w:rsid w:val="64C28CE6"/>
    <w:rsid w:val="6749F9BF"/>
    <w:rsid w:val="688908AB"/>
    <w:rsid w:val="6A49292B"/>
    <w:rsid w:val="6B7E8358"/>
    <w:rsid w:val="6BE4F98C"/>
    <w:rsid w:val="6F6E9E2F"/>
    <w:rsid w:val="6FC678BC"/>
    <w:rsid w:val="72A63EF1"/>
    <w:rsid w:val="7593C958"/>
    <w:rsid w:val="7A673A7B"/>
    <w:rsid w:val="7A6C0B61"/>
    <w:rsid w:val="7BBDB9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28CE6"/>
  <w15:chartTrackingRefBased/>
  <w15:docId w15:val="{B65C02C3-8849-463B-99AF-D967172C8A8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b444a07e42cf416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2024-03-28T13:47:37.2321206Z</dcterms:created>
  <dcterms:modified xsi:type="dcterms:W3CDTF">2024-03-28T15:03:58.6684264Z</dcterms:modified>
  <dc:creator>Garrison, Hunter D.</dc:creator>
  <lastModifiedBy>Garrison, Hunter D.</lastModifiedBy>
</coreProperties>
</file>