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5DC98C" w14:textId="5525D3B3" w:rsidR="00A54CF8" w:rsidRDefault="006C2FA4" w:rsidP="00AA5947">
      <w:pPr>
        <w:pStyle w:val="Title"/>
      </w:pPr>
      <w:r>
        <w:t>CPRG GHG Technical Appendix</w:t>
      </w:r>
    </w:p>
    <w:p w14:paraId="1E775D9D" w14:textId="3EF2C7BD" w:rsidR="00D6495C" w:rsidRDefault="00A6002A" w:rsidP="00AA5947">
      <w:pPr>
        <w:pStyle w:val="Heading2"/>
      </w:pPr>
      <w:r>
        <w:t>Introduction</w:t>
      </w:r>
    </w:p>
    <w:p w14:paraId="0F224FDF" w14:textId="0CD5B47B" w:rsidR="00D67386" w:rsidRPr="00D67386" w:rsidRDefault="00164806" w:rsidP="00AA5947">
      <w:r>
        <w:t xml:space="preserve">As stated in the workplan narrative document, </w:t>
      </w:r>
      <w:r w:rsidR="006D6646">
        <w:t>b</w:t>
      </w:r>
      <w:r w:rsidR="00D67386" w:rsidRPr="00431279">
        <w:t>ecause about a third of California’s waste stream is made up of organic waste</w:t>
      </w:r>
      <w:r w:rsidR="006D6646">
        <w:t xml:space="preserve"> and landfills are the third largest source of methane emissions in California</w:t>
      </w:r>
      <w:r w:rsidR="00D67386" w:rsidRPr="00431279">
        <w:t xml:space="preserve">, it is critical that the State focuses on both diverting organic waste and improving landfill operations to tackle waste sector emissions from multiple angles. Due to the multidecadal time frame required for landfilled organic material to break down, the emissions reductions from diverting organic material in one year are realized over the course of several decades. Combined with the fact that methane is a powerful GHG and short-lived climate pollutant, near-term action is crucial to avoid locking in future landfill methane emissions. </w:t>
      </w:r>
    </w:p>
    <w:p w14:paraId="325ED217" w14:textId="3F101086" w:rsidR="00D67386" w:rsidRDefault="43C25181" w:rsidP="00AA5947">
      <w:r>
        <w:t xml:space="preserve">To that end, </w:t>
      </w:r>
      <w:r w:rsidR="6E83D712">
        <w:t xml:space="preserve">CalRecycle proposes to expand upon its existing experience implementing the </w:t>
      </w:r>
      <w:hyperlink r:id="rId8">
        <w:r w:rsidR="6E83D712" w:rsidRPr="2E5BCA8A">
          <w:rPr>
            <w:rStyle w:val="Hyperlink"/>
            <w:rFonts w:eastAsiaTheme="minorEastAsia"/>
          </w:rPr>
          <w:t>California Climate Investments (CCI) Organics Grant Program</w:t>
        </w:r>
      </w:hyperlink>
      <w:r w:rsidR="6E83D712">
        <w:t xml:space="preserve"> within the waste sector.  This program provides grants to support California’s organics recycling infrastructure by expanding existing capacity or establishing new facilities to reduce the amount of California-generated source-separated green materials and food materials being disposed in landfills and create value-added products such as compost and bioenergy. Eligible projects will </w:t>
      </w:r>
      <w:r>
        <w:t xml:space="preserve">develop </w:t>
      </w:r>
      <w:r w:rsidRPr="2E5BCA8A">
        <w:rPr>
          <w:b/>
          <w:bCs/>
        </w:rPr>
        <w:t>new or expanded composting, co-digestion, and anaerobic digestion facilities</w:t>
      </w:r>
      <w:r>
        <w:t xml:space="preserve"> that </w:t>
      </w:r>
      <w:r w:rsidR="6E83D712">
        <w:t>divert source-separated green and food materials from landfills</w:t>
      </w:r>
      <w:r>
        <w:t xml:space="preserve"> and make value-added products such as compost and renewable energy</w:t>
      </w:r>
      <w:r w:rsidR="6E83D712">
        <w:t xml:space="preserve">. </w:t>
      </w:r>
      <w:r w:rsidR="5E2C12F6">
        <w:t>CalRecycle is requesting $</w:t>
      </w:r>
      <w:r w:rsidR="00B91CC6">
        <w:t>10</w:t>
      </w:r>
      <w:r w:rsidR="5E2C12F6">
        <w:t xml:space="preserve">0 million, which is expected to fund </w:t>
      </w:r>
      <w:r w:rsidR="3DC876CE">
        <w:t>10-1</w:t>
      </w:r>
      <w:r w:rsidR="55DDEA29">
        <w:t>4</w:t>
      </w:r>
      <w:r w:rsidR="5E2C12F6">
        <w:t xml:space="preserve"> organic waste recycling projects</w:t>
      </w:r>
      <w:r w:rsidR="474EF13D">
        <w:t xml:space="preserve"> at a</w:t>
      </w:r>
      <w:r w:rsidR="1E2206D1">
        <w:t xml:space="preserve"> proposed</w:t>
      </w:r>
      <w:r w:rsidR="474EF13D">
        <w:t xml:space="preserve"> $10 million maximum award size</w:t>
      </w:r>
      <w:r w:rsidR="2E09F7EE">
        <w:t>.</w:t>
      </w:r>
    </w:p>
    <w:p w14:paraId="07C6A670" w14:textId="5F34B4DE" w:rsidR="00A6002A" w:rsidRPr="00AA5947" w:rsidRDefault="00A6002A" w:rsidP="00AA5947">
      <w:pPr>
        <w:pStyle w:val="Heading2"/>
      </w:pPr>
      <w:r w:rsidRPr="00AA5947">
        <w:t>GHG Reduction Estimate Method</w:t>
      </w:r>
      <w:r w:rsidR="0018738A" w:rsidRPr="00AA5947">
        <w:t>s</w:t>
      </w:r>
    </w:p>
    <w:p w14:paraId="5A727B9C" w14:textId="075C4D66" w:rsidR="00EC4366" w:rsidRDefault="002E7E32" w:rsidP="00AA5947">
      <w:r>
        <w:t xml:space="preserve">GHG reductions estimates </w:t>
      </w:r>
      <w:r w:rsidR="00636C4B">
        <w:t xml:space="preserve">contained in this application </w:t>
      </w:r>
      <w:r w:rsidR="00856E60">
        <w:t xml:space="preserve">are </w:t>
      </w:r>
      <w:r w:rsidR="00CF44F7">
        <w:t>calculated using</w:t>
      </w:r>
      <w:r w:rsidR="00856E60">
        <w:t xml:space="preserve"> the</w:t>
      </w:r>
      <w:r w:rsidR="00A44B85">
        <w:t xml:space="preserve"> </w:t>
      </w:r>
      <w:hyperlink r:id="rId9" w:anchor="v16" w:history="1">
        <w:r w:rsidR="00A44B85" w:rsidRPr="00DB45B9">
          <w:rPr>
            <w:rStyle w:val="Hyperlink"/>
            <w:rFonts w:eastAsiaTheme="minorEastAsia"/>
          </w:rPr>
          <w:t>US EPA Waste Reduction Model (WARM)</w:t>
        </w:r>
        <w:r w:rsidR="00856E60" w:rsidRPr="00DB45B9">
          <w:rPr>
            <w:rStyle w:val="Hyperlink"/>
            <w:rFonts w:eastAsiaTheme="minorEastAsia"/>
          </w:rPr>
          <w:t xml:space="preserve"> Tool Version 16</w:t>
        </w:r>
      </w:hyperlink>
      <w:r w:rsidR="003D4D78">
        <w:t xml:space="preserve"> (</w:t>
      </w:r>
      <w:r w:rsidR="0083409A">
        <w:t xml:space="preserve">completed calculator tool is included in this application, </w:t>
      </w:r>
      <w:r w:rsidR="00A3151A">
        <w:t>file name ‘</w:t>
      </w:r>
      <w:r w:rsidR="00A3151A" w:rsidRPr="00A3151A">
        <w:t>CalRecycle CPRG WARM Tool v16</w:t>
      </w:r>
      <w:r w:rsidR="00A3151A">
        <w:t>.xls’)</w:t>
      </w:r>
      <w:r w:rsidR="00DB45B9">
        <w:t xml:space="preserve">. </w:t>
      </w:r>
      <w:r w:rsidR="00EC4366">
        <w:t xml:space="preserve">As identified in the </w:t>
      </w:r>
      <w:hyperlink r:id="rId10" w:history="1">
        <w:r w:rsidR="00EC4366" w:rsidRPr="00C6326D">
          <w:rPr>
            <w:rStyle w:val="Hyperlink"/>
            <w:rFonts w:eastAsiaTheme="minorEastAsia"/>
          </w:rPr>
          <w:t>WARM Model documentation</w:t>
        </w:r>
      </w:hyperlink>
      <w:r w:rsidR="00EC4366">
        <w:t>, the WARM tool includes the impacts of the following, see Warm Model documentation for more details:</w:t>
      </w:r>
    </w:p>
    <w:tbl>
      <w:tblPr>
        <w:tblStyle w:val="TableGrid"/>
        <w:tblW w:w="0" w:type="auto"/>
        <w:tblLook w:val="04A0" w:firstRow="1" w:lastRow="0" w:firstColumn="1" w:lastColumn="0" w:noHBand="0" w:noVBand="1"/>
      </w:tblPr>
      <w:tblGrid>
        <w:gridCol w:w="3116"/>
        <w:gridCol w:w="3117"/>
        <w:gridCol w:w="3117"/>
      </w:tblGrid>
      <w:tr w:rsidR="00EC4366" w14:paraId="3F907F89" w14:textId="77777777">
        <w:tc>
          <w:tcPr>
            <w:tcW w:w="3116" w:type="dxa"/>
          </w:tcPr>
          <w:p w14:paraId="74FD056B" w14:textId="77777777" w:rsidR="00EC4366" w:rsidRPr="00782CEB" w:rsidRDefault="00EC4366" w:rsidP="00AA5947">
            <w:pPr>
              <w:rPr>
                <w:b/>
                <w:bCs/>
              </w:rPr>
            </w:pPr>
            <w:r w:rsidRPr="00782CEB">
              <w:rPr>
                <w:b/>
                <w:bCs/>
              </w:rPr>
              <w:t>Landfilling Base Case (p.6-2)</w:t>
            </w:r>
          </w:p>
          <w:p w14:paraId="29C5D80D" w14:textId="77777777" w:rsidR="00EC4366" w:rsidRPr="00FE5856" w:rsidRDefault="00EC4366" w:rsidP="00782CEB">
            <w:pPr>
              <w:pStyle w:val="ListParagraph"/>
              <w:numPr>
                <w:ilvl w:val="0"/>
                <w:numId w:val="4"/>
              </w:numPr>
              <w:ind w:left="154" w:hanging="154"/>
            </w:pPr>
            <w:r>
              <w:t>“</w:t>
            </w:r>
            <w:r w:rsidRPr="00FE5856">
              <w:t>CH4 emissions from anaerobic decomposition of biogenic carbon compounds;</w:t>
            </w:r>
          </w:p>
          <w:p w14:paraId="25FE4011" w14:textId="77777777" w:rsidR="00EC4366" w:rsidRPr="00FE5856" w:rsidRDefault="00EC4366" w:rsidP="00782CEB">
            <w:pPr>
              <w:pStyle w:val="ListParagraph"/>
              <w:numPr>
                <w:ilvl w:val="0"/>
                <w:numId w:val="4"/>
              </w:numPr>
              <w:ind w:left="154" w:hanging="154"/>
            </w:pPr>
            <w:r w:rsidRPr="00FE5856">
              <w:t>Transportation CO2 emissions from landfilling equipment;</w:t>
            </w:r>
          </w:p>
          <w:p w14:paraId="25ECA1BF" w14:textId="77777777" w:rsidR="00EC4366" w:rsidRPr="00FE5856" w:rsidRDefault="00EC4366" w:rsidP="00782CEB">
            <w:pPr>
              <w:pStyle w:val="ListParagraph"/>
              <w:numPr>
                <w:ilvl w:val="0"/>
                <w:numId w:val="4"/>
              </w:numPr>
              <w:ind w:left="154" w:hanging="154"/>
            </w:pPr>
            <w:r w:rsidRPr="00FE5856">
              <w:t>Biogenic carbon stored in the landfill; and</w:t>
            </w:r>
          </w:p>
          <w:p w14:paraId="0205E080" w14:textId="77777777" w:rsidR="00EC4366" w:rsidRPr="000823D0" w:rsidRDefault="00EC4366" w:rsidP="00782CEB">
            <w:pPr>
              <w:pStyle w:val="ListParagraph"/>
              <w:numPr>
                <w:ilvl w:val="0"/>
                <w:numId w:val="4"/>
              </w:numPr>
              <w:spacing w:after="160" w:line="259" w:lineRule="auto"/>
              <w:ind w:left="154" w:hanging="154"/>
              <w:rPr>
                <w:b/>
                <w:bCs/>
              </w:rPr>
            </w:pPr>
            <w:r w:rsidRPr="00FE5856">
              <w:t>CO2 emissions avoided through landfill gas-to-energy projects</w:t>
            </w:r>
            <w:r>
              <w:t>”</w:t>
            </w:r>
          </w:p>
        </w:tc>
        <w:tc>
          <w:tcPr>
            <w:tcW w:w="3117" w:type="dxa"/>
          </w:tcPr>
          <w:p w14:paraId="3682463F" w14:textId="77777777" w:rsidR="00EC4366" w:rsidRPr="00782CEB" w:rsidRDefault="00EC4366" w:rsidP="00AA5947">
            <w:pPr>
              <w:rPr>
                <w:b/>
                <w:bCs/>
              </w:rPr>
            </w:pPr>
            <w:r w:rsidRPr="00782CEB">
              <w:rPr>
                <w:b/>
                <w:bCs/>
              </w:rPr>
              <w:t>Composting (p.4-1)</w:t>
            </w:r>
          </w:p>
          <w:p w14:paraId="3ECDBE20" w14:textId="77777777" w:rsidR="00EC4366" w:rsidRPr="000823D0" w:rsidRDefault="00EC4366" w:rsidP="00782CEB">
            <w:pPr>
              <w:pStyle w:val="ListParagraph"/>
              <w:numPr>
                <w:ilvl w:val="0"/>
                <w:numId w:val="4"/>
              </w:numPr>
              <w:ind w:left="154" w:hanging="154"/>
            </w:pPr>
            <w:r>
              <w:t>“</w:t>
            </w:r>
            <w:r w:rsidRPr="000823D0">
              <w:t>Collecting and transporting the organic materials to the central composting site.</w:t>
            </w:r>
          </w:p>
          <w:p w14:paraId="760396EE" w14:textId="77777777" w:rsidR="00EC4366" w:rsidRPr="000823D0" w:rsidRDefault="00EC4366" w:rsidP="00782CEB">
            <w:pPr>
              <w:pStyle w:val="ListParagraph"/>
              <w:numPr>
                <w:ilvl w:val="0"/>
                <w:numId w:val="4"/>
              </w:numPr>
              <w:ind w:left="154" w:hanging="154"/>
            </w:pPr>
            <w:r w:rsidRPr="000823D0">
              <w:t>Mechanical turning of the compost pile.</w:t>
            </w:r>
          </w:p>
          <w:p w14:paraId="02C22957" w14:textId="77777777" w:rsidR="00EC4366" w:rsidRPr="000823D0" w:rsidRDefault="00EC4366" w:rsidP="00782CEB">
            <w:pPr>
              <w:pStyle w:val="ListParagraph"/>
              <w:numPr>
                <w:ilvl w:val="0"/>
                <w:numId w:val="4"/>
              </w:numPr>
              <w:ind w:left="154" w:hanging="154"/>
            </w:pPr>
            <w:r w:rsidRPr="000823D0">
              <w:t>Non-CO2 GHG emissions during composting (primarily CH4 and N2O).</w:t>
            </w:r>
          </w:p>
          <w:p w14:paraId="6DB8B243" w14:textId="77777777" w:rsidR="00EC4366" w:rsidRPr="000823D0" w:rsidRDefault="00EC4366" w:rsidP="00782CEB">
            <w:pPr>
              <w:pStyle w:val="ListParagraph"/>
              <w:numPr>
                <w:ilvl w:val="0"/>
                <w:numId w:val="4"/>
              </w:numPr>
              <w:ind w:left="154" w:hanging="154"/>
            </w:pPr>
            <w:r w:rsidRPr="000823D0">
              <w:t>Avoided fertilizer offset from direct application of compost.</w:t>
            </w:r>
          </w:p>
          <w:p w14:paraId="619BB55E" w14:textId="77777777" w:rsidR="00EC4366" w:rsidRPr="000823D0" w:rsidRDefault="00EC4366" w:rsidP="00782CEB">
            <w:pPr>
              <w:pStyle w:val="ListParagraph"/>
              <w:numPr>
                <w:ilvl w:val="0"/>
                <w:numId w:val="4"/>
              </w:numPr>
              <w:spacing w:after="160" w:line="259" w:lineRule="auto"/>
              <w:ind w:left="154" w:hanging="154"/>
              <w:rPr>
                <w:b/>
                <w:bCs/>
              </w:rPr>
            </w:pPr>
            <w:r w:rsidRPr="000823D0">
              <w:t>Storage of carbon after compost application to soils</w:t>
            </w:r>
            <w:r>
              <w:t>”</w:t>
            </w:r>
          </w:p>
        </w:tc>
        <w:tc>
          <w:tcPr>
            <w:tcW w:w="3117" w:type="dxa"/>
          </w:tcPr>
          <w:p w14:paraId="2D89BFD3" w14:textId="77777777" w:rsidR="00EC4366" w:rsidRPr="00782CEB" w:rsidRDefault="00EC4366" w:rsidP="00AA5947">
            <w:pPr>
              <w:rPr>
                <w:b/>
                <w:bCs/>
              </w:rPr>
            </w:pPr>
            <w:r w:rsidRPr="00782CEB">
              <w:rPr>
                <w:b/>
                <w:bCs/>
              </w:rPr>
              <w:t>Anaerobic Digestion (p.3-1)</w:t>
            </w:r>
          </w:p>
          <w:p w14:paraId="1890D1FA" w14:textId="77777777" w:rsidR="00EC4366" w:rsidRPr="000823D0" w:rsidRDefault="00EC4366" w:rsidP="00782CEB">
            <w:pPr>
              <w:pStyle w:val="ListParagraph"/>
              <w:numPr>
                <w:ilvl w:val="0"/>
                <w:numId w:val="4"/>
              </w:numPr>
              <w:ind w:left="154" w:hanging="154"/>
            </w:pPr>
            <w:r>
              <w:t>“</w:t>
            </w:r>
            <w:r w:rsidRPr="000823D0">
              <w:t>Transport of materials</w:t>
            </w:r>
          </w:p>
          <w:p w14:paraId="06D432E0" w14:textId="77777777" w:rsidR="00EC4366" w:rsidRPr="000823D0" w:rsidRDefault="00EC4366" w:rsidP="00782CEB">
            <w:pPr>
              <w:pStyle w:val="ListParagraph"/>
              <w:numPr>
                <w:ilvl w:val="0"/>
                <w:numId w:val="4"/>
              </w:numPr>
              <w:ind w:left="154" w:hanging="154"/>
            </w:pPr>
            <w:r w:rsidRPr="000823D0">
              <w:t>Preprocessing and digester operations</w:t>
            </w:r>
          </w:p>
          <w:p w14:paraId="15B060B1" w14:textId="77777777" w:rsidR="00EC4366" w:rsidRPr="000823D0" w:rsidRDefault="00EC4366" w:rsidP="00782CEB">
            <w:pPr>
              <w:pStyle w:val="ListParagraph"/>
              <w:numPr>
                <w:ilvl w:val="0"/>
                <w:numId w:val="4"/>
              </w:numPr>
              <w:ind w:left="154" w:hanging="154"/>
            </w:pPr>
            <w:r w:rsidRPr="000823D0">
              <w:t>Biogas collection and utilization</w:t>
            </w:r>
          </w:p>
          <w:p w14:paraId="2A7A2B50" w14:textId="77777777" w:rsidR="00EC4366" w:rsidRPr="00782CEB" w:rsidRDefault="00EC4366" w:rsidP="00782CEB">
            <w:pPr>
              <w:pStyle w:val="ListParagraph"/>
              <w:numPr>
                <w:ilvl w:val="0"/>
                <w:numId w:val="4"/>
              </w:numPr>
              <w:spacing w:after="160" w:line="259" w:lineRule="auto"/>
              <w:ind w:left="154" w:hanging="154"/>
            </w:pPr>
            <w:r w:rsidRPr="000823D0">
              <w:t>Curing and land application</w:t>
            </w:r>
          </w:p>
          <w:p w14:paraId="2BDC5AB4" w14:textId="77777777" w:rsidR="00EC4366" w:rsidRPr="000823D0" w:rsidRDefault="00EC4366" w:rsidP="00782CEB">
            <w:pPr>
              <w:pStyle w:val="ListParagraph"/>
              <w:numPr>
                <w:ilvl w:val="0"/>
                <w:numId w:val="4"/>
              </w:numPr>
              <w:spacing w:after="160" w:line="259" w:lineRule="auto"/>
              <w:ind w:left="154" w:hanging="154"/>
              <w:rPr>
                <w:b/>
                <w:bCs/>
              </w:rPr>
            </w:pPr>
            <w:r w:rsidRPr="000823D0">
              <w:t>Fugitive CH4 and N2O emissions</w:t>
            </w:r>
            <w:r>
              <w:t>”</w:t>
            </w:r>
          </w:p>
        </w:tc>
      </w:tr>
    </w:tbl>
    <w:p w14:paraId="257983F0" w14:textId="77777777" w:rsidR="00EC4366" w:rsidRDefault="00EC4366" w:rsidP="00AA5947"/>
    <w:p w14:paraId="70523A0C" w14:textId="5BF9124F" w:rsidR="008E1B55" w:rsidRDefault="00DB45B9" w:rsidP="00AA5947">
      <w:r>
        <w:lastRenderedPageBreak/>
        <w:t xml:space="preserve">Inputs and assumptions </w:t>
      </w:r>
      <w:r w:rsidR="00403A35">
        <w:t xml:space="preserve">used in the WARM calculator tool </w:t>
      </w:r>
      <w:r w:rsidR="00FC148D">
        <w:t xml:space="preserve">are outlined below, and </w:t>
      </w:r>
      <w:r>
        <w:t xml:space="preserve">are based on </w:t>
      </w:r>
      <w:r w:rsidR="00AA60BF">
        <w:t xml:space="preserve">data from CalRecycle’s </w:t>
      </w:r>
      <w:r w:rsidR="00CA0CFE">
        <w:t xml:space="preserve">substantial experience </w:t>
      </w:r>
      <w:r w:rsidR="005C7E75">
        <w:t xml:space="preserve">selecting and awarding </w:t>
      </w:r>
      <w:r w:rsidR="00AA60BF">
        <w:t xml:space="preserve">grant </w:t>
      </w:r>
      <w:r w:rsidR="005C7E75">
        <w:t>projects</w:t>
      </w:r>
      <w:r w:rsidR="00AA60BF">
        <w:t xml:space="preserve">, including </w:t>
      </w:r>
      <w:r w:rsidR="00365C79">
        <w:t>the recent</w:t>
      </w:r>
      <w:r w:rsidR="00EA396F">
        <w:t xml:space="preserve"> Circular Economy </w:t>
      </w:r>
      <w:r w:rsidR="00365C79">
        <w:t>Organics Grant Program</w:t>
      </w:r>
      <w:r w:rsidR="005058CA">
        <w:t xml:space="preserve"> Cycle 7 (ORG7)</w:t>
      </w:r>
      <w:r w:rsidR="00365C79">
        <w:t>,</w:t>
      </w:r>
      <w:r w:rsidR="009521A9">
        <w:t xml:space="preserve"> </w:t>
      </w:r>
      <w:r w:rsidR="009828D9">
        <w:t xml:space="preserve">which </w:t>
      </w:r>
      <w:r w:rsidR="009521A9">
        <w:t>awarded over</w:t>
      </w:r>
      <w:r w:rsidR="009828D9">
        <w:t xml:space="preserve"> $130 million composting and anaerobic digestion projects and related infrastructure. </w:t>
      </w:r>
      <w:r w:rsidR="00EA396F">
        <w:t xml:space="preserve"> </w:t>
      </w:r>
      <w:r w:rsidR="00623874">
        <w:t>Note that w</w:t>
      </w:r>
      <w:r w:rsidR="00D35328">
        <w:t>hile the estimates</w:t>
      </w:r>
      <w:r w:rsidR="00623874">
        <w:t xml:space="preserve"> contained in this application</w:t>
      </w:r>
      <w:r w:rsidR="00D35328">
        <w:t xml:space="preserve"> are projections, when implemented CalRecycle will </w:t>
      </w:r>
      <w:r w:rsidR="00623874">
        <w:t>require reporting of actual</w:t>
      </w:r>
      <w:r w:rsidR="0036721D">
        <w:t xml:space="preserve"> data</w:t>
      </w:r>
      <w:r w:rsidR="3EA52271">
        <w:t xml:space="preserve"> </w:t>
      </w:r>
      <w:r w:rsidR="00623874">
        <w:t xml:space="preserve">from grantees and will work closely with CalEPA to appropriately calculate and document </w:t>
      </w:r>
      <w:r w:rsidR="00240F9A">
        <w:t xml:space="preserve">any and all required data. </w:t>
      </w:r>
    </w:p>
    <w:p w14:paraId="643FA154" w14:textId="6FC9DE22" w:rsidR="002D5585" w:rsidRDefault="00D30AA1" w:rsidP="00AA5947">
      <w:r>
        <w:t xml:space="preserve">First, </w:t>
      </w:r>
      <w:r w:rsidR="002D5585">
        <w:t xml:space="preserve">CalRecycle calculated </w:t>
      </w:r>
      <w:r w:rsidR="00165EC7">
        <w:t xml:space="preserve">expected </w:t>
      </w:r>
      <w:r w:rsidR="00302D20">
        <w:t xml:space="preserve">tons of diverted organic waste </w:t>
      </w:r>
      <w:r w:rsidR="002573AA">
        <w:t>based on data from</w:t>
      </w:r>
      <w:r w:rsidR="000272D8">
        <w:t xml:space="preserve"> </w:t>
      </w:r>
      <w:r w:rsidR="00977F06">
        <w:t>CalRecycle’s</w:t>
      </w:r>
      <w:r w:rsidR="00EA5E19">
        <w:t xml:space="preserve"> </w:t>
      </w:r>
      <w:r w:rsidR="005058CA">
        <w:t xml:space="preserve">recent ORG7 </w:t>
      </w:r>
      <w:r w:rsidR="00977F06">
        <w:t>grant awards</w:t>
      </w:r>
      <w:r w:rsidR="005058CA">
        <w:t>.</w:t>
      </w:r>
      <w:r w:rsidR="00365C79">
        <w:t xml:space="preserve"> </w:t>
      </w:r>
      <w:r w:rsidR="00977F06">
        <w:t>Of these awards, a</w:t>
      </w:r>
      <w:r w:rsidR="002D4B9D">
        <w:t xml:space="preserve"> subset of </w:t>
      </w:r>
      <w:r w:rsidR="002E4C13">
        <w:t>six</w:t>
      </w:r>
      <w:r w:rsidR="001D0C96">
        <w:t xml:space="preserve"> awarded </w:t>
      </w:r>
      <w:r w:rsidR="002C0000">
        <w:t xml:space="preserve">composting </w:t>
      </w:r>
      <w:r w:rsidR="002D4B9D">
        <w:t xml:space="preserve">projects </w:t>
      </w:r>
      <w:r w:rsidR="002C0000">
        <w:t xml:space="preserve">and </w:t>
      </w:r>
      <w:r w:rsidR="002E4C13">
        <w:t>six</w:t>
      </w:r>
      <w:r w:rsidR="002C0000">
        <w:t xml:space="preserve"> awarded anaerobic digestion projects </w:t>
      </w:r>
      <w:r w:rsidR="005058CA">
        <w:t>were</w:t>
      </w:r>
      <w:r w:rsidR="002D4B9D">
        <w:t xml:space="preserve"> selected </w:t>
      </w:r>
      <w:r w:rsidR="008A16D0">
        <w:t xml:space="preserve">from ORG7 </w:t>
      </w:r>
      <w:r w:rsidR="001D0C96">
        <w:t xml:space="preserve">based on </w:t>
      </w:r>
      <w:r w:rsidR="00977F06">
        <w:t>applicability to the</w:t>
      </w:r>
      <w:r w:rsidR="002D4B9D">
        <w:t xml:space="preserve"> proposed </w:t>
      </w:r>
      <w:r w:rsidR="001D0C96">
        <w:t xml:space="preserve">eligibility of this </w:t>
      </w:r>
      <w:r w:rsidR="00423642">
        <w:t>measure. These projects were</w:t>
      </w:r>
      <w:r w:rsidR="00572617">
        <w:t xml:space="preserve"> awarded</w:t>
      </w:r>
      <w:r w:rsidR="00423642">
        <w:t xml:space="preserve"> </w:t>
      </w:r>
      <w:r w:rsidR="000629C0">
        <w:t>$</w:t>
      </w:r>
      <w:r w:rsidR="003D4C74">
        <w:t>46.4</w:t>
      </w:r>
      <w:r w:rsidR="000629C0">
        <w:t xml:space="preserve"> million </w:t>
      </w:r>
      <w:r w:rsidR="003D4C74">
        <w:t>and $51.4 million</w:t>
      </w:r>
      <w:r w:rsidR="00C54F73" w:rsidRPr="00C54F73">
        <w:t xml:space="preserve"> </w:t>
      </w:r>
      <w:r w:rsidR="00C54F73">
        <w:t>in CalRecycle funding</w:t>
      </w:r>
      <w:r w:rsidR="003D4C74">
        <w:t>, respectively</w:t>
      </w:r>
      <w:r w:rsidR="00845E92">
        <w:t>, and t</w:t>
      </w:r>
      <w:r w:rsidR="00C54F73">
        <w:t xml:space="preserve">he additional capacity </w:t>
      </w:r>
      <w:r w:rsidR="00845E92">
        <w:t xml:space="preserve">added </w:t>
      </w:r>
      <w:r w:rsidR="00423642">
        <w:t xml:space="preserve">because of these awards </w:t>
      </w:r>
      <w:r w:rsidR="00845E92">
        <w:t xml:space="preserve">is </w:t>
      </w:r>
      <w:r w:rsidR="007103B1">
        <w:t xml:space="preserve">approximately </w:t>
      </w:r>
      <w:r w:rsidR="005E0F71">
        <w:t>403</w:t>
      </w:r>
      <w:r w:rsidR="00A620C9">
        <w:t>,000</w:t>
      </w:r>
      <w:r w:rsidR="007103B1">
        <w:t xml:space="preserve"> tons per year</w:t>
      </w:r>
      <w:r w:rsidR="00845E92">
        <w:t xml:space="preserve"> for composting</w:t>
      </w:r>
      <w:r w:rsidR="003914D1">
        <w:t xml:space="preserve"> and </w:t>
      </w:r>
      <w:r w:rsidR="005E0F71">
        <w:t>260</w:t>
      </w:r>
      <w:r w:rsidR="00A620C9">
        <w:t xml:space="preserve">,000 </w:t>
      </w:r>
      <w:r w:rsidR="003914D1">
        <w:t>tons per year</w:t>
      </w:r>
      <w:r w:rsidR="007103B1">
        <w:t xml:space="preserve"> </w:t>
      </w:r>
      <w:r w:rsidR="00845E92">
        <w:t>for</w:t>
      </w:r>
      <w:r w:rsidR="00F8212B">
        <w:t xml:space="preserve"> anaerobic digestion</w:t>
      </w:r>
      <w:r w:rsidR="008A16D0">
        <w:t xml:space="preserve">. </w:t>
      </w:r>
      <w:r w:rsidR="007103B1">
        <w:t xml:space="preserve"> </w:t>
      </w:r>
      <w:r w:rsidR="00845E92">
        <w:t>We then calculated a “t</w:t>
      </w:r>
      <w:r w:rsidR="00411890">
        <w:t>ons of capacity per dollar</w:t>
      </w:r>
      <w:r w:rsidR="00845E92">
        <w:t>”</w:t>
      </w:r>
      <w:r w:rsidR="00411890">
        <w:t xml:space="preserve"> </w:t>
      </w:r>
      <w:r w:rsidR="00845E92">
        <w:t>metric</w:t>
      </w:r>
      <w:r w:rsidR="00411890">
        <w:t xml:space="preserve"> from this dataset</w:t>
      </w:r>
      <w:r w:rsidR="003C70AC">
        <w:t xml:space="preserve"> for each project type</w:t>
      </w:r>
      <w:r w:rsidR="00845E92">
        <w:t xml:space="preserve">, and </w:t>
      </w:r>
      <w:r w:rsidR="005B4C9D">
        <w:t xml:space="preserve">multiplied </w:t>
      </w:r>
      <w:r w:rsidR="00B00BD3">
        <w:t>this</w:t>
      </w:r>
      <w:r w:rsidR="00EE31B4">
        <w:t xml:space="preserve"> </w:t>
      </w:r>
      <w:r w:rsidR="005B4C9D">
        <w:t xml:space="preserve">by the proposed </w:t>
      </w:r>
      <w:r w:rsidR="00A620C9">
        <w:t xml:space="preserve">CPRG </w:t>
      </w:r>
      <w:r w:rsidR="005B4C9D">
        <w:t>award</w:t>
      </w:r>
      <w:r w:rsidR="009F5F69">
        <w:t>s</w:t>
      </w:r>
      <w:r w:rsidR="005B4C9D">
        <w:t xml:space="preserve"> budget of </w:t>
      </w:r>
      <w:r w:rsidR="009F5F69">
        <w:t>$</w:t>
      </w:r>
      <w:r w:rsidR="00EE31B4">
        <w:t>60</w:t>
      </w:r>
      <w:r w:rsidR="009F5F69">
        <w:t xml:space="preserve"> million</w:t>
      </w:r>
      <w:r w:rsidR="003914D1">
        <w:t xml:space="preserve"> for composting and approximately </w:t>
      </w:r>
      <w:r w:rsidR="00EA6468">
        <w:t>$</w:t>
      </w:r>
      <w:r w:rsidR="00D54AD4">
        <w:t>34</w:t>
      </w:r>
      <w:r w:rsidR="005A7A43">
        <w:t>,440,000</w:t>
      </w:r>
      <w:r w:rsidR="00EA6468">
        <w:t xml:space="preserve"> for anaerobic digestion</w:t>
      </w:r>
      <w:r w:rsidR="0077014A">
        <w:t xml:space="preserve">. This </w:t>
      </w:r>
      <w:r w:rsidR="009F5F69">
        <w:t>result</w:t>
      </w:r>
      <w:r w:rsidR="0077014A">
        <w:t>s</w:t>
      </w:r>
      <w:r w:rsidR="009F5F69">
        <w:t xml:space="preserve"> in </w:t>
      </w:r>
      <w:r w:rsidR="00572617">
        <w:t>an estimated</w:t>
      </w:r>
      <w:r w:rsidR="00A031F7">
        <w:t xml:space="preserve"> </w:t>
      </w:r>
      <w:r w:rsidR="005A7A43">
        <w:t>521</w:t>
      </w:r>
      <w:r w:rsidR="005F5DF5">
        <w:t>,000</w:t>
      </w:r>
      <w:r w:rsidR="00EC368C">
        <w:t xml:space="preserve"> tons per year </w:t>
      </w:r>
      <w:r w:rsidR="0077014A">
        <w:t xml:space="preserve">of added composting capacity and </w:t>
      </w:r>
      <w:r w:rsidR="00B91CC6">
        <w:t>174,000</w:t>
      </w:r>
      <w:r w:rsidR="00D35328">
        <w:t xml:space="preserve"> tons per year of anaerobic digestion capacity</w:t>
      </w:r>
      <w:r w:rsidR="00002734">
        <w:t xml:space="preserve"> </w:t>
      </w:r>
      <w:r w:rsidR="0076530E">
        <w:t xml:space="preserve">built as a result of </w:t>
      </w:r>
      <w:r w:rsidR="00572617">
        <w:t>this measure</w:t>
      </w:r>
      <w:r w:rsidR="007D3F3A">
        <w:t xml:space="preserve">, or </w:t>
      </w:r>
      <w:r w:rsidR="00B91CC6">
        <w:t>695</w:t>
      </w:r>
      <w:r w:rsidR="006B17D3">
        <w:t>,000</w:t>
      </w:r>
      <w:r w:rsidR="00CA186B">
        <w:t xml:space="preserve"> tons total</w:t>
      </w:r>
      <w:r w:rsidR="00A9168B">
        <w:t xml:space="preserve"> per year</w:t>
      </w:r>
      <w:r w:rsidR="0076530E">
        <w:t xml:space="preserve">. </w:t>
      </w:r>
    </w:p>
    <w:p w14:paraId="5E3607E3" w14:textId="2C9F13F9" w:rsidR="00A0362C" w:rsidRDefault="008A79EE" w:rsidP="00AA5947">
      <w:pPr>
        <w:rPr>
          <w:b/>
          <w:bCs/>
        </w:rPr>
      </w:pPr>
      <w:r>
        <w:t xml:space="preserve">Next, CalRecycle utilized </w:t>
      </w:r>
      <w:r w:rsidR="007920A4">
        <w:t>these</w:t>
      </w:r>
      <w:r>
        <w:t xml:space="preserve"> </w:t>
      </w:r>
      <w:r w:rsidR="004A7189">
        <w:t>metrics</w:t>
      </w:r>
      <w:r w:rsidR="007920A4">
        <w:t xml:space="preserve"> as well as the inputs below</w:t>
      </w:r>
      <w:r>
        <w:t xml:space="preserve"> to calculate the GHG impacts of the proposed measure utilizing the US EPA WARM Tool Version 16</w:t>
      </w:r>
      <w:r w:rsidR="00403A35">
        <w:t xml:space="preserve"> as follows:</w:t>
      </w:r>
    </w:p>
    <w:p w14:paraId="368073EE" w14:textId="1BD2AB25" w:rsidR="0044632E" w:rsidRPr="00095C01" w:rsidRDefault="00FA0563" w:rsidP="00AA5947">
      <w:pPr>
        <w:rPr>
          <w:b/>
          <w:bCs/>
          <w:sz w:val="24"/>
          <w:szCs w:val="24"/>
        </w:rPr>
      </w:pPr>
      <w:r w:rsidRPr="00095C01">
        <w:rPr>
          <w:b/>
          <w:bCs/>
          <w:sz w:val="24"/>
          <w:szCs w:val="24"/>
        </w:rPr>
        <w:t>WARM Tool Input</w:t>
      </w:r>
      <w:r w:rsidR="008E1A6D">
        <w:rPr>
          <w:b/>
          <w:bCs/>
          <w:sz w:val="24"/>
          <w:szCs w:val="24"/>
        </w:rPr>
        <w:t>s and</w:t>
      </w:r>
      <w:r w:rsidRPr="00095C01">
        <w:rPr>
          <w:b/>
          <w:bCs/>
          <w:sz w:val="24"/>
          <w:szCs w:val="24"/>
        </w:rPr>
        <w:t xml:space="preserve"> Assumptions</w:t>
      </w:r>
      <w:r w:rsidR="0044632E" w:rsidRPr="00095C01">
        <w:rPr>
          <w:b/>
          <w:bCs/>
          <w:sz w:val="24"/>
          <w:szCs w:val="24"/>
        </w:rPr>
        <w:t xml:space="preserve">: </w:t>
      </w:r>
      <w:r w:rsidR="0044632E" w:rsidRPr="00095C01">
        <w:rPr>
          <w:b/>
          <w:bCs/>
          <w:sz w:val="24"/>
          <w:szCs w:val="24"/>
        </w:rPr>
        <w:tab/>
      </w:r>
      <w:r w:rsidR="0044632E" w:rsidRPr="00095C01">
        <w:rPr>
          <w:b/>
          <w:bCs/>
          <w:sz w:val="24"/>
          <w:szCs w:val="24"/>
        </w:rPr>
        <w:tab/>
      </w:r>
      <w:r w:rsidR="0044632E" w:rsidRPr="00095C01">
        <w:rPr>
          <w:b/>
          <w:bCs/>
          <w:sz w:val="24"/>
          <w:szCs w:val="24"/>
        </w:rPr>
        <w:tab/>
      </w:r>
      <w:r w:rsidR="0044632E" w:rsidRPr="00095C01">
        <w:rPr>
          <w:b/>
          <w:bCs/>
          <w:sz w:val="24"/>
          <w:szCs w:val="24"/>
        </w:rPr>
        <w:tab/>
      </w:r>
      <w:r w:rsidR="0044632E" w:rsidRPr="00095C01">
        <w:rPr>
          <w:b/>
          <w:bCs/>
          <w:sz w:val="24"/>
          <w:szCs w:val="24"/>
        </w:rPr>
        <w:tab/>
      </w:r>
    </w:p>
    <w:p w14:paraId="5760652D" w14:textId="0D634837" w:rsidR="00FA0563" w:rsidRDefault="00572617" w:rsidP="00447170">
      <w:pPr>
        <w:spacing w:after="0" w:line="216" w:lineRule="auto"/>
      </w:pPr>
      <w:r>
        <w:t>“</w:t>
      </w:r>
      <w:r w:rsidR="00FA0563">
        <w:t>Analysis Inputs</w:t>
      </w:r>
      <w:r>
        <w:t>”</w:t>
      </w:r>
      <w:r w:rsidR="00FA0563">
        <w:t xml:space="preserve"> tab:</w:t>
      </w:r>
    </w:p>
    <w:p w14:paraId="0C9C465E" w14:textId="488E6EEB" w:rsidR="00640E7A" w:rsidRDefault="00812BC9" w:rsidP="00447170">
      <w:pPr>
        <w:pStyle w:val="ListParagraph"/>
        <w:numPr>
          <w:ilvl w:val="0"/>
          <w:numId w:val="6"/>
        </w:numPr>
        <w:spacing w:after="0" w:line="216" w:lineRule="auto"/>
        <w:ind w:hanging="270"/>
      </w:pPr>
      <w:r>
        <w:t xml:space="preserve">Column H </w:t>
      </w:r>
      <w:r w:rsidR="00577470">
        <w:t xml:space="preserve">row </w:t>
      </w:r>
      <w:r w:rsidR="00577470" w:rsidRPr="0030564D">
        <w:rPr>
          <w:b/>
          <w:bCs/>
        </w:rPr>
        <w:t>74:</w:t>
      </w:r>
      <w:r w:rsidR="003F7BD8">
        <w:rPr>
          <w:b/>
          <w:bCs/>
        </w:rPr>
        <w:t xml:space="preserve"> </w:t>
      </w:r>
      <w:r w:rsidR="005778AD" w:rsidRPr="005778AD">
        <w:rPr>
          <w:b/>
          <w:bCs/>
        </w:rPr>
        <w:t xml:space="preserve">695,000 </w:t>
      </w:r>
      <w:r w:rsidR="50F8B6C4">
        <w:t>(</w:t>
      </w:r>
      <w:r w:rsidR="00E51D6C">
        <w:t xml:space="preserve">total </w:t>
      </w:r>
      <w:r w:rsidR="50F8B6C4">
        <w:t>baseline tons of mixed organics landfilled)</w:t>
      </w:r>
    </w:p>
    <w:p w14:paraId="6AAFA81B" w14:textId="1B41FDD9" w:rsidR="00FA0563" w:rsidRDefault="00640E7A" w:rsidP="00447170">
      <w:pPr>
        <w:pStyle w:val="ListParagraph"/>
        <w:numPr>
          <w:ilvl w:val="0"/>
          <w:numId w:val="6"/>
        </w:numPr>
        <w:spacing w:after="0" w:line="216" w:lineRule="auto"/>
        <w:ind w:hanging="270"/>
      </w:pPr>
      <w:r>
        <w:t xml:space="preserve">Column T row </w:t>
      </w:r>
      <w:r w:rsidRPr="0030564D">
        <w:rPr>
          <w:b/>
          <w:bCs/>
        </w:rPr>
        <w:t>74:</w:t>
      </w:r>
      <w:r w:rsidR="003F7BD8">
        <w:rPr>
          <w:b/>
          <w:bCs/>
        </w:rPr>
        <w:t xml:space="preserve"> </w:t>
      </w:r>
      <w:r w:rsidR="00022DC3" w:rsidRPr="00022DC3">
        <w:rPr>
          <w:b/>
          <w:bCs/>
        </w:rPr>
        <w:t xml:space="preserve">521,000 </w:t>
      </w:r>
      <w:r w:rsidR="0D338BEB">
        <w:t>(tons of mixed organics diverted to composting)</w:t>
      </w:r>
    </w:p>
    <w:p w14:paraId="6A5409BE" w14:textId="4DB42474" w:rsidR="006353C8" w:rsidRPr="006353C8" w:rsidRDefault="006353C8" w:rsidP="00CB5C95">
      <w:pPr>
        <w:pStyle w:val="ListParagraph"/>
        <w:numPr>
          <w:ilvl w:val="0"/>
          <w:numId w:val="6"/>
        </w:numPr>
        <w:spacing w:after="0" w:line="216" w:lineRule="auto"/>
        <w:ind w:hanging="270"/>
      </w:pPr>
      <w:r>
        <w:t xml:space="preserve">Column U row </w:t>
      </w:r>
      <w:r w:rsidRPr="0030564D">
        <w:rPr>
          <w:b/>
          <w:bCs/>
        </w:rPr>
        <w:t>74:</w:t>
      </w:r>
      <w:r w:rsidR="003F7BD8">
        <w:rPr>
          <w:b/>
          <w:bCs/>
        </w:rPr>
        <w:t xml:space="preserve"> </w:t>
      </w:r>
      <w:r w:rsidR="00022DC3" w:rsidRPr="00022DC3">
        <w:rPr>
          <w:b/>
          <w:bCs/>
        </w:rPr>
        <w:t xml:space="preserve">174,000 </w:t>
      </w:r>
      <w:r w:rsidR="413FB5EC">
        <w:t>(tons of mixed organics diverted to anaerobic digestion)</w:t>
      </w:r>
    </w:p>
    <w:p w14:paraId="78EC36B1" w14:textId="12E75FF1" w:rsidR="0044632E" w:rsidRPr="0044632E" w:rsidRDefault="0044632E" w:rsidP="00447170">
      <w:pPr>
        <w:pStyle w:val="ListParagraph"/>
        <w:numPr>
          <w:ilvl w:val="0"/>
          <w:numId w:val="6"/>
        </w:numPr>
        <w:spacing w:after="0" w:line="216" w:lineRule="auto"/>
        <w:ind w:hanging="270"/>
      </w:pPr>
      <w:r w:rsidRPr="0044632E">
        <w:t>Electricity grid mix:</w:t>
      </w:r>
      <w:r w:rsidR="003F7BD8">
        <w:t xml:space="preserve"> </w:t>
      </w:r>
      <w:r w:rsidRPr="0030564D">
        <w:rPr>
          <w:b/>
          <w:bCs/>
        </w:rPr>
        <w:t>'California'</w:t>
      </w:r>
      <w:r w:rsidR="751B1342">
        <w:t xml:space="preserve"> (projects will be located in California)</w:t>
      </w:r>
    </w:p>
    <w:p w14:paraId="18FB1E36" w14:textId="5158664F" w:rsidR="0044632E" w:rsidRPr="0044632E" w:rsidRDefault="0044632E" w:rsidP="00447170">
      <w:pPr>
        <w:pStyle w:val="ListParagraph"/>
        <w:numPr>
          <w:ilvl w:val="0"/>
          <w:numId w:val="6"/>
        </w:numPr>
        <w:spacing w:after="0" w:line="216" w:lineRule="auto"/>
        <w:ind w:hanging="270"/>
      </w:pPr>
      <w:r w:rsidRPr="0044632E">
        <w:t xml:space="preserve">Source Reduction: </w:t>
      </w:r>
      <w:r w:rsidRPr="0030564D">
        <w:rPr>
          <w:b/>
          <w:bCs/>
        </w:rPr>
        <w:t>'Current mix'</w:t>
      </w:r>
      <w:r w:rsidR="3AD91F88">
        <w:t xml:space="preserve"> (default value)</w:t>
      </w:r>
    </w:p>
    <w:p w14:paraId="74C2C578" w14:textId="4759C2A9" w:rsidR="0044632E" w:rsidRPr="0044632E" w:rsidRDefault="0044632E" w:rsidP="00447170">
      <w:pPr>
        <w:pStyle w:val="ListParagraph"/>
        <w:numPr>
          <w:ilvl w:val="0"/>
          <w:numId w:val="6"/>
        </w:numPr>
        <w:spacing w:after="0" w:line="216" w:lineRule="auto"/>
        <w:ind w:hanging="270"/>
      </w:pPr>
      <w:r>
        <w:t xml:space="preserve">LFG Controls: </w:t>
      </w:r>
      <w:r w:rsidRPr="0030564D">
        <w:rPr>
          <w:b/>
          <w:bCs/>
        </w:rPr>
        <w:t>'LFG Recovery'</w:t>
      </w:r>
      <w:r w:rsidR="4A1F3640">
        <w:t xml:space="preserve"> (California landfills are required to have LFG </w:t>
      </w:r>
      <w:r w:rsidR="00777C85">
        <w:t>collection</w:t>
      </w:r>
      <w:r w:rsidR="4A1F3640">
        <w:t>)</w:t>
      </w:r>
    </w:p>
    <w:p w14:paraId="6F1E9436" w14:textId="598D9EB1" w:rsidR="0044632E" w:rsidRPr="0044632E" w:rsidRDefault="0044632E" w:rsidP="00447170">
      <w:pPr>
        <w:pStyle w:val="ListParagraph"/>
        <w:numPr>
          <w:ilvl w:val="0"/>
          <w:numId w:val="6"/>
        </w:numPr>
        <w:spacing w:after="0" w:line="216" w:lineRule="auto"/>
        <w:ind w:hanging="270"/>
      </w:pPr>
      <w:r w:rsidRPr="0044632E">
        <w:t>Energy Recovery:</w:t>
      </w:r>
      <w:r w:rsidR="003F7BD8">
        <w:t xml:space="preserve"> </w:t>
      </w:r>
      <w:r w:rsidRPr="008311E7">
        <w:rPr>
          <w:b/>
          <w:bCs/>
        </w:rPr>
        <w:t>'Flare'</w:t>
      </w:r>
      <w:r w:rsidR="0030564D">
        <w:t xml:space="preserve"> (</w:t>
      </w:r>
      <w:r w:rsidR="00953878">
        <w:t>most California landfills do not have energy recovery</w:t>
      </w:r>
      <w:r w:rsidR="00D96C28">
        <w:t>)</w:t>
      </w:r>
    </w:p>
    <w:p w14:paraId="0328D322" w14:textId="290DC937" w:rsidR="0044632E" w:rsidRPr="0044632E" w:rsidRDefault="0044632E" w:rsidP="00447170">
      <w:pPr>
        <w:pStyle w:val="ListParagraph"/>
        <w:numPr>
          <w:ilvl w:val="0"/>
          <w:numId w:val="6"/>
        </w:numPr>
        <w:spacing w:after="0" w:line="216" w:lineRule="auto"/>
        <w:ind w:hanging="270"/>
      </w:pPr>
      <w:r w:rsidRPr="0044632E">
        <w:t xml:space="preserve">Gas Collection: </w:t>
      </w:r>
      <w:r w:rsidRPr="008311E7">
        <w:rPr>
          <w:b/>
          <w:bCs/>
        </w:rPr>
        <w:t>'California regulatory collection'</w:t>
      </w:r>
      <w:r w:rsidR="00D96C28">
        <w:t xml:space="preserve"> (projects will be located in California)</w:t>
      </w:r>
    </w:p>
    <w:p w14:paraId="50386809" w14:textId="10ECFF73" w:rsidR="0044632E" w:rsidRPr="0044632E" w:rsidRDefault="0044632E" w:rsidP="00447170">
      <w:pPr>
        <w:pStyle w:val="ListParagraph"/>
        <w:numPr>
          <w:ilvl w:val="0"/>
          <w:numId w:val="6"/>
        </w:numPr>
        <w:spacing w:after="0" w:line="216" w:lineRule="auto"/>
        <w:ind w:hanging="270"/>
      </w:pPr>
      <w:r w:rsidRPr="0044632E">
        <w:t>K Rate:</w:t>
      </w:r>
      <w:r w:rsidR="003F7BD8">
        <w:t xml:space="preserve"> </w:t>
      </w:r>
      <w:r w:rsidRPr="008311E7">
        <w:rPr>
          <w:b/>
          <w:bCs/>
        </w:rPr>
        <w:t>'Dry'</w:t>
      </w:r>
      <w:r w:rsidR="00D96C28">
        <w:t xml:space="preserve"> </w:t>
      </w:r>
      <w:r w:rsidR="00BF13A5">
        <w:t>(</w:t>
      </w:r>
      <w:r w:rsidR="00685AD2">
        <w:t xml:space="preserve">the vast majority of </w:t>
      </w:r>
      <w:r w:rsidR="001A6D3A">
        <w:t>CA waste is disposed at landfills</w:t>
      </w:r>
      <w:r w:rsidR="00E51D6C">
        <w:t xml:space="preserve"> that receive less than</w:t>
      </w:r>
      <w:r w:rsidR="001A6D3A">
        <w:t xml:space="preserve"> 20” </w:t>
      </w:r>
      <w:r w:rsidR="00E51D6C">
        <w:t xml:space="preserve">of </w:t>
      </w:r>
      <w:r w:rsidR="001A6D3A">
        <w:t>precipitation</w:t>
      </w:r>
      <w:r w:rsidR="00697A60">
        <w:t>)</w:t>
      </w:r>
    </w:p>
    <w:p w14:paraId="1EFC1351" w14:textId="6F10A8A7" w:rsidR="0044632E" w:rsidRPr="0044632E" w:rsidRDefault="0044632E" w:rsidP="00447170">
      <w:pPr>
        <w:pStyle w:val="ListParagraph"/>
        <w:numPr>
          <w:ilvl w:val="0"/>
          <w:numId w:val="6"/>
        </w:numPr>
        <w:spacing w:after="0" w:line="216" w:lineRule="auto"/>
        <w:ind w:hanging="270"/>
      </w:pPr>
      <w:r w:rsidRPr="0044632E">
        <w:t xml:space="preserve">Digestion Type: </w:t>
      </w:r>
      <w:r w:rsidRPr="008311E7">
        <w:rPr>
          <w:b/>
          <w:bCs/>
        </w:rPr>
        <w:t>'Dry'</w:t>
      </w:r>
      <w:r w:rsidR="00697A60">
        <w:t xml:space="preserve"> (</w:t>
      </w:r>
      <w:r w:rsidR="00E90E48">
        <w:t xml:space="preserve">required due to </w:t>
      </w:r>
      <w:r w:rsidR="00860F08">
        <w:t>selection of mixed organics input)</w:t>
      </w:r>
    </w:p>
    <w:p w14:paraId="477DC013" w14:textId="6D23129D" w:rsidR="0044632E" w:rsidRPr="0044632E" w:rsidRDefault="0044632E" w:rsidP="00447170">
      <w:pPr>
        <w:pStyle w:val="ListParagraph"/>
        <w:numPr>
          <w:ilvl w:val="0"/>
          <w:numId w:val="6"/>
        </w:numPr>
        <w:spacing w:after="0" w:line="216" w:lineRule="auto"/>
        <w:ind w:hanging="270"/>
      </w:pPr>
      <w:r w:rsidRPr="0044632E">
        <w:t xml:space="preserve">Digestate Handling: </w:t>
      </w:r>
      <w:r w:rsidRPr="008311E7">
        <w:rPr>
          <w:b/>
          <w:bCs/>
        </w:rPr>
        <w:t>'Cured'</w:t>
      </w:r>
      <w:r w:rsidR="00860F08">
        <w:t xml:space="preserve"> (conservative assumption)</w:t>
      </w:r>
    </w:p>
    <w:p w14:paraId="6EF61DD4" w14:textId="758E0C4A" w:rsidR="002E7E37" w:rsidRDefault="0044632E" w:rsidP="00447170">
      <w:pPr>
        <w:pStyle w:val="ListParagraph"/>
        <w:numPr>
          <w:ilvl w:val="0"/>
          <w:numId w:val="6"/>
        </w:numPr>
        <w:spacing w:after="0" w:line="216" w:lineRule="auto"/>
        <w:ind w:hanging="270"/>
      </w:pPr>
      <w:r w:rsidRPr="0044632E">
        <w:t>Transport distances:</w:t>
      </w:r>
      <w:r w:rsidR="003F7BD8">
        <w:t xml:space="preserve"> </w:t>
      </w:r>
      <w:r w:rsidRPr="008311E7">
        <w:rPr>
          <w:b/>
          <w:bCs/>
        </w:rPr>
        <w:t>'Default</w:t>
      </w:r>
      <w:r w:rsidR="3BCC1A54" w:rsidRPr="008311E7">
        <w:rPr>
          <w:b/>
          <w:bCs/>
        </w:rPr>
        <w:t>’</w:t>
      </w:r>
      <w:r w:rsidR="00860F08">
        <w:t xml:space="preserve"> (</w:t>
      </w:r>
      <w:r w:rsidR="001A6D3A">
        <w:t>default value</w:t>
      </w:r>
      <w:r w:rsidR="005E0921">
        <w:t>)</w:t>
      </w:r>
    </w:p>
    <w:p w14:paraId="4A0466E1" w14:textId="4BB52BD8" w:rsidR="00961608" w:rsidRDefault="00E568FB" w:rsidP="00AA5947">
      <w:pPr>
        <w:pStyle w:val="Heading2"/>
        <w:rPr>
          <w:rFonts w:eastAsiaTheme="minorEastAsia"/>
        </w:rPr>
      </w:pPr>
      <w:r>
        <w:rPr>
          <w:rFonts w:eastAsiaTheme="minorEastAsia"/>
        </w:rPr>
        <w:t>GHG Emissions Reduced</w:t>
      </w:r>
    </w:p>
    <w:p w14:paraId="42D1D573" w14:textId="38A13BD4" w:rsidR="003D4D78" w:rsidRPr="00AA5947" w:rsidRDefault="006353C8" w:rsidP="00AA5947">
      <w:r w:rsidRPr="00AA5947">
        <w:t xml:space="preserve">The </w:t>
      </w:r>
      <w:r w:rsidR="0096566E" w:rsidRPr="00AA5947">
        <w:t xml:space="preserve">change </w:t>
      </w:r>
      <w:r w:rsidR="00A620C9">
        <w:t xml:space="preserve">in </w:t>
      </w:r>
      <w:r w:rsidR="007920A4" w:rsidRPr="00AA5947">
        <w:t>greenhouse gas emission</w:t>
      </w:r>
      <w:r w:rsidR="00C9420C">
        <w:t>s</w:t>
      </w:r>
      <w:r w:rsidR="0096566E" w:rsidRPr="00AA5947">
        <w:t xml:space="preserve"> </w:t>
      </w:r>
      <w:r w:rsidR="00C9420C">
        <w:t>reductions</w:t>
      </w:r>
      <w:r w:rsidR="00A620C9">
        <w:t xml:space="preserve"> </w:t>
      </w:r>
      <w:r w:rsidR="0096566E" w:rsidRPr="00AA5947">
        <w:t>from this proposal</w:t>
      </w:r>
      <w:r w:rsidR="00961608" w:rsidRPr="00AA5947">
        <w:t xml:space="preserve"> is estimated to be</w:t>
      </w:r>
      <w:r w:rsidR="0096566E" w:rsidRPr="00AA5947">
        <w:t xml:space="preserve"> </w:t>
      </w:r>
      <w:r w:rsidR="007F5C36">
        <w:t>approximately</w:t>
      </w:r>
      <w:r w:rsidR="00C9420C">
        <w:t xml:space="preserve"> </w:t>
      </w:r>
      <w:r w:rsidR="00C9420C">
        <w:rPr>
          <w:b/>
          <w:bCs/>
        </w:rPr>
        <w:t>12</w:t>
      </w:r>
      <w:r w:rsidR="00832D8D">
        <w:rPr>
          <w:b/>
          <w:bCs/>
        </w:rPr>
        <w:t>3</w:t>
      </w:r>
      <w:r w:rsidR="007F5C36" w:rsidRPr="007F5C36">
        <w:rPr>
          <w:b/>
          <w:bCs/>
        </w:rPr>
        <w:t>,</w:t>
      </w:r>
      <w:r w:rsidR="007F5C36">
        <w:rPr>
          <w:b/>
          <w:bCs/>
        </w:rPr>
        <w:t>000</w:t>
      </w:r>
      <w:r w:rsidR="0096566E" w:rsidRPr="00A620C9">
        <w:rPr>
          <w:b/>
          <w:bCs/>
        </w:rPr>
        <w:t xml:space="preserve"> MTCO2e per year</w:t>
      </w:r>
      <w:r w:rsidR="00832D8D">
        <w:rPr>
          <w:b/>
          <w:bCs/>
        </w:rPr>
        <w:t xml:space="preserve"> </w:t>
      </w:r>
      <w:r w:rsidR="0096566E" w:rsidRPr="00AA5947">
        <w:t>at full implementation</w:t>
      </w:r>
      <w:r w:rsidR="007218B2" w:rsidRPr="00AA5947">
        <w:t xml:space="preserve">, equivalent to removing </w:t>
      </w:r>
      <w:r w:rsidR="007F5C36">
        <w:t xml:space="preserve">almost </w:t>
      </w:r>
      <w:r w:rsidR="009408E1">
        <w:t>2</w:t>
      </w:r>
      <w:r w:rsidR="00C642AB">
        <w:t>6</w:t>
      </w:r>
      <w:r w:rsidR="009408E1">
        <w:t>,000</w:t>
      </w:r>
      <w:r w:rsidR="007218B2" w:rsidRPr="00AA5947">
        <w:t xml:space="preserve"> </w:t>
      </w:r>
      <w:r w:rsidR="005A061B" w:rsidRPr="00AA5947">
        <w:t xml:space="preserve">passenger </w:t>
      </w:r>
      <w:r w:rsidR="007218B2" w:rsidRPr="00AA5947">
        <w:t>vehicles from the road</w:t>
      </w:r>
      <w:r w:rsidR="005A061B" w:rsidRPr="00AA5947">
        <w:t xml:space="preserve">. </w:t>
      </w:r>
    </w:p>
    <w:p w14:paraId="1CA97FA5" w14:textId="4E74B192" w:rsidR="00DA553E" w:rsidRDefault="002F5E3B" w:rsidP="00AA5947">
      <w:r w:rsidRPr="00AA5947">
        <w:t>In order to calculate 2025-2030 and 2025-2050</w:t>
      </w:r>
      <w:r w:rsidR="00AD63C5" w:rsidRPr="00AA5947">
        <w:t xml:space="preserve"> cumulative GHG reductions</w:t>
      </w:r>
      <w:r w:rsidR="005A061B" w:rsidRPr="00AA5947">
        <w:t xml:space="preserve"> and cost effectiveness</w:t>
      </w:r>
      <w:r w:rsidR="00AD63C5" w:rsidRPr="00AA5947">
        <w:t xml:space="preserve">, CalRecycle </w:t>
      </w:r>
      <w:r w:rsidR="00C43F4F" w:rsidRPr="00AA5947">
        <w:t xml:space="preserve">needed to </w:t>
      </w:r>
      <w:r w:rsidR="00657DE7" w:rsidRPr="00AA5947">
        <w:t>develop a timeline for CPRG subgrant-awarded project implementation. To do this,</w:t>
      </w:r>
      <w:r w:rsidRPr="00AA5947">
        <w:t xml:space="preserve"> CalRecycle </w:t>
      </w:r>
      <w:r w:rsidR="005A061B" w:rsidRPr="00AA5947">
        <w:t xml:space="preserve">prepared a </w:t>
      </w:r>
      <w:r w:rsidR="008363C4" w:rsidRPr="00AA5947">
        <w:t xml:space="preserve">detailed </w:t>
      </w:r>
      <w:r w:rsidR="005A061B" w:rsidRPr="00AA5947">
        <w:t>workplan</w:t>
      </w:r>
      <w:r w:rsidR="008363C4" w:rsidRPr="00AA5947">
        <w:t xml:space="preserve"> timeline</w:t>
      </w:r>
      <w:r w:rsidR="005A061B" w:rsidRPr="00AA5947">
        <w:t xml:space="preserve"> for grant cycle implementation and award</w:t>
      </w:r>
      <w:r w:rsidR="008363C4" w:rsidRPr="00AA5947">
        <w:t xml:space="preserve">, which </w:t>
      </w:r>
      <w:r w:rsidR="008363C4" w:rsidRPr="00AA5947">
        <w:lastRenderedPageBreak/>
        <w:t>is included in the workplan narrative document</w:t>
      </w:r>
      <w:r w:rsidR="005A061B" w:rsidRPr="00AA5947">
        <w:t xml:space="preserve">, and </w:t>
      </w:r>
      <w:r w:rsidRPr="00AA5947">
        <w:t xml:space="preserve">analyzed data from </w:t>
      </w:r>
      <w:r w:rsidR="00513993" w:rsidRPr="00AA5947">
        <w:t xml:space="preserve">previously </w:t>
      </w:r>
      <w:r w:rsidRPr="00AA5947">
        <w:t>awarded project</w:t>
      </w:r>
      <w:r w:rsidR="00657DE7" w:rsidRPr="00AA5947">
        <w:t xml:space="preserve"> workplans</w:t>
      </w:r>
      <w:r w:rsidR="00513993" w:rsidRPr="00AA5947">
        <w:t>. As a result, we ex</w:t>
      </w:r>
      <w:r w:rsidRPr="00AA5947">
        <w:t>pect that, on average, projects will begin full operation</w:t>
      </w:r>
      <w:r w:rsidR="008363C4" w:rsidRPr="00AA5947">
        <w:t xml:space="preserve"> in</w:t>
      </w:r>
      <w:r w:rsidR="00657DE7" w:rsidRPr="00AA5947">
        <w:t xml:space="preserve"> Q3</w:t>
      </w:r>
      <w:r w:rsidRPr="00AA5947">
        <w:t xml:space="preserve"> 2027. </w:t>
      </w:r>
      <w:r w:rsidR="00B26375" w:rsidRPr="00AA5947">
        <w:t>This results in</w:t>
      </w:r>
      <w:r w:rsidR="00941B3D" w:rsidRPr="00AA5947">
        <w:t xml:space="preserve"> an assumption of</w:t>
      </w:r>
      <w:r w:rsidR="00513993" w:rsidRPr="00AA5947">
        <w:t xml:space="preserve"> approximately</w:t>
      </w:r>
      <w:r w:rsidR="00B26375" w:rsidRPr="00AA5947">
        <w:t xml:space="preserve"> 3.5 years of operation </w:t>
      </w:r>
      <w:r w:rsidR="00941B3D" w:rsidRPr="00AA5947">
        <w:t xml:space="preserve">through </w:t>
      </w:r>
      <w:r w:rsidR="00B26375" w:rsidRPr="00AA5947">
        <w:t>2030, and 2</w:t>
      </w:r>
      <w:r w:rsidR="004708AE" w:rsidRPr="00AA5947">
        <w:t>3.5 years of operation</w:t>
      </w:r>
      <w:r w:rsidR="00E40A46" w:rsidRPr="00AA5947">
        <w:t xml:space="preserve"> through 2050. </w:t>
      </w:r>
      <w:r w:rsidR="002439D9" w:rsidRPr="002439D9">
        <w:t>However, some investments made using grant funds will be infrastructure with an operational life of approximately 10-years before refurbishment (e.g., holding tanks, in-vessel digesters, and heavy-duty equipment such as tub grinders and screeners), while site improvements, concrete pads, and other structures have a much longer operational life. In the interest of taking a conservative approach, CalRecycle is estimating 10 years of full operation in the 2025-2050 timeframe, reducing to half the throughput attributed to CPRG investments through 2050</w:t>
      </w:r>
      <w:r w:rsidR="001F6E3F">
        <w:t xml:space="preserve"> (</w:t>
      </w:r>
      <w:r w:rsidR="00E75125">
        <w:t xml:space="preserve">an additional </w:t>
      </w:r>
      <w:r w:rsidR="00795668">
        <w:t>13.5 year</w:t>
      </w:r>
      <w:r w:rsidR="00CD7F0E">
        <w:t>s)</w:t>
      </w:r>
      <w:r w:rsidR="00242402">
        <w:t xml:space="preserve">. </w:t>
      </w:r>
    </w:p>
    <w:p w14:paraId="58E57926" w14:textId="2D928C4C" w:rsidR="002F5E3B" w:rsidRPr="00AA5947" w:rsidRDefault="00C54E34" w:rsidP="00AA5947">
      <w:r w:rsidRPr="00AA5947">
        <w:t>Detailed</w:t>
      </w:r>
      <w:r w:rsidR="00AB25DC" w:rsidRPr="00AA5947">
        <w:t>, unrounded</w:t>
      </w:r>
      <w:r w:rsidRPr="00AA5947">
        <w:t xml:space="preserve"> results are shown in the table below</w:t>
      </w:r>
      <w:r w:rsidR="000A19B4" w:rsidRPr="00AA5947">
        <w:t>:</w:t>
      </w:r>
    </w:p>
    <w:tbl>
      <w:tblPr>
        <w:tblW w:w="8635" w:type="dxa"/>
        <w:tblLook w:val="04A0" w:firstRow="1" w:lastRow="0" w:firstColumn="1" w:lastColumn="0" w:noHBand="0" w:noVBand="1"/>
      </w:tblPr>
      <w:tblGrid>
        <w:gridCol w:w="5665"/>
        <w:gridCol w:w="1350"/>
        <w:gridCol w:w="1620"/>
      </w:tblGrid>
      <w:tr w:rsidR="00E16920" w:rsidRPr="00E16920" w14:paraId="1D0B80A6" w14:textId="77777777" w:rsidTr="00FD1FBC">
        <w:trPr>
          <w:trHeight w:val="315"/>
        </w:trPr>
        <w:tc>
          <w:tcPr>
            <w:tcW w:w="863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F37DC4D" w14:textId="530AC502" w:rsidR="00E16920" w:rsidRPr="000C042B" w:rsidRDefault="00966B80" w:rsidP="00AA5947">
            <w:pPr>
              <w:rPr>
                <w:b/>
                <w:bCs/>
                <w:sz w:val="24"/>
                <w:szCs w:val="24"/>
              </w:rPr>
            </w:pPr>
            <w:r w:rsidRPr="000C042B">
              <w:rPr>
                <w:b/>
                <w:bCs/>
                <w:sz w:val="24"/>
                <w:szCs w:val="24"/>
              </w:rPr>
              <w:t>Diversion and GHG</w:t>
            </w:r>
            <w:r w:rsidR="00E16920" w:rsidRPr="000C042B">
              <w:rPr>
                <w:b/>
                <w:bCs/>
                <w:sz w:val="24"/>
                <w:szCs w:val="24"/>
              </w:rPr>
              <w:t xml:space="preserve"> Results</w:t>
            </w:r>
          </w:p>
        </w:tc>
      </w:tr>
      <w:tr w:rsidR="003732E1" w:rsidRPr="003732E1" w14:paraId="067C8A4F" w14:textId="77777777" w:rsidTr="00FD1FBC">
        <w:trPr>
          <w:trHeight w:val="315"/>
        </w:trPr>
        <w:tc>
          <w:tcPr>
            <w:tcW w:w="5665" w:type="dxa"/>
            <w:tcBorders>
              <w:top w:val="nil"/>
              <w:left w:val="single" w:sz="4" w:space="0" w:color="auto"/>
              <w:bottom w:val="single" w:sz="4" w:space="0" w:color="auto"/>
              <w:right w:val="single" w:sz="4" w:space="0" w:color="auto"/>
            </w:tcBorders>
            <w:shd w:val="clear" w:color="auto" w:fill="FFFFFF" w:themeFill="background1"/>
            <w:vAlign w:val="bottom"/>
            <w:hideMark/>
          </w:tcPr>
          <w:p w14:paraId="5D5323F7" w14:textId="77777777" w:rsidR="00E16920" w:rsidRPr="00E16920" w:rsidRDefault="00E16920" w:rsidP="00AA5947">
            <w:r w:rsidRPr="00E16920">
              <w:t>Projected Annual Diversion</w:t>
            </w:r>
          </w:p>
        </w:tc>
        <w:tc>
          <w:tcPr>
            <w:tcW w:w="1350" w:type="dxa"/>
            <w:tcBorders>
              <w:top w:val="nil"/>
              <w:left w:val="nil"/>
              <w:bottom w:val="single" w:sz="4" w:space="0" w:color="auto"/>
              <w:right w:val="single" w:sz="4" w:space="0" w:color="auto"/>
            </w:tcBorders>
            <w:shd w:val="clear" w:color="auto" w:fill="FFFFFF" w:themeFill="background1"/>
            <w:noWrap/>
            <w:vAlign w:val="bottom"/>
          </w:tcPr>
          <w:p w14:paraId="59979564" w14:textId="7090D89C" w:rsidR="00E16920" w:rsidRPr="00E16920" w:rsidRDefault="00525A47" w:rsidP="00AA5947">
            <w:r w:rsidRPr="00525A47">
              <w:t>695,171</w:t>
            </w:r>
          </w:p>
        </w:tc>
        <w:tc>
          <w:tcPr>
            <w:tcW w:w="1620" w:type="dxa"/>
            <w:tcBorders>
              <w:top w:val="nil"/>
              <w:left w:val="nil"/>
              <w:bottom w:val="single" w:sz="4" w:space="0" w:color="auto"/>
              <w:right w:val="single" w:sz="4" w:space="0" w:color="auto"/>
            </w:tcBorders>
            <w:shd w:val="clear" w:color="auto" w:fill="FFFFFF" w:themeFill="background1"/>
            <w:noWrap/>
            <w:vAlign w:val="bottom"/>
            <w:hideMark/>
          </w:tcPr>
          <w:p w14:paraId="274B154A" w14:textId="77777777" w:rsidR="00E16920" w:rsidRPr="00E16920" w:rsidRDefault="00E16920" w:rsidP="00AA5947">
            <w:r w:rsidRPr="00E16920">
              <w:t>Tons/Year</w:t>
            </w:r>
          </w:p>
        </w:tc>
      </w:tr>
      <w:tr w:rsidR="003732E1" w:rsidRPr="003732E1" w14:paraId="661B2BF1" w14:textId="77777777" w:rsidTr="00FD1FBC">
        <w:trPr>
          <w:trHeight w:val="315"/>
        </w:trPr>
        <w:tc>
          <w:tcPr>
            <w:tcW w:w="5665" w:type="dxa"/>
            <w:tcBorders>
              <w:top w:val="nil"/>
              <w:left w:val="single" w:sz="4" w:space="0" w:color="auto"/>
              <w:bottom w:val="single" w:sz="4" w:space="0" w:color="auto"/>
              <w:right w:val="single" w:sz="4" w:space="0" w:color="auto"/>
            </w:tcBorders>
            <w:shd w:val="clear" w:color="auto" w:fill="FFFFFF" w:themeFill="background1"/>
            <w:vAlign w:val="bottom"/>
            <w:hideMark/>
          </w:tcPr>
          <w:p w14:paraId="72D2A4AE" w14:textId="77777777" w:rsidR="00E16920" w:rsidRPr="00E16920" w:rsidRDefault="00E16920" w:rsidP="00AA5947">
            <w:r w:rsidRPr="00E16920">
              <w:t>Tons Diverted -Total - 2025-2030</w:t>
            </w:r>
          </w:p>
        </w:tc>
        <w:tc>
          <w:tcPr>
            <w:tcW w:w="1350" w:type="dxa"/>
            <w:tcBorders>
              <w:top w:val="nil"/>
              <w:left w:val="nil"/>
              <w:bottom w:val="single" w:sz="4" w:space="0" w:color="auto"/>
              <w:right w:val="single" w:sz="4" w:space="0" w:color="auto"/>
            </w:tcBorders>
            <w:shd w:val="clear" w:color="auto" w:fill="FFFFFF" w:themeFill="background1"/>
            <w:noWrap/>
            <w:vAlign w:val="bottom"/>
          </w:tcPr>
          <w:p w14:paraId="160498F4" w14:textId="0A2CD28D" w:rsidR="00E16920" w:rsidRPr="00E16920" w:rsidRDefault="00A46B7E" w:rsidP="00AA5947">
            <w:r w:rsidRPr="00A46B7E">
              <w:t>2,433,099</w:t>
            </w:r>
          </w:p>
        </w:tc>
        <w:tc>
          <w:tcPr>
            <w:tcW w:w="1620" w:type="dxa"/>
            <w:tcBorders>
              <w:top w:val="nil"/>
              <w:left w:val="nil"/>
              <w:bottom w:val="single" w:sz="4" w:space="0" w:color="auto"/>
              <w:right w:val="single" w:sz="4" w:space="0" w:color="auto"/>
            </w:tcBorders>
            <w:shd w:val="clear" w:color="auto" w:fill="FFFFFF" w:themeFill="background1"/>
            <w:noWrap/>
            <w:vAlign w:val="bottom"/>
            <w:hideMark/>
          </w:tcPr>
          <w:p w14:paraId="496C984A" w14:textId="77777777" w:rsidR="00E16920" w:rsidRPr="00E16920" w:rsidRDefault="00E16920" w:rsidP="00AA5947">
            <w:r w:rsidRPr="00E16920">
              <w:t>Tons</w:t>
            </w:r>
          </w:p>
        </w:tc>
      </w:tr>
      <w:tr w:rsidR="003732E1" w:rsidRPr="003732E1" w14:paraId="52872999" w14:textId="77777777" w:rsidTr="00FD1FBC">
        <w:trPr>
          <w:trHeight w:val="315"/>
        </w:trPr>
        <w:tc>
          <w:tcPr>
            <w:tcW w:w="5665" w:type="dxa"/>
            <w:tcBorders>
              <w:top w:val="nil"/>
              <w:left w:val="single" w:sz="4" w:space="0" w:color="auto"/>
              <w:bottom w:val="single" w:sz="4" w:space="0" w:color="auto"/>
              <w:right w:val="single" w:sz="4" w:space="0" w:color="auto"/>
            </w:tcBorders>
            <w:shd w:val="clear" w:color="auto" w:fill="FFFFFF" w:themeFill="background1"/>
            <w:vAlign w:val="bottom"/>
            <w:hideMark/>
          </w:tcPr>
          <w:p w14:paraId="3B71AD52" w14:textId="2E5BB7F6" w:rsidR="00E16920" w:rsidRPr="00E16920" w:rsidRDefault="00E16920" w:rsidP="00AA5947">
            <w:r w:rsidRPr="00E16920">
              <w:t>Tons Diverted - Total - 2025-2050</w:t>
            </w:r>
            <w:r w:rsidR="005C1855">
              <w:t xml:space="preserve"> </w:t>
            </w:r>
          </w:p>
        </w:tc>
        <w:tc>
          <w:tcPr>
            <w:tcW w:w="1350" w:type="dxa"/>
            <w:tcBorders>
              <w:top w:val="nil"/>
              <w:left w:val="nil"/>
              <w:bottom w:val="single" w:sz="4" w:space="0" w:color="auto"/>
              <w:right w:val="single" w:sz="4" w:space="0" w:color="auto"/>
            </w:tcBorders>
            <w:shd w:val="clear" w:color="auto" w:fill="FFFFFF" w:themeFill="background1"/>
            <w:noWrap/>
            <w:vAlign w:val="bottom"/>
          </w:tcPr>
          <w:p w14:paraId="1312E46E" w14:textId="0FAD2AB7" w:rsidR="00E16920" w:rsidRPr="00E16920" w:rsidRDefault="00492A9E" w:rsidP="00AA5947">
            <w:r>
              <w:t>11</w:t>
            </w:r>
            <w:r w:rsidR="00F54470">
              <w:t>,</w:t>
            </w:r>
            <w:r w:rsidR="00A25C15">
              <w:t>644,119</w:t>
            </w:r>
          </w:p>
        </w:tc>
        <w:tc>
          <w:tcPr>
            <w:tcW w:w="1620" w:type="dxa"/>
            <w:tcBorders>
              <w:top w:val="nil"/>
              <w:left w:val="nil"/>
              <w:bottom w:val="single" w:sz="4" w:space="0" w:color="auto"/>
              <w:right w:val="single" w:sz="4" w:space="0" w:color="auto"/>
            </w:tcBorders>
            <w:shd w:val="clear" w:color="auto" w:fill="FFFFFF" w:themeFill="background1"/>
            <w:noWrap/>
            <w:vAlign w:val="bottom"/>
            <w:hideMark/>
          </w:tcPr>
          <w:p w14:paraId="56D207EE" w14:textId="77777777" w:rsidR="00E16920" w:rsidRPr="00E16920" w:rsidRDefault="00E16920" w:rsidP="00AA5947">
            <w:r w:rsidRPr="00E16920">
              <w:t>Tons</w:t>
            </w:r>
          </w:p>
        </w:tc>
      </w:tr>
      <w:tr w:rsidR="003732E1" w:rsidRPr="003732E1" w14:paraId="36671228" w14:textId="77777777" w:rsidTr="00FD1FBC">
        <w:trPr>
          <w:trHeight w:val="315"/>
        </w:trPr>
        <w:tc>
          <w:tcPr>
            <w:tcW w:w="5665" w:type="dxa"/>
            <w:tcBorders>
              <w:top w:val="nil"/>
              <w:left w:val="single" w:sz="4" w:space="0" w:color="auto"/>
              <w:bottom w:val="single" w:sz="4" w:space="0" w:color="auto"/>
              <w:right w:val="single" w:sz="4" w:space="0" w:color="auto"/>
            </w:tcBorders>
            <w:shd w:val="clear" w:color="auto" w:fill="FFFFFF" w:themeFill="background1"/>
            <w:vAlign w:val="bottom"/>
            <w:hideMark/>
          </w:tcPr>
          <w:p w14:paraId="2653C141" w14:textId="77777777" w:rsidR="00E16920" w:rsidRPr="000C042B" w:rsidRDefault="00E16920" w:rsidP="00AA5947">
            <w:pPr>
              <w:rPr>
                <w:b/>
                <w:bCs/>
              </w:rPr>
            </w:pPr>
            <w:r w:rsidRPr="000C042B">
              <w:rPr>
                <w:b/>
                <w:bCs/>
              </w:rPr>
              <w:t>GHG Impact - Annual</w:t>
            </w:r>
          </w:p>
        </w:tc>
        <w:tc>
          <w:tcPr>
            <w:tcW w:w="1350" w:type="dxa"/>
            <w:tcBorders>
              <w:top w:val="nil"/>
              <w:left w:val="nil"/>
              <w:bottom w:val="single" w:sz="4" w:space="0" w:color="auto"/>
              <w:right w:val="single" w:sz="4" w:space="0" w:color="auto"/>
            </w:tcBorders>
            <w:shd w:val="clear" w:color="auto" w:fill="FFFFFF" w:themeFill="background1"/>
            <w:noWrap/>
            <w:vAlign w:val="bottom"/>
          </w:tcPr>
          <w:p w14:paraId="762998F3" w14:textId="79472E92" w:rsidR="00E16920" w:rsidRPr="000C042B" w:rsidRDefault="00ED7BFD" w:rsidP="00AA5947">
            <w:pPr>
              <w:rPr>
                <w:b/>
                <w:bCs/>
              </w:rPr>
            </w:pPr>
            <w:r w:rsidRPr="00ED7BFD">
              <w:rPr>
                <w:b/>
                <w:bCs/>
              </w:rPr>
              <w:t>(123,001)</w:t>
            </w:r>
          </w:p>
        </w:tc>
        <w:tc>
          <w:tcPr>
            <w:tcW w:w="1620" w:type="dxa"/>
            <w:tcBorders>
              <w:top w:val="nil"/>
              <w:left w:val="nil"/>
              <w:bottom w:val="single" w:sz="4" w:space="0" w:color="auto"/>
              <w:right w:val="single" w:sz="4" w:space="0" w:color="auto"/>
            </w:tcBorders>
            <w:shd w:val="clear" w:color="auto" w:fill="FFFFFF" w:themeFill="background1"/>
            <w:noWrap/>
            <w:vAlign w:val="bottom"/>
            <w:hideMark/>
          </w:tcPr>
          <w:p w14:paraId="34DDA747" w14:textId="77777777" w:rsidR="00E16920" w:rsidRPr="000C042B" w:rsidRDefault="00E16920" w:rsidP="00AA5947">
            <w:pPr>
              <w:rPr>
                <w:b/>
                <w:bCs/>
              </w:rPr>
            </w:pPr>
            <w:r w:rsidRPr="000C042B">
              <w:rPr>
                <w:b/>
                <w:bCs/>
              </w:rPr>
              <w:t>MTCO2e/year</w:t>
            </w:r>
          </w:p>
        </w:tc>
      </w:tr>
      <w:tr w:rsidR="003732E1" w:rsidRPr="003732E1" w14:paraId="5CA94641" w14:textId="77777777" w:rsidTr="00FD1FBC">
        <w:trPr>
          <w:trHeight w:val="315"/>
        </w:trPr>
        <w:tc>
          <w:tcPr>
            <w:tcW w:w="5665" w:type="dxa"/>
            <w:tcBorders>
              <w:top w:val="nil"/>
              <w:left w:val="single" w:sz="4" w:space="0" w:color="auto"/>
              <w:bottom w:val="single" w:sz="4" w:space="0" w:color="auto"/>
              <w:right w:val="single" w:sz="4" w:space="0" w:color="auto"/>
            </w:tcBorders>
            <w:shd w:val="clear" w:color="auto" w:fill="FFFFFF" w:themeFill="background1"/>
            <w:vAlign w:val="bottom"/>
            <w:hideMark/>
          </w:tcPr>
          <w:p w14:paraId="2B304753" w14:textId="014C79DD" w:rsidR="00E16920" w:rsidRPr="000C042B" w:rsidRDefault="00E16920" w:rsidP="00AA5947">
            <w:pPr>
              <w:rPr>
                <w:b/>
                <w:bCs/>
              </w:rPr>
            </w:pPr>
            <w:r w:rsidRPr="000C042B">
              <w:rPr>
                <w:b/>
                <w:bCs/>
              </w:rPr>
              <w:t xml:space="preserve">GHG Impact - </w:t>
            </w:r>
            <w:r w:rsidR="006155CC">
              <w:rPr>
                <w:b/>
                <w:bCs/>
              </w:rPr>
              <w:t>Cumulative</w:t>
            </w:r>
            <w:r w:rsidR="006155CC" w:rsidRPr="000C042B">
              <w:rPr>
                <w:b/>
                <w:bCs/>
              </w:rPr>
              <w:t xml:space="preserve"> </w:t>
            </w:r>
            <w:r w:rsidRPr="000C042B">
              <w:rPr>
                <w:b/>
                <w:bCs/>
              </w:rPr>
              <w:t>- 2025-2030</w:t>
            </w:r>
          </w:p>
        </w:tc>
        <w:tc>
          <w:tcPr>
            <w:tcW w:w="1350" w:type="dxa"/>
            <w:tcBorders>
              <w:top w:val="nil"/>
              <w:left w:val="nil"/>
              <w:bottom w:val="single" w:sz="4" w:space="0" w:color="auto"/>
              <w:right w:val="single" w:sz="4" w:space="0" w:color="auto"/>
            </w:tcBorders>
            <w:shd w:val="clear" w:color="auto" w:fill="FFFFFF" w:themeFill="background1"/>
            <w:noWrap/>
            <w:vAlign w:val="bottom"/>
          </w:tcPr>
          <w:p w14:paraId="762CF6DE" w14:textId="07EC8776" w:rsidR="00E16920" w:rsidRPr="000C042B" w:rsidRDefault="00C73562" w:rsidP="00AA5947">
            <w:pPr>
              <w:rPr>
                <w:b/>
                <w:bCs/>
              </w:rPr>
            </w:pPr>
            <w:r w:rsidRPr="00C73562">
              <w:rPr>
                <w:b/>
                <w:bCs/>
              </w:rPr>
              <w:t>(430,504)</w:t>
            </w:r>
          </w:p>
        </w:tc>
        <w:tc>
          <w:tcPr>
            <w:tcW w:w="1620" w:type="dxa"/>
            <w:tcBorders>
              <w:top w:val="nil"/>
              <w:left w:val="nil"/>
              <w:bottom w:val="single" w:sz="4" w:space="0" w:color="auto"/>
              <w:right w:val="single" w:sz="4" w:space="0" w:color="auto"/>
            </w:tcBorders>
            <w:shd w:val="clear" w:color="auto" w:fill="FFFFFF" w:themeFill="background1"/>
            <w:noWrap/>
            <w:vAlign w:val="bottom"/>
            <w:hideMark/>
          </w:tcPr>
          <w:p w14:paraId="360799EF" w14:textId="77777777" w:rsidR="00E16920" w:rsidRPr="000C042B" w:rsidRDefault="00E16920" w:rsidP="00AA5947">
            <w:pPr>
              <w:rPr>
                <w:b/>
                <w:bCs/>
              </w:rPr>
            </w:pPr>
            <w:r w:rsidRPr="000C042B">
              <w:rPr>
                <w:b/>
                <w:bCs/>
              </w:rPr>
              <w:t>MTCO2e</w:t>
            </w:r>
          </w:p>
        </w:tc>
      </w:tr>
      <w:tr w:rsidR="003732E1" w:rsidRPr="003732E1" w14:paraId="60A8B6F5" w14:textId="77777777" w:rsidTr="00FD1FBC">
        <w:trPr>
          <w:trHeight w:val="315"/>
        </w:trPr>
        <w:tc>
          <w:tcPr>
            <w:tcW w:w="5665" w:type="dxa"/>
            <w:tcBorders>
              <w:top w:val="nil"/>
              <w:left w:val="single" w:sz="4" w:space="0" w:color="auto"/>
              <w:bottom w:val="single" w:sz="4" w:space="0" w:color="auto"/>
              <w:right w:val="single" w:sz="4" w:space="0" w:color="auto"/>
            </w:tcBorders>
            <w:shd w:val="clear" w:color="auto" w:fill="FFFFFF" w:themeFill="background1"/>
            <w:vAlign w:val="bottom"/>
            <w:hideMark/>
          </w:tcPr>
          <w:p w14:paraId="64F9230C" w14:textId="07A84A5D" w:rsidR="00BC6246" w:rsidRPr="000C042B" w:rsidRDefault="00E16920" w:rsidP="00AA5947">
            <w:pPr>
              <w:rPr>
                <w:b/>
                <w:bCs/>
              </w:rPr>
            </w:pPr>
            <w:r w:rsidRPr="000C042B">
              <w:rPr>
                <w:b/>
                <w:bCs/>
              </w:rPr>
              <w:t xml:space="preserve">GHG Impact - </w:t>
            </w:r>
            <w:r w:rsidR="006155CC">
              <w:rPr>
                <w:b/>
                <w:bCs/>
              </w:rPr>
              <w:t>Cumulative</w:t>
            </w:r>
            <w:r w:rsidR="006155CC" w:rsidRPr="000C042B">
              <w:rPr>
                <w:b/>
                <w:bCs/>
              </w:rPr>
              <w:t xml:space="preserve"> </w:t>
            </w:r>
            <w:r w:rsidRPr="000C042B">
              <w:rPr>
                <w:b/>
                <w:bCs/>
              </w:rPr>
              <w:t>- 2025-2050</w:t>
            </w:r>
            <w:r w:rsidR="0009734F">
              <w:rPr>
                <w:b/>
                <w:bCs/>
              </w:rPr>
              <w:t xml:space="preserve"> </w:t>
            </w:r>
          </w:p>
        </w:tc>
        <w:tc>
          <w:tcPr>
            <w:tcW w:w="1350" w:type="dxa"/>
            <w:tcBorders>
              <w:top w:val="nil"/>
              <w:left w:val="nil"/>
              <w:bottom w:val="single" w:sz="4" w:space="0" w:color="auto"/>
              <w:right w:val="single" w:sz="4" w:space="0" w:color="auto"/>
            </w:tcBorders>
            <w:shd w:val="clear" w:color="auto" w:fill="FFFFFF" w:themeFill="background1"/>
            <w:noWrap/>
            <w:vAlign w:val="bottom"/>
          </w:tcPr>
          <w:p w14:paraId="44C271BB" w14:textId="0051A324" w:rsidR="00E16920" w:rsidRPr="000C042B" w:rsidRDefault="00A25C15" w:rsidP="00AA5947">
            <w:pPr>
              <w:rPr>
                <w:b/>
                <w:bCs/>
              </w:rPr>
            </w:pPr>
            <w:r>
              <w:rPr>
                <w:b/>
                <w:bCs/>
              </w:rPr>
              <w:t>(2,</w:t>
            </w:r>
            <w:r w:rsidR="00540247">
              <w:rPr>
                <w:b/>
                <w:bCs/>
              </w:rPr>
              <w:t>060,</w:t>
            </w:r>
            <w:r w:rsidR="00E950AC">
              <w:rPr>
                <w:b/>
                <w:bCs/>
              </w:rPr>
              <w:t>269)</w:t>
            </w:r>
          </w:p>
        </w:tc>
        <w:tc>
          <w:tcPr>
            <w:tcW w:w="1620" w:type="dxa"/>
            <w:tcBorders>
              <w:top w:val="nil"/>
              <w:left w:val="nil"/>
              <w:bottom w:val="single" w:sz="4" w:space="0" w:color="auto"/>
              <w:right w:val="single" w:sz="4" w:space="0" w:color="auto"/>
            </w:tcBorders>
            <w:shd w:val="clear" w:color="auto" w:fill="FFFFFF" w:themeFill="background1"/>
            <w:noWrap/>
            <w:vAlign w:val="bottom"/>
            <w:hideMark/>
          </w:tcPr>
          <w:p w14:paraId="7291DBC3" w14:textId="77777777" w:rsidR="00E16920" w:rsidRPr="000C042B" w:rsidRDefault="00E16920" w:rsidP="00AA5947">
            <w:pPr>
              <w:rPr>
                <w:b/>
                <w:bCs/>
              </w:rPr>
            </w:pPr>
            <w:r w:rsidRPr="000C042B">
              <w:rPr>
                <w:b/>
                <w:bCs/>
              </w:rPr>
              <w:t>MTCO2e</w:t>
            </w:r>
          </w:p>
        </w:tc>
      </w:tr>
      <w:tr w:rsidR="003732E1" w:rsidRPr="003732E1" w14:paraId="1D888CC1" w14:textId="77777777" w:rsidTr="00FD1FBC">
        <w:trPr>
          <w:trHeight w:val="315"/>
        </w:trPr>
        <w:tc>
          <w:tcPr>
            <w:tcW w:w="5665" w:type="dxa"/>
            <w:tcBorders>
              <w:top w:val="nil"/>
              <w:left w:val="single" w:sz="4" w:space="0" w:color="auto"/>
              <w:bottom w:val="single" w:sz="4" w:space="0" w:color="auto"/>
              <w:right w:val="single" w:sz="4" w:space="0" w:color="auto"/>
            </w:tcBorders>
            <w:shd w:val="clear" w:color="auto" w:fill="FFFFFF" w:themeFill="background1"/>
            <w:vAlign w:val="bottom"/>
            <w:hideMark/>
          </w:tcPr>
          <w:p w14:paraId="437FBD3B" w14:textId="77777777" w:rsidR="00E16920" w:rsidRPr="00E16920" w:rsidRDefault="00E16920" w:rsidP="00AA5947">
            <w:r w:rsidRPr="00E16920">
              <w:t>Cost Effectiveness (Tons) - 2025-2030</w:t>
            </w:r>
          </w:p>
        </w:tc>
        <w:tc>
          <w:tcPr>
            <w:tcW w:w="1350" w:type="dxa"/>
            <w:tcBorders>
              <w:top w:val="nil"/>
              <w:left w:val="nil"/>
              <w:bottom w:val="single" w:sz="4" w:space="0" w:color="auto"/>
              <w:right w:val="single" w:sz="4" w:space="0" w:color="auto"/>
            </w:tcBorders>
            <w:shd w:val="clear" w:color="auto" w:fill="FFFFFF" w:themeFill="background1"/>
            <w:noWrap/>
            <w:vAlign w:val="bottom"/>
          </w:tcPr>
          <w:p w14:paraId="168B4D50" w14:textId="428EA753" w:rsidR="00E16920" w:rsidRPr="00E16920" w:rsidRDefault="00E10F43" w:rsidP="00AA5947">
            <w:r w:rsidRPr="00E10F43">
              <w:t>$38.82</w:t>
            </w:r>
          </w:p>
        </w:tc>
        <w:tc>
          <w:tcPr>
            <w:tcW w:w="1620" w:type="dxa"/>
            <w:tcBorders>
              <w:top w:val="nil"/>
              <w:left w:val="nil"/>
              <w:bottom w:val="single" w:sz="4" w:space="0" w:color="auto"/>
              <w:right w:val="single" w:sz="4" w:space="0" w:color="auto"/>
            </w:tcBorders>
            <w:shd w:val="clear" w:color="auto" w:fill="FFFFFF" w:themeFill="background1"/>
            <w:noWrap/>
            <w:vAlign w:val="bottom"/>
            <w:hideMark/>
          </w:tcPr>
          <w:p w14:paraId="7921B779" w14:textId="77777777" w:rsidR="00E16920" w:rsidRPr="00E16920" w:rsidRDefault="00E16920" w:rsidP="00AA5947">
            <w:r w:rsidRPr="00E16920">
              <w:t>$/Ton</w:t>
            </w:r>
          </w:p>
        </w:tc>
      </w:tr>
      <w:tr w:rsidR="003732E1" w:rsidRPr="003732E1" w14:paraId="1A1FDE5D" w14:textId="77777777" w:rsidTr="00FD1FBC">
        <w:trPr>
          <w:trHeight w:val="197"/>
        </w:trPr>
        <w:tc>
          <w:tcPr>
            <w:tcW w:w="5665" w:type="dxa"/>
            <w:tcBorders>
              <w:top w:val="nil"/>
              <w:left w:val="single" w:sz="4" w:space="0" w:color="auto"/>
              <w:bottom w:val="nil"/>
              <w:right w:val="single" w:sz="4" w:space="0" w:color="auto"/>
            </w:tcBorders>
            <w:shd w:val="clear" w:color="auto" w:fill="FFFFFF" w:themeFill="background1"/>
            <w:vAlign w:val="bottom"/>
            <w:hideMark/>
          </w:tcPr>
          <w:p w14:paraId="1A8C7BE4" w14:textId="77777777" w:rsidR="00E16920" w:rsidRPr="000C042B" w:rsidRDefault="00E16920" w:rsidP="00AA5947">
            <w:pPr>
              <w:rPr>
                <w:b/>
                <w:bCs/>
              </w:rPr>
            </w:pPr>
            <w:r w:rsidRPr="000C042B">
              <w:rPr>
                <w:b/>
                <w:bCs/>
              </w:rPr>
              <w:t>Cost Effectiveness (GHGs) - 2025-2030</w:t>
            </w:r>
          </w:p>
        </w:tc>
        <w:tc>
          <w:tcPr>
            <w:tcW w:w="1350" w:type="dxa"/>
            <w:tcBorders>
              <w:top w:val="nil"/>
              <w:left w:val="nil"/>
              <w:bottom w:val="nil"/>
              <w:right w:val="single" w:sz="4" w:space="0" w:color="auto"/>
            </w:tcBorders>
            <w:shd w:val="clear" w:color="auto" w:fill="FFFFFF" w:themeFill="background1"/>
            <w:noWrap/>
            <w:vAlign w:val="bottom"/>
          </w:tcPr>
          <w:p w14:paraId="1A79A103" w14:textId="1192320F" w:rsidR="00E16920" w:rsidRPr="000C042B" w:rsidRDefault="003B3109" w:rsidP="00AA5947">
            <w:pPr>
              <w:rPr>
                <w:b/>
                <w:bCs/>
              </w:rPr>
            </w:pPr>
            <w:r w:rsidRPr="003B3109">
              <w:rPr>
                <w:b/>
                <w:bCs/>
              </w:rPr>
              <w:t>$219.37</w:t>
            </w:r>
          </w:p>
        </w:tc>
        <w:tc>
          <w:tcPr>
            <w:tcW w:w="1620" w:type="dxa"/>
            <w:tcBorders>
              <w:top w:val="nil"/>
              <w:left w:val="nil"/>
              <w:bottom w:val="nil"/>
              <w:right w:val="single" w:sz="4" w:space="0" w:color="auto"/>
            </w:tcBorders>
            <w:shd w:val="clear" w:color="auto" w:fill="FFFFFF" w:themeFill="background1"/>
            <w:noWrap/>
            <w:vAlign w:val="bottom"/>
            <w:hideMark/>
          </w:tcPr>
          <w:p w14:paraId="4722B8FF" w14:textId="77777777" w:rsidR="00E16920" w:rsidRPr="000C042B" w:rsidRDefault="00E16920" w:rsidP="00AA5947">
            <w:pPr>
              <w:rPr>
                <w:b/>
                <w:bCs/>
              </w:rPr>
            </w:pPr>
            <w:r w:rsidRPr="000C042B">
              <w:rPr>
                <w:b/>
                <w:bCs/>
              </w:rPr>
              <w:t>$/MTCO2e</w:t>
            </w:r>
          </w:p>
        </w:tc>
      </w:tr>
      <w:tr w:rsidR="00BC6246" w:rsidRPr="003732E1" w14:paraId="0862D897" w14:textId="77777777" w:rsidTr="00FD1FBC">
        <w:trPr>
          <w:trHeight w:val="288"/>
        </w:trPr>
        <w:tc>
          <w:tcPr>
            <w:tcW w:w="5665" w:type="dxa"/>
            <w:tcBorders>
              <w:top w:val="nil"/>
              <w:left w:val="single" w:sz="4" w:space="0" w:color="auto"/>
              <w:bottom w:val="single" w:sz="4" w:space="0" w:color="auto"/>
              <w:right w:val="single" w:sz="4" w:space="0" w:color="auto"/>
            </w:tcBorders>
            <w:shd w:val="clear" w:color="auto" w:fill="FFFFFF" w:themeFill="background1"/>
            <w:vAlign w:val="bottom"/>
          </w:tcPr>
          <w:p w14:paraId="2D895712" w14:textId="2061EBEB" w:rsidR="00BC6246" w:rsidRPr="000C042B" w:rsidRDefault="00BC6246" w:rsidP="00BC6246">
            <w:pPr>
              <w:rPr>
                <w:b/>
                <w:bCs/>
              </w:rPr>
            </w:pPr>
            <w:r w:rsidRPr="000C042B">
              <w:rPr>
                <w:b/>
                <w:bCs/>
              </w:rPr>
              <w:t xml:space="preserve">Cost Effectiveness (GHGs) </w:t>
            </w:r>
            <w:r>
              <w:rPr>
                <w:b/>
                <w:bCs/>
              </w:rPr>
              <w:t>–</w:t>
            </w:r>
            <w:r w:rsidRPr="000C042B">
              <w:rPr>
                <w:b/>
                <w:bCs/>
              </w:rPr>
              <w:t xml:space="preserve"> </w:t>
            </w:r>
            <w:r w:rsidR="009B6FF4" w:rsidRPr="000C042B">
              <w:rPr>
                <w:b/>
                <w:bCs/>
              </w:rPr>
              <w:t>2025-2050</w:t>
            </w:r>
          </w:p>
        </w:tc>
        <w:tc>
          <w:tcPr>
            <w:tcW w:w="1350" w:type="dxa"/>
            <w:tcBorders>
              <w:top w:val="nil"/>
              <w:left w:val="nil"/>
              <w:bottom w:val="single" w:sz="4" w:space="0" w:color="auto"/>
              <w:right w:val="single" w:sz="4" w:space="0" w:color="auto"/>
            </w:tcBorders>
            <w:shd w:val="clear" w:color="auto" w:fill="FFFFFF" w:themeFill="background1"/>
            <w:noWrap/>
            <w:vAlign w:val="bottom"/>
          </w:tcPr>
          <w:p w14:paraId="08DE1480" w14:textId="283B52C5" w:rsidR="00BC6246" w:rsidRPr="003B3109" w:rsidRDefault="00BC6246" w:rsidP="00BC6246">
            <w:pPr>
              <w:rPr>
                <w:b/>
                <w:bCs/>
              </w:rPr>
            </w:pPr>
            <w:r w:rsidRPr="003B3109">
              <w:rPr>
                <w:b/>
                <w:bCs/>
              </w:rPr>
              <w:t>$</w:t>
            </w:r>
            <w:r w:rsidR="00E950AC">
              <w:rPr>
                <w:b/>
                <w:bCs/>
              </w:rPr>
              <w:t>45.84</w:t>
            </w:r>
          </w:p>
        </w:tc>
        <w:tc>
          <w:tcPr>
            <w:tcW w:w="1620" w:type="dxa"/>
            <w:tcBorders>
              <w:top w:val="nil"/>
              <w:left w:val="nil"/>
              <w:bottom w:val="single" w:sz="4" w:space="0" w:color="auto"/>
              <w:right w:val="single" w:sz="4" w:space="0" w:color="auto"/>
            </w:tcBorders>
            <w:shd w:val="clear" w:color="auto" w:fill="FFFFFF" w:themeFill="background1"/>
            <w:noWrap/>
            <w:vAlign w:val="bottom"/>
          </w:tcPr>
          <w:p w14:paraId="4AC52680" w14:textId="62F17725" w:rsidR="00BC6246" w:rsidRPr="000C042B" w:rsidRDefault="00BC6246" w:rsidP="00BC6246">
            <w:pPr>
              <w:rPr>
                <w:b/>
                <w:bCs/>
              </w:rPr>
            </w:pPr>
            <w:r w:rsidRPr="000C042B">
              <w:rPr>
                <w:b/>
                <w:bCs/>
              </w:rPr>
              <w:t>$/MTCO2e</w:t>
            </w:r>
          </w:p>
        </w:tc>
      </w:tr>
    </w:tbl>
    <w:p w14:paraId="47672653" w14:textId="77777777" w:rsidR="00903734" w:rsidRPr="003732E1" w:rsidRDefault="00903734" w:rsidP="00AA5947"/>
    <w:p w14:paraId="18729D90" w14:textId="77777777" w:rsidR="00941B3D" w:rsidRPr="000A19B4" w:rsidRDefault="00941B3D" w:rsidP="00AA5947"/>
    <w:p w14:paraId="081D9D08" w14:textId="77777777" w:rsidR="00396F61" w:rsidRDefault="00396F61" w:rsidP="00AA5947"/>
    <w:p w14:paraId="1156F4CA" w14:textId="77053962" w:rsidR="006C2FA4" w:rsidRDefault="00302401" w:rsidP="00AA5947">
      <w:r>
        <w:tab/>
      </w:r>
      <w:r>
        <w:tab/>
      </w:r>
      <w:r>
        <w:tab/>
      </w:r>
      <w:r>
        <w:tab/>
      </w:r>
      <w:r>
        <w:tab/>
      </w:r>
      <w:r>
        <w:tab/>
      </w:r>
      <w:r>
        <w:tab/>
      </w:r>
      <w:r>
        <w:tab/>
      </w:r>
      <w:r>
        <w:tab/>
      </w:r>
      <w:r>
        <w:tab/>
      </w:r>
      <w:r>
        <w:tab/>
      </w:r>
      <w:r>
        <w:tab/>
      </w:r>
    </w:p>
    <w:sectPr w:rsidR="006C2F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613CC2"/>
    <w:multiLevelType w:val="hybridMultilevel"/>
    <w:tmpl w:val="2A986A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28D0519"/>
    <w:multiLevelType w:val="hybridMultilevel"/>
    <w:tmpl w:val="7764A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E70A91"/>
    <w:multiLevelType w:val="hybridMultilevel"/>
    <w:tmpl w:val="2EFA9DF0"/>
    <w:lvl w:ilvl="0" w:tplc="76E81132">
      <w:start w:val="1"/>
      <w:numFmt w:val="bullet"/>
      <w:lvlText w:val=""/>
      <w:lvlJc w:val="left"/>
      <w:pPr>
        <w:ind w:left="720" w:hanging="360"/>
      </w:pPr>
      <w:rPr>
        <w:rFonts w:ascii="Symbol" w:hAnsi="Symbol"/>
      </w:rPr>
    </w:lvl>
    <w:lvl w:ilvl="1" w:tplc="2E2CCC90">
      <w:start w:val="1"/>
      <w:numFmt w:val="bullet"/>
      <w:lvlText w:val=""/>
      <w:lvlJc w:val="left"/>
      <w:pPr>
        <w:ind w:left="720" w:hanging="360"/>
      </w:pPr>
      <w:rPr>
        <w:rFonts w:ascii="Symbol" w:hAnsi="Symbol"/>
      </w:rPr>
    </w:lvl>
    <w:lvl w:ilvl="2" w:tplc="528C177C">
      <w:start w:val="1"/>
      <w:numFmt w:val="bullet"/>
      <w:lvlText w:val=""/>
      <w:lvlJc w:val="left"/>
      <w:pPr>
        <w:ind w:left="720" w:hanging="360"/>
      </w:pPr>
      <w:rPr>
        <w:rFonts w:ascii="Symbol" w:hAnsi="Symbol"/>
      </w:rPr>
    </w:lvl>
    <w:lvl w:ilvl="3" w:tplc="409E42D6">
      <w:start w:val="1"/>
      <w:numFmt w:val="bullet"/>
      <w:lvlText w:val=""/>
      <w:lvlJc w:val="left"/>
      <w:pPr>
        <w:ind w:left="720" w:hanging="360"/>
      </w:pPr>
      <w:rPr>
        <w:rFonts w:ascii="Symbol" w:hAnsi="Symbol"/>
      </w:rPr>
    </w:lvl>
    <w:lvl w:ilvl="4" w:tplc="83E0A44C">
      <w:start w:val="1"/>
      <w:numFmt w:val="bullet"/>
      <w:lvlText w:val=""/>
      <w:lvlJc w:val="left"/>
      <w:pPr>
        <w:ind w:left="720" w:hanging="360"/>
      </w:pPr>
      <w:rPr>
        <w:rFonts w:ascii="Symbol" w:hAnsi="Symbol"/>
      </w:rPr>
    </w:lvl>
    <w:lvl w:ilvl="5" w:tplc="91CEF31C">
      <w:start w:val="1"/>
      <w:numFmt w:val="bullet"/>
      <w:lvlText w:val=""/>
      <w:lvlJc w:val="left"/>
      <w:pPr>
        <w:ind w:left="720" w:hanging="360"/>
      </w:pPr>
      <w:rPr>
        <w:rFonts w:ascii="Symbol" w:hAnsi="Symbol"/>
      </w:rPr>
    </w:lvl>
    <w:lvl w:ilvl="6" w:tplc="09C646AC">
      <w:start w:val="1"/>
      <w:numFmt w:val="bullet"/>
      <w:lvlText w:val=""/>
      <w:lvlJc w:val="left"/>
      <w:pPr>
        <w:ind w:left="720" w:hanging="360"/>
      </w:pPr>
      <w:rPr>
        <w:rFonts w:ascii="Symbol" w:hAnsi="Symbol"/>
      </w:rPr>
    </w:lvl>
    <w:lvl w:ilvl="7" w:tplc="AB82132C">
      <w:start w:val="1"/>
      <w:numFmt w:val="bullet"/>
      <w:lvlText w:val=""/>
      <w:lvlJc w:val="left"/>
      <w:pPr>
        <w:ind w:left="720" w:hanging="360"/>
      </w:pPr>
      <w:rPr>
        <w:rFonts w:ascii="Symbol" w:hAnsi="Symbol"/>
      </w:rPr>
    </w:lvl>
    <w:lvl w:ilvl="8" w:tplc="EBC80218">
      <w:start w:val="1"/>
      <w:numFmt w:val="bullet"/>
      <w:lvlText w:val=""/>
      <w:lvlJc w:val="left"/>
      <w:pPr>
        <w:ind w:left="720" w:hanging="360"/>
      </w:pPr>
      <w:rPr>
        <w:rFonts w:ascii="Symbol" w:hAnsi="Symbol"/>
      </w:rPr>
    </w:lvl>
  </w:abstractNum>
  <w:abstractNum w:abstractNumId="3" w15:restartNumberingAfterBreak="0">
    <w:nsid w:val="469B6A79"/>
    <w:multiLevelType w:val="hybridMultilevel"/>
    <w:tmpl w:val="02782E3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501DF3"/>
    <w:multiLevelType w:val="hybridMultilevel"/>
    <w:tmpl w:val="2494A822"/>
    <w:lvl w:ilvl="0" w:tplc="04090017">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50EC2896"/>
    <w:multiLevelType w:val="hybridMultilevel"/>
    <w:tmpl w:val="9C24A548"/>
    <w:lvl w:ilvl="0" w:tplc="276E0F5C">
      <w:start w:val="1"/>
      <w:numFmt w:val="bullet"/>
      <w:lvlText w:val=""/>
      <w:lvlJc w:val="left"/>
      <w:pPr>
        <w:ind w:left="720" w:hanging="360"/>
      </w:pPr>
      <w:rPr>
        <w:rFonts w:ascii="Symbol" w:hAnsi="Symbol"/>
      </w:rPr>
    </w:lvl>
    <w:lvl w:ilvl="1" w:tplc="937EF4E2">
      <w:start w:val="1"/>
      <w:numFmt w:val="bullet"/>
      <w:lvlText w:val=""/>
      <w:lvlJc w:val="left"/>
      <w:pPr>
        <w:ind w:left="720" w:hanging="360"/>
      </w:pPr>
      <w:rPr>
        <w:rFonts w:ascii="Symbol" w:hAnsi="Symbol"/>
      </w:rPr>
    </w:lvl>
    <w:lvl w:ilvl="2" w:tplc="05886F56">
      <w:start w:val="1"/>
      <w:numFmt w:val="bullet"/>
      <w:lvlText w:val=""/>
      <w:lvlJc w:val="left"/>
      <w:pPr>
        <w:ind w:left="720" w:hanging="360"/>
      </w:pPr>
      <w:rPr>
        <w:rFonts w:ascii="Symbol" w:hAnsi="Symbol"/>
      </w:rPr>
    </w:lvl>
    <w:lvl w:ilvl="3" w:tplc="BD7E221C">
      <w:start w:val="1"/>
      <w:numFmt w:val="bullet"/>
      <w:lvlText w:val=""/>
      <w:lvlJc w:val="left"/>
      <w:pPr>
        <w:ind w:left="720" w:hanging="360"/>
      </w:pPr>
      <w:rPr>
        <w:rFonts w:ascii="Symbol" w:hAnsi="Symbol"/>
      </w:rPr>
    </w:lvl>
    <w:lvl w:ilvl="4" w:tplc="D3B07EE2">
      <w:start w:val="1"/>
      <w:numFmt w:val="bullet"/>
      <w:lvlText w:val=""/>
      <w:lvlJc w:val="left"/>
      <w:pPr>
        <w:ind w:left="720" w:hanging="360"/>
      </w:pPr>
      <w:rPr>
        <w:rFonts w:ascii="Symbol" w:hAnsi="Symbol"/>
      </w:rPr>
    </w:lvl>
    <w:lvl w:ilvl="5" w:tplc="44B07C32">
      <w:start w:val="1"/>
      <w:numFmt w:val="bullet"/>
      <w:lvlText w:val=""/>
      <w:lvlJc w:val="left"/>
      <w:pPr>
        <w:ind w:left="720" w:hanging="360"/>
      </w:pPr>
      <w:rPr>
        <w:rFonts w:ascii="Symbol" w:hAnsi="Symbol"/>
      </w:rPr>
    </w:lvl>
    <w:lvl w:ilvl="6" w:tplc="2D1299E2">
      <w:start w:val="1"/>
      <w:numFmt w:val="bullet"/>
      <w:lvlText w:val=""/>
      <w:lvlJc w:val="left"/>
      <w:pPr>
        <w:ind w:left="720" w:hanging="360"/>
      </w:pPr>
      <w:rPr>
        <w:rFonts w:ascii="Symbol" w:hAnsi="Symbol"/>
      </w:rPr>
    </w:lvl>
    <w:lvl w:ilvl="7" w:tplc="DE363AEE">
      <w:start w:val="1"/>
      <w:numFmt w:val="bullet"/>
      <w:lvlText w:val=""/>
      <w:lvlJc w:val="left"/>
      <w:pPr>
        <w:ind w:left="720" w:hanging="360"/>
      </w:pPr>
      <w:rPr>
        <w:rFonts w:ascii="Symbol" w:hAnsi="Symbol"/>
      </w:rPr>
    </w:lvl>
    <w:lvl w:ilvl="8" w:tplc="36469F92">
      <w:start w:val="1"/>
      <w:numFmt w:val="bullet"/>
      <w:lvlText w:val=""/>
      <w:lvlJc w:val="left"/>
      <w:pPr>
        <w:ind w:left="720" w:hanging="360"/>
      </w:pPr>
      <w:rPr>
        <w:rFonts w:ascii="Symbol" w:hAnsi="Symbol"/>
      </w:rPr>
    </w:lvl>
  </w:abstractNum>
  <w:abstractNum w:abstractNumId="6" w15:restartNumberingAfterBreak="0">
    <w:nsid w:val="5D321A63"/>
    <w:multiLevelType w:val="hybridMultilevel"/>
    <w:tmpl w:val="D81894FA"/>
    <w:lvl w:ilvl="0" w:tplc="C592063A">
      <w:start w:val="1"/>
      <w:numFmt w:val="bullet"/>
      <w:lvlText w:val=""/>
      <w:lvlJc w:val="left"/>
      <w:pPr>
        <w:ind w:left="720" w:hanging="360"/>
      </w:pPr>
      <w:rPr>
        <w:rFonts w:ascii="Symbol" w:hAnsi="Symbol"/>
      </w:rPr>
    </w:lvl>
    <w:lvl w:ilvl="1" w:tplc="55621D86">
      <w:start w:val="1"/>
      <w:numFmt w:val="bullet"/>
      <w:lvlText w:val=""/>
      <w:lvlJc w:val="left"/>
      <w:pPr>
        <w:ind w:left="720" w:hanging="360"/>
      </w:pPr>
      <w:rPr>
        <w:rFonts w:ascii="Symbol" w:hAnsi="Symbol"/>
      </w:rPr>
    </w:lvl>
    <w:lvl w:ilvl="2" w:tplc="1CFC6E24">
      <w:start w:val="1"/>
      <w:numFmt w:val="bullet"/>
      <w:lvlText w:val=""/>
      <w:lvlJc w:val="left"/>
      <w:pPr>
        <w:ind w:left="720" w:hanging="360"/>
      </w:pPr>
      <w:rPr>
        <w:rFonts w:ascii="Symbol" w:hAnsi="Symbol"/>
      </w:rPr>
    </w:lvl>
    <w:lvl w:ilvl="3" w:tplc="E0441922">
      <w:start w:val="1"/>
      <w:numFmt w:val="bullet"/>
      <w:lvlText w:val=""/>
      <w:lvlJc w:val="left"/>
      <w:pPr>
        <w:ind w:left="720" w:hanging="360"/>
      </w:pPr>
      <w:rPr>
        <w:rFonts w:ascii="Symbol" w:hAnsi="Symbol"/>
      </w:rPr>
    </w:lvl>
    <w:lvl w:ilvl="4" w:tplc="A75CFAD4">
      <w:start w:val="1"/>
      <w:numFmt w:val="bullet"/>
      <w:lvlText w:val=""/>
      <w:lvlJc w:val="left"/>
      <w:pPr>
        <w:ind w:left="720" w:hanging="360"/>
      </w:pPr>
      <w:rPr>
        <w:rFonts w:ascii="Symbol" w:hAnsi="Symbol"/>
      </w:rPr>
    </w:lvl>
    <w:lvl w:ilvl="5" w:tplc="3CBC8C12">
      <w:start w:val="1"/>
      <w:numFmt w:val="bullet"/>
      <w:lvlText w:val=""/>
      <w:lvlJc w:val="left"/>
      <w:pPr>
        <w:ind w:left="720" w:hanging="360"/>
      </w:pPr>
      <w:rPr>
        <w:rFonts w:ascii="Symbol" w:hAnsi="Symbol"/>
      </w:rPr>
    </w:lvl>
    <w:lvl w:ilvl="6" w:tplc="0E5AF0BE">
      <w:start w:val="1"/>
      <w:numFmt w:val="bullet"/>
      <w:lvlText w:val=""/>
      <w:lvlJc w:val="left"/>
      <w:pPr>
        <w:ind w:left="720" w:hanging="360"/>
      </w:pPr>
      <w:rPr>
        <w:rFonts w:ascii="Symbol" w:hAnsi="Symbol"/>
      </w:rPr>
    </w:lvl>
    <w:lvl w:ilvl="7" w:tplc="6B028480">
      <w:start w:val="1"/>
      <w:numFmt w:val="bullet"/>
      <w:lvlText w:val=""/>
      <w:lvlJc w:val="left"/>
      <w:pPr>
        <w:ind w:left="720" w:hanging="360"/>
      </w:pPr>
      <w:rPr>
        <w:rFonts w:ascii="Symbol" w:hAnsi="Symbol"/>
      </w:rPr>
    </w:lvl>
    <w:lvl w:ilvl="8" w:tplc="CC9C289A">
      <w:start w:val="1"/>
      <w:numFmt w:val="bullet"/>
      <w:lvlText w:val=""/>
      <w:lvlJc w:val="left"/>
      <w:pPr>
        <w:ind w:left="720" w:hanging="360"/>
      </w:pPr>
      <w:rPr>
        <w:rFonts w:ascii="Symbol" w:hAnsi="Symbol"/>
      </w:rPr>
    </w:lvl>
  </w:abstractNum>
  <w:abstractNum w:abstractNumId="7" w15:restartNumberingAfterBreak="0">
    <w:nsid w:val="602D5A88"/>
    <w:multiLevelType w:val="hybridMultilevel"/>
    <w:tmpl w:val="B75A86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511483"/>
    <w:multiLevelType w:val="hybridMultilevel"/>
    <w:tmpl w:val="251AD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31340159">
    <w:abstractNumId w:val="7"/>
  </w:num>
  <w:num w:numId="2" w16cid:durableId="2046250170">
    <w:abstractNumId w:val="3"/>
  </w:num>
  <w:num w:numId="3" w16cid:durableId="339234797">
    <w:abstractNumId w:val="8"/>
  </w:num>
  <w:num w:numId="4" w16cid:durableId="1664888592">
    <w:abstractNumId w:val="1"/>
  </w:num>
  <w:num w:numId="5" w16cid:durableId="1000935652">
    <w:abstractNumId w:val="0"/>
  </w:num>
  <w:num w:numId="6" w16cid:durableId="407533386">
    <w:abstractNumId w:val="4"/>
  </w:num>
  <w:num w:numId="7" w16cid:durableId="118233782">
    <w:abstractNumId w:val="6"/>
  </w:num>
  <w:num w:numId="8" w16cid:durableId="1583756832">
    <w:abstractNumId w:val="2"/>
  </w:num>
  <w:num w:numId="9" w16cid:durableId="4262716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FA4"/>
    <w:rsid w:val="00002734"/>
    <w:rsid w:val="000101D5"/>
    <w:rsid w:val="0001452B"/>
    <w:rsid w:val="00022DC3"/>
    <w:rsid w:val="000242A3"/>
    <w:rsid w:val="000272D8"/>
    <w:rsid w:val="000410E0"/>
    <w:rsid w:val="0004260B"/>
    <w:rsid w:val="000430F0"/>
    <w:rsid w:val="00046501"/>
    <w:rsid w:val="0005268F"/>
    <w:rsid w:val="00053AAA"/>
    <w:rsid w:val="000629C0"/>
    <w:rsid w:val="00066C0A"/>
    <w:rsid w:val="000823D0"/>
    <w:rsid w:val="0009350F"/>
    <w:rsid w:val="00095C01"/>
    <w:rsid w:val="0009734F"/>
    <w:rsid w:val="000A19B4"/>
    <w:rsid w:val="000B215C"/>
    <w:rsid w:val="000C042B"/>
    <w:rsid w:val="000C254F"/>
    <w:rsid w:val="000D1146"/>
    <w:rsid w:val="000D22BA"/>
    <w:rsid w:val="000E52F1"/>
    <w:rsid w:val="00100A2E"/>
    <w:rsid w:val="00115F21"/>
    <w:rsid w:val="00116EA5"/>
    <w:rsid w:val="00146ABE"/>
    <w:rsid w:val="00155B90"/>
    <w:rsid w:val="00157622"/>
    <w:rsid w:val="00164806"/>
    <w:rsid w:val="001651FF"/>
    <w:rsid w:val="00165EC7"/>
    <w:rsid w:val="001700FB"/>
    <w:rsid w:val="001721CC"/>
    <w:rsid w:val="001811AC"/>
    <w:rsid w:val="001816B7"/>
    <w:rsid w:val="0018738A"/>
    <w:rsid w:val="00195DE2"/>
    <w:rsid w:val="001A4BF2"/>
    <w:rsid w:val="001A6D3A"/>
    <w:rsid w:val="001C65FB"/>
    <w:rsid w:val="001D0C96"/>
    <w:rsid w:val="001F35E8"/>
    <w:rsid w:val="001F450D"/>
    <w:rsid w:val="001F6E3F"/>
    <w:rsid w:val="00202276"/>
    <w:rsid w:val="00202447"/>
    <w:rsid w:val="00202C80"/>
    <w:rsid w:val="00203AE7"/>
    <w:rsid w:val="002141F4"/>
    <w:rsid w:val="00215D11"/>
    <w:rsid w:val="0023201E"/>
    <w:rsid w:val="00240F9A"/>
    <w:rsid w:val="00241A93"/>
    <w:rsid w:val="00242402"/>
    <w:rsid w:val="002439D9"/>
    <w:rsid w:val="002573AA"/>
    <w:rsid w:val="002643E2"/>
    <w:rsid w:val="00274A06"/>
    <w:rsid w:val="00287255"/>
    <w:rsid w:val="002B16F1"/>
    <w:rsid w:val="002B53E6"/>
    <w:rsid w:val="002B57E2"/>
    <w:rsid w:val="002C0000"/>
    <w:rsid w:val="002D3780"/>
    <w:rsid w:val="002D4B9D"/>
    <w:rsid w:val="002D5585"/>
    <w:rsid w:val="002E4C13"/>
    <w:rsid w:val="002E705C"/>
    <w:rsid w:val="002E78D9"/>
    <w:rsid w:val="002E7E32"/>
    <w:rsid w:val="002E7E37"/>
    <w:rsid w:val="002F5E3B"/>
    <w:rsid w:val="00302401"/>
    <w:rsid w:val="00302761"/>
    <w:rsid w:val="00302D20"/>
    <w:rsid w:val="0030564D"/>
    <w:rsid w:val="00311DCF"/>
    <w:rsid w:val="00322409"/>
    <w:rsid w:val="0032504F"/>
    <w:rsid w:val="0033407A"/>
    <w:rsid w:val="003576A3"/>
    <w:rsid w:val="0036067E"/>
    <w:rsid w:val="003622E3"/>
    <w:rsid w:val="00365C79"/>
    <w:rsid w:val="0036721D"/>
    <w:rsid w:val="003732E1"/>
    <w:rsid w:val="003914D1"/>
    <w:rsid w:val="00396F61"/>
    <w:rsid w:val="003B005E"/>
    <w:rsid w:val="003B3109"/>
    <w:rsid w:val="003B7D36"/>
    <w:rsid w:val="003C04CF"/>
    <w:rsid w:val="003C70AC"/>
    <w:rsid w:val="003D4C74"/>
    <w:rsid w:val="003D4D78"/>
    <w:rsid w:val="003D5D86"/>
    <w:rsid w:val="003E1CE4"/>
    <w:rsid w:val="003F10D2"/>
    <w:rsid w:val="003F7BD8"/>
    <w:rsid w:val="00403A35"/>
    <w:rsid w:val="00406EDF"/>
    <w:rsid w:val="00407754"/>
    <w:rsid w:val="00410ED7"/>
    <w:rsid w:val="00411890"/>
    <w:rsid w:val="00416318"/>
    <w:rsid w:val="00420C20"/>
    <w:rsid w:val="00423642"/>
    <w:rsid w:val="00424755"/>
    <w:rsid w:val="0044632E"/>
    <w:rsid w:val="00447170"/>
    <w:rsid w:val="004708AE"/>
    <w:rsid w:val="00486642"/>
    <w:rsid w:val="00492A9E"/>
    <w:rsid w:val="004A7189"/>
    <w:rsid w:val="004A78AA"/>
    <w:rsid w:val="004C6962"/>
    <w:rsid w:val="004E71AF"/>
    <w:rsid w:val="004F68BA"/>
    <w:rsid w:val="0050020E"/>
    <w:rsid w:val="005003EE"/>
    <w:rsid w:val="005058CA"/>
    <w:rsid w:val="00513993"/>
    <w:rsid w:val="00525A47"/>
    <w:rsid w:val="00537BC3"/>
    <w:rsid w:val="00540247"/>
    <w:rsid w:val="00540534"/>
    <w:rsid w:val="00553426"/>
    <w:rsid w:val="00572469"/>
    <w:rsid w:val="00572617"/>
    <w:rsid w:val="00577470"/>
    <w:rsid w:val="005778AD"/>
    <w:rsid w:val="005A061B"/>
    <w:rsid w:val="005A2741"/>
    <w:rsid w:val="005A7A43"/>
    <w:rsid w:val="005B4C9D"/>
    <w:rsid w:val="005B6EE2"/>
    <w:rsid w:val="005C1855"/>
    <w:rsid w:val="005C7E75"/>
    <w:rsid w:val="005E0921"/>
    <w:rsid w:val="005E0DA9"/>
    <w:rsid w:val="005E0F71"/>
    <w:rsid w:val="005E4D20"/>
    <w:rsid w:val="005E690A"/>
    <w:rsid w:val="005F5DF5"/>
    <w:rsid w:val="006155CC"/>
    <w:rsid w:val="00623874"/>
    <w:rsid w:val="00630AF1"/>
    <w:rsid w:val="006353C8"/>
    <w:rsid w:val="00636C4B"/>
    <w:rsid w:val="00640E7A"/>
    <w:rsid w:val="00647BD6"/>
    <w:rsid w:val="00657DE7"/>
    <w:rsid w:val="00685994"/>
    <w:rsid w:val="00685AD2"/>
    <w:rsid w:val="00697A60"/>
    <w:rsid w:val="006B17D3"/>
    <w:rsid w:val="006C2FA4"/>
    <w:rsid w:val="006D643D"/>
    <w:rsid w:val="006D6646"/>
    <w:rsid w:val="006E1997"/>
    <w:rsid w:val="007103B1"/>
    <w:rsid w:val="007164CE"/>
    <w:rsid w:val="00720D70"/>
    <w:rsid w:val="00721437"/>
    <w:rsid w:val="007218B2"/>
    <w:rsid w:val="007376AB"/>
    <w:rsid w:val="00745A57"/>
    <w:rsid w:val="0075519C"/>
    <w:rsid w:val="00756D9C"/>
    <w:rsid w:val="00757FEF"/>
    <w:rsid w:val="0076530E"/>
    <w:rsid w:val="00767B91"/>
    <w:rsid w:val="0077014A"/>
    <w:rsid w:val="00770BD7"/>
    <w:rsid w:val="00777C85"/>
    <w:rsid w:val="00782CEB"/>
    <w:rsid w:val="007920A4"/>
    <w:rsid w:val="00795668"/>
    <w:rsid w:val="007B54ED"/>
    <w:rsid w:val="007D3F3A"/>
    <w:rsid w:val="007D5256"/>
    <w:rsid w:val="007E5923"/>
    <w:rsid w:val="007E59E2"/>
    <w:rsid w:val="007F1AFA"/>
    <w:rsid w:val="007F5C36"/>
    <w:rsid w:val="00812BC9"/>
    <w:rsid w:val="00827DF1"/>
    <w:rsid w:val="008311E7"/>
    <w:rsid w:val="00832D8D"/>
    <w:rsid w:val="0083409A"/>
    <w:rsid w:val="008363C4"/>
    <w:rsid w:val="00842D75"/>
    <w:rsid w:val="00845C65"/>
    <w:rsid w:val="00845E92"/>
    <w:rsid w:val="008522F5"/>
    <w:rsid w:val="00856E60"/>
    <w:rsid w:val="00860F08"/>
    <w:rsid w:val="008A16D0"/>
    <w:rsid w:val="008A38C6"/>
    <w:rsid w:val="008A79EE"/>
    <w:rsid w:val="008C3807"/>
    <w:rsid w:val="008C4677"/>
    <w:rsid w:val="008D3C73"/>
    <w:rsid w:val="008E1A6D"/>
    <w:rsid w:val="008E1B55"/>
    <w:rsid w:val="008F3EE4"/>
    <w:rsid w:val="00903734"/>
    <w:rsid w:val="00907CBB"/>
    <w:rsid w:val="00912D54"/>
    <w:rsid w:val="0092736D"/>
    <w:rsid w:val="00936DD3"/>
    <w:rsid w:val="009408E1"/>
    <w:rsid w:val="00941B3D"/>
    <w:rsid w:val="009521A9"/>
    <w:rsid w:val="00953878"/>
    <w:rsid w:val="00956DE1"/>
    <w:rsid w:val="00961608"/>
    <w:rsid w:val="0096566E"/>
    <w:rsid w:val="00966B80"/>
    <w:rsid w:val="00977F06"/>
    <w:rsid w:val="009828D9"/>
    <w:rsid w:val="00986670"/>
    <w:rsid w:val="00987D6C"/>
    <w:rsid w:val="009B6FF4"/>
    <w:rsid w:val="009F5F69"/>
    <w:rsid w:val="00A000B3"/>
    <w:rsid w:val="00A02A42"/>
    <w:rsid w:val="00A031F7"/>
    <w:rsid w:val="00A0362C"/>
    <w:rsid w:val="00A25C15"/>
    <w:rsid w:val="00A3151A"/>
    <w:rsid w:val="00A37E62"/>
    <w:rsid w:val="00A44B85"/>
    <w:rsid w:val="00A46B7E"/>
    <w:rsid w:val="00A51397"/>
    <w:rsid w:val="00A536DD"/>
    <w:rsid w:val="00A54CF8"/>
    <w:rsid w:val="00A6002A"/>
    <w:rsid w:val="00A620C9"/>
    <w:rsid w:val="00A65217"/>
    <w:rsid w:val="00A6766C"/>
    <w:rsid w:val="00A72C26"/>
    <w:rsid w:val="00A9168B"/>
    <w:rsid w:val="00AA5947"/>
    <w:rsid w:val="00AA60BF"/>
    <w:rsid w:val="00AB25DC"/>
    <w:rsid w:val="00AD63C5"/>
    <w:rsid w:val="00AD7744"/>
    <w:rsid w:val="00AF52EC"/>
    <w:rsid w:val="00B00BD3"/>
    <w:rsid w:val="00B04E91"/>
    <w:rsid w:val="00B13161"/>
    <w:rsid w:val="00B26375"/>
    <w:rsid w:val="00B26BCD"/>
    <w:rsid w:val="00B3496C"/>
    <w:rsid w:val="00B37A36"/>
    <w:rsid w:val="00B62E6A"/>
    <w:rsid w:val="00B64E28"/>
    <w:rsid w:val="00B825DC"/>
    <w:rsid w:val="00B85ADB"/>
    <w:rsid w:val="00B91CC6"/>
    <w:rsid w:val="00BB17B6"/>
    <w:rsid w:val="00BC6246"/>
    <w:rsid w:val="00BD1743"/>
    <w:rsid w:val="00BF13A5"/>
    <w:rsid w:val="00BF75B6"/>
    <w:rsid w:val="00C0684F"/>
    <w:rsid w:val="00C131F9"/>
    <w:rsid w:val="00C167CA"/>
    <w:rsid w:val="00C168FC"/>
    <w:rsid w:val="00C21D80"/>
    <w:rsid w:val="00C24853"/>
    <w:rsid w:val="00C31E0F"/>
    <w:rsid w:val="00C36231"/>
    <w:rsid w:val="00C43F4F"/>
    <w:rsid w:val="00C54E34"/>
    <w:rsid w:val="00C54F73"/>
    <w:rsid w:val="00C6326D"/>
    <w:rsid w:val="00C642AB"/>
    <w:rsid w:val="00C65F6E"/>
    <w:rsid w:val="00C73562"/>
    <w:rsid w:val="00C9420C"/>
    <w:rsid w:val="00CA0CFE"/>
    <w:rsid w:val="00CA186B"/>
    <w:rsid w:val="00CA421C"/>
    <w:rsid w:val="00CB5C95"/>
    <w:rsid w:val="00CD7F0E"/>
    <w:rsid w:val="00CE4D0A"/>
    <w:rsid w:val="00CF44F7"/>
    <w:rsid w:val="00D03D13"/>
    <w:rsid w:val="00D105C9"/>
    <w:rsid w:val="00D10C68"/>
    <w:rsid w:val="00D177CE"/>
    <w:rsid w:val="00D24310"/>
    <w:rsid w:val="00D30AA1"/>
    <w:rsid w:val="00D329D2"/>
    <w:rsid w:val="00D35328"/>
    <w:rsid w:val="00D4020B"/>
    <w:rsid w:val="00D43BE0"/>
    <w:rsid w:val="00D51F6E"/>
    <w:rsid w:val="00D54AD4"/>
    <w:rsid w:val="00D6495C"/>
    <w:rsid w:val="00D67386"/>
    <w:rsid w:val="00D7367B"/>
    <w:rsid w:val="00D943E0"/>
    <w:rsid w:val="00D96C28"/>
    <w:rsid w:val="00DA553E"/>
    <w:rsid w:val="00DB45B9"/>
    <w:rsid w:val="00DC5701"/>
    <w:rsid w:val="00DF46FB"/>
    <w:rsid w:val="00E063A7"/>
    <w:rsid w:val="00E10F43"/>
    <w:rsid w:val="00E12E1D"/>
    <w:rsid w:val="00E16920"/>
    <w:rsid w:val="00E22734"/>
    <w:rsid w:val="00E259F4"/>
    <w:rsid w:val="00E40A46"/>
    <w:rsid w:val="00E424A5"/>
    <w:rsid w:val="00E51D6C"/>
    <w:rsid w:val="00E568FB"/>
    <w:rsid w:val="00E604C6"/>
    <w:rsid w:val="00E75125"/>
    <w:rsid w:val="00E90E48"/>
    <w:rsid w:val="00E93270"/>
    <w:rsid w:val="00E950AC"/>
    <w:rsid w:val="00EA1C78"/>
    <w:rsid w:val="00EA396F"/>
    <w:rsid w:val="00EA5E19"/>
    <w:rsid w:val="00EA6468"/>
    <w:rsid w:val="00EC368C"/>
    <w:rsid w:val="00EC4366"/>
    <w:rsid w:val="00ED7BFD"/>
    <w:rsid w:val="00EE0147"/>
    <w:rsid w:val="00EE31B4"/>
    <w:rsid w:val="00F32113"/>
    <w:rsid w:val="00F36AA2"/>
    <w:rsid w:val="00F54470"/>
    <w:rsid w:val="00F67273"/>
    <w:rsid w:val="00F8212B"/>
    <w:rsid w:val="00FA0563"/>
    <w:rsid w:val="00FA263E"/>
    <w:rsid w:val="00FB21D7"/>
    <w:rsid w:val="00FC148D"/>
    <w:rsid w:val="00FD1FBC"/>
    <w:rsid w:val="00FE0F11"/>
    <w:rsid w:val="00FE5856"/>
    <w:rsid w:val="0D338BEB"/>
    <w:rsid w:val="12D66394"/>
    <w:rsid w:val="1E2206D1"/>
    <w:rsid w:val="2655D811"/>
    <w:rsid w:val="274FF01E"/>
    <w:rsid w:val="2CDB232B"/>
    <w:rsid w:val="2E09F7EE"/>
    <w:rsid w:val="2E5BCA8A"/>
    <w:rsid w:val="3661161E"/>
    <w:rsid w:val="3AD91F88"/>
    <w:rsid w:val="3BCC1A54"/>
    <w:rsid w:val="3DC876CE"/>
    <w:rsid w:val="3EA52271"/>
    <w:rsid w:val="413FB5EC"/>
    <w:rsid w:val="43C25181"/>
    <w:rsid w:val="474EF13D"/>
    <w:rsid w:val="4A1F3640"/>
    <w:rsid w:val="50F8B6C4"/>
    <w:rsid w:val="55DDEA29"/>
    <w:rsid w:val="56F1E9BF"/>
    <w:rsid w:val="5894CD6A"/>
    <w:rsid w:val="5E2C12F6"/>
    <w:rsid w:val="62B29875"/>
    <w:rsid w:val="6E83D712"/>
    <w:rsid w:val="751B1342"/>
    <w:rsid w:val="7A9F4C9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533906"/>
  <w15:chartTrackingRefBased/>
  <w15:docId w15:val="{7325A451-4672-45AB-849F-C07FAB8C3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947"/>
    <w:rPr>
      <w:rFonts w:ascii="Calibri" w:hAnsi="Calibri" w:cs="Calibri"/>
      <w:sz w:val="22"/>
      <w:szCs w:val="22"/>
    </w:rPr>
  </w:style>
  <w:style w:type="paragraph" w:styleId="Heading1">
    <w:name w:val="heading 1"/>
    <w:basedOn w:val="Normal"/>
    <w:next w:val="Normal"/>
    <w:link w:val="Heading1Char"/>
    <w:uiPriority w:val="9"/>
    <w:qFormat/>
    <w:rsid w:val="006C2FA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A5947"/>
    <w:pPr>
      <w:keepNext/>
      <w:keepLines/>
      <w:spacing w:before="160" w:after="80"/>
      <w:outlineLvl w:val="1"/>
    </w:pPr>
    <w:rPr>
      <w:rFonts w:eastAsiaTheme="majorEastAsia"/>
      <w:color w:val="0F4761" w:themeColor="accent1" w:themeShade="BF"/>
      <w:sz w:val="32"/>
      <w:szCs w:val="32"/>
    </w:rPr>
  </w:style>
  <w:style w:type="paragraph" w:styleId="Heading3">
    <w:name w:val="heading 3"/>
    <w:basedOn w:val="Normal"/>
    <w:next w:val="Normal"/>
    <w:link w:val="Heading3Char"/>
    <w:uiPriority w:val="9"/>
    <w:semiHidden/>
    <w:unhideWhenUsed/>
    <w:qFormat/>
    <w:rsid w:val="006C2FA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C2FA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6C2FA4"/>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6C2FA4"/>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C2FA4"/>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C2FA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C2FA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2FA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A5947"/>
    <w:rPr>
      <w:rFonts w:ascii="Calibri" w:eastAsiaTheme="majorEastAsia" w:hAnsi="Calibri" w:cs="Calibri"/>
      <w:color w:val="0F4761" w:themeColor="accent1" w:themeShade="BF"/>
      <w:sz w:val="32"/>
      <w:szCs w:val="32"/>
    </w:rPr>
  </w:style>
  <w:style w:type="character" w:customStyle="1" w:styleId="Heading3Char">
    <w:name w:val="Heading 3 Char"/>
    <w:basedOn w:val="DefaultParagraphFont"/>
    <w:link w:val="Heading3"/>
    <w:uiPriority w:val="9"/>
    <w:semiHidden/>
    <w:rsid w:val="006C2FA4"/>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C2FA4"/>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6C2FA4"/>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6C2FA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C2FA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C2FA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C2FA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C2F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2FA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C2FA4"/>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2FA4"/>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6C2FA4"/>
    <w:pPr>
      <w:spacing w:before="160"/>
      <w:jc w:val="center"/>
    </w:pPr>
    <w:rPr>
      <w:i/>
      <w:iCs/>
      <w:color w:val="404040" w:themeColor="text1" w:themeTint="BF"/>
    </w:rPr>
  </w:style>
  <w:style w:type="character" w:customStyle="1" w:styleId="QuoteChar">
    <w:name w:val="Quote Char"/>
    <w:basedOn w:val="DefaultParagraphFont"/>
    <w:link w:val="Quote"/>
    <w:uiPriority w:val="29"/>
    <w:rsid w:val="006C2FA4"/>
    <w:rPr>
      <w:i/>
      <w:iCs/>
      <w:color w:val="404040" w:themeColor="text1" w:themeTint="BF"/>
    </w:rPr>
  </w:style>
  <w:style w:type="paragraph" w:styleId="ListParagraph">
    <w:name w:val="List Paragraph"/>
    <w:basedOn w:val="Normal"/>
    <w:uiPriority w:val="34"/>
    <w:qFormat/>
    <w:rsid w:val="006C2FA4"/>
    <w:pPr>
      <w:ind w:left="720"/>
      <w:contextualSpacing/>
    </w:pPr>
  </w:style>
  <w:style w:type="character" w:styleId="IntenseEmphasis">
    <w:name w:val="Intense Emphasis"/>
    <w:basedOn w:val="DefaultParagraphFont"/>
    <w:uiPriority w:val="21"/>
    <w:qFormat/>
    <w:rsid w:val="006C2FA4"/>
    <w:rPr>
      <w:i/>
      <w:iCs/>
      <w:color w:val="0F4761" w:themeColor="accent1" w:themeShade="BF"/>
    </w:rPr>
  </w:style>
  <w:style w:type="paragraph" w:styleId="IntenseQuote">
    <w:name w:val="Intense Quote"/>
    <w:basedOn w:val="Normal"/>
    <w:next w:val="Normal"/>
    <w:link w:val="IntenseQuoteChar"/>
    <w:uiPriority w:val="30"/>
    <w:qFormat/>
    <w:rsid w:val="006C2F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C2FA4"/>
    <w:rPr>
      <w:i/>
      <w:iCs/>
      <w:color w:val="0F4761" w:themeColor="accent1" w:themeShade="BF"/>
    </w:rPr>
  </w:style>
  <w:style w:type="character" w:styleId="IntenseReference">
    <w:name w:val="Intense Reference"/>
    <w:basedOn w:val="DefaultParagraphFont"/>
    <w:uiPriority w:val="32"/>
    <w:qFormat/>
    <w:rsid w:val="006C2FA4"/>
    <w:rPr>
      <w:b/>
      <w:bCs/>
      <w:smallCaps/>
      <w:color w:val="0F4761" w:themeColor="accent1" w:themeShade="BF"/>
      <w:spacing w:val="5"/>
    </w:rPr>
  </w:style>
  <w:style w:type="character" w:styleId="Hyperlink">
    <w:name w:val="Hyperlink"/>
    <w:basedOn w:val="DefaultParagraphFont"/>
    <w:uiPriority w:val="99"/>
    <w:unhideWhenUsed/>
    <w:rsid w:val="00302401"/>
    <w:rPr>
      <w:color w:val="467886" w:themeColor="hyperlink"/>
      <w:u w:val="single"/>
    </w:rPr>
  </w:style>
  <w:style w:type="character" w:styleId="UnresolvedMention">
    <w:name w:val="Unresolved Mention"/>
    <w:basedOn w:val="DefaultParagraphFont"/>
    <w:uiPriority w:val="99"/>
    <w:semiHidden/>
    <w:unhideWhenUsed/>
    <w:rsid w:val="00302401"/>
    <w:rPr>
      <w:color w:val="605E5C"/>
      <w:shd w:val="clear" w:color="auto" w:fill="E1DFDD"/>
    </w:rPr>
  </w:style>
  <w:style w:type="character" w:styleId="CommentReference">
    <w:name w:val="annotation reference"/>
    <w:basedOn w:val="DefaultParagraphFont"/>
    <w:uiPriority w:val="99"/>
    <w:semiHidden/>
    <w:unhideWhenUsed/>
    <w:rsid w:val="0083409A"/>
    <w:rPr>
      <w:sz w:val="16"/>
      <w:szCs w:val="16"/>
    </w:rPr>
  </w:style>
  <w:style w:type="paragraph" w:styleId="CommentText">
    <w:name w:val="annotation text"/>
    <w:basedOn w:val="Normal"/>
    <w:link w:val="CommentTextChar"/>
    <w:uiPriority w:val="99"/>
    <w:unhideWhenUsed/>
    <w:rsid w:val="0083409A"/>
    <w:pPr>
      <w:spacing w:line="240" w:lineRule="auto"/>
    </w:pPr>
    <w:rPr>
      <w:sz w:val="20"/>
      <w:szCs w:val="20"/>
    </w:rPr>
  </w:style>
  <w:style w:type="character" w:customStyle="1" w:styleId="CommentTextChar">
    <w:name w:val="Comment Text Char"/>
    <w:basedOn w:val="DefaultParagraphFont"/>
    <w:link w:val="CommentText"/>
    <w:uiPriority w:val="99"/>
    <w:rsid w:val="0083409A"/>
    <w:rPr>
      <w:sz w:val="20"/>
      <w:szCs w:val="20"/>
    </w:rPr>
  </w:style>
  <w:style w:type="paragraph" w:styleId="CommentSubject">
    <w:name w:val="annotation subject"/>
    <w:basedOn w:val="CommentText"/>
    <w:next w:val="CommentText"/>
    <w:link w:val="CommentSubjectChar"/>
    <w:uiPriority w:val="99"/>
    <w:semiHidden/>
    <w:unhideWhenUsed/>
    <w:rsid w:val="0083409A"/>
    <w:rPr>
      <w:b/>
      <w:bCs/>
    </w:rPr>
  </w:style>
  <w:style w:type="character" w:customStyle="1" w:styleId="CommentSubjectChar">
    <w:name w:val="Comment Subject Char"/>
    <w:basedOn w:val="CommentTextChar"/>
    <w:link w:val="CommentSubject"/>
    <w:uiPriority w:val="99"/>
    <w:semiHidden/>
    <w:rsid w:val="0083409A"/>
    <w:rPr>
      <w:b/>
      <w:bCs/>
      <w:sz w:val="20"/>
      <w:szCs w:val="20"/>
    </w:rPr>
  </w:style>
  <w:style w:type="table" w:styleId="TableGrid">
    <w:name w:val="Table Grid"/>
    <w:basedOn w:val="TableNormal"/>
    <w:uiPriority w:val="39"/>
    <w:rsid w:val="000A19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416318"/>
    <w:rPr>
      <w:color w:val="2B579A"/>
      <w:shd w:val="clear" w:color="auto" w:fill="E1DFDD"/>
    </w:rPr>
  </w:style>
  <w:style w:type="paragraph" w:styleId="Revision">
    <w:name w:val="Revision"/>
    <w:hidden/>
    <w:uiPriority w:val="99"/>
    <w:semiHidden/>
    <w:rsid w:val="005003EE"/>
    <w:pPr>
      <w:spacing w:after="0" w:line="240" w:lineRule="auto"/>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8304240">
      <w:bodyDiv w:val="1"/>
      <w:marLeft w:val="0"/>
      <w:marRight w:val="0"/>
      <w:marTop w:val="0"/>
      <w:marBottom w:val="0"/>
      <w:divBdr>
        <w:top w:val="none" w:sz="0" w:space="0" w:color="auto"/>
        <w:left w:val="none" w:sz="0" w:space="0" w:color="auto"/>
        <w:bottom w:val="none" w:sz="0" w:space="0" w:color="auto"/>
        <w:right w:val="none" w:sz="0" w:space="0" w:color="auto"/>
      </w:divBdr>
    </w:div>
    <w:div w:id="1875581272">
      <w:bodyDiv w:val="1"/>
      <w:marLeft w:val="0"/>
      <w:marRight w:val="0"/>
      <w:marTop w:val="0"/>
      <w:marBottom w:val="0"/>
      <w:divBdr>
        <w:top w:val="none" w:sz="0" w:space="0" w:color="auto"/>
        <w:left w:val="none" w:sz="0" w:space="0" w:color="auto"/>
        <w:bottom w:val="none" w:sz="0" w:space="0" w:color="auto"/>
        <w:right w:val="none" w:sz="0" w:space="0" w:color="auto"/>
      </w:divBdr>
    </w:div>
    <w:div w:id="201556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climateinvestments.ca.gov/organics-grant-progra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epa.gov/system/files/documents/2024-01/warm_management_practices_v16_dec.pdf" TargetMode="External"/><Relationship Id="rId4" Type="http://schemas.openxmlformats.org/officeDocument/2006/relationships/numbering" Target="numbering.xml"/><Relationship Id="rId9" Type="http://schemas.openxmlformats.org/officeDocument/2006/relationships/hyperlink" Target="https://www.epa.gov/warm/versions-waste-reduction-mod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9D3678A5544C4A88C4158C7AE024AE" ma:contentTypeVersion="6" ma:contentTypeDescription="Create a new document." ma:contentTypeScope="" ma:versionID="2c27d1251d0a606638d786ee6eecb782">
  <xsd:schema xmlns:xsd="http://www.w3.org/2001/XMLSchema" xmlns:xs="http://www.w3.org/2001/XMLSchema" xmlns:p="http://schemas.microsoft.com/office/2006/metadata/properties" xmlns:ns2="e1c729c3-c789-4d3f-87be-81a550f7db03" xmlns:ns3="a2ebd1c0-cb45-4c68-ab18-0f7b8f755cdc" targetNamespace="http://schemas.microsoft.com/office/2006/metadata/properties" ma:root="true" ma:fieldsID="ae3dbcffb701800018394d87134b4232" ns2:_="" ns3:_="">
    <xsd:import namespace="e1c729c3-c789-4d3f-87be-81a550f7db03"/>
    <xsd:import namespace="a2ebd1c0-cb45-4c68-ab18-0f7b8f755cd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c729c3-c789-4d3f-87be-81a550f7db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bd1c0-cb45-4c68-ab18-0f7b8f755cd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08B02D-422E-442D-B8F5-13665D1E8F8C}">
  <ds:schemaRefs>
    <ds:schemaRef ds:uri="e1c729c3-c789-4d3f-87be-81a550f7db03"/>
    <ds:schemaRef ds:uri="http://purl.org/dc/terms/"/>
    <ds:schemaRef ds:uri="http://purl.org/dc/dcmitype/"/>
    <ds:schemaRef ds:uri="http://purl.org/dc/elements/1.1/"/>
    <ds:schemaRef ds:uri="a2ebd1c0-cb45-4c68-ab18-0f7b8f755cdc"/>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31DE98BA-A2BB-43E3-A64A-1F89881A2F1A}">
  <ds:schemaRefs>
    <ds:schemaRef ds:uri="http://schemas.microsoft.com/sharepoint/v3/contenttype/forms"/>
  </ds:schemaRefs>
</ds:datastoreItem>
</file>

<file path=customXml/itemProps3.xml><?xml version="1.0" encoding="utf-8"?>
<ds:datastoreItem xmlns:ds="http://schemas.openxmlformats.org/officeDocument/2006/customXml" ds:itemID="{022F3390-0EF7-4E0F-B9D1-6DD31C44D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c729c3-c789-4d3f-87be-81a550f7db03"/>
    <ds:schemaRef ds:uri="a2ebd1c0-cb45-4c68-ab18-0f7b8f755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1149</Words>
  <Characters>6808</Characters>
  <Application>Microsoft Office Word</Application>
  <DocSecurity>0</DocSecurity>
  <Lines>148</Lines>
  <Paragraphs>86</Paragraphs>
  <ScaleCrop>false</ScaleCrop>
  <Company/>
  <LinksUpToDate>false</LinksUpToDate>
  <CharactersWithSpaces>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Beckner, Scott@CalRecycle</dc:creator>
  <cp:keywords/>
  <dc:description/>
  <cp:lastModifiedBy>Hunt, Brandy@CalRecycle</cp:lastModifiedBy>
  <cp:revision>2</cp:revision>
  <dcterms:created xsi:type="dcterms:W3CDTF">2024-03-29T23:53:00Z</dcterms:created>
  <dcterms:modified xsi:type="dcterms:W3CDTF">2024-03-29T23:53:00Z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0x010100439D3678A5544C4A88C4158C7AE024AE</vt:lpwstr>
  </property>
  <property fmtid="{D5CDD505-2E9C-101B-9397-08002B2CF9AE}" pid="3" name="GrammarlyDocumentId">
    <vt:lpwstr>809617963b9b9ade1f79e377258c1665b2d6cbbeb7c6d5d64d4bb6fd97c115bd</vt:lpwstr>
  </property>
</Properties>
</file>