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F414C1" w14:textId="77777777" w:rsidR="0062031E" w:rsidRPr="006B78C3" w:rsidRDefault="0062031E" w:rsidP="0062031E">
      <w:pPr>
        <w:pStyle w:val="Title"/>
        <w:rPr>
          <w:rFonts w:ascii="Times New Roman" w:hAnsi="Times New Roman" w:cs="Times New Roman"/>
        </w:rPr>
      </w:pPr>
      <w:r w:rsidRPr="006B78C3">
        <w:rPr>
          <w:rFonts w:ascii="Times New Roman" w:hAnsi="Times New Roman" w:cs="Times New Roman"/>
        </w:rPr>
        <w:t xml:space="preserve">Climate Pollution Reduction Grants – Implementation Grants </w:t>
      </w:r>
    </w:p>
    <w:p w14:paraId="694F23F1" w14:textId="7ACD16E9" w:rsidR="00A361C4" w:rsidRDefault="0062031E" w:rsidP="0062031E">
      <w:pPr>
        <w:jc w:val="center"/>
        <w:rPr>
          <w:rFonts w:ascii="Times New Roman" w:hAnsi="Times New Roman" w:cs="Times New Roman"/>
          <w:b/>
          <w:bCs/>
          <w:sz w:val="28"/>
          <w:szCs w:val="28"/>
          <w:u w:val="single"/>
        </w:rPr>
      </w:pPr>
      <w:r w:rsidRPr="006B78C3">
        <w:rPr>
          <w:rFonts w:ascii="Times New Roman" w:hAnsi="Times New Roman" w:cs="Times New Roman"/>
          <w:b/>
          <w:bCs/>
          <w:sz w:val="28"/>
          <w:szCs w:val="28"/>
          <w:u w:val="single"/>
        </w:rPr>
        <w:t xml:space="preserve">City of Concord </w:t>
      </w:r>
      <w:bookmarkStart w:id="0" w:name="_Hlk160778326"/>
      <w:r w:rsidRPr="006B78C3">
        <w:rPr>
          <w:rFonts w:ascii="Times New Roman" w:hAnsi="Times New Roman" w:cs="Times New Roman"/>
          <w:b/>
          <w:bCs/>
          <w:sz w:val="28"/>
          <w:szCs w:val="28"/>
          <w:u w:val="single"/>
        </w:rPr>
        <w:t>Climate Pollution Reduction Solar Project</w:t>
      </w:r>
      <w:bookmarkEnd w:id="0"/>
    </w:p>
    <w:p w14:paraId="1159F32B" w14:textId="77777777" w:rsidR="0062031E" w:rsidRDefault="0062031E" w:rsidP="0062031E">
      <w:pPr>
        <w:rPr>
          <w:rFonts w:ascii="Times New Roman" w:hAnsi="Times New Roman" w:cs="Times New Roman"/>
          <w:sz w:val="28"/>
          <w:szCs w:val="28"/>
        </w:rPr>
      </w:pPr>
    </w:p>
    <w:p w14:paraId="1D13F20F" w14:textId="68924FF7" w:rsidR="0062031E" w:rsidRPr="007D31B7" w:rsidRDefault="0062031E" w:rsidP="00BD5CD4">
      <w:pPr>
        <w:jc w:val="center"/>
        <w:rPr>
          <w:rFonts w:ascii="Times New Roman" w:hAnsi="Times New Roman" w:cs="Times New Roman"/>
          <w:sz w:val="28"/>
          <w:szCs w:val="28"/>
        </w:rPr>
      </w:pPr>
      <w:r w:rsidRPr="007D31B7">
        <w:rPr>
          <w:rFonts w:ascii="Times New Roman" w:hAnsi="Times New Roman" w:cs="Times New Roman"/>
          <w:sz w:val="28"/>
          <w:szCs w:val="28"/>
        </w:rPr>
        <w:t>Technical Appendix</w:t>
      </w:r>
    </w:p>
    <w:p w14:paraId="0E263F47" w14:textId="77777777" w:rsidR="006105EC" w:rsidRDefault="006105EC" w:rsidP="0062031E">
      <w:pPr>
        <w:rPr>
          <w:rFonts w:ascii="Times New Roman" w:hAnsi="Times New Roman" w:cs="Times New Roman"/>
          <w:sz w:val="28"/>
          <w:szCs w:val="28"/>
        </w:rPr>
      </w:pPr>
    </w:p>
    <w:p w14:paraId="3C3B1FFA" w14:textId="24923FBC" w:rsidR="006105EC" w:rsidRPr="007D31B7" w:rsidRDefault="006105EC" w:rsidP="0062031E">
      <w:pPr>
        <w:rPr>
          <w:rFonts w:ascii="Times New Roman" w:hAnsi="Times New Roman" w:cs="Times New Roman"/>
          <w:sz w:val="24"/>
          <w:szCs w:val="24"/>
          <w:u w:val="single"/>
        </w:rPr>
      </w:pPr>
      <w:r w:rsidRPr="007D31B7">
        <w:rPr>
          <w:rFonts w:ascii="Times New Roman" w:hAnsi="Times New Roman" w:cs="Times New Roman"/>
          <w:sz w:val="24"/>
          <w:szCs w:val="24"/>
          <w:u w:val="single"/>
        </w:rPr>
        <w:t>GHG Reduction Estimate Method</w:t>
      </w:r>
      <w:r w:rsidR="00BD5CD4" w:rsidRPr="007D31B7">
        <w:rPr>
          <w:rFonts w:ascii="Times New Roman" w:hAnsi="Times New Roman" w:cs="Times New Roman"/>
          <w:sz w:val="24"/>
          <w:szCs w:val="24"/>
          <w:u w:val="single"/>
        </w:rPr>
        <w:t>:</w:t>
      </w:r>
    </w:p>
    <w:p w14:paraId="014C51FB" w14:textId="77777777" w:rsidR="009A5922" w:rsidRDefault="009A5922" w:rsidP="00B44215">
      <w:pPr>
        <w:rPr>
          <w:rFonts w:ascii="Times New Roman" w:hAnsi="Times New Roman" w:cs="Times New Roman"/>
          <w:sz w:val="24"/>
          <w:szCs w:val="24"/>
        </w:rPr>
      </w:pPr>
    </w:p>
    <w:p w14:paraId="325C6349" w14:textId="6280C682" w:rsidR="00BD5CD4" w:rsidRDefault="00BD5CD4" w:rsidP="00B44215">
      <w:pPr>
        <w:rPr>
          <w:rFonts w:ascii="Times New Roman" w:hAnsi="Times New Roman" w:cs="Times New Roman"/>
          <w:sz w:val="24"/>
          <w:szCs w:val="24"/>
        </w:rPr>
      </w:pPr>
      <w:r w:rsidRPr="00BD5CD4">
        <w:rPr>
          <w:rFonts w:ascii="Times New Roman" w:hAnsi="Times New Roman" w:cs="Times New Roman"/>
          <w:sz w:val="24"/>
          <w:szCs w:val="24"/>
        </w:rPr>
        <w:t xml:space="preserve">GHG reduction estimates were calculated using the EPA Greenhouse Gas Equivalencies </w:t>
      </w:r>
      <w:r>
        <w:rPr>
          <w:rFonts w:ascii="Times New Roman" w:hAnsi="Times New Roman" w:cs="Times New Roman"/>
          <w:sz w:val="24"/>
          <w:szCs w:val="24"/>
        </w:rPr>
        <w:t>C</w:t>
      </w:r>
      <w:r w:rsidRPr="00BD5CD4">
        <w:rPr>
          <w:rFonts w:ascii="Times New Roman" w:hAnsi="Times New Roman" w:cs="Times New Roman"/>
          <w:sz w:val="24"/>
          <w:szCs w:val="24"/>
        </w:rPr>
        <w:t>alculator.</w:t>
      </w:r>
      <w:r w:rsidR="005D21E5">
        <w:rPr>
          <w:rFonts w:ascii="Times New Roman" w:hAnsi="Times New Roman" w:cs="Times New Roman"/>
          <w:sz w:val="24"/>
          <w:szCs w:val="24"/>
        </w:rPr>
        <w:t xml:space="preserve">  </w:t>
      </w:r>
      <w:r w:rsidR="005D21E5" w:rsidRPr="005D21E5">
        <w:rPr>
          <w:rFonts w:ascii="Times New Roman" w:hAnsi="Times New Roman" w:cs="Times New Roman"/>
          <w:sz w:val="24"/>
          <w:szCs w:val="24"/>
        </w:rPr>
        <w:t xml:space="preserve">The project’s estimates are using National Renewable Energy Laboratory (“NREL”) </w:t>
      </w:r>
      <w:proofErr w:type="spellStart"/>
      <w:r w:rsidR="005D21E5" w:rsidRPr="005D21E5">
        <w:rPr>
          <w:rFonts w:ascii="Times New Roman" w:hAnsi="Times New Roman" w:cs="Times New Roman"/>
          <w:sz w:val="24"/>
          <w:szCs w:val="24"/>
        </w:rPr>
        <w:t>PVWatts</w:t>
      </w:r>
      <w:proofErr w:type="spellEnd"/>
      <w:r w:rsidR="005D21E5" w:rsidRPr="005D21E5">
        <w:rPr>
          <w:rFonts w:ascii="Times New Roman" w:hAnsi="Times New Roman" w:cs="Times New Roman"/>
          <w:sz w:val="24"/>
          <w:szCs w:val="24"/>
        </w:rPr>
        <w:t xml:space="preserve"> Calculator with a DC Capacity Factor of 19%.</w:t>
      </w:r>
    </w:p>
    <w:p w14:paraId="3C00A5C1" w14:textId="77777777" w:rsidR="00BD5CD4" w:rsidRPr="00BD5CD4" w:rsidRDefault="00BD5CD4" w:rsidP="0062031E">
      <w:pPr>
        <w:rPr>
          <w:rFonts w:ascii="Times New Roman" w:hAnsi="Times New Roman" w:cs="Times New Roman"/>
          <w:sz w:val="24"/>
          <w:szCs w:val="24"/>
        </w:rPr>
      </w:pPr>
    </w:p>
    <w:p w14:paraId="030949B0" w14:textId="7FE3BD3E" w:rsidR="006105EC" w:rsidRPr="007D31B7" w:rsidRDefault="006105EC" w:rsidP="0062031E">
      <w:pPr>
        <w:rPr>
          <w:rFonts w:ascii="Times New Roman" w:hAnsi="Times New Roman" w:cs="Times New Roman"/>
          <w:sz w:val="24"/>
          <w:szCs w:val="24"/>
          <w:u w:val="single"/>
        </w:rPr>
      </w:pPr>
      <w:r w:rsidRPr="007D31B7">
        <w:rPr>
          <w:rFonts w:ascii="Times New Roman" w:hAnsi="Times New Roman" w:cs="Times New Roman"/>
          <w:sz w:val="24"/>
          <w:szCs w:val="24"/>
          <w:u w:val="single"/>
        </w:rPr>
        <w:t>Model/Tools Used</w:t>
      </w:r>
      <w:r w:rsidR="00BD5CD4" w:rsidRPr="007D31B7">
        <w:rPr>
          <w:rFonts w:ascii="Times New Roman" w:hAnsi="Times New Roman" w:cs="Times New Roman"/>
          <w:sz w:val="24"/>
          <w:szCs w:val="24"/>
          <w:u w:val="single"/>
        </w:rPr>
        <w:t>:</w:t>
      </w:r>
    </w:p>
    <w:p w14:paraId="3FA41277" w14:textId="77777777" w:rsidR="009A5922" w:rsidRDefault="009A5922" w:rsidP="007D31B7">
      <w:pPr>
        <w:rPr>
          <w:rFonts w:ascii="Times New Roman" w:hAnsi="Times New Roman" w:cs="Times New Roman"/>
          <w:sz w:val="24"/>
          <w:szCs w:val="24"/>
        </w:rPr>
      </w:pPr>
    </w:p>
    <w:p w14:paraId="50D8156B" w14:textId="67F1BB1C" w:rsidR="00BD5CD4" w:rsidRPr="00BD5CD4" w:rsidRDefault="00BD5CD4" w:rsidP="007D31B7">
      <w:pPr>
        <w:rPr>
          <w:rFonts w:ascii="Times New Roman" w:hAnsi="Times New Roman" w:cs="Times New Roman"/>
          <w:sz w:val="24"/>
          <w:szCs w:val="24"/>
        </w:rPr>
      </w:pPr>
      <w:r w:rsidRPr="00BD5CD4">
        <w:rPr>
          <w:rFonts w:ascii="Times New Roman" w:hAnsi="Times New Roman" w:cs="Times New Roman"/>
          <w:sz w:val="24"/>
          <w:szCs w:val="24"/>
        </w:rPr>
        <w:t xml:space="preserve">The </w:t>
      </w:r>
      <w:r w:rsidR="009E7839">
        <w:rPr>
          <w:rFonts w:ascii="Times New Roman" w:hAnsi="Times New Roman" w:cs="Times New Roman"/>
          <w:sz w:val="24"/>
          <w:szCs w:val="24"/>
        </w:rPr>
        <w:t xml:space="preserve">EPA’s </w:t>
      </w:r>
      <w:r w:rsidRPr="00BD5CD4">
        <w:rPr>
          <w:rFonts w:ascii="Times New Roman" w:hAnsi="Times New Roman" w:cs="Times New Roman"/>
          <w:sz w:val="24"/>
          <w:szCs w:val="24"/>
        </w:rPr>
        <w:t>Greenhouse Gas Equivalencies calculator allows you to convert emissions or energy data to the equivalent amount of carbon dioxide (CO</w:t>
      </w:r>
      <w:r w:rsidRPr="000674BF">
        <w:rPr>
          <w:rFonts w:ascii="Times New Roman" w:hAnsi="Times New Roman" w:cs="Times New Roman"/>
          <w:sz w:val="24"/>
          <w:szCs w:val="24"/>
          <w:vertAlign w:val="subscript"/>
        </w:rPr>
        <w:t>2</w:t>
      </w:r>
      <w:r w:rsidRPr="00BD5CD4">
        <w:rPr>
          <w:rFonts w:ascii="Times New Roman" w:hAnsi="Times New Roman" w:cs="Times New Roman"/>
          <w:sz w:val="24"/>
          <w:szCs w:val="24"/>
        </w:rPr>
        <w:t>) emissions from using that amount.</w:t>
      </w:r>
    </w:p>
    <w:p w14:paraId="3796D5DE" w14:textId="77777777" w:rsidR="006105EC" w:rsidRPr="00BD5CD4" w:rsidRDefault="006105EC" w:rsidP="0062031E">
      <w:pPr>
        <w:rPr>
          <w:rFonts w:ascii="Times New Roman" w:hAnsi="Times New Roman" w:cs="Times New Roman"/>
          <w:sz w:val="24"/>
          <w:szCs w:val="24"/>
        </w:rPr>
      </w:pPr>
    </w:p>
    <w:p w14:paraId="3BF1F363" w14:textId="5CA8DB4E" w:rsidR="006105EC" w:rsidRPr="007D31B7" w:rsidRDefault="006105EC" w:rsidP="0062031E">
      <w:pPr>
        <w:rPr>
          <w:rFonts w:ascii="Times New Roman" w:hAnsi="Times New Roman" w:cs="Times New Roman"/>
          <w:sz w:val="24"/>
          <w:szCs w:val="24"/>
          <w:u w:val="single"/>
        </w:rPr>
      </w:pPr>
      <w:r w:rsidRPr="007D31B7">
        <w:rPr>
          <w:rFonts w:ascii="Times New Roman" w:hAnsi="Times New Roman" w:cs="Times New Roman"/>
          <w:sz w:val="24"/>
          <w:szCs w:val="24"/>
          <w:u w:val="single"/>
        </w:rPr>
        <w:t>Measure Implementation Assumptions</w:t>
      </w:r>
      <w:r w:rsidR="00B44215" w:rsidRPr="007D31B7">
        <w:rPr>
          <w:rFonts w:ascii="Times New Roman" w:hAnsi="Times New Roman" w:cs="Times New Roman"/>
          <w:sz w:val="24"/>
          <w:szCs w:val="24"/>
          <w:u w:val="single"/>
        </w:rPr>
        <w:t>:</w:t>
      </w:r>
    </w:p>
    <w:p w14:paraId="09F21D39" w14:textId="77777777" w:rsidR="009A5922" w:rsidRDefault="009A5922" w:rsidP="00B44215">
      <w:pPr>
        <w:rPr>
          <w:rFonts w:ascii="Times New Roman" w:hAnsi="Times New Roman" w:cs="Times New Roman"/>
          <w:sz w:val="24"/>
          <w:szCs w:val="24"/>
        </w:rPr>
      </w:pPr>
    </w:p>
    <w:p w14:paraId="69C1E23B" w14:textId="146536C0" w:rsidR="00B44215" w:rsidRPr="00BD5CD4" w:rsidRDefault="00B44215" w:rsidP="00B44215">
      <w:pPr>
        <w:rPr>
          <w:rFonts w:ascii="Times New Roman" w:hAnsi="Times New Roman" w:cs="Times New Roman"/>
          <w:sz w:val="24"/>
          <w:szCs w:val="24"/>
        </w:rPr>
      </w:pPr>
      <w:r w:rsidRPr="00B44215">
        <w:rPr>
          <w:rFonts w:ascii="Times New Roman" w:hAnsi="Times New Roman" w:cs="Times New Roman"/>
          <w:sz w:val="24"/>
          <w:szCs w:val="24"/>
        </w:rPr>
        <w:t xml:space="preserve">The cumulative annual generations are based on the estimated solar array’s commissioning and generation timeline per the </w:t>
      </w:r>
      <w:r w:rsidR="007D31B7">
        <w:rPr>
          <w:rFonts w:ascii="Times New Roman" w:hAnsi="Times New Roman" w:cs="Times New Roman"/>
          <w:sz w:val="24"/>
          <w:szCs w:val="24"/>
        </w:rPr>
        <w:t xml:space="preserve">stated </w:t>
      </w:r>
      <w:r w:rsidRPr="00B44215">
        <w:rPr>
          <w:rFonts w:ascii="Times New Roman" w:hAnsi="Times New Roman" w:cs="Times New Roman"/>
          <w:sz w:val="24"/>
          <w:szCs w:val="24"/>
        </w:rPr>
        <w:t>project schedule</w:t>
      </w:r>
      <w:r w:rsidR="007D31B7">
        <w:rPr>
          <w:rFonts w:ascii="Times New Roman" w:hAnsi="Times New Roman" w:cs="Times New Roman"/>
          <w:sz w:val="24"/>
          <w:szCs w:val="24"/>
        </w:rPr>
        <w:t>.</w:t>
      </w:r>
      <w:r w:rsidR="00D94EB6">
        <w:rPr>
          <w:rFonts w:ascii="Times New Roman" w:hAnsi="Times New Roman" w:cs="Times New Roman"/>
          <w:sz w:val="24"/>
          <w:szCs w:val="24"/>
        </w:rPr>
        <w:t xml:space="preserve">  The project schedules the installation of one micro-grid at the Public Works Corporation Yard in 2025, two micro-grids at the Senior Citizens Center and the Police Complex in 2026, and one micro-grid at the Civic Center Complex in 2027.</w:t>
      </w:r>
      <w:r w:rsidR="00CB43B3">
        <w:rPr>
          <w:rFonts w:ascii="Times New Roman" w:hAnsi="Times New Roman" w:cs="Times New Roman"/>
          <w:sz w:val="24"/>
          <w:szCs w:val="24"/>
        </w:rPr>
        <w:t xml:space="preserve">  The on-time installation and commissioning of the micro-grids directly impact the reduction of GHG.  The project estimates the micro-grids’ lifecycle of 26 years.  The grant provides funding for the installation while the cost savings provides and funds the on-going maintenance needs.</w:t>
      </w:r>
    </w:p>
    <w:p w14:paraId="2F39D0B8" w14:textId="77777777" w:rsidR="006105EC" w:rsidRPr="00BD5CD4" w:rsidRDefault="006105EC" w:rsidP="0062031E">
      <w:pPr>
        <w:rPr>
          <w:rFonts w:ascii="Times New Roman" w:hAnsi="Times New Roman" w:cs="Times New Roman"/>
          <w:sz w:val="24"/>
          <w:szCs w:val="24"/>
        </w:rPr>
      </w:pPr>
    </w:p>
    <w:p w14:paraId="143AB8A8" w14:textId="41F26E49" w:rsidR="006105EC" w:rsidRPr="007D31B7" w:rsidRDefault="006105EC" w:rsidP="006105EC">
      <w:pPr>
        <w:rPr>
          <w:rFonts w:ascii="Times New Roman" w:hAnsi="Times New Roman" w:cs="Times New Roman"/>
          <w:sz w:val="24"/>
          <w:szCs w:val="24"/>
          <w:u w:val="single"/>
        </w:rPr>
      </w:pPr>
      <w:r w:rsidRPr="007D31B7">
        <w:rPr>
          <w:rFonts w:ascii="Times New Roman" w:hAnsi="Times New Roman" w:cs="Times New Roman"/>
          <w:sz w:val="24"/>
          <w:szCs w:val="24"/>
          <w:u w:val="single"/>
        </w:rPr>
        <w:t>GHG Reduction Assumptions (key assumptions used in estimation method, such as emission rates; emission</w:t>
      </w:r>
      <w:r w:rsidR="007D31B7" w:rsidRPr="007D31B7">
        <w:rPr>
          <w:rFonts w:ascii="Times New Roman" w:hAnsi="Times New Roman" w:cs="Times New Roman"/>
          <w:sz w:val="24"/>
          <w:szCs w:val="24"/>
          <w:u w:val="single"/>
        </w:rPr>
        <w:t xml:space="preserve"> </w:t>
      </w:r>
      <w:r w:rsidRPr="007D31B7">
        <w:rPr>
          <w:rFonts w:ascii="Times New Roman" w:hAnsi="Times New Roman" w:cs="Times New Roman"/>
          <w:sz w:val="24"/>
          <w:szCs w:val="24"/>
          <w:u w:val="single"/>
        </w:rPr>
        <w:t>factors; input assumptions for modeling)</w:t>
      </w:r>
      <w:r w:rsidR="007D31B7" w:rsidRPr="007D31B7">
        <w:rPr>
          <w:rFonts w:ascii="Times New Roman" w:hAnsi="Times New Roman" w:cs="Times New Roman"/>
          <w:sz w:val="24"/>
          <w:szCs w:val="24"/>
          <w:u w:val="single"/>
        </w:rPr>
        <w:t>:</w:t>
      </w:r>
    </w:p>
    <w:p w14:paraId="4C55B2AA" w14:textId="77777777" w:rsidR="009A5922" w:rsidRDefault="009A5922" w:rsidP="006105EC">
      <w:pPr>
        <w:rPr>
          <w:rFonts w:ascii="Times New Roman" w:hAnsi="Times New Roman" w:cs="Times New Roman"/>
          <w:sz w:val="24"/>
          <w:szCs w:val="24"/>
        </w:rPr>
      </w:pPr>
    </w:p>
    <w:p w14:paraId="515D232B" w14:textId="2857D366" w:rsidR="007D31B7" w:rsidRDefault="007D31B7" w:rsidP="006105EC">
      <w:pPr>
        <w:rPr>
          <w:rFonts w:ascii="Times New Roman" w:hAnsi="Times New Roman" w:cs="Times New Roman"/>
          <w:sz w:val="24"/>
          <w:szCs w:val="24"/>
        </w:rPr>
      </w:pPr>
      <w:r>
        <w:rPr>
          <w:rFonts w:ascii="Times New Roman" w:hAnsi="Times New Roman" w:cs="Times New Roman"/>
          <w:sz w:val="24"/>
          <w:szCs w:val="24"/>
        </w:rPr>
        <w:t>GHG reduction was based on the following:</w:t>
      </w:r>
    </w:p>
    <w:p w14:paraId="7FA697EE" w14:textId="3DB6837E" w:rsidR="007D31B7" w:rsidRDefault="007D31B7" w:rsidP="007D31B7">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Project solar arrays on-time installation and commissioning per proposed schedule.</w:t>
      </w:r>
    </w:p>
    <w:p w14:paraId="4C181C3D" w14:textId="18F6CAE0" w:rsidR="007D31B7" w:rsidRDefault="007D31B7" w:rsidP="007D31B7">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Solar arrays’ production meets the manufacturer's specifications.</w:t>
      </w:r>
    </w:p>
    <w:p w14:paraId="40654F3F" w14:textId="75435F67" w:rsidR="007D31B7" w:rsidRDefault="007D31B7" w:rsidP="007D31B7">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No unusual weather patterns that could adversely impacting the solar arrays’ generation.</w:t>
      </w:r>
    </w:p>
    <w:p w14:paraId="662ECF60" w14:textId="77777777" w:rsidR="007D31B7" w:rsidRDefault="007D31B7" w:rsidP="007D31B7">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EPA’s Greenhouse Gas Equivalencies calculator provided accurate numbers.</w:t>
      </w:r>
    </w:p>
    <w:p w14:paraId="56B2695B" w14:textId="275C1A25" w:rsidR="007D31B7" w:rsidRPr="007D31B7" w:rsidRDefault="00880D5B" w:rsidP="007D31B7">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 xml:space="preserve">No other activities or events that could </w:t>
      </w:r>
      <w:r w:rsidRPr="00880D5B">
        <w:rPr>
          <w:rFonts w:ascii="Times New Roman" w:hAnsi="Times New Roman" w:cs="Times New Roman"/>
          <w:sz w:val="24"/>
          <w:szCs w:val="24"/>
        </w:rPr>
        <w:t>adversely impacting the solar arrays’ generation.</w:t>
      </w:r>
      <w:r w:rsidR="007D31B7">
        <w:rPr>
          <w:rFonts w:ascii="Times New Roman" w:hAnsi="Times New Roman" w:cs="Times New Roman"/>
          <w:sz w:val="24"/>
          <w:szCs w:val="24"/>
        </w:rPr>
        <w:t xml:space="preserve"> </w:t>
      </w:r>
    </w:p>
    <w:p w14:paraId="10E3D2E9" w14:textId="77777777" w:rsidR="007D31B7" w:rsidRDefault="007D31B7" w:rsidP="006105EC">
      <w:pPr>
        <w:rPr>
          <w:rFonts w:ascii="Times New Roman" w:hAnsi="Times New Roman" w:cs="Times New Roman"/>
          <w:sz w:val="24"/>
          <w:szCs w:val="24"/>
        </w:rPr>
      </w:pPr>
    </w:p>
    <w:p w14:paraId="2BCABAFB" w14:textId="092D4641" w:rsidR="006105EC" w:rsidRPr="006B0D06" w:rsidRDefault="006105EC" w:rsidP="006105EC">
      <w:pPr>
        <w:rPr>
          <w:rFonts w:ascii="Times New Roman" w:hAnsi="Times New Roman" w:cs="Times New Roman"/>
          <w:sz w:val="24"/>
          <w:szCs w:val="24"/>
          <w:u w:val="single"/>
        </w:rPr>
      </w:pPr>
      <w:r w:rsidRPr="006B0D06">
        <w:rPr>
          <w:rFonts w:ascii="Times New Roman" w:hAnsi="Times New Roman" w:cs="Times New Roman"/>
          <w:sz w:val="24"/>
          <w:szCs w:val="24"/>
          <w:u w:val="single"/>
        </w:rPr>
        <w:t>Reference Case Scenario (GHG emissions or activity level)</w:t>
      </w:r>
      <w:r w:rsidR="007D31B7" w:rsidRPr="006B0D06">
        <w:rPr>
          <w:rFonts w:ascii="Times New Roman" w:hAnsi="Times New Roman" w:cs="Times New Roman"/>
          <w:sz w:val="24"/>
          <w:szCs w:val="24"/>
          <w:u w:val="single"/>
        </w:rPr>
        <w:t>:</w:t>
      </w:r>
    </w:p>
    <w:p w14:paraId="2CD4E892" w14:textId="77777777" w:rsidR="009A5922" w:rsidRDefault="009A5922" w:rsidP="006105EC">
      <w:pPr>
        <w:rPr>
          <w:rFonts w:ascii="Times New Roman" w:hAnsi="Times New Roman" w:cs="Times New Roman"/>
          <w:sz w:val="24"/>
          <w:szCs w:val="24"/>
        </w:rPr>
      </w:pPr>
    </w:p>
    <w:p w14:paraId="239E96DD" w14:textId="0EB40FF5" w:rsidR="007D31B7" w:rsidRDefault="006B0D06" w:rsidP="006105EC">
      <w:pPr>
        <w:rPr>
          <w:rFonts w:ascii="Times New Roman" w:hAnsi="Times New Roman" w:cs="Times New Roman"/>
          <w:sz w:val="24"/>
          <w:szCs w:val="24"/>
        </w:rPr>
      </w:pPr>
      <w:r>
        <w:rPr>
          <w:rFonts w:ascii="Times New Roman" w:hAnsi="Times New Roman" w:cs="Times New Roman"/>
          <w:sz w:val="24"/>
          <w:szCs w:val="24"/>
        </w:rPr>
        <w:t xml:space="preserve">The GHG emission reference was based on Base Year GHG emissions for sector where the GHG reduction measure will be implemented in the absence of the implemented GHG reduction measure.  The Base Year period was identified as 12/28/2023 – 01/28/2024. </w:t>
      </w:r>
    </w:p>
    <w:p w14:paraId="414FB865" w14:textId="77777777" w:rsidR="007D31B7" w:rsidRDefault="007D31B7" w:rsidP="006105EC">
      <w:pPr>
        <w:rPr>
          <w:rFonts w:ascii="Times New Roman" w:hAnsi="Times New Roman" w:cs="Times New Roman"/>
          <w:sz w:val="24"/>
          <w:szCs w:val="24"/>
        </w:rPr>
      </w:pPr>
    </w:p>
    <w:p w14:paraId="2944BCD5" w14:textId="3831BB19" w:rsidR="006105EC" w:rsidRPr="00880D5B" w:rsidRDefault="006105EC" w:rsidP="006105EC">
      <w:pPr>
        <w:rPr>
          <w:rFonts w:ascii="Times New Roman" w:hAnsi="Times New Roman" w:cs="Times New Roman"/>
          <w:sz w:val="24"/>
          <w:szCs w:val="24"/>
          <w:u w:val="single"/>
        </w:rPr>
      </w:pPr>
      <w:r w:rsidRPr="00880D5B">
        <w:rPr>
          <w:rFonts w:ascii="Times New Roman" w:hAnsi="Times New Roman" w:cs="Times New Roman"/>
          <w:sz w:val="24"/>
          <w:szCs w:val="24"/>
          <w:u w:val="single"/>
        </w:rPr>
        <w:t>Measure-Specific Activity Data (e.g., energy savings, electrical output, vehicle miles traveled, units of equipment installed, or other metrics used to track implementation and/or effects of a GHG reduction</w:t>
      </w:r>
      <w:r w:rsidR="007D31B7" w:rsidRPr="00880D5B">
        <w:rPr>
          <w:rFonts w:ascii="Times New Roman" w:hAnsi="Times New Roman" w:cs="Times New Roman"/>
          <w:sz w:val="24"/>
          <w:szCs w:val="24"/>
          <w:u w:val="single"/>
        </w:rPr>
        <w:t xml:space="preserve"> </w:t>
      </w:r>
      <w:r w:rsidRPr="00880D5B">
        <w:rPr>
          <w:rFonts w:ascii="Times New Roman" w:hAnsi="Times New Roman" w:cs="Times New Roman"/>
          <w:sz w:val="24"/>
          <w:szCs w:val="24"/>
          <w:u w:val="single"/>
        </w:rPr>
        <w:t>measure)</w:t>
      </w:r>
      <w:r w:rsidR="007D31B7" w:rsidRPr="00880D5B">
        <w:rPr>
          <w:rFonts w:ascii="Times New Roman" w:hAnsi="Times New Roman" w:cs="Times New Roman"/>
          <w:sz w:val="24"/>
          <w:szCs w:val="24"/>
          <w:u w:val="single"/>
        </w:rPr>
        <w:t>:</w:t>
      </w:r>
    </w:p>
    <w:p w14:paraId="206A09B8" w14:textId="691B3BCC" w:rsidR="007D31B7" w:rsidRDefault="00880D5B" w:rsidP="006105EC">
      <w:pPr>
        <w:rPr>
          <w:rFonts w:ascii="Times New Roman" w:hAnsi="Times New Roman" w:cs="Times New Roman"/>
          <w:sz w:val="24"/>
          <w:szCs w:val="24"/>
        </w:rPr>
      </w:pPr>
      <w:r>
        <w:rPr>
          <w:rFonts w:ascii="Times New Roman" w:hAnsi="Times New Roman" w:cs="Times New Roman"/>
          <w:sz w:val="24"/>
          <w:szCs w:val="24"/>
        </w:rPr>
        <w:lastRenderedPageBreak/>
        <w:t xml:space="preserve">The measurements of activity data are based on electrical output, energy savings, and the </w:t>
      </w:r>
      <w:r w:rsidRPr="00880D5B">
        <w:rPr>
          <w:rFonts w:ascii="Times New Roman" w:hAnsi="Times New Roman" w:cs="Times New Roman"/>
          <w:sz w:val="24"/>
          <w:szCs w:val="24"/>
        </w:rPr>
        <w:t xml:space="preserve">California Public Utilities Commission (“CPUC”) </w:t>
      </w:r>
      <w:r>
        <w:rPr>
          <w:rFonts w:ascii="Times New Roman" w:hAnsi="Times New Roman" w:cs="Times New Roman"/>
          <w:sz w:val="24"/>
          <w:szCs w:val="24"/>
        </w:rPr>
        <w:t>authorized</w:t>
      </w:r>
      <w:r w:rsidRPr="00880D5B">
        <w:rPr>
          <w:rFonts w:ascii="Times New Roman" w:hAnsi="Times New Roman" w:cs="Times New Roman"/>
          <w:sz w:val="24"/>
          <w:szCs w:val="24"/>
        </w:rPr>
        <w:t xml:space="preserve"> net metering, or NEM 3.0</w:t>
      </w:r>
      <w:r>
        <w:rPr>
          <w:rFonts w:ascii="Times New Roman" w:hAnsi="Times New Roman" w:cs="Times New Roman"/>
          <w:sz w:val="24"/>
          <w:szCs w:val="24"/>
        </w:rPr>
        <w:t>.</w:t>
      </w:r>
    </w:p>
    <w:p w14:paraId="15FF5D74" w14:textId="77777777" w:rsidR="00880D5B" w:rsidRDefault="00880D5B" w:rsidP="006105EC">
      <w:pPr>
        <w:rPr>
          <w:rFonts w:ascii="Times New Roman" w:hAnsi="Times New Roman" w:cs="Times New Roman"/>
          <w:sz w:val="24"/>
          <w:szCs w:val="24"/>
        </w:rPr>
      </w:pPr>
    </w:p>
    <w:p w14:paraId="6C736678" w14:textId="77777777" w:rsidR="007D31B7" w:rsidRPr="00880D5B" w:rsidRDefault="006105EC" w:rsidP="006105EC">
      <w:pPr>
        <w:rPr>
          <w:rFonts w:ascii="Times New Roman" w:hAnsi="Times New Roman" w:cs="Times New Roman"/>
          <w:sz w:val="24"/>
          <w:szCs w:val="24"/>
          <w:u w:val="single"/>
        </w:rPr>
      </w:pPr>
      <w:r w:rsidRPr="00880D5B">
        <w:rPr>
          <w:rFonts w:ascii="Times New Roman" w:hAnsi="Times New Roman" w:cs="Times New Roman"/>
          <w:sz w:val="24"/>
          <w:szCs w:val="24"/>
          <w:u w:val="single"/>
        </w:rPr>
        <w:t>GHG Emissions Reduced</w:t>
      </w:r>
      <w:r w:rsidR="007D31B7" w:rsidRPr="00880D5B">
        <w:rPr>
          <w:rFonts w:ascii="Times New Roman" w:hAnsi="Times New Roman" w:cs="Times New Roman"/>
          <w:sz w:val="24"/>
          <w:szCs w:val="24"/>
          <w:u w:val="single"/>
        </w:rPr>
        <w:t>:</w:t>
      </w:r>
    </w:p>
    <w:p w14:paraId="16F47945" w14:textId="77777777" w:rsidR="009A5922" w:rsidRDefault="009A5922" w:rsidP="006105EC">
      <w:pPr>
        <w:rPr>
          <w:rFonts w:ascii="Times New Roman" w:hAnsi="Times New Roman" w:cs="Times New Roman"/>
          <w:sz w:val="24"/>
          <w:szCs w:val="24"/>
        </w:rPr>
      </w:pPr>
    </w:p>
    <w:p w14:paraId="7D113CE5" w14:textId="7EEAF636" w:rsidR="007D31B7" w:rsidRDefault="00880D5B" w:rsidP="006105EC">
      <w:pPr>
        <w:rPr>
          <w:rFonts w:ascii="Times New Roman" w:hAnsi="Times New Roman" w:cs="Times New Roman"/>
          <w:sz w:val="24"/>
          <w:szCs w:val="24"/>
        </w:rPr>
      </w:pPr>
      <w:r w:rsidRPr="00880D5B">
        <w:rPr>
          <w:rFonts w:ascii="Times New Roman" w:hAnsi="Times New Roman" w:cs="Times New Roman"/>
          <w:sz w:val="24"/>
          <w:szCs w:val="24"/>
        </w:rPr>
        <w:t>GHG reduction estimates were calculated using the EPA Greenhouse Gas Equivalencies Calculator.</w:t>
      </w:r>
    </w:p>
    <w:p w14:paraId="6D5780D3" w14:textId="01699855" w:rsidR="009B2D2B" w:rsidRDefault="009B2D2B" w:rsidP="009B2D2B">
      <w:pPr>
        <w:rPr>
          <w:rFonts w:ascii="Times New Roman" w:hAnsi="Times New Roman" w:cs="Times New Roman"/>
          <w:sz w:val="24"/>
          <w:szCs w:val="24"/>
        </w:rPr>
      </w:pPr>
      <w:r w:rsidRPr="009B2D2B">
        <w:rPr>
          <w:rFonts w:ascii="Times New Roman" w:hAnsi="Times New Roman" w:cs="Times New Roman"/>
          <w:sz w:val="24"/>
          <w:szCs w:val="24"/>
        </w:rPr>
        <w:t>The GWP has become the default metric for transferring emissions of</w:t>
      </w:r>
      <w:r>
        <w:rPr>
          <w:rFonts w:ascii="Times New Roman" w:hAnsi="Times New Roman" w:cs="Times New Roman"/>
          <w:sz w:val="24"/>
          <w:szCs w:val="24"/>
        </w:rPr>
        <w:t xml:space="preserve"> </w:t>
      </w:r>
      <w:r w:rsidRPr="009B2D2B">
        <w:rPr>
          <w:rFonts w:ascii="Times New Roman" w:hAnsi="Times New Roman" w:cs="Times New Roman"/>
          <w:sz w:val="24"/>
          <w:szCs w:val="24"/>
        </w:rPr>
        <w:t>different gases to a common scale; often called CO</w:t>
      </w:r>
      <w:r w:rsidRPr="009B2D2B">
        <w:rPr>
          <w:rFonts w:ascii="Times New Roman" w:hAnsi="Times New Roman" w:cs="Times New Roman"/>
          <w:sz w:val="24"/>
          <w:szCs w:val="24"/>
          <w:vertAlign w:val="subscript"/>
        </w:rPr>
        <w:t>2</w:t>
      </w:r>
      <w:r w:rsidRPr="009B2D2B">
        <w:rPr>
          <w:rFonts w:ascii="Times New Roman" w:hAnsi="Times New Roman" w:cs="Times New Roman"/>
          <w:sz w:val="24"/>
          <w:szCs w:val="24"/>
        </w:rPr>
        <w:t xml:space="preserve"> equivalent emis</w:t>
      </w:r>
      <w:r>
        <w:rPr>
          <w:rFonts w:ascii="Times New Roman" w:hAnsi="Times New Roman" w:cs="Times New Roman"/>
          <w:sz w:val="24"/>
          <w:szCs w:val="24"/>
        </w:rPr>
        <w:t xml:space="preserve">sions.  </w:t>
      </w:r>
      <w:r w:rsidRPr="009B2D2B">
        <w:rPr>
          <w:rFonts w:ascii="Times New Roman" w:hAnsi="Times New Roman" w:cs="Times New Roman"/>
          <w:sz w:val="24"/>
          <w:szCs w:val="24"/>
        </w:rPr>
        <w:t xml:space="preserve">GHG emission metrics are used to express emissions of different GHGs in a common unit. </w:t>
      </w:r>
      <w:r>
        <w:rPr>
          <w:rFonts w:ascii="Times New Roman" w:hAnsi="Times New Roman" w:cs="Times New Roman"/>
          <w:sz w:val="24"/>
          <w:szCs w:val="24"/>
        </w:rPr>
        <w:t xml:space="preserve"> </w:t>
      </w:r>
      <w:r w:rsidRPr="009B2D2B">
        <w:rPr>
          <w:rFonts w:ascii="Times New Roman" w:hAnsi="Times New Roman" w:cs="Times New Roman"/>
          <w:sz w:val="24"/>
          <w:szCs w:val="24"/>
        </w:rPr>
        <w:t xml:space="preserve">Aggregated GHG emissions in </w:t>
      </w:r>
      <w:r>
        <w:rPr>
          <w:rFonts w:ascii="Times New Roman" w:hAnsi="Times New Roman" w:cs="Times New Roman"/>
          <w:sz w:val="24"/>
          <w:szCs w:val="24"/>
        </w:rPr>
        <w:t xml:space="preserve">IPCC AR6 report </w:t>
      </w:r>
      <w:r w:rsidRPr="009B2D2B">
        <w:rPr>
          <w:rFonts w:ascii="Times New Roman" w:hAnsi="Times New Roman" w:cs="Times New Roman"/>
          <w:sz w:val="24"/>
          <w:szCs w:val="24"/>
        </w:rPr>
        <w:t>are stated in CO</w:t>
      </w:r>
      <w:r w:rsidRPr="001D099D">
        <w:rPr>
          <w:rFonts w:ascii="Times New Roman" w:hAnsi="Times New Roman" w:cs="Times New Roman"/>
          <w:sz w:val="24"/>
          <w:szCs w:val="24"/>
          <w:vertAlign w:val="subscript"/>
        </w:rPr>
        <w:t>2</w:t>
      </w:r>
      <w:r w:rsidRPr="009B2D2B">
        <w:rPr>
          <w:rFonts w:ascii="Times New Roman" w:hAnsi="Times New Roman" w:cs="Times New Roman"/>
          <w:sz w:val="24"/>
          <w:szCs w:val="24"/>
        </w:rPr>
        <w:t>-equivalents (CO</w:t>
      </w:r>
      <w:r w:rsidRPr="001D099D">
        <w:rPr>
          <w:rFonts w:ascii="Times New Roman" w:hAnsi="Times New Roman" w:cs="Times New Roman"/>
          <w:sz w:val="24"/>
          <w:szCs w:val="24"/>
          <w:vertAlign w:val="subscript"/>
        </w:rPr>
        <w:t>2</w:t>
      </w:r>
      <w:r w:rsidRPr="009B2D2B">
        <w:rPr>
          <w:rFonts w:ascii="Times New Roman" w:hAnsi="Times New Roman" w:cs="Times New Roman"/>
          <w:sz w:val="24"/>
          <w:szCs w:val="24"/>
        </w:rPr>
        <w:t>-eq) using the Global Warming Potential with a time horizon of 100 years (GWP100) with values based on the contribution of Working Group I to the AR6</w:t>
      </w:r>
      <w:r>
        <w:rPr>
          <w:rFonts w:ascii="Times New Roman" w:hAnsi="Times New Roman" w:cs="Times New Roman"/>
          <w:sz w:val="24"/>
          <w:szCs w:val="24"/>
        </w:rPr>
        <w:t xml:space="preserve"> (</w:t>
      </w:r>
      <w:hyperlink r:id="rId5" w:history="1">
        <w:r w:rsidRPr="003D6A77">
          <w:rPr>
            <w:rStyle w:val="Hyperlink"/>
            <w:rFonts w:ascii="Times New Roman" w:hAnsi="Times New Roman" w:cs="Times New Roman"/>
            <w:sz w:val="24"/>
            <w:szCs w:val="24"/>
          </w:rPr>
          <w:t>https://report.ipcc.ch/ar6syr/pdf/IPCC_AR6_SYR_LongerReport.pdf</w:t>
        </w:r>
      </w:hyperlink>
      <w:r>
        <w:rPr>
          <w:rFonts w:ascii="Times New Roman" w:hAnsi="Times New Roman" w:cs="Times New Roman"/>
          <w:sz w:val="24"/>
          <w:szCs w:val="24"/>
        </w:rPr>
        <w:t>).</w:t>
      </w:r>
    </w:p>
    <w:p w14:paraId="77547E14" w14:textId="77777777" w:rsidR="009B2D2B" w:rsidRDefault="009B2D2B" w:rsidP="009B2D2B">
      <w:pPr>
        <w:rPr>
          <w:rFonts w:ascii="Times New Roman" w:hAnsi="Times New Roman" w:cs="Times New Roman"/>
          <w:sz w:val="24"/>
          <w:szCs w:val="24"/>
        </w:rPr>
      </w:pPr>
    </w:p>
    <w:p w14:paraId="15660781" w14:textId="464B21F4" w:rsidR="00841CA2" w:rsidRDefault="00841CA2" w:rsidP="009B2D2B">
      <w:pPr>
        <w:rPr>
          <w:rFonts w:ascii="Times New Roman" w:hAnsi="Times New Roman" w:cs="Times New Roman"/>
          <w:sz w:val="24"/>
          <w:szCs w:val="24"/>
          <w:u w:val="single"/>
        </w:rPr>
      </w:pPr>
      <w:r w:rsidRPr="009A5922">
        <w:rPr>
          <w:rFonts w:ascii="Times New Roman" w:hAnsi="Times New Roman" w:cs="Times New Roman"/>
          <w:sz w:val="24"/>
          <w:szCs w:val="24"/>
          <w:u w:val="single"/>
        </w:rPr>
        <w:t xml:space="preserve">City of Concord’s Climate Pollution Reduction Solar Project </w:t>
      </w:r>
      <w:r w:rsidRPr="009A5922">
        <w:rPr>
          <w:rFonts w:ascii="Times New Roman" w:hAnsi="Times New Roman" w:cs="Times New Roman"/>
          <w:sz w:val="24"/>
          <w:szCs w:val="24"/>
          <w:u w:val="single"/>
        </w:rPr>
        <w:t>Method of Calculations:</w:t>
      </w:r>
    </w:p>
    <w:p w14:paraId="3701FE2D" w14:textId="77777777" w:rsidR="009A5922" w:rsidRPr="009A5922" w:rsidRDefault="009A5922" w:rsidP="009B2D2B">
      <w:pPr>
        <w:rPr>
          <w:rFonts w:ascii="Times New Roman" w:hAnsi="Times New Roman" w:cs="Times New Roman"/>
          <w:sz w:val="24"/>
          <w:szCs w:val="24"/>
          <w:u w:val="single"/>
        </w:rPr>
      </w:pPr>
    </w:p>
    <w:p w14:paraId="654D7118" w14:textId="7ED7B711" w:rsidR="009B2D2B" w:rsidRDefault="00841CA2" w:rsidP="00841CA2">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U</w:t>
      </w:r>
      <w:r w:rsidRPr="00841CA2">
        <w:rPr>
          <w:rFonts w:ascii="Times New Roman" w:hAnsi="Times New Roman" w:cs="Times New Roman"/>
          <w:sz w:val="24"/>
          <w:szCs w:val="24"/>
        </w:rPr>
        <w:t xml:space="preserve">se the EPA’s NREL </w:t>
      </w:r>
      <w:proofErr w:type="spellStart"/>
      <w:r w:rsidRPr="00841CA2">
        <w:rPr>
          <w:rFonts w:ascii="Times New Roman" w:hAnsi="Times New Roman" w:cs="Times New Roman"/>
          <w:sz w:val="24"/>
          <w:szCs w:val="24"/>
        </w:rPr>
        <w:t>PVWatts</w:t>
      </w:r>
      <w:proofErr w:type="spellEnd"/>
      <w:r>
        <w:rPr>
          <w:rFonts w:ascii="Times New Roman" w:hAnsi="Times New Roman" w:cs="Times New Roman"/>
          <w:sz w:val="24"/>
          <w:szCs w:val="24"/>
        </w:rPr>
        <w:t xml:space="preserve"> Calculator</w:t>
      </w:r>
      <w:r w:rsidRPr="00841CA2">
        <w:rPr>
          <w:rFonts w:ascii="Times New Roman" w:hAnsi="Times New Roman" w:cs="Times New Roman"/>
          <w:sz w:val="24"/>
          <w:szCs w:val="24"/>
        </w:rPr>
        <w:t xml:space="preserve"> to calculate the electricity generation</w:t>
      </w:r>
      <w:r>
        <w:rPr>
          <w:rFonts w:ascii="Times New Roman" w:hAnsi="Times New Roman" w:cs="Times New Roman"/>
          <w:sz w:val="24"/>
          <w:szCs w:val="24"/>
        </w:rPr>
        <w:t xml:space="preserve"> </w:t>
      </w:r>
      <w:r w:rsidR="005D3113">
        <w:rPr>
          <w:rFonts w:ascii="Times New Roman" w:hAnsi="Times New Roman" w:cs="Times New Roman"/>
          <w:sz w:val="24"/>
          <w:szCs w:val="24"/>
        </w:rPr>
        <w:t>based on th</w:t>
      </w:r>
      <w:r>
        <w:rPr>
          <w:rFonts w:ascii="Times New Roman" w:hAnsi="Times New Roman" w:cs="Times New Roman"/>
          <w:sz w:val="24"/>
          <w:szCs w:val="24"/>
        </w:rPr>
        <w:t>e proposed wattage of the solar arrays at each facility/location</w:t>
      </w:r>
      <w:r w:rsidRPr="00841CA2">
        <w:rPr>
          <w:rFonts w:ascii="Times New Roman" w:hAnsi="Times New Roman" w:cs="Times New Roman"/>
          <w:sz w:val="24"/>
          <w:szCs w:val="24"/>
        </w:rPr>
        <w:t>.</w:t>
      </w:r>
    </w:p>
    <w:p w14:paraId="74A6E5FF" w14:textId="59766743" w:rsidR="00841CA2" w:rsidRDefault="00841CA2" w:rsidP="00841CA2">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Use EPA’s Greenhouse Gas Equivalencies Calculator to calculate the GHG (CO</w:t>
      </w:r>
      <w:r w:rsidRPr="00841CA2">
        <w:rPr>
          <w:rFonts w:ascii="Times New Roman" w:hAnsi="Times New Roman" w:cs="Times New Roman"/>
          <w:sz w:val="24"/>
          <w:szCs w:val="24"/>
          <w:vertAlign w:val="subscript"/>
        </w:rPr>
        <w:t>2</w:t>
      </w:r>
      <w:r>
        <w:rPr>
          <w:rFonts w:ascii="Times New Roman" w:hAnsi="Times New Roman" w:cs="Times New Roman"/>
          <w:sz w:val="24"/>
          <w:szCs w:val="24"/>
        </w:rPr>
        <w:t>) emissions.</w:t>
      </w:r>
    </w:p>
    <w:p w14:paraId="58A97332" w14:textId="0EB7083B" w:rsidR="005D3113" w:rsidRDefault="005D3113" w:rsidP="00841CA2">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Calculate the annual energy production using the proposed installation schedule.</w:t>
      </w:r>
    </w:p>
    <w:p w14:paraId="5DA256D1" w14:textId="173606FE" w:rsidR="00841CA2" w:rsidRDefault="005D3113" w:rsidP="00841CA2">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Calculate the per site and total project electricity generation and annual GHG reduction (in metric tons).</w:t>
      </w:r>
    </w:p>
    <w:p w14:paraId="4CB733D3" w14:textId="1A1FB265" w:rsidR="005D3113" w:rsidRDefault="005D3113" w:rsidP="00841CA2">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Calculate the total project energy generation and GHG reduction from 2025-2030.</w:t>
      </w:r>
    </w:p>
    <w:p w14:paraId="4F82A04D" w14:textId="203172D4" w:rsidR="005D3113" w:rsidRDefault="005D3113" w:rsidP="00841CA2">
      <w:pPr>
        <w:pStyle w:val="ListParagraph"/>
        <w:numPr>
          <w:ilvl w:val="0"/>
          <w:numId w:val="2"/>
        </w:numPr>
        <w:rPr>
          <w:rFonts w:ascii="Times New Roman" w:hAnsi="Times New Roman" w:cs="Times New Roman"/>
          <w:sz w:val="24"/>
          <w:szCs w:val="24"/>
        </w:rPr>
      </w:pPr>
      <w:r w:rsidRPr="005D3113">
        <w:rPr>
          <w:rFonts w:ascii="Times New Roman" w:hAnsi="Times New Roman" w:cs="Times New Roman"/>
          <w:sz w:val="24"/>
          <w:szCs w:val="24"/>
        </w:rPr>
        <w:t>Calculate the total project energy generation and GHG reduction from 2025-2</w:t>
      </w:r>
      <w:r>
        <w:rPr>
          <w:rFonts w:ascii="Times New Roman" w:hAnsi="Times New Roman" w:cs="Times New Roman"/>
          <w:sz w:val="24"/>
          <w:szCs w:val="24"/>
        </w:rPr>
        <w:t>050.</w:t>
      </w:r>
    </w:p>
    <w:p w14:paraId="5D0E98AE" w14:textId="77777777" w:rsidR="005D3113" w:rsidRDefault="005D3113" w:rsidP="005D3113">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Use 0.80% degradation rate in energy production’s calculations.</w:t>
      </w:r>
    </w:p>
    <w:p w14:paraId="14042773" w14:textId="77777777" w:rsidR="005D3113" w:rsidRPr="00841CA2" w:rsidRDefault="005D3113" w:rsidP="005D3113">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 xml:space="preserve">Use </w:t>
      </w:r>
      <w:r w:rsidRPr="005D3113">
        <w:rPr>
          <w:rFonts w:ascii="Times New Roman" w:hAnsi="Times New Roman" w:cs="Times New Roman"/>
          <w:sz w:val="24"/>
          <w:szCs w:val="24"/>
        </w:rPr>
        <w:t xml:space="preserve">DC </w:t>
      </w:r>
      <w:r>
        <w:rPr>
          <w:rFonts w:ascii="Times New Roman" w:hAnsi="Times New Roman" w:cs="Times New Roman"/>
          <w:sz w:val="24"/>
          <w:szCs w:val="24"/>
        </w:rPr>
        <w:t>c</w:t>
      </w:r>
      <w:r w:rsidRPr="005D3113">
        <w:rPr>
          <w:rFonts w:ascii="Times New Roman" w:hAnsi="Times New Roman" w:cs="Times New Roman"/>
          <w:sz w:val="24"/>
          <w:szCs w:val="24"/>
        </w:rPr>
        <w:t xml:space="preserve">apacity </w:t>
      </w:r>
      <w:r>
        <w:rPr>
          <w:rFonts w:ascii="Times New Roman" w:hAnsi="Times New Roman" w:cs="Times New Roman"/>
          <w:sz w:val="24"/>
          <w:szCs w:val="24"/>
        </w:rPr>
        <w:t>f</w:t>
      </w:r>
      <w:r w:rsidRPr="005D3113">
        <w:rPr>
          <w:rFonts w:ascii="Times New Roman" w:hAnsi="Times New Roman" w:cs="Times New Roman"/>
          <w:sz w:val="24"/>
          <w:szCs w:val="24"/>
        </w:rPr>
        <w:t>actor of 19%</w:t>
      </w:r>
      <w:r>
        <w:rPr>
          <w:rFonts w:ascii="Times New Roman" w:hAnsi="Times New Roman" w:cs="Times New Roman"/>
          <w:sz w:val="24"/>
          <w:szCs w:val="24"/>
        </w:rPr>
        <w:t xml:space="preserve"> in production’s calculations</w:t>
      </w:r>
      <w:r w:rsidRPr="005D3113">
        <w:rPr>
          <w:rFonts w:ascii="Times New Roman" w:hAnsi="Times New Roman" w:cs="Times New Roman"/>
          <w:sz w:val="24"/>
          <w:szCs w:val="24"/>
        </w:rPr>
        <w:t xml:space="preserve">.  </w:t>
      </w:r>
    </w:p>
    <w:p w14:paraId="2F7D6A94" w14:textId="77777777" w:rsidR="009B2D2B" w:rsidRDefault="009B2D2B" w:rsidP="009B2D2B">
      <w:pPr>
        <w:rPr>
          <w:rFonts w:ascii="Times New Roman" w:hAnsi="Times New Roman" w:cs="Times New Roman"/>
          <w:sz w:val="24"/>
          <w:szCs w:val="24"/>
        </w:rPr>
      </w:pPr>
    </w:p>
    <w:p w14:paraId="77895A84" w14:textId="77777777" w:rsidR="009B2D2B" w:rsidRDefault="009B2D2B" w:rsidP="009B2D2B">
      <w:pPr>
        <w:rPr>
          <w:rFonts w:ascii="Times New Roman" w:hAnsi="Times New Roman" w:cs="Times New Roman"/>
          <w:sz w:val="24"/>
          <w:szCs w:val="24"/>
        </w:rPr>
      </w:pPr>
    </w:p>
    <w:p w14:paraId="34C8E3B4" w14:textId="77777777" w:rsidR="009B2D2B" w:rsidRDefault="009B2D2B">
      <w:pPr>
        <w:spacing w:after="160" w:line="259" w:lineRule="auto"/>
        <w:rPr>
          <w:rFonts w:ascii="Times New Roman" w:hAnsi="Times New Roman" w:cs="Times New Roman"/>
          <w:sz w:val="24"/>
          <w:szCs w:val="24"/>
        </w:rPr>
      </w:pPr>
      <w:r>
        <w:rPr>
          <w:rFonts w:ascii="Times New Roman" w:hAnsi="Times New Roman" w:cs="Times New Roman"/>
          <w:sz w:val="24"/>
          <w:szCs w:val="24"/>
        </w:rPr>
        <w:br w:type="page"/>
      </w:r>
    </w:p>
    <w:p w14:paraId="7819FEDE" w14:textId="27F6DE45" w:rsidR="009B2D2B" w:rsidRDefault="009B2D2B" w:rsidP="009B2D2B">
      <w:pPr>
        <w:rPr>
          <w:rFonts w:ascii="Times New Roman" w:hAnsi="Times New Roman" w:cs="Times New Roman"/>
          <w:sz w:val="24"/>
          <w:szCs w:val="24"/>
        </w:rPr>
      </w:pPr>
      <w:r w:rsidRPr="009B2D2B">
        <w:rPr>
          <w:rFonts w:ascii="Times New Roman" w:hAnsi="Times New Roman" w:cs="Times New Roman"/>
          <w:noProof/>
          <w:sz w:val="24"/>
          <w:szCs w:val="24"/>
        </w:rPr>
        <w:lastRenderedPageBreak/>
        <w:drawing>
          <wp:inline distT="0" distB="0" distL="0" distR="0" wp14:anchorId="44B9C632" wp14:editId="7F7F7B54">
            <wp:extent cx="5942885" cy="2627906"/>
            <wp:effectExtent l="0" t="0" r="1270" b="1270"/>
            <wp:docPr id="470864142" name="Picture 1" descr="Chart, bar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864142" name="Picture 1" descr="Chart, bar chart, histogram&#10;&#10;Description automatically generated"/>
                    <pic:cNvPicPr/>
                  </pic:nvPicPr>
                  <pic:blipFill>
                    <a:blip r:embed="rId6"/>
                    <a:stretch>
                      <a:fillRect/>
                    </a:stretch>
                  </pic:blipFill>
                  <pic:spPr>
                    <a:xfrm>
                      <a:off x="0" y="0"/>
                      <a:ext cx="5974901" cy="2642063"/>
                    </a:xfrm>
                    <a:prstGeom prst="rect">
                      <a:avLst/>
                    </a:prstGeom>
                  </pic:spPr>
                </pic:pic>
              </a:graphicData>
            </a:graphic>
          </wp:inline>
        </w:drawing>
      </w:r>
    </w:p>
    <w:p w14:paraId="300A2276" w14:textId="1B57BBF4" w:rsidR="009B2D2B" w:rsidRDefault="009B2D2B" w:rsidP="009B2D2B">
      <w:pPr>
        <w:rPr>
          <w:rFonts w:ascii="Times New Roman" w:hAnsi="Times New Roman" w:cs="Times New Roman"/>
          <w:sz w:val="24"/>
          <w:szCs w:val="24"/>
        </w:rPr>
      </w:pPr>
      <w:r w:rsidRPr="009B2D2B">
        <w:rPr>
          <w:rFonts w:ascii="Times New Roman" w:hAnsi="Times New Roman" w:cs="Times New Roman"/>
          <w:noProof/>
          <w:sz w:val="24"/>
          <w:szCs w:val="24"/>
        </w:rPr>
        <w:drawing>
          <wp:inline distT="0" distB="0" distL="0" distR="0" wp14:anchorId="0FD24DCB" wp14:editId="777925F1">
            <wp:extent cx="5943600" cy="3045350"/>
            <wp:effectExtent l="0" t="0" r="0" b="3175"/>
            <wp:docPr id="1735620229" name="Picture 1"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620229" name="Picture 1" descr="Diagram&#10;&#10;Description automatically generated with low confidence"/>
                    <pic:cNvPicPr/>
                  </pic:nvPicPr>
                  <pic:blipFill>
                    <a:blip r:embed="rId7"/>
                    <a:stretch>
                      <a:fillRect/>
                    </a:stretch>
                  </pic:blipFill>
                  <pic:spPr>
                    <a:xfrm>
                      <a:off x="0" y="0"/>
                      <a:ext cx="5943600" cy="3045350"/>
                    </a:xfrm>
                    <a:prstGeom prst="rect">
                      <a:avLst/>
                    </a:prstGeom>
                  </pic:spPr>
                </pic:pic>
              </a:graphicData>
            </a:graphic>
          </wp:inline>
        </w:drawing>
      </w:r>
    </w:p>
    <w:p w14:paraId="20567D09" w14:textId="6C40D2D1" w:rsidR="009B2D2B" w:rsidRDefault="009B2D2B" w:rsidP="009B2D2B">
      <w:pPr>
        <w:rPr>
          <w:rFonts w:ascii="Times New Roman" w:hAnsi="Times New Roman" w:cs="Times New Roman"/>
          <w:sz w:val="24"/>
          <w:szCs w:val="24"/>
        </w:rPr>
      </w:pPr>
      <w:r w:rsidRPr="009B2D2B">
        <w:rPr>
          <w:rFonts w:ascii="Times New Roman" w:hAnsi="Times New Roman" w:cs="Times New Roman"/>
          <w:noProof/>
          <w:sz w:val="24"/>
          <w:szCs w:val="24"/>
        </w:rPr>
        <w:drawing>
          <wp:inline distT="0" distB="0" distL="0" distR="0" wp14:anchorId="0DE48906" wp14:editId="72CB26B0">
            <wp:extent cx="5991308" cy="2413000"/>
            <wp:effectExtent l="0" t="0" r="9525" b="6350"/>
            <wp:docPr id="44455952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559521" name="Picture 1" descr="Table&#10;&#10;Description automatically generated"/>
                    <pic:cNvPicPr/>
                  </pic:nvPicPr>
                  <pic:blipFill>
                    <a:blip r:embed="rId8"/>
                    <a:stretch>
                      <a:fillRect/>
                    </a:stretch>
                  </pic:blipFill>
                  <pic:spPr>
                    <a:xfrm>
                      <a:off x="0" y="0"/>
                      <a:ext cx="6003816" cy="2418038"/>
                    </a:xfrm>
                    <a:prstGeom prst="rect">
                      <a:avLst/>
                    </a:prstGeom>
                  </pic:spPr>
                </pic:pic>
              </a:graphicData>
            </a:graphic>
          </wp:inline>
        </w:drawing>
      </w:r>
    </w:p>
    <w:p w14:paraId="1EC1EBE0" w14:textId="0F867C56" w:rsidR="009B2D2B" w:rsidRDefault="00050F3F" w:rsidP="009B2D2B">
      <w:pPr>
        <w:rPr>
          <w:rFonts w:ascii="Times New Roman" w:hAnsi="Times New Roman" w:cs="Times New Roman"/>
          <w:sz w:val="24"/>
          <w:szCs w:val="24"/>
        </w:rPr>
      </w:pPr>
      <w:r w:rsidRPr="00050F3F">
        <w:rPr>
          <w:rFonts w:ascii="Times New Roman" w:hAnsi="Times New Roman" w:cs="Times New Roman"/>
          <w:noProof/>
          <w:sz w:val="24"/>
          <w:szCs w:val="24"/>
        </w:rPr>
        <w:lastRenderedPageBreak/>
        <w:drawing>
          <wp:inline distT="0" distB="0" distL="0" distR="0" wp14:anchorId="355C9DEC" wp14:editId="511A9D4B">
            <wp:extent cx="5975405" cy="7009765"/>
            <wp:effectExtent l="0" t="0" r="6350" b="635"/>
            <wp:docPr id="917720754"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720754" name="Picture 1" descr="Table&#10;&#10;Description automatically generated"/>
                    <pic:cNvPicPr/>
                  </pic:nvPicPr>
                  <pic:blipFill>
                    <a:blip r:embed="rId9"/>
                    <a:stretch>
                      <a:fillRect/>
                    </a:stretch>
                  </pic:blipFill>
                  <pic:spPr>
                    <a:xfrm>
                      <a:off x="0" y="0"/>
                      <a:ext cx="5987770" cy="7024271"/>
                    </a:xfrm>
                    <a:prstGeom prst="rect">
                      <a:avLst/>
                    </a:prstGeom>
                  </pic:spPr>
                </pic:pic>
              </a:graphicData>
            </a:graphic>
          </wp:inline>
        </w:drawing>
      </w:r>
    </w:p>
    <w:p w14:paraId="24B377C6" w14:textId="067FF3B9" w:rsidR="00050F3F" w:rsidRDefault="00050F3F" w:rsidP="002B2694">
      <w:pPr>
        <w:rPr>
          <w:rFonts w:ascii="Times New Roman" w:hAnsi="Times New Roman" w:cs="Times New Roman"/>
          <w:sz w:val="24"/>
          <w:szCs w:val="24"/>
        </w:rPr>
      </w:pPr>
      <w:r w:rsidRPr="00050F3F">
        <w:rPr>
          <w:rFonts w:ascii="Times New Roman" w:hAnsi="Times New Roman" w:cs="Times New Roman"/>
          <w:noProof/>
          <w:sz w:val="24"/>
          <w:szCs w:val="24"/>
        </w:rPr>
        <w:lastRenderedPageBreak/>
        <w:drawing>
          <wp:inline distT="0" distB="0" distL="0" distR="0" wp14:anchorId="3FCF74C0" wp14:editId="1BB7B3D9">
            <wp:extent cx="6142383" cy="6711950"/>
            <wp:effectExtent l="0" t="0" r="0" b="0"/>
            <wp:docPr id="213979499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794991" name="Picture 1" descr="Table&#10;&#10;Description automatically generated"/>
                    <pic:cNvPicPr/>
                  </pic:nvPicPr>
                  <pic:blipFill>
                    <a:blip r:embed="rId10"/>
                    <a:stretch>
                      <a:fillRect/>
                    </a:stretch>
                  </pic:blipFill>
                  <pic:spPr>
                    <a:xfrm>
                      <a:off x="0" y="0"/>
                      <a:ext cx="6147325" cy="6717350"/>
                    </a:xfrm>
                    <a:prstGeom prst="rect">
                      <a:avLst/>
                    </a:prstGeom>
                  </pic:spPr>
                </pic:pic>
              </a:graphicData>
            </a:graphic>
          </wp:inline>
        </w:drawing>
      </w:r>
      <w:r w:rsidR="002B2694" w:rsidRPr="002B2694">
        <w:t xml:space="preserve"> </w:t>
      </w:r>
      <w:hyperlink r:id="rId11" w:history="1">
        <w:r w:rsidR="002B2694" w:rsidRPr="003D6A77">
          <w:rPr>
            <w:rStyle w:val="Hyperlink"/>
            <w:rFonts w:ascii="Times New Roman" w:hAnsi="Times New Roman" w:cs="Times New Roman"/>
            <w:sz w:val="24"/>
            <w:szCs w:val="24"/>
          </w:rPr>
          <w:t>https://ghgprotocol.org/sites/default/files/ghgp/Global-Warming-Potential-Values%20%28Feb%2016%202016%29_1.pdf</w:t>
        </w:r>
      </w:hyperlink>
    </w:p>
    <w:p w14:paraId="4BD31E7D" w14:textId="77777777" w:rsidR="002B2694" w:rsidRDefault="002B2694" w:rsidP="002B2694">
      <w:pPr>
        <w:rPr>
          <w:rFonts w:ascii="Times New Roman" w:hAnsi="Times New Roman" w:cs="Times New Roman"/>
          <w:sz w:val="24"/>
          <w:szCs w:val="24"/>
        </w:rPr>
      </w:pPr>
    </w:p>
    <w:p w14:paraId="62E870F6" w14:textId="77777777" w:rsidR="002B2694" w:rsidRDefault="002B2694" w:rsidP="002B2694">
      <w:pPr>
        <w:rPr>
          <w:rFonts w:ascii="Times New Roman" w:hAnsi="Times New Roman" w:cs="Times New Roman"/>
          <w:sz w:val="24"/>
          <w:szCs w:val="24"/>
        </w:rPr>
      </w:pPr>
    </w:p>
    <w:p w14:paraId="525CC1D2" w14:textId="77777777" w:rsidR="001E16AB" w:rsidRDefault="001E16AB">
      <w:pPr>
        <w:spacing w:after="160" w:line="259" w:lineRule="auto"/>
        <w:rPr>
          <w:rFonts w:ascii="Times New Roman" w:hAnsi="Times New Roman" w:cs="Times New Roman"/>
          <w:sz w:val="24"/>
          <w:szCs w:val="24"/>
        </w:rPr>
      </w:pPr>
    </w:p>
    <w:p w14:paraId="366B0B56" w14:textId="77777777" w:rsidR="001E16AB" w:rsidRDefault="001E16AB">
      <w:pPr>
        <w:spacing w:after="160" w:line="259" w:lineRule="auto"/>
        <w:rPr>
          <w:rFonts w:ascii="Times New Roman" w:hAnsi="Times New Roman" w:cs="Times New Roman"/>
          <w:sz w:val="24"/>
          <w:szCs w:val="24"/>
        </w:rPr>
      </w:pPr>
    </w:p>
    <w:p w14:paraId="3BA5232C" w14:textId="77777777" w:rsidR="001E16AB" w:rsidRDefault="001E16AB">
      <w:pPr>
        <w:spacing w:after="160" w:line="259" w:lineRule="auto"/>
        <w:rPr>
          <w:rFonts w:ascii="Times New Roman" w:hAnsi="Times New Roman" w:cs="Times New Roman"/>
          <w:sz w:val="24"/>
          <w:szCs w:val="24"/>
        </w:rPr>
      </w:pPr>
    </w:p>
    <w:p w14:paraId="3E592636" w14:textId="77777777" w:rsidR="001E16AB" w:rsidRDefault="001E16AB">
      <w:pPr>
        <w:spacing w:after="160" w:line="259" w:lineRule="auto"/>
        <w:rPr>
          <w:rFonts w:ascii="Times New Roman" w:hAnsi="Times New Roman" w:cs="Times New Roman"/>
          <w:sz w:val="24"/>
          <w:szCs w:val="24"/>
        </w:rPr>
      </w:pPr>
      <w:r w:rsidRPr="001E16AB">
        <w:rPr>
          <w:rFonts w:ascii="Times New Roman" w:hAnsi="Times New Roman" w:cs="Times New Roman"/>
          <w:sz w:val="24"/>
          <w:szCs w:val="24"/>
        </w:rPr>
        <w:lastRenderedPageBreak/>
        <w:t>City of Concord</w:t>
      </w:r>
      <w:r>
        <w:rPr>
          <w:rFonts w:ascii="Times New Roman" w:hAnsi="Times New Roman" w:cs="Times New Roman"/>
          <w:sz w:val="24"/>
          <w:szCs w:val="24"/>
        </w:rPr>
        <w:t xml:space="preserve"> Public Works Corporation Yard</w:t>
      </w:r>
    </w:p>
    <w:p w14:paraId="5D1C10EB" w14:textId="2FD2A037" w:rsidR="005C581D" w:rsidRDefault="001E16AB">
      <w:pPr>
        <w:spacing w:after="160" w:line="259" w:lineRule="auto"/>
        <w:rPr>
          <w:rFonts w:ascii="Times New Roman" w:hAnsi="Times New Roman" w:cs="Times New Roman"/>
          <w:sz w:val="24"/>
          <w:szCs w:val="24"/>
        </w:rPr>
      </w:pPr>
      <w:r w:rsidRPr="001E16AB">
        <w:rPr>
          <w:rFonts w:ascii="Times New Roman" w:hAnsi="Times New Roman" w:cs="Times New Roman"/>
          <w:noProof/>
          <w:sz w:val="24"/>
          <w:szCs w:val="24"/>
        </w:rPr>
        <w:drawing>
          <wp:inline distT="0" distB="0" distL="0" distR="0" wp14:anchorId="75D2759C" wp14:editId="6473A576">
            <wp:extent cx="5943600" cy="4768215"/>
            <wp:effectExtent l="0" t="0" r="0" b="0"/>
            <wp:docPr id="1088958003"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958003" name="Picture 1" descr="Table&#10;&#10;Description automatically generated"/>
                    <pic:cNvPicPr/>
                  </pic:nvPicPr>
                  <pic:blipFill>
                    <a:blip r:embed="rId12"/>
                    <a:stretch>
                      <a:fillRect/>
                    </a:stretch>
                  </pic:blipFill>
                  <pic:spPr>
                    <a:xfrm>
                      <a:off x="0" y="0"/>
                      <a:ext cx="5943600" cy="4768215"/>
                    </a:xfrm>
                    <a:prstGeom prst="rect">
                      <a:avLst/>
                    </a:prstGeom>
                  </pic:spPr>
                </pic:pic>
              </a:graphicData>
            </a:graphic>
          </wp:inline>
        </w:drawing>
      </w:r>
    </w:p>
    <w:p w14:paraId="2D223674" w14:textId="77777777" w:rsidR="001E16AB" w:rsidRDefault="001E16AB">
      <w:pPr>
        <w:spacing w:after="160" w:line="259" w:lineRule="auto"/>
        <w:rPr>
          <w:rFonts w:ascii="Times New Roman" w:hAnsi="Times New Roman" w:cs="Times New Roman"/>
          <w:sz w:val="24"/>
          <w:szCs w:val="24"/>
        </w:rPr>
      </w:pPr>
    </w:p>
    <w:p w14:paraId="6A406B2B" w14:textId="445C4330" w:rsidR="001E16AB" w:rsidRDefault="001E16AB">
      <w:pPr>
        <w:spacing w:after="160" w:line="259" w:lineRule="auto"/>
        <w:rPr>
          <w:rFonts w:ascii="Times New Roman" w:hAnsi="Times New Roman" w:cs="Times New Roman"/>
          <w:sz w:val="24"/>
          <w:szCs w:val="24"/>
        </w:rPr>
      </w:pPr>
      <w:r>
        <w:rPr>
          <w:rFonts w:ascii="Times New Roman" w:hAnsi="Times New Roman" w:cs="Times New Roman"/>
          <w:sz w:val="24"/>
          <w:szCs w:val="24"/>
        </w:rPr>
        <w:br w:type="page"/>
      </w:r>
    </w:p>
    <w:p w14:paraId="228A57DD" w14:textId="0BCA2EEA" w:rsidR="001E16AB" w:rsidRDefault="001E16AB">
      <w:pPr>
        <w:spacing w:after="160" w:line="259" w:lineRule="auto"/>
        <w:rPr>
          <w:rFonts w:ascii="Times New Roman" w:hAnsi="Times New Roman" w:cs="Times New Roman"/>
          <w:sz w:val="24"/>
          <w:szCs w:val="24"/>
        </w:rPr>
      </w:pPr>
      <w:r>
        <w:rPr>
          <w:rFonts w:ascii="Times New Roman" w:hAnsi="Times New Roman" w:cs="Times New Roman"/>
          <w:sz w:val="24"/>
          <w:szCs w:val="24"/>
        </w:rPr>
        <w:lastRenderedPageBreak/>
        <w:t>City of Concord Civic Center Complex</w:t>
      </w:r>
    </w:p>
    <w:p w14:paraId="5D11CC9E" w14:textId="53A09B6A" w:rsidR="001E16AB" w:rsidRDefault="001E16AB">
      <w:pPr>
        <w:spacing w:after="160" w:line="259" w:lineRule="auto"/>
        <w:rPr>
          <w:rFonts w:ascii="Times New Roman" w:hAnsi="Times New Roman" w:cs="Times New Roman"/>
          <w:sz w:val="24"/>
          <w:szCs w:val="24"/>
        </w:rPr>
      </w:pPr>
      <w:r w:rsidRPr="001E16AB">
        <w:rPr>
          <w:rFonts w:ascii="Times New Roman" w:hAnsi="Times New Roman" w:cs="Times New Roman"/>
          <w:noProof/>
          <w:sz w:val="24"/>
          <w:szCs w:val="24"/>
        </w:rPr>
        <w:drawing>
          <wp:inline distT="0" distB="0" distL="0" distR="0" wp14:anchorId="5377129D" wp14:editId="1CA6FC27">
            <wp:extent cx="5943600" cy="4784725"/>
            <wp:effectExtent l="0" t="0" r="0" b="0"/>
            <wp:docPr id="1645109580"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5109580" name="Picture 1" descr="Table&#10;&#10;Description automatically generated"/>
                    <pic:cNvPicPr/>
                  </pic:nvPicPr>
                  <pic:blipFill>
                    <a:blip r:embed="rId13"/>
                    <a:stretch>
                      <a:fillRect/>
                    </a:stretch>
                  </pic:blipFill>
                  <pic:spPr>
                    <a:xfrm>
                      <a:off x="0" y="0"/>
                      <a:ext cx="5943600" cy="4784725"/>
                    </a:xfrm>
                    <a:prstGeom prst="rect">
                      <a:avLst/>
                    </a:prstGeom>
                  </pic:spPr>
                </pic:pic>
              </a:graphicData>
            </a:graphic>
          </wp:inline>
        </w:drawing>
      </w:r>
    </w:p>
    <w:p w14:paraId="6C25C31E" w14:textId="77777777" w:rsidR="001E16AB" w:rsidRDefault="001E16AB">
      <w:pPr>
        <w:spacing w:after="160" w:line="259" w:lineRule="auto"/>
        <w:rPr>
          <w:rFonts w:ascii="Times New Roman" w:hAnsi="Times New Roman" w:cs="Times New Roman"/>
          <w:sz w:val="24"/>
          <w:szCs w:val="24"/>
        </w:rPr>
      </w:pPr>
    </w:p>
    <w:p w14:paraId="512AD1E2" w14:textId="72C2B0A0" w:rsidR="001E16AB" w:rsidRDefault="001E16AB">
      <w:pPr>
        <w:spacing w:after="160" w:line="259" w:lineRule="auto"/>
        <w:rPr>
          <w:rFonts w:ascii="Times New Roman" w:hAnsi="Times New Roman" w:cs="Times New Roman"/>
          <w:sz w:val="24"/>
          <w:szCs w:val="24"/>
        </w:rPr>
      </w:pPr>
      <w:r>
        <w:rPr>
          <w:rFonts w:ascii="Times New Roman" w:hAnsi="Times New Roman" w:cs="Times New Roman"/>
          <w:sz w:val="24"/>
          <w:szCs w:val="24"/>
        </w:rPr>
        <w:br w:type="page"/>
      </w:r>
    </w:p>
    <w:p w14:paraId="31FEEF0D" w14:textId="30E33DA8" w:rsidR="001E16AB" w:rsidRDefault="001E16AB">
      <w:pPr>
        <w:spacing w:after="160" w:line="259" w:lineRule="auto"/>
        <w:rPr>
          <w:rFonts w:ascii="Times New Roman" w:hAnsi="Times New Roman" w:cs="Times New Roman"/>
          <w:sz w:val="24"/>
          <w:szCs w:val="24"/>
        </w:rPr>
      </w:pPr>
      <w:r w:rsidRPr="001E16AB">
        <w:rPr>
          <w:rFonts w:ascii="Times New Roman" w:hAnsi="Times New Roman" w:cs="Times New Roman"/>
          <w:sz w:val="24"/>
          <w:szCs w:val="24"/>
        </w:rPr>
        <w:lastRenderedPageBreak/>
        <w:t>City of Concord</w:t>
      </w:r>
      <w:r>
        <w:rPr>
          <w:rFonts w:ascii="Times New Roman" w:hAnsi="Times New Roman" w:cs="Times New Roman"/>
          <w:sz w:val="24"/>
          <w:szCs w:val="24"/>
        </w:rPr>
        <w:t xml:space="preserve"> Police Department Complex</w:t>
      </w:r>
    </w:p>
    <w:p w14:paraId="4DA5183F" w14:textId="51B85B74" w:rsidR="001E16AB" w:rsidRDefault="001E16AB">
      <w:pPr>
        <w:spacing w:after="160" w:line="259" w:lineRule="auto"/>
        <w:rPr>
          <w:rFonts w:ascii="Times New Roman" w:hAnsi="Times New Roman" w:cs="Times New Roman"/>
          <w:sz w:val="24"/>
          <w:szCs w:val="24"/>
        </w:rPr>
      </w:pPr>
      <w:r w:rsidRPr="001E16AB">
        <w:rPr>
          <w:rFonts w:ascii="Times New Roman" w:hAnsi="Times New Roman" w:cs="Times New Roman"/>
          <w:noProof/>
          <w:sz w:val="24"/>
          <w:szCs w:val="24"/>
        </w:rPr>
        <w:drawing>
          <wp:inline distT="0" distB="0" distL="0" distR="0" wp14:anchorId="289949B5" wp14:editId="66D73557">
            <wp:extent cx="5943600" cy="4899660"/>
            <wp:effectExtent l="0" t="0" r="0" b="0"/>
            <wp:docPr id="261538779"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538779" name="Picture 1" descr="Table&#10;&#10;Description automatically generated"/>
                    <pic:cNvPicPr/>
                  </pic:nvPicPr>
                  <pic:blipFill>
                    <a:blip r:embed="rId14"/>
                    <a:stretch>
                      <a:fillRect/>
                    </a:stretch>
                  </pic:blipFill>
                  <pic:spPr>
                    <a:xfrm>
                      <a:off x="0" y="0"/>
                      <a:ext cx="5943600" cy="4899660"/>
                    </a:xfrm>
                    <a:prstGeom prst="rect">
                      <a:avLst/>
                    </a:prstGeom>
                  </pic:spPr>
                </pic:pic>
              </a:graphicData>
            </a:graphic>
          </wp:inline>
        </w:drawing>
      </w:r>
    </w:p>
    <w:p w14:paraId="43BE4D8F" w14:textId="76B23938" w:rsidR="001E16AB" w:rsidRDefault="001E16AB">
      <w:pPr>
        <w:spacing w:after="160" w:line="259" w:lineRule="auto"/>
        <w:rPr>
          <w:rFonts w:ascii="Times New Roman" w:hAnsi="Times New Roman" w:cs="Times New Roman"/>
          <w:sz w:val="24"/>
          <w:szCs w:val="24"/>
        </w:rPr>
      </w:pPr>
      <w:r>
        <w:rPr>
          <w:rFonts w:ascii="Times New Roman" w:hAnsi="Times New Roman" w:cs="Times New Roman"/>
          <w:sz w:val="24"/>
          <w:szCs w:val="24"/>
        </w:rPr>
        <w:br w:type="page"/>
      </w:r>
    </w:p>
    <w:p w14:paraId="2E4A041E" w14:textId="3FA87B6B" w:rsidR="001E16AB" w:rsidRDefault="001E16AB">
      <w:pPr>
        <w:spacing w:after="160" w:line="259" w:lineRule="auto"/>
        <w:rPr>
          <w:rFonts w:ascii="Times New Roman" w:hAnsi="Times New Roman" w:cs="Times New Roman"/>
          <w:sz w:val="24"/>
          <w:szCs w:val="24"/>
        </w:rPr>
      </w:pPr>
      <w:r w:rsidRPr="001E16AB">
        <w:rPr>
          <w:rFonts w:ascii="Times New Roman" w:hAnsi="Times New Roman" w:cs="Times New Roman"/>
          <w:sz w:val="24"/>
          <w:szCs w:val="24"/>
        </w:rPr>
        <w:lastRenderedPageBreak/>
        <w:t>City of Concord</w:t>
      </w:r>
      <w:r>
        <w:rPr>
          <w:rFonts w:ascii="Times New Roman" w:hAnsi="Times New Roman" w:cs="Times New Roman"/>
          <w:sz w:val="24"/>
          <w:szCs w:val="24"/>
        </w:rPr>
        <w:t xml:space="preserve"> Senior Citizens Center</w:t>
      </w:r>
    </w:p>
    <w:p w14:paraId="7BBD8821" w14:textId="22719403" w:rsidR="001E16AB" w:rsidRDefault="001E16AB">
      <w:pPr>
        <w:spacing w:after="160" w:line="259" w:lineRule="auto"/>
        <w:rPr>
          <w:rFonts w:ascii="Times New Roman" w:hAnsi="Times New Roman" w:cs="Times New Roman"/>
          <w:sz w:val="24"/>
          <w:szCs w:val="24"/>
        </w:rPr>
      </w:pPr>
      <w:r w:rsidRPr="001E16AB">
        <w:rPr>
          <w:rFonts w:ascii="Times New Roman" w:hAnsi="Times New Roman" w:cs="Times New Roman"/>
          <w:noProof/>
          <w:sz w:val="24"/>
          <w:szCs w:val="24"/>
        </w:rPr>
        <w:drawing>
          <wp:inline distT="0" distB="0" distL="0" distR="0" wp14:anchorId="7A47F474" wp14:editId="5E870690">
            <wp:extent cx="5943600" cy="4765040"/>
            <wp:effectExtent l="0" t="0" r="0" b="0"/>
            <wp:docPr id="34152001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520011" name="Picture 1" descr="Table&#10;&#10;Description automatically generated"/>
                    <pic:cNvPicPr/>
                  </pic:nvPicPr>
                  <pic:blipFill>
                    <a:blip r:embed="rId15"/>
                    <a:stretch>
                      <a:fillRect/>
                    </a:stretch>
                  </pic:blipFill>
                  <pic:spPr>
                    <a:xfrm>
                      <a:off x="0" y="0"/>
                      <a:ext cx="5943600" cy="4765040"/>
                    </a:xfrm>
                    <a:prstGeom prst="rect">
                      <a:avLst/>
                    </a:prstGeom>
                  </pic:spPr>
                </pic:pic>
              </a:graphicData>
            </a:graphic>
          </wp:inline>
        </w:drawing>
      </w:r>
    </w:p>
    <w:p w14:paraId="5D09A788" w14:textId="1C3C5995" w:rsidR="00050F3F" w:rsidRDefault="005C581D" w:rsidP="009B2D2B">
      <w:pPr>
        <w:rPr>
          <w:rFonts w:ascii="Times New Roman" w:hAnsi="Times New Roman" w:cs="Times New Roman"/>
          <w:sz w:val="24"/>
          <w:szCs w:val="24"/>
        </w:rPr>
      </w:pPr>
      <w:r w:rsidRPr="005C581D">
        <w:rPr>
          <w:noProof/>
        </w:rPr>
        <w:lastRenderedPageBreak/>
        <w:drawing>
          <wp:inline distT="0" distB="0" distL="0" distR="0" wp14:anchorId="781DB166" wp14:editId="373D3CD3">
            <wp:extent cx="5919746" cy="8229081"/>
            <wp:effectExtent l="0" t="0" r="5080" b="635"/>
            <wp:docPr id="18732834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28799" cy="8241666"/>
                    </a:xfrm>
                    <a:prstGeom prst="rect">
                      <a:avLst/>
                    </a:prstGeom>
                    <a:noFill/>
                    <a:ln>
                      <a:noFill/>
                    </a:ln>
                  </pic:spPr>
                </pic:pic>
              </a:graphicData>
            </a:graphic>
          </wp:inline>
        </w:drawing>
      </w:r>
    </w:p>
    <w:sectPr w:rsidR="00050F3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0662E5"/>
    <w:multiLevelType w:val="hybridMultilevel"/>
    <w:tmpl w:val="B2EED7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B930F5A"/>
    <w:multiLevelType w:val="hybridMultilevel"/>
    <w:tmpl w:val="3288F6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861967168">
    <w:abstractNumId w:val="1"/>
  </w:num>
  <w:num w:numId="2" w16cid:durableId="11095503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031E"/>
    <w:rsid w:val="00050F3F"/>
    <w:rsid w:val="000674BF"/>
    <w:rsid w:val="001D099D"/>
    <w:rsid w:val="001E16AB"/>
    <w:rsid w:val="00213757"/>
    <w:rsid w:val="002B2694"/>
    <w:rsid w:val="0051273D"/>
    <w:rsid w:val="005C581D"/>
    <w:rsid w:val="005D21E5"/>
    <w:rsid w:val="005D3113"/>
    <w:rsid w:val="006105EC"/>
    <w:rsid w:val="0062031E"/>
    <w:rsid w:val="006B0D06"/>
    <w:rsid w:val="007D31B7"/>
    <w:rsid w:val="00841CA2"/>
    <w:rsid w:val="00880D5B"/>
    <w:rsid w:val="009A5922"/>
    <w:rsid w:val="009B2D2B"/>
    <w:rsid w:val="009E7839"/>
    <w:rsid w:val="00A361C4"/>
    <w:rsid w:val="00B44215"/>
    <w:rsid w:val="00BD5CD4"/>
    <w:rsid w:val="00CB43B3"/>
    <w:rsid w:val="00D05C54"/>
    <w:rsid w:val="00D94EB6"/>
    <w:rsid w:val="00E605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C78C2E"/>
  <w15:chartTrackingRefBased/>
  <w15:docId w15:val="{5870F648-B9CF-48BC-9519-1843A268D4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kern w:val="2"/>
        <w:sz w:val="24"/>
        <w:szCs w:val="24"/>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031E"/>
    <w:pPr>
      <w:spacing w:after="0" w:line="240" w:lineRule="auto"/>
    </w:pPr>
    <w:rPr>
      <w:rFonts w:asciiTheme="minorHAnsi" w:hAnsiTheme="minorHAnsi" w:cstheme="minorBidi"/>
      <w:kern w:val="0"/>
      <w:sz w:val="22"/>
      <w:szCs w:val="22"/>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62031E"/>
    <w:pPr>
      <w:jc w:val="center"/>
    </w:pPr>
    <w:rPr>
      <w:b/>
      <w:bCs/>
      <w:sz w:val="28"/>
      <w:szCs w:val="28"/>
    </w:rPr>
  </w:style>
  <w:style w:type="character" w:customStyle="1" w:styleId="TitleChar">
    <w:name w:val="Title Char"/>
    <w:basedOn w:val="DefaultParagraphFont"/>
    <w:link w:val="Title"/>
    <w:uiPriority w:val="10"/>
    <w:rsid w:val="0062031E"/>
    <w:rPr>
      <w:rFonts w:asciiTheme="minorHAnsi" w:hAnsiTheme="minorHAnsi" w:cstheme="minorBidi"/>
      <w:b/>
      <w:bCs/>
      <w:kern w:val="0"/>
      <w:sz w:val="28"/>
      <w:szCs w:val="28"/>
      <w14:ligatures w14:val="none"/>
    </w:rPr>
  </w:style>
  <w:style w:type="paragraph" w:styleId="ListParagraph">
    <w:name w:val="List Paragraph"/>
    <w:basedOn w:val="Normal"/>
    <w:uiPriority w:val="34"/>
    <w:qFormat/>
    <w:rsid w:val="007D31B7"/>
    <w:pPr>
      <w:ind w:left="720"/>
      <w:contextualSpacing/>
    </w:pPr>
  </w:style>
  <w:style w:type="character" w:styleId="Hyperlink">
    <w:name w:val="Hyperlink"/>
    <w:basedOn w:val="DefaultParagraphFont"/>
    <w:uiPriority w:val="99"/>
    <w:unhideWhenUsed/>
    <w:rsid w:val="009B2D2B"/>
    <w:rPr>
      <w:color w:val="0563C1" w:themeColor="hyperlink"/>
      <w:u w:val="single"/>
    </w:rPr>
  </w:style>
  <w:style w:type="character" w:styleId="UnresolvedMention">
    <w:name w:val="Unresolved Mention"/>
    <w:basedOn w:val="DefaultParagraphFont"/>
    <w:uiPriority w:val="99"/>
    <w:semiHidden/>
    <w:unhideWhenUsed/>
    <w:rsid w:val="009B2D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emf"/><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ghgprotocol.org/sites/default/files/ghgp/Global-Warming-Potential-Values%20%28Feb%2016%202016%29_1.pdf" TargetMode="External"/><Relationship Id="rId5" Type="http://schemas.openxmlformats.org/officeDocument/2006/relationships/hyperlink" Target="https://report.ipcc.ch/ar6syr/pdf/IPCC_AR6_SYR_LongerReport.pdf" TargetMode="External"/><Relationship Id="rId15" Type="http://schemas.openxmlformats.org/officeDocument/2006/relationships/image" Target="media/image9.pn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103</TotalTime>
  <Pages>10</Pages>
  <Words>682</Words>
  <Characters>3889</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City of Concord</Company>
  <LinksUpToDate>false</LinksUpToDate>
  <CharactersWithSpaces>4562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Yee, Ken</dc:creator>
  <cp:keywords/>
  <dc:description/>
  <cp:lastModifiedBy>Yee, Ken</cp:lastModifiedBy>
  <cp:revision>20</cp:revision>
  <dcterms:created xsi:type="dcterms:W3CDTF">2024-03-14T19:08:00Z</dcterms:created>
  <dcterms:modified xsi:type="dcterms:W3CDTF">2024-03-20T16:22:00Z</dcterms:modified>
</cp:coreProperties>
</file>