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C7D7B" w14:textId="77777777" w:rsidR="00B55AF4" w:rsidRPr="006D4F9E" w:rsidRDefault="00B55AF4" w:rsidP="00B55AF4">
      <w:pPr>
        <w:pStyle w:val="Heading1"/>
        <w:spacing w:after="120" w:line="240" w:lineRule="auto"/>
        <w:rPr>
          <w:rFonts w:ascii="Times New Roman" w:hAnsi="Times New Roman" w:cs="Times New Roman"/>
          <w:b/>
          <w:bCs/>
          <w:color w:val="auto"/>
          <w:sz w:val="24"/>
          <w:szCs w:val="24"/>
        </w:rPr>
      </w:pPr>
      <w:r w:rsidRPr="006D4F9E">
        <w:rPr>
          <w:rFonts w:ascii="Times New Roman" w:hAnsi="Times New Roman" w:cs="Times New Roman"/>
          <w:b/>
          <w:bCs/>
          <w:color w:val="auto"/>
          <w:sz w:val="24"/>
          <w:szCs w:val="24"/>
        </w:rPr>
        <w:t>DBSD Energy Efficiency and Solar (Denali Borough School District)</w:t>
      </w:r>
    </w:p>
    <w:p w14:paraId="5846BFE8" w14:textId="77777777" w:rsidR="00B55AF4" w:rsidRPr="007638B0" w:rsidRDefault="00B55AF4" w:rsidP="00B55AF4">
      <w:pPr>
        <w:pStyle w:val="BodyText"/>
        <w:rPr>
          <w:color w:val="FF0000"/>
          <w:sz w:val="24"/>
          <w:szCs w:val="24"/>
        </w:rPr>
      </w:pPr>
    </w:p>
    <w:p w14:paraId="2D3D1A86" w14:textId="77777777" w:rsidR="00B55AF4" w:rsidRPr="006D4F9E" w:rsidRDefault="00B55AF4" w:rsidP="00B55AF4">
      <w:pPr>
        <w:pStyle w:val="Heading2"/>
        <w:rPr>
          <w:rFonts w:ascii="Times New Roman" w:hAnsi="Times New Roman" w:cs="Times New Roman"/>
          <w:b/>
          <w:bCs/>
          <w:color w:val="auto"/>
          <w:sz w:val="24"/>
          <w:szCs w:val="24"/>
        </w:rPr>
      </w:pPr>
      <w:r w:rsidRPr="006D4F9E">
        <w:rPr>
          <w:rFonts w:ascii="Times New Roman" w:hAnsi="Times New Roman" w:cs="Times New Roman"/>
          <w:b/>
          <w:bCs/>
          <w:color w:val="auto"/>
          <w:sz w:val="24"/>
          <w:szCs w:val="24"/>
        </w:rPr>
        <w:t>Reference Case</w:t>
      </w:r>
    </w:p>
    <w:p w14:paraId="1FD9ADF2" w14:textId="0DB9F2DE" w:rsidR="00B55AF4" w:rsidRPr="007638B0" w:rsidRDefault="00B55AF4" w:rsidP="006D4F9E">
      <w:pPr>
        <w:pStyle w:val="BodyText"/>
        <w:rPr>
          <w:rFonts w:ascii="Times New Roman" w:hAnsi="Times New Roman"/>
          <w:sz w:val="24"/>
          <w:szCs w:val="24"/>
        </w:rPr>
      </w:pPr>
      <w:r w:rsidRPr="007638B0">
        <w:rPr>
          <w:rFonts w:ascii="Times New Roman" w:hAnsi="Times New Roman"/>
          <w:sz w:val="24"/>
          <w:szCs w:val="24"/>
        </w:rPr>
        <w:t xml:space="preserve">The building stock data for the </w:t>
      </w:r>
      <w:r w:rsidR="006D4F9E">
        <w:rPr>
          <w:rFonts w:ascii="Times New Roman" w:hAnsi="Times New Roman"/>
          <w:sz w:val="24"/>
          <w:szCs w:val="24"/>
        </w:rPr>
        <w:t xml:space="preserve">3 </w:t>
      </w:r>
      <w:r w:rsidRPr="007638B0">
        <w:rPr>
          <w:rFonts w:ascii="Times New Roman" w:hAnsi="Times New Roman"/>
          <w:sz w:val="24"/>
          <w:szCs w:val="24"/>
        </w:rPr>
        <w:t xml:space="preserve">public </w:t>
      </w:r>
      <w:r w:rsidR="006D4F9E">
        <w:rPr>
          <w:rFonts w:ascii="Times New Roman" w:hAnsi="Times New Roman"/>
          <w:sz w:val="24"/>
          <w:szCs w:val="24"/>
        </w:rPr>
        <w:t xml:space="preserve">school </w:t>
      </w:r>
      <w:r w:rsidRPr="007638B0">
        <w:rPr>
          <w:rFonts w:ascii="Times New Roman" w:hAnsi="Times New Roman"/>
          <w:sz w:val="24"/>
          <w:szCs w:val="24"/>
        </w:rPr>
        <w:t xml:space="preserve">buildings was taken </w:t>
      </w:r>
      <w:r w:rsidR="006D4F9E">
        <w:rPr>
          <w:rFonts w:ascii="Times New Roman" w:hAnsi="Times New Roman"/>
          <w:sz w:val="24"/>
          <w:szCs w:val="24"/>
        </w:rPr>
        <w:t xml:space="preserve">for (1) </w:t>
      </w:r>
      <w:r w:rsidR="006D4F9E" w:rsidRPr="006D4F9E">
        <w:rPr>
          <w:rFonts w:ascii="Times New Roman" w:hAnsi="Times New Roman"/>
          <w:sz w:val="24"/>
          <w:szCs w:val="24"/>
        </w:rPr>
        <w:t>Tri-Valley School</w:t>
      </w:r>
      <w:r w:rsidR="006D4F9E">
        <w:rPr>
          <w:rFonts w:ascii="Times New Roman" w:hAnsi="Times New Roman"/>
          <w:sz w:val="24"/>
          <w:szCs w:val="24"/>
        </w:rPr>
        <w:t xml:space="preserve">, (2) </w:t>
      </w:r>
      <w:r w:rsidR="006D4F9E" w:rsidRPr="006D4F9E">
        <w:rPr>
          <w:rFonts w:ascii="Times New Roman" w:hAnsi="Times New Roman"/>
          <w:sz w:val="24"/>
          <w:szCs w:val="24"/>
        </w:rPr>
        <w:t>Anderson School</w:t>
      </w:r>
      <w:r w:rsidR="006D4F9E">
        <w:rPr>
          <w:rFonts w:ascii="Times New Roman" w:hAnsi="Times New Roman"/>
          <w:sz w:val="24"/>
          <w:szCs w:val="24"/>
        </w:rPr>
        <w:t xml:space="preserve">, and (3) </w:t>
      </w:r>
      <w:r w:rsidR="006D4F9E" w:rsidRPr="006D4F9E">
        <w:rPr>
          <w:rFonts w:ascii="Times New Roman" w:hAnsi="Times New Roman"/>
          <w:sz w:val="24"/>
          <w:szCs w:val="24"/>
        </w:rPr>
        <w:t>Cantwell School</w:t>
      </w:r>
      <w:r w:rsidR="006D4F9E">
        <w:rPr>
          <w:rFonts w:ascii="Times New Roman" w:hAnsi="Times New Roman"/>
          <w:sz w:val="24"/>
          <w:szCs w:val="24"/>
        </w:rPr>
        <w:t>, which also had</w:t>
      </w:r>
      <w:r w:rsidRPr="007638B0">
        <w:rPr>
          <w:rFonts w:ascii="Times New Roman" w:hAnsi="Times New Roman"/>
          <w:sz w:val="24"/>
          <w:szCs w:val="24"/>
        </w:rPr>
        <w:t xml:space="preserve"> </w:t>
      </w:r>
      <w:r w:rsidR="006D4F9E">
        <w:rPr>
          <w:rFonts w:ascii="Times New Roman" w:hAnsi="Times New Roman"/>
          <w:sz w:val="24"/>
          <w:szCs w:val="24"/>
        </w:rPr>
        <w:t>general</w:t>
      </w:r>
      <w:r w:rsidRPr="007638B0">
        <w:rPr>
          <w:rFonts w:ascii="Times New Roman" w:hAnsi="Times New Roman"/>
          <w:sz w:val="24"/>
          <w:szCs w:val="24"/>
        </w:rPr>
        <w:t xml:space="preserve"> information about the building types, year-of-construction, heating-fuel, and square-footage fields. </w:t>
      </w:r>
      <w:r w:rsidR="006D4F9E">
        <w:rPr>
          <w:rFonts w:ascii="Times New Roman" w:hAnsi="Times New Roman"/>
          <w:sz w:val="24"/>
          <w:szCs w:val="24"/>
        </w:rPr>
        <w:t>If missing,</w:t>
      </w:r>
      <w:r w:rsidRPr="007638B0">
        <w:rPr>
          <w:rFonts w:ascii="Times New Roman" w:hAnsi="Times New Roman"/>
          <w:sz w:val="24"/>
          <w:szCs w:val="24"/>
        </w:rPr>
        <w:t xml:space="preserve"> the following </w:t>
      </w:r>
      <w:r w:rsidR="006D4F9E">
        <w:rPr>
          <w:rFonts w:ascii="Times New Roman" w:hAnsi="Times New Roman"/>
          <w:sz w:val="24"/>
          <w:szCs w:val="24"/>
        </w:rPr>
        <w:t xml:space="preserve">backfill </w:t>
      </w:r>
      <w:r w:rsidRPr="007638B0">
        <w:rPr>
          <w:rFonts w:ascii="Times New Roman" w:hAnsi="Times New Roman"/>
          <w:sz w:val="24"/>
          <w:szCs w:val="24"/>
        </w:rPr>
        <w:t>processing was implemented</w:t>
      </w:r>
      <w:r w:rsidR="006D4F9E">
        <w:rPr>
          <w:rFonts w:ascii="Times New Roman" w:hAnsi="Times New Roman"/>
          <w:sz w:val="24"/>
          <w:szCs w:val="24"/>
        </w:rPr>
        <w:t xml:space="preserve">. </w:t>
      </w:r>
      <w:r w:rsidRPr="007638B0">
        <w:rPr>
          <w:rFonts w:ascii="Times New Roman" w:hAnsi="Times New Roman"/>
          <w:sz w:val="24"/>
          <w:szCs w:val="24"/>
        </w:rPr>
        <w:t>To align the type of each building with something that’s addressable in our dataset of U.S. buildings, we searched for keywords in the existing descriptions. For example, if the unstructured type had the word “Shed” or “Storage”, then we assigned those buildings the “Warehouse” type. The other required parameters to index our database of building properties are square footage, year-of-construction, heating-fuel, and zip-code. Most of the buildings in these datasets had zip codes. However, to backfill these fields into buildings that did not have this data, we took the average value of those buildings of the same type in the dataset. For year-of-construction and heating-fuel, which did not have enough distributions to calculate dataset-averages, we used typical distributions, attained from the AK PARCEL AND LOT dataset of commercial buildings in Alaska.</w:t>
      </w:r>
    </w:p>
    <w:p w14:paraId="0D255BFE" w14:textId="57F3D642" w:rsidR="00B55AF4" w:rsidRPr="007638B0" w:rsidRDefault="00B55AF4" w:rsidP="006D4F9E">
      <w:pPr>
        <w:pStyle w:val="BodyText"/>
        <w:rPr>
          <w:rFonts w:ascii="Times New Roman" w:hAnsi="Times New Roman"/>
          <w:sz w:val="24"/>
          <w:szCs w:val="24"/>
        </w:rPr>
      </w:pPr>
      <w:r w:rsidRPr="007638B0">
        <w:rPr>
          <w:rFonts w:ascii="Times New Roman" w:hAnsi="Times New Roman"/>
          <w:sz w:val="24"/>
          <w:szCs w:val="24"/>
        </w:rPr>
        <w:t xml:space="preserve">Once this dataset was properly cleaned, a model was created for each building using the information on-hand. </w:t>
      </w:r>
      <w:r w:rsidR="006D4F9E">
        <w:rPr>
          <w:rFonts w:ascii="Times New Roman" w:hAnsi="Times New Roman"/>
          <w:sz w:val="24"/>
          <w:szCs w:val="24"/>
        </w:rPr>
        <w:t xml:space="preserve">All 3 locations were analyzed for efficiency measures using </w:t>
      </w:r>
      <w:proofErr w:type="spellStart"/>
      <w:r w:rsidRPr="007638B0">
        <w:rPr>
          <w:rFonts w:ascii="Times New Roman" w:hAnsi="Times New Roman"/>
          <w:sz w:val="24"/>
          <w:szCs w:val="24"/>
        </w:rPr>
        <w:t>EnergyPlus</w:t>
      </w:r>
      <w:proofErr w:type="spellEnd"/>
      <w:r w:rsidRPr="007638B0">
        <w:rPr>
          <w:rFonts w:ascii="Times New Roman" w:hAnsi="Times New Roman"/>
          <w:sz w:val="24"/>
          <w:szCs w:val="24"/>
        </w:rPr>
        <w:t xml:space="preserve">, the industry standard building energy simulation tool, using the automatic generation capability of the Constellation Navigator software. Because only the 5 main variables were available, all other energy-relevant building data was taken from the most applicable of the approximately 1,000 representative building energy models developed by NREL, PNNL, and DoE. The most applicable data source for each building was determined by comparing the year of construction, zip code, building type, and heating fuel (as assumed from other fuels in the building). </w:t>
      </w:r>
      <w:r w:rsidR="006D4F9E">
        <w:rPr>
          <w:rFonts w:ascii="Times New Roman" w:hAnsi="Times New Roman"/>
          <w:sz w:val="24"/>
          <w:szCs w:val="24"/>
        </w:rPr>
        <w:t xml:space="preserve">Independently three solar PV projects were estimated for (1) </w:t>
      </w:r>
      <w:r w:rsidR="006D4F9E" w:rsidRPr="006D4F9E">
        <w:rPr>
          <w:rFonts w:ascii="Times New Roman" w:hAnsi="Times New Roman"/>
          <w:sz w:val="24"/>
          <w:szCs w:val="24"/>
        </w:rPr>
        <w:t>Tri-Valley School</w:t>
      </w:r>
      <w:r w:rsidR="006D4F9E">
        <w:rPr>
          <w:rFonts w:ascii="Times New Roman" w:hAnsi="Times New Roman"/>
          <w:sz w:val="24"/>
          <w:szCs w:val="24"/>
        </w:rPr>
        <w:t xml:space="preserve">, (2) </w:t>
      </w:r>
      <w:r w:rsidR="006D4F9E" w:rsidRPr="006D4F9E">
        <w:rPr>
          <w:rFonts w:ascii="Times New Roman" w:hAnsi="Times New Roman"/>
          <w:sz w:val="24"/>
          <w:szCs w:val="24"/>
        </w:rPr>
        <w:t>Anderson School</w:t>
      </w:r>
      <w:r w:rsidR="006D4F9E">
        <w:rPr>
          <w:rFonts w:ascii="Times New Roman" w:hAnsi="Times New Roman"/>
          <w:sz w:val="24"/>
          <w:szCs w:val="24"/>
        </w:rPr>
        <w:t xml:space="preserve">, and (3) </w:t>
      </w:r>
      <w:r w:rsidR="006D4F9E" w:rsidRPr="006D4F9E">
        <w:rPr>
          <w:rFonts w:ascii="Times New Roman" w:hAnsi="Times New Roman"/>
          <w:sz w:val="24"/>
          <w:szCs w:val="24"/>
        </w:rPr>
        <w:t>Cantwell School</w:t>
      </w:r>
      <w:r w:rsidR="006D4F9E">
        <w:rPr>
          <w:rFonts w:ascii="Times New Roman" w:hAnsi="Times New Roman"/>
          <w:sz w:val="24"/>
          <w:szCs w:val="24"/>
        </w:rPr>
        <w:t xml:space="preserve"> for </w:t>
      </w:r>
      <w:r w:rsidR="008873CF">
        <w:rPr>
          <w:rFonts w:ascii="Times New Roman" w:hAnsi="Times New Roman"/>
          <w:sz w:val="24"/>
          <w:szCs w:val="24"/>
        </w:rPr>
        <w:t>approximately</w:t>
      </w:r>
      <w:r w:rsidR="008873CF" w:rsidRPr="008873CF">
        <w:rPr>
          <w:rFonts w:ascii="Times New Roman" w:hAnsi="Times New Roman"/>
          <w:sz w:val="24"/>
          <w:szCs w:val="24"/>
        </w:rPr>
        <w:t xml:space="preserve"> </w:t>
      </w:r>
      <w:proofErr w:type="gramStart"/>
      <w:r w:rsidR="006D4F9E" w:rsidRPr="008873CF">
        <w:rPr>
          <w:rFonts w:ascii="Times New Roman" w:hAnsi="Times New Roman"/>
          <w:sz w:val="24"/>
          <w:szCs w:val="24"/>
        </w:rPr>
        <w:t xml:space="preserve">19, 28 and 26 </w:t>
      </w:r>
      <w:r w:rsidR="008873CF" w:rsidRPr="008873CF">
        <w:rPr>
          <w:rFonts w:ascii="Times New Roman" w:hAnsi="Times New Roman"/>
          <w:sz w:val="24"/>
          <w:szCs w:val="24"/>
        </w:rPr>
        <w:t>M</w:t>
      </w:r>
      <w:r w:rsidR="006D4F9E" w:rsidRPr="008873CF">
        <w:rPr>
          <w:rFonts w:ascii="Times New Roman" w:hAnsi="Times New Roman"/>
          <w:sz w:val="24"/>
          <w:szCs w:val="24"/>
        </w:rPr>
        <w:t>Wh</w:t>
      </w:r>
      <w:proofErr w:type="gramEnd"/>
      <w:r w:rsidR="006D4F9E" w:rsidRPr="008873CF">
        <w:rPr>
          <w:rFonts w:ascii="Times New Roman" w:hAnsi="Times New Roman"/>
          <w:sz w:val="24"/>
          <w:szCs w:val="24"/>
        </w:rPr>
        <w:t xml:space="preserve"> </w:t>
      </w:r>
      <w:r w:rsidR="006D4F9E">
        <w:rPr>
          <w:rFonts w:ascii="Times New Roman" w:hAnsi="Times New Roman"/>
          <w:sz w:val="24"/>
          <w:szCs w:val="24"/>
        </w:rPr>
        <w:t>sizes, respectively</w:t>
      </w:r>
      <w:r w:rsidR="008873CF">
        <w:rPr>
          <w:rFonts w:ascii="Times New Roman" w:hAnsi="Times New Roman"/>
          <w:sz w:val="24"/>
          <w:szCs w:val="24"/>
        </w:rPr>
        <w:t xml:space="preserve"> – replacing mostly diesel-based power generation</w:t>
      </w:r>
      <w:r w:rsidR="006D4F9E">
        <w:rPr>
          <w:rFonts w:ascii="Times New Roman" w:hAnsi="Times New Roman"/>
          <w:sz w:val="24"/>
          <w:szCs w:val="24"/>
        </w:rPr>
        <w:t>.</w:t>
      </w:r>
    </w:p>
    <w:p w14:paraId="6D46C8B5" w14:textId="26BAD022" w:rsidR="00B55AF4" w:rsidRPr="007638B0" w:rsidRDefault="00B55AF4" w:rsidP="00B55AF4">
      <w:pPr>
        <w:pStyle w:val="BodyText"/>
        <w:rPr>
          <w:rFonts w:ascii="Times New Roman" w:hAnsi="Times New Roman"/>
          <w:sz w:val="24"/>
          <w:szCs w:val="24"/>
        </w:rPr>
      </w:pPr>
      <w:r w:rsidRPr="007638B0">
        <w:rPr>
          <w:rFonts w:ascii="Times New Roman" w:hAnsi="Times New Roman"/>
          <w:sz w:val="24"/>
          <w:szCs w:val="24"/>
        </w:rPr>
        <w:t xml:space="preserve">It is planned to calibrate the reference case to </w:t>
      </w:r>
      <w:r w:rsidR="006D4F9E" w:rsidRPr="007638B0">
        <w:rPr>
          <w:rFonts w:ascii="Times New Roman" w:hAnsi="Times New Roman"/>
          <w:sz w:val="24"/>
          <w:szCs w:val="24"/>
        </w:rPr>
        <w:t>measure</w:t>
      </w:r>
      <w:r w:rsidRPr="007638B0">
        <w:rPr>
          <w:rFonts w:ascii="Times New Roman" w:hAnsi="Times New Roman"/>
          <w:sz w:val="24"/>
          <w:szCs w:val="24"/>
        </w:rPr>
        <w:t xml:space="preserve"> historical utility fuel delivery quantities at the state level. This was accomplished by joining the ARIS buildings with the AK PARCEL AND LOT set to ensure all commercial buildings in the state are represented. This step ensures that models at the building level are not over- or under-estimating any fuel usage, and it also </w:t>
      </w:r>
      <w:r w:rsidR="0041259B" w:rsidRPr="007638B0">
        <w:rPr>
          <w:rFonts w:ascii="Times New Roman" w:hAnsi="Times New Roman"/>
          <w:sz w:val="24"/>
          <w:szCs w:val="24"/>
        </w:rPr>
        <w:t>helps</w:t>
      </w:r>
      <w:r w:rsidRPr="007638B0">
        <w:rPr>
          <w:rFonts w:ascii="Times New Roman" w:hAnsi="Times New Roman"/>
          <w:sz w:val="24"/>
          <w:szCs w:val="24"/>
        </w:rPr>
        <w:t xml:space="preserve"> us refine the assumptions made for heating fuel at the building level. </w:t>
      </w:r>
    </w:p>
    <w:p w14:paraId="4F8EB2C0" w14:textId="77777777" w:rsidR="00B55AF4" w:rsidRPr="006D4F9E" w:rsidRDefault="00B55AF4" w:rsidP="00B55AF4">
      <w:pPr>
        <w:pStyle w:val="Heading2"/>
        <w:rPr>
          <w:rFonts w:ascii="Times New Roman" w:hAnsi="Times New Roman" w:cs="Times New Roman"/>
          <w:b/>
          <w:bCs/>
          <w:color w:val="auto"/>
          <w:sz w:val="24"/>
          <w:szCs w:val="24"/>
        </w:rPr>
      </w:pPr>
      <w:r w:rsidRPr="006D4F9E">
        <w:rPr>
          <w:rFonts w:ascii="Times New Roman" w:hAnsi="Times New Roman" w:cs="Times New Roman"/>
          <w:b/>
          <w:bCs/>
          <w:color w:val="auto"/>
          <w:sz w:val="24"/>
          <w:szCs w:val="24"/>
        </w:rPr>
        <w:t xml:space="preserve">Measure-specific implementation </w:t>
      </w:r>
      <w:proofErr w:type="gramStart"/>
      <w:r w:rsidRPr="006D4F9E">
        <w:rPr>
          <w:rFonts w:ascii="Times New Roman" w:hAnsi="Times New Roman" w:cs="Times New Roman"/>
          <w:b/>
          <w:bCs/>
          <w:color w:val="auto"/>
          <w:sz w:val="24"/>
          <w:szCs w:val="24"/>
        </w:rPr>
        <w:t>assumptions</w:t>
      </w:r>
      <w:proofErr w:type="gramEnd"/>
    </w:p>
    <w:p w14:paraId="5FBD7DDB" w14:textId="77777777" w:rsidR="00267E06" w:rsidRDefault="00B55AF4" w:rsidP="00267E06">
      <w:pPr>
        <w:pStyle w:val="BodyText"/>
        <w:rPr>
          <w:rFonts w:ascii="Times New Roman" w:hAnsi="Times New Roman"/>
          <w:sz w:val="24"/>
          <w:szCs w:val="24"/>
        </w:rPr>
      </w:pPr>
      <w:r w:rsidRPr="007638B0">
        <w:rPr>
          <w:rFonts w:ascii="Times New Roman" w:hAnsi="Times New Roman"/>
          <w:sz w:val="24"/>
          <w:szCs w:val="24"/>
        </w:rPr>
        <w:t xml:space="preserve">The efficiency upgrades in this set of measures include the replacement of all non-LED lighting fixtures with LED fixtures, the addition of wall and roof insulation, and air-sealing of the envelope. In the implementation of the insulation upgrade, it’s assumed that the space exists to install the levels of insulation modelled, which in some cases requires the extension of the depth of the walls. </w:t>
      </w:r>
      <w:r w:rsidR="00267E06" w:rsidRPr="00DC08EC">
        <w:rPr>
          <w:rFonts w:ascii="Times New Roman" w:hAnsi="Times New Roman"/>
          <w:sz w:val="24"/>
          <w:szCs w:val="24"/>
        </w:rPr>
        <w:t xml:space="preserve">For envelope changes, levels of insulation and sealing as well as window upgrades were modeled. Additionally, wherever meaningful, the installation of VRF, commercial heat pumps and LED lighting, alongside variable speed drives on pumps and fans. In certain buildings, HVAC Heat Recovery and CHP installations were modeled, whereas in others </w:t>
      </w:r>
      <w:r w:rsidR="00267E06" w:rsidRPr="00DC08EC">
        <w:rPr>
          <w:rFonts w:ascii="Times New Roman" w:hAnsi="Times New Roman"/>
          <w:sz w:val="24"/>
          <w:szCs w:val="24"/>
        </w:rPr>
        <w:lastRenderedPageBreak/>
        <w:t>Condensing Boilers and Ground-source heat pumps (GSHP) were modeled in.</w:t>
      </w:r>
      <w:r w:rsidR="00267E06">
        <w:rPr>
          <w:rFonts w:ascii="Times New Roman" w:hAnsi="Times New Roman"/>
          <w:sz w:val="24"/>
          <w:szCs w:val="24"/>
        </w:rPr>
        <w:t xml:space="preserve"> See energy use and emission details in the support file.</w:t>
      </w:r>
    </w:p>
    <w:p w14:paraId="47835E2E" w14:textId="77777777" w:rsidR="00B55AF4" w:rsidRDefault="00B55AF4" w:rsidP="00B55AF4">
      <w:pPr>
        <w:pStyle w:val="BodyText"/>
        <w:rPr>
          <w:rFonts w:ascii="Times New Roman" w:hAnsi="Times New Roman"/>
          <w:sz w:val="24"/>
          <w:szCs w:val="24"/>
        </w:rPr>
      </w:pPr>
      <w:r w:rsidRPr="007638B0">
        <w:rPr>
          <w:rFonts w:ascii="Times New Roman" w:hAnsi="Times New Roman"/>
          <w:sz w:val="24"/>
          <w:szCs w:val="24"/>
        </w:rPr>
        <w:t xml:space="preserve">The </w:t>
      </w:r>
      <w:proofErr w:type="gramStart"/>
      <w:r w:rsidRPr="007638B0">
        <w:rPr>
          <w:rFonts w:ascii="Times New Roman" w:hAnsi="Times New Roman"/>
          <w:sz w:val="24"/>
          <w:szCs w:val="24"/>
        </w:rPr>
        <w:t>amount</w:t>
      </w:r>
      <w:proofErr w:type="gramEnd"/>
      <w:r w:rsidRPr="007638B0">
        <w:rPr>
          <w:rFonts w:ascii="Times New Roman" w:hAnsi="Times New Roman"/>
          <w:sz w:val="24"/>
          <w:szCs w:val="24"/>
        </w:rPr>
        <w:t xml:space="preserve"> of fixtures that are currently LED is determined based on the year of construction or last renovation of the building. For buildings which have been more recently renovated, it’s assumed that they have more </w:t>
      </w:r>
      <w:proofErr w:type="gramStart"/>
      <w:r w:rsidRPr="007638B0">
        <w:rPr>
          <w:rFonts w:ascii="Times New Roman" w:hAnsi="Times New Roman"/>
          <w:sz w:val="24"/>
          <w:szCs w:val="24"/>
        </w:rPr>
        <w:t>LED’s</w:t>
      </w:r>
      <w:proofErr w:type="gramEnd"/>
      <w:r w:rsidRPr="007638B0">
        <w:rPr>
          <w:rFonts w:ascii="Times New Roman" w:hAnsi="Times New Roman"/>
          <w:sz w:val="24"/>
          <w:szCs w:val="24"/>
        </w:rPr>
        <w:t xml:space="preserve"> installed, with the converse effect also assumed.</w:t>
      </w:r>
    </w:p>
    <w:p w14:paraId="48CD727A" w14:textId="77777777" w:rsidR="00E66682" w:rsidRPr="00E66682" w:rsidRDefault="00E66682" w:rsidP="00E66682">
      <w:pPr>
        <w:pStyle w:val="BodyText"/>
        <w:rPr>
          <w:rFonts w:ascii="Times New Roman" w:hAnsi="Times New Roman"/>
          <w:sz w:val="24"/>
          <w:szCs w:val="24"/>
        </w:rPr>
      </w:pPr>
      <w:r w:rsidRPr="00E66682">
        <w:rPr>
          <w:rFonts w:ascii="Times New Roman" w:hAnsi="Times New Roman"/>
          <w:sz w:val="24"/>
          <w:szCs w:val="24"/>
        </w:rPr>
        <w:t>A full audit is also planned such that other tertiary measures could be implemented, wherever applicable. For example, the audit can lead to the identification of low-cost savings opportunities not otherwise modelled, including boiler system tune-up, such as remove scaling or deposits, other maintenance; outdoor air system tune-up such as the identification of any leakage; any lighting controls measures or hot water supply temperature resets; supply air temperature resets and space air temperature setpoint setbacks, as well as adjusting demand-controlled ventilation air or tuning exhaust fan schedules.</w:t>
      </w:r>
    </w:p>
    <w:p w14:paraId="1716F93D" w14:textId="78377A74" w:rsidR="00E66682" w:rsidRPr="007638B0" w:rsidRDefault="00E66682" w:rsidP="00E66682">
      <w:pPr>
        <w:pStyle w:val="BodyText"/>
        <w:rPr>
          <w:rFonts w:ascii="Times New Roman" w:hAnsi="Times New Roman"/>
          <w:sz w:val="24"/>
          <w:szCs w:val="24"/>
        </w:rPr>
      </w:pPr>
      <w:r w:rsidRPr="00E66682">
        <w:rPr>
          <w:rFonts w:ascii="Times New Roman" w:hAnsi="Times New Roman"/>
          <w:sz w:val="24"/>
          <w:szCs w:val="24"/>
        </w:rPr>
        <w:t xml:space="preserve">The models show competing ECM emission reductions, which will be finalized upon the audit. Specifically, for these mutually exclusive ECMs, a baseline facility can be upgraded with either VRF, Heat pumps, as explained above; or a CHP, GSHP or condensing boiler - not all. As a result, the emission reductions for these set of ECMs are not summed up, but the </w:t>
      </w:r>
      <w:proofErr w:type="gramStart"/>
      <w:r w:rsidRPr="00E66682">
        <w:rPr>
          <w:rFonts w:ascii="Times New Roman" w:hAnsi="Times New Roman"/>
          <w:sz w:val="24"/>
          <w:szCs w:val="24"/>
        </w:rPr>
        <w:t>mean</w:t>
      </w:r>
      <w:proofErr w:type="gramEnd"/>
      <w:r w:rsidRPr="00E66682">
        <w:rPr>
          <w:rFonts w:ascii="Times New Roman" w:hAnsi="Times New Roman"/>
          <w:sz w:val="24"/>
          <w:szCs w:val="24"/>
        </w:rPr>
        <w:t xml:space="preserve"> is assumed. For the Condensing Boiler ECM (#11), the measure would replace the existing heating system with a condensing natural gas boiler. Implement a hot water supply temperature reset strategy to </w:t>
      </w:r>
      <w:proofErr w:type="gramStart"/>
      <w:r w:rsidRPr="00E66682">
        <w:rPr>
          <w:rFonts w:ascii="Times New Roman" w:hAnsi="Times New Roman"/>
          <w:sz w:val="24"/>
          <w:szCs w:val="24"/>
        </w:rPr>
        <w:t>most effectively operate the boiler</w:t>
      </w:r>
      <w:proofErr w:type="gramEnd"/>
      <w:r w:rsidRPr="00E66682">
        <w:rPr>
          <w:rFonts w:ascii="Times New Roman" w:hAnsi="Times New Roman"/>
          <w:sz w:val="24"/>
          <w:szCs w:val="24"/>
        </w:rPr>
        <w:t xml:space="preserve">. For CHP (#12), the measure would replace existing heating system with a natural gas Microturbine, optimized for overall efficiency. Operate the Microturbine to meet all heating loads in the facility, using the generated electricity to run electric loads in the building. In times when excess electricity is generated, it could potentially sell back to the electric utility or stored. Finally, for GSHP (#13) the measure would replace the existing heating system, and cooling system if applicable, </w:t>
      </w:r>
      <w:proofErr w:type="gramStart"/>
      <w:r w:rsidRPr="00E66682">
        <w:rPr>
          <w:rFonts w:ascii="Times New Roman" w:hAnsi="Times New Roman"/>
          <w:sz w:val="24"/>
          <w:szCs w:val="24"/>
        </w:rPr>
        <w:t>to</w:t>
      </w:r>
      <w:proofErr w:type="gramEnd"/>
      <w:r w:rsidRPr="00E66682">
        <w:rPr>
          <w:rFonts w:ascii="Times New Roman" w:hAnsi="Times New Roman"/>
          <w:sz w:val="24"/>
          <w:szCs w:val="24"/>
        </w:rPr>
        <w:t xml:space="preserve"> a ground-source heat pump. The size of the ground loop and heat pump will be scaled to meet the entire heating load of the facility upon further analyses. For facilities that current has a boiler, then the heat pump installed is a water-to-water heat pump, otherwise, it is a water-to-air heat pump. Therefore, no changes to the hot water or air distribution system are required. Beyond these ECMs, the others are modeled separately, and can be implemented at the site together, but may show overall decreased performance when implemented together - due to overlapping or counteracting gains.</w:t>
      </w:r>
    </w:p>
    <w:p w14:paraId="15C0E201" w14:textId="77777777" w:rsidR="00B55AF4" w:rsidRPr="006D4F9E" w:rsidRDefault="00B55AF4" w:rsidP="00B55AF4">
      <w:pPr>
        <w:pStyle w:val="Heading2"/>
        <w:rPr>
          <w:rFonts w:ascii="Times New Roman" w:hAnsi="Times New Roman" w:cs="Times New Roman"/>
          <w:b/>
          <w:bCs/>
          <w:color w:val="auto"/>
          <w:sz w:val="24"/>
          <w:szCs w:val="24"/>
        </w:rPr>
      </w:pPr>
      <w:r w:rsidRPr="006D4F9E">
        <w:rPr>
          <w:rFonts w:ascii="Times New Roman" w:hAnsi="Times New Roman" w:cs="Times New Roman"/>
          <w:b/>
          <w:bCs/>
          <w:color w:val="auto"/>
          <w:sz w:val="24"/>
          <w:szCs w:val="24"/>
        </w:rPr>
        <w:t xml:space="preserve">Measure-specific activity </w:t>
      </w:r>
      <w:proofErr w:type="gramStart"/>
      <w:r w:rsidRPr="006D4F9E">
        <w:rPr>
          <w:rFonts w:ascii="Times New Roman" w:hAnsi="Times New Roman" w:cs="Times New Roman"/>
          <w:b/>
          <w:bCs/>
          <w:color w:val="auto"/>
          <w:sz w:val="24"/>
          <w:szCs w:val="24"/>
        </w:rPr>
        <w:t>data</w:t>
      </w:r>
      <w:proofErr w:type="gramEnd"/>
    </w:p>
    <w:p w14:paraId="23AB0B4B" w14:textId="77777777" w:rsidR="00B55AF4" w:rsidRPr="007638B0" w:rsidRDefault="00B55AF4" w:rsidP="00B55AF4">
      <w:pPr>
        <w:pStyle w:val="BodyText"/>
        <w:rPr>
          <w:rFonts w:ascii="Times New Roman" w:hAnsi="Times New Roman"/>
          <w:sz w:val="24"/>
          <w:szCs w:val="24"/>
        </w:rPr>
      </w:pPr>
      <w:r w:rsidRPr="007638B0">
        <w:rPr>
          <w:rFonts w:ascii="Times New Roman" w:hAnsi="Times New Roman"/>
          <w:sz w:val="24"/>
          <w:szCs w:val="24"/>
        </w:rPr>
        <w:t>Approximately 1050 public buildings will be receiving energy efficiency upgrades. For example, E1.1.1 and E1.8. External post insulation is added to the exterior walls and roof to reach the U-value specified by ASHRAE 189 2020 (p141) for the climate zone. A secondary measure will model the envelope air tightness is reduced to 0.25 cfm/sf as specified by ASHRAE 198 2020 p88, section 10.6. Additionally, E6.5.4 and E6.3, replacing all lighting with lighting power density which meets the 2020 ASHRAE 189 LPD levels.</w:t>
      </w:r>
    </w:p>
    <w:p w14:paraId="73DD084C" w14:textId="77777777" w:rsidR="00B55AF4" w:rsidRPr="006D4F9E" w:rsidRDefault="00B55AF4" w:rsidP="00B55AF4">
      <w:pPr>
        <w:pStyle w:val="Heading2"/>
        <w:rPr>
          <w:rFonts w:ascii="Times New Roman" w:hAnsi="Times New Roman" w:cs="Times New Roman"/>
          <w:b/>
          <w:bCs/>
          <w:color w:val="auto"/>
          <w:sz w:val="24"/>
          <w:szCs w:val="24"/>
        </w:rPr>
      </w:pPr>
      <w:r w:rsidRPr="006D4F9E">
        <w:rPr>
          <w:rFonts w:ascii="Times New Roman" w:hAnsi="Times New Roman" w:cs="Times New Roman"/>
          <w:b/>
          <w:bCs/>
          <w:color w:val="auto"/>
          <w:sz w:val="24"/>
          <w:szCs w:val="24"/>
        </w:rPr>
        <w:t xml:space="preserve">Models/Tools </w:t>
      </w:r>
      <w:proofErr w:type="gramStart"/>
      <w:r w:rsidRPr="006D4F9E">
        <w:rPr>
          <w:rFonts w:ascii="Times New Roman" w:hAnsi="Times New Roman" w:cs="Times New Roman"/>
          <w:b/>
          <w:bCs/>
          <w:color w:val="auto"/>
          <w:sz w:val="24"/>
          <w:szCs w:val="24"/>
        </w:rPr>
        <w:t>used</w:t>
      </w:r>
      <w:proofErr w:type="gramEnd"/>
    </w:p>
    <w:p w14:paraId="01943377" w14:textId="77777777" w:rsidR="00B55AF4" w:rsidRPr="007638B0" w:rsidRDefault="00B55AF4" w:rsidP="00B55AF4">
      <w:pPr>
        <w:pStyle w:val="BodyText"/>
        <w:numPr>
          <w:ilvl w:val="0"/>
          <w:numId w:val="1"/>
        </w:numPr>
        <w:rPr>
          <w:rFonts w:ascii="Times New Roman" w:hAnsi="Times New Roman"/>
          <w:sz w:val="24"/>
          <w:szCs w:val="24"/>
        </w:rPr>
      </w:pPr>
      <w:r w:rsidRPr="007638B0">
        <w:rPr>
          <w:rFonts w:ascii="Times New Roman" w:hAnsi="Times New Roman"/>
          <w:sz w:val="24"/>
          <w:szCs w:val="24"/>
        </w:rPr>
        <w:t xml:space="preserve">Constellation Navigator automatic energy model processing: used to create reference case models, upgrade-scenario models, and compare </w:t>
      </w:r>
      <w:proofErr w:type="gramStart"/>
      <w:r w:rsidRPr="007638B0">
        <w:rPr>
          <w:rFonts w:ascii="Times New Roman" w:hAnsi="Times New Roman"/>
          <w:sz w:val="24"/>
          <w:szCs w:val="24"/>
        </w:rPr>
        <w:t>them</w:t>
      </w:r>
      <w:proofErr w:type="gramEnd"/>
    </w:p>
    <w:p w14:paraId="2D87066B" w14:textId="77777777" w:rsidR="00B55AF4" w:rsidRPr="007638B0" w:rsidRDefault="00B55AF4" w:rsidP="00B55AF4">
      <w:pPr>
        <w:pStyle w:val="BodyText"/>
        <w:numPr>
          <w:ilvl w:val="0"/>
          <w:numId w:val="1"/>
        </w:numPr>
        <w:rPr>
          <w:rFonts w:ascii="Times New Roman" w:hAnsi="Times New Roman"/>
          <w:sz w:val="24"/>
          <w:szCs w:val="24"/>
        </w:rPr>
      </w:pPr>
      <w:r w:rsidRPr="007638B0">
        <w:rPr>
          <w:rFonts w:ascii="Times New Roman" w:hAnsi="Times New Roman"/>
          <w:sz w:val="24"/>
          <w:szCs w:val="24"/>
        </w:rPr>
        <w:t xml:space="preserve">DoE Commercial Reference Building Models: used as a source of data for building characteristics that do not exist in the building-specific </w:t>
      </w:r>
      <w:proofErr w:type="gramStart"/>
      <w:r w:rsidRPr="007638B0">
        <w:rPr>
          <w:rFonts w:ascii="Times New Roman" w:hAnsi="Times New Roman"/>
          <w:sz w:val="24"/>
          <w:szCs w:val="24"/>
        </w:rPr>
        <w:t>datasets</w:t>
      </w:r>
      <w:proofErr w:type="gramEnd"/>
    </w:p>
    <w:p w14:paraId="300DF477" w14:textId="77777777" w:rsidR="00B55AF4" w:rsidRPr="007638B0" w:rsidRDefault="00B55AF4" w:rsidP="00B55AF4">
      <w:pPr>
        <w:pStyle w:val="BodyText"/>
        <w:rPr>
          <w:rFonts w:ascii="Times New Roman" w:hAnsi="Times New Roman"/>
          <w:sz w:val="24"/>
          <w:szCs w:val="24"/>
        </w:rPr>
      </w:pPr>
    </w:p>
    <w:p w14:paraId="2268440C" w14:textId="77777777" w:rsidR="00B55AF4" w:rsidRPr="007638B0" w:rsidRDefault="00B55AF4" w:rsidP="00B55AF4">
      <w:pPr>
        <w:pStyle w:val="BodyText"/>
        <w:rPr>
          <w:rFonts w:ascii="Times New Roman" w:hAnsi="Times New Roman"/>
          <w:b/>
          <w:bCs/>
          <w:sz w:val="24"/>
          <w:szCs w:val="24"/>
          <w:u w:val="single"/>
        </w:rPr>
      </w:pPr>
      <w:r w:rsidRPr="007638B0">
        <w:rPr>
          <w:rFonts w:ascii="Times New Roman" w:hAnsi="Times New Roman"/>
          <w:b/>
          <w:bCs/>
          <w:sz w:val="24"/>
          <w:szCs w:val="24"/>
          <w:u w:val="single"/>
        </w:rPr>
        <w:t>GHG Reduction Estimate Method:</w:t>
      </w:r>
    </w:p>
    <w:p w14:paraId="15075525" w14:textId="77777777" w:rsidR="00B55AF4" w:rsidRPr="007638B0" w:rsidRDefault="00B55AF4" w:rsidP="00B55AF4">
      <w:pPr>
        <w:pStyle w:val="BodyText"/>
        <w:rPr>
          <w:rFonts w:ascii="Times New Roman" w:hAnsi="Times New Roman"/>
          <w:sz w:val="24"/>
          <w:szCs w:val="24"/>
        </w:rPr>
      </w:pPr>
      <w:r w:rsidRPr="007638B0">
        <w:rPr>
          <w:rFonts w:ascii="Times New Roman" w:hAnsi="Times New Roman"/>
          <w:sz w:val="24"/>
          <w:szCs w:val="24"/>
        </w:rPr>
        <w:t xml:space="preserve">The difference between the reference (base) case and the modeled changes in energy due to the modeled adoption of measures discussed above, is the activity data being used to estimate the reduction in GHG. For example, after buildings are simulated using the tools and assumptions above, the estimated reduction or increase in different types of fuels, such as natural gas, coal, liquid </w:t>
      </w:r>
      <w:proofErr w:type="gramStart"/>
      <w:r w:rsidRPr="007638B0">
        <w:rPr>
          <w:rFonts w:ascii="Times New Roman" w:hAnsi="Times New Roman"/>
          <w:sz w:val="24"/>
          <w:szCs w:val="24"/>
        </w:rPr>
        <w:t>fuels</w:t>
      </w:r>
      <w:proofErr w:type="gramEnd"/>
      <w:r w:rsidRPr="007638B0">
        <w:rPr>
          <w:rFonts w:ascii="Times New Roman" w:hAnsi="Times New Roman"/>
          <w:sz w:val="24"/>
          <w:szCs w:val="24"/>
        </w:rPr>
        <w:t xml:space="preserve"> or electricity, is converted from MMBTU or its energy equivalents, into MT CO2e using the corresponding emission factors for that fuel type, across the constituent CO2, CH4 and N2O. Next, EPA’s 2022 GWP values are used to convert to each MT per GHG type into aggregated annual MT CO2e – using 1 for CO2, 298 for N2O and 25 for CH4. Whenever appropriate, the emission factors of </w:t>
      </w:r>
      <w:proofErr w:type="gramStart"/>
      <w:r w:rsidRPr="007638B0">
        <w:rPr>
          <w:rFonts w:ascii="Times New Roman" w:hAnsi="Times New Roman"/>
          <w:sz w:val="24"/>
          <w:szCs w:val="24"/>
        </w:rPr>
        <w:t>electricity,</w:t>
      </w:r>
      <w:proofErr w:type="gramEnd"/>
      <w:r w:rsidRPr="007638B0">
        <w:rPr>
          <w:rFonts w:ascii="Times New Roman" w:hAnsi="Times New Roman"/>
          <w:sz w:val="24"/>
          <w:szCs w:val="24"/>
        </w:rPr>
        <w:t xml:space="preserve"> is matched using the community the buildings are in, and either the PCE based emission factors, or the grid-rates for the sub-region. </w:t>
      </w:r>
    </w:p>
    <w:p w14:paraId="555A20ED" w14:textId="77777777" w:rsidR="00B55AF4" w:rsidRPr="007638B0" w:rsidRDefault="00B55AF4" w:rsidP="00B55AF4">
      <w:pPr>
        <w:pStyle w:val="BodyText"/>
        <w:rPr>
          <w:rFonts w:ascii="Times New Roman" w:hAnsi="Times New Roman"/>
          <w:sz w:val="24"/>
          <w:szCs w:val="24"/>
        </w:rPr>
      </w:pPr>
      <w:r w:rsidRPr="007638B0">
        <w:rPr>
          <w:rFonts w:ascii="Times New Roman" w:hAnsi="Times New Roman"/>
          <w:sz w:val="24"/>
          <w:szCs w:val="24"/>
        </w:rPr>
        <w:t xml:space="preserve">Source: </w:t>
      </w:r>
      <w:hyperlink r:id="rId5" w:history="1">
        <w:r w:rsidRPr="007638B0">
          <w:rPr>
            <w:rStyle w:val="Hyperlink"/>
            <w:rFonts w:ascii="Times New Roman" w:hAnsi="Times New Roman"/>
            <w:color w:val="auto"/>
            <w:sz w:val="24"/>
            <w:szCs w:val="24"/>
          </w:rPr>
          <w:t>https://www.epa.gov/system/files/documents/2022-04/ghg_emission_factors_hub.pdf</w:t>
        </w:r>
      </w:hyperlink>
      <w:r w:rsidRPr="007638B0">
        <w:rPr>
          <w:rFonts w:ascii="Times New Roman" w:hAnsi="Times New Roman"/>
          <w:sz w:val="24"/>
          <w:szCs w:val="24"/>
        </w:rPr>
        <w:t xml:space="preserve"> </w:t>
      </w:r>
    </w:p>
    <w:p w14:paraId="7DAE1A4B" w14:textId="243763B3" w:rsidR="00B55AF4" w:rsidRPr="007638B0" w:rsidRDefault="00E66682" w:rsidP="00B55AF4">
      <w:pPr>
        <w:pStyle w:val="BodyText"/>
        <w:rPr>
          <w:rFonts w:ascii="Times New Roman" w:hAnsi="Times New Roman"/>
          <w:sz w:val="24"/>
          <w:szCs w:val="24"/>
        </w:rPr>
      </w:pPr>
      <w:r w:rsidRPr="00E66682">
        <w:rPr>
          <w:rFonts w:ascii="Times New Roman" w:hAnsi="Times New Roman"/>
          <w:sz w:val="24"/>
          <w:szCs w:val="24"/>
        </w:rPr>
        <w:t xml:space="preserve">There are instances where, given the usage profiles, equipment assumptions and climate zone, certain ECMs can increase emissions. For example, in the case of lighting, for inefficient lighting, most of the energy lost is lost as heat into the space. Therefore, when these fixtures are replaced, the heating system </w:t>
      </w:r>
      <w:proofErr w:type="gramStart"/>
      <w:r w:rsidRPr="00E66682">
        <w:rPr>
          <w:rFonts w:ascii="Times New Roman" w:hAnsi="Times New Roman"/>
          <w:sz w:val="24"/>
          <w:szCs w:val="24"/>
        </w:rPr>
        <w:t>has to</w:t>
      </w:r>
      <w:proofErr w:type="gramEnd"/>
      <w:r w:rsidRPr="00E66682">
        <w:rPr>
          <w:rFonts w:ascii="Times New Roman" w:hAnsi="Times New Roman"/>
          <w:sz w:val="24"/>
          <w:szCs w:val="24"/>
        </w:rPr>
        <w:t xml:space="preserve"> work harder. In climates like Alaska, this effect is larger because most of the time, the HVAC system is heating. However, heat lost from lighting fixtures is not efficiently distributed and not all energy lost goes into the space, therefore almost all the time, it will save more electric energy than you increase heating energy. Separately, for other end-use ECMs, such as with VRF, which is a fuel-switching measure </w:t>
      </w:r>
      <w:proofErr w:type="gramStart"/>
      <w:r w:rsidRPr="00E66682">
        <w:rPr>
          <w:rFonts w:ascii="Times New Roman" w:hAnsi="Times New Roman"/>
          <w:sz w:val="24"/>
          <w:szCs w:val="24"/>
        </w:rPr>
        <w:t>similar to</w:t>
      </w:r>
      <w:proofErr w:type="gramEnd"/>
      <w:r w:rsidRPr="00E66682">
        <w:rPr>
          <w:rFonts w:ascii="Times New Roman" w:hAnsi="Times New Roman"/>
          <w:sz w:val="24"/>
          <w:szCs w:val="24"/>
        </w:rPr>
        <w:t xml:space="preserve"> heat pumps, while it is a more efficient way of heating, but with poor emissions factors, it's possible that it increases emissions. Next, for windows, there could sometimes be a small cooling energy increase - largely because the measure is for windows that allow a lot of solar heat gain, which is very helpful in heating periods. The buildings which show this effect the most have warmer climates, building types with more heat gain - leading to more cooling energy, and more window area. This effect should be completely overshadowed by the additional heating benefits from having a high solar heat gain coefficient.</w:t>
      </w:r>
    </w:p>
    <w:p w14:paraId="2EFDD0D5" w14:textId="3C51F107" w:rsidR="00B55AF4" w:rsidRPr="003B690C" w:rsidRDefault="00B55AF4" w:rsidP="00B55AF4">
      <w:pPr>
        <w:pStyle w:val="BodyText"/>
        <w:rPr>
          <w:rFonts w:ascii="Times New Roman" w:hAnsi="Times New Roman"/>
          <w:sz w:val="24"/>
          <w:szCs w:val="24"/>
        </w:rPr>
      </w:pPr>
      <w:r w:rsidRPr="007638B0">
        <w:rPr>
          <w:rFonts w:ascii="Times New Roman" w:hAnsi="Times New Roman"/>
          <w:b/>
          <w:bCs/>
          <w:sz w:val="24"/>
          <w:szCs w:val="24"/>
          <w:u w:val="single"/>
        </w:rPr>
        <w:t>GHG Reduction Estimate Assumptions:</w:t>
      </w:r>
      <w:r w:rsidRPr="007638B0">
        <w:rPr>
          <w:rFonts w:ascii="Times New Roman" w:hAnsi="Times New Roman"/>
          <w:b/>
          <w:bCs/>
          <w:sz w:val="24"/>
          <w:szCs w:val="24"/>
        </w:rPr>
        <w:t xml:space="preserve"> </w:t>
      </w:r>
      <w:r w:rsidRPr="007638B0">
        <w:rPr>
          <w:rFonts w:ascii="Times New Roman" w:hAnsi="Times New Roman"/>
          <w:sz w:val="24"/>
          <w:szCs w:val="24"/>
        </w:rPr>
        <w:t>The quantification does not assume any impacts of “joint strategies” – that is, the simultaneous impact of multiple projects at a single location. In other words, if a project analyzes the reduction of grid emissions based on upstream integration of renewable energy, the new emission factors of electricity are not being used to measure the impact of electrification or efficiency of end-use equipment, as stated above. Instead, the reference emission factors will be used. Similarly, if competing efficiency projects are modeled such that they are not additive, but are substitutes of each other, the extent of overlap is not being modeled or predicted. Additionally, the baseline models assume annualized load profiles – and actual building performance may differ, such as from partial usage or occupancy, etc. Lastly, there are no weather normalizations done on either the activity of the reference scenario or modeled measures.</w:t>
      </w:r>
    </w:p>
    <w:p w14:paraId="5A41487B" w14:textId="77777777" w:rsidR="00B55AF4" w:rsidRPr="007638B0" w:rsidRDefault="00B55AF4" w:rsidP="00B55AF4">
      <w:pPr>
        <w:pStyle w:val="BodyText"/>
        <w:rPr>
          <w:rFonts w:ascii="Times New Roman" w:hAnsi="Times New Roman"/>
          <w:sz w:val="24"/>
          <w:szCs w:val="24"/>
        </w:rPr>
      </w:pPr>
      <w:r w:rsidRPr="007638B0">
        <w:rPr>
          <w:rFonts w:ascii="Times New Roman" w:hAnsi="Times New Roman"/>
          <w:b/>
          <w:bCs/>
          <w:sz w:val="24"/>
          <w:szCs w:val="24"/>
          <w:u w:val="single"/>
        </w:rPr>
        <w:t>GHG Emission Reduction Calculations:</w:t>
      </w:r>
      <w:r w:rsidRPr="007638B0">
        <w:rPr>
          <w:rFonts w:ascii="Times New Roman" w:hAnsi="Times New Roman"/>
          <w:sz w:val="24"/>
          <w:szCs w:val="24"/>
        </w:rPr>
        <w:t xml:space="preserve"> See attached technical appendix with linked Spreadsheet.</w:t>
      </w:r>
    </w:p>
    <w:p w14:paraId="43A1FE4A" w14:textId="77777777" w:rsidR="00CC1384" w:rsidRDefault="00CC1384"/>
    <w:sectPr w:rsidR="00CC13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5613A1"/>
    <w:multiLevelType w:val="hybridMultilevel"/>
    <w:tmpl w:val="605E6F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7EF37318"/>
    <w:multiLevelType w:val="hybridMultilevel"/>
    <w:tmpl w:val="83BC6C2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358920507">
    <w:abstractNumId w:val="0"/>
  </w:num>
  <w:num w:numId="2" w16cid:durableId="1999264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76C"/>
    <w:rsid w:val="000534A3"/>
    <w:rsid w:val="000D079B"/>
    <w:rsid w:val="00267E06"/>
    <w:rsid w:val="002B61FC"/>
    <w:rsid w:val="00385786"/>
    <w:rsid w:val="003A3570"/>
    <w:rsid w:val="003A61DB"/>
    <w:rsid w:val="003B690C"/>
    <w:rsid w:val="0041259B"/>
    <w:rsid w:val="004B367A"/>
    <w:rsid w:val="006D4F9E"/>
    <w:rsid w:val="007A08DF"/>
    <w:rsid w:val="008873CF"/>
    <w:rsid w:val="008D070F"/>
    <w:rsid w:val="008E236A"/>
    <w:rsid w:val="009A62DF"/>
    <w:rsid w:val="00A033A3"/>
    <w:rsid w:val="00A4376C"/>
    <w:rsid w:val="00AD33B6"/>
    <w:rsid w:val="00B55AF4"/>
    <w:rsid w:val="00B94F44"/>
    <w:rsid w:val="00CC1384"/>
    <w:rsid w:val="00E66682"/>
    <w:rsid w:val="00E92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726E5"/>
  <w15:chartTrackingRefBased/>
  <w15:docId w15:val="{3261FF3D-31E6-4E64-9FBF-462CA92FE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37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437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37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37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37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37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37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37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37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7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437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37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37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37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37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37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37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376C"/>
    <w:rPr>
      <w:rFonts w:eastAsiaTheme="majorEastAsia" w:cstheme="majorBidi"/>
      <w:color w:val="272727" w:themeColor="text1" w:themeTint="D8"/>
    </w:rPr>
  </w:style>
  <w:style w:type="paragraph" w:styleId="Title">
    <w:name w:val="Title"/>
    <w:basedOn w:val="Normal"/>
    <w:next w:val="Normal"/>
    <w:link w:val="TitleChar"/>
    <w:uiPriority w:val="10"/>
    <w:qFormat/>
    <w:rsid w:val="00A437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7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7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37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376C"/>
    <w:pPr>
      <w:spacing w:before="160"/>
      <w:jc w:val="center"/>
    </w:pPr>
    <w:rPr>
      <w:i/>
      <w:iCs/>
      <w:color w:val="404040" w:themeColor="text1" w:themeTint="BF"/>
    </w:rPr>
  </w:style>
  <w:style w:type="character" w:customStyle="1" w:styleId="QuoteChar">
    <w:name w:val="Quote Char"/>
    <w:basedOn w:val="DefaultParagraphFont"/>
    <w:link w:val="Quote"/>
    <w:uiPriority w:val="29"/>
    <w:rsid w:val="00A4376C"/>
    <w:rPr>
      <w:i/>
      <w:iCs/>
      <w:color w:val="404040" w:themeColor="text1" w:themeTint="BF"/>
    </w:rPr>
  </w:style>
  <w:style w:type="paragraph" w:styleId="ListParagraph">
    <w:name w:val="List Paragraph"/>
    <w:basedOn w:val="Normal"/>
    <w:uiPriority w:val="34"/>
    <w:qFormat/>
    <w:rsid w:val="00A4376C"/>
    <w:pPr>
      <w:ind w:left="720"/>
      <w:contextualSpacing/>
    </w:pPr>
  </w:style>
  <w:style w:type="character" w:styleId="IntenseEmphasis">
    <w:name w:val="Intense Emphasis"/>
    <w:basedOn w:val="DefaultParagraphFont"/>
    <w:uiPriority w:val="21"/>
    <w:qFormat/>
    <w:rsid w:val="00A4376C"/>
    <w:rPr>
      <w:i/>
      <w:iCs/>
      <w:color w:val="0F4761" w:themeColor="accent1" w:themeShade="BF"/>
    </w:rPr>
  </w:style>
  <w:style w:type="paragraph" w:styleId="IntenseQuote">
    <w:name w:val="Intense Quote"/>
    <w:basedOn w:val="Normal"/>
    <w:next w:val="Normal"/>
    <w:link w:val="IntenseQuoteChar"/>
    <w:uiPriority w:val="30"/>
    <w:qFormat/>
    <w:rsid w:val="00A437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376C"/>
    <w:rPr>
      <w:i/>
      <w:iCs/>
      <w:color w:val="0F4761" w:themeColor="accent1" w:themeShade="BF"/>
    </w:rPr>
  </w:style>
  <w:style w:type="character" w:styleId="IntenseReference">
    <w:name w:val="Intense Reference"/>
    <w:basedOn w:val="DefaultParagraphFont"/>
    <w:uiPriority w:val="32"/>
    <w:qFormat/>
    <w:rsid w:val="00A4376C"/>
    <w:rPr>
      <w:b/>
      <w:bCs/>
      <w:smallCaps/>
      <w:color w:val="0F4761" w:themeColor="accent1" w:themeShade="BF"/>
      <w:spacing w:val="5"/>
    </w:rPr>
  </w:style>
  <w:style w:type="character" w:styleId="Hyperlink">
    <w:name w:val="Hyperlink"/>
    <w:basedOn w:val="DefaultParagraphFont"/>
    <w:uiPriority w:val="99"/>
    <w:unhideWhenUsed/>
    <w:rsid w:val="00B55AF4"/>
    <w:rPr>
      <w:color w:val="0070C0"/>
      <w:u w:val="single"/>
    </w:rPr>
  </w:style>
  <w:style w:type="paragraph" w:styleId="BodyText">
    <w:name w:val="Body Text"/>
    <w:basedOn w:val="Normal"/>
    <w:link w:val="BodyTextChar"/>
    <w:uiPriority w:val="99"/>
    <w:unhideWhenUsed/>
    <w:qFormat/>
    <w:rsid w:val="00B55AF4"/>
    <w:pPr>
      <w:spacing w:before="120" w:after="0" w:line="240" w:lineRule="auto"/>
    </w:pPr>
    <w:rPr>
      <w:rFonts w:ascii="Calibri" w:hAnsi="Calibri" w:cs="Times New Roman"/>
      <w:kern w:val="24"/>
      <w:szCs w:val="23"/>
      <w14:ligatures w14:val="standardContextual"/>
    </w:rPr>
  </w:style>
  <w:style w:type="character" w:customStyle="1" w:styleId="BodyTextChar">
    <w:name w:val="Body Text Char"/>
    <w:basedOn w:val="DefaultParagraphFont"/>
    <w:link w:val="BodyText"/>
    <w:uiPriority w:val="99"/>
    <w:rsid w:val="00B55AF4"/>
    <w:rPr>
      <w:rFonts w:ascii="Calibri" w:hAnsi="Calibri" w:cs="Times New Roman"/>
      <w:kern w:val="24"/>
      <w:szCs w:val="23"/>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pa.gov/system/files/documents/2022-04/ghg_emission_factors_hub.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1584</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Sanwar Sunny</dc:creator>
  <cp:keywords/>
  <dc:description/>
  <cp:lastModifiedBy>Griffin Plush</cp:lastModifiedBy>
  <cp:revision>3</cp:revision>
  <dcterms:created xsi:type="dcterms:W3CDTF">2024-03-27T22:00:00Z</dcterms:created>
  <dcterms:modified xsi:type="dcterms:W3CDTF">2024-03-27T23:09:00Z</dcterms:modified>
</cp:coreProperties>
</file>