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AD4B5" w14:textId="62699FA4" w:rsidR="00B41915" w:rsidRPr="00B41915" w:rsidRDefault="00B41915" w:rsidP="00B41915">
      <w:pPr>
        <w:spacing w:after="80" w:line="240" w:lineRule="auto"/>
        <w:rPr>
          <w:b/>
          <w:bCs/>
          <w:sz w:val="32"/>
          <w:szCs w:val="32"/>
        </w:rPr>
      </w:pPr>
      <w:r w:rsidRPr="00B41915">
        <w:rPr>
          <w:b/>
          <w:bCs/>
          <w:sz w:val="32"/>
          <w:szCs w:val="32"/>
        </w:rPr>
        <w:t>Appendix: GHG Reduction Analysis</w:t>
      </w:r>
    </w:p>
    <w:p w14:paraId="387F587F" w14:textId="5D9849AA" w:rsidR="00786CF6" w:rsidRDefault="00786CF6" w:rsidP="001118B8">
      <w:r>
        <w:t>This Appendix describes the GHG emissions reduction analys</w:t>
      </w:r>
      <w:r w:rsidR="00820278">
        <w:t>es</w:t>
      </w:r>
      <w:r>
        <w:t xml:space="preserve"> for the</w:t>
      </w:r>
      <w:r w:rsidR="000D7C15">
        <w:t xml:space="preserve"> measures in </w:t>
      </w:r>
      <w:r w:rsidR="00A21FE1">
        <w:t xml:space="preserve">CIRDA’s </w:t>
      </w:r>
      <w:r>
        <w:t>grant application</w:t>
      </w:r>
      <w:r w:rsidR="00227746">
        <w:t xml:space="preserve">; see accompanying Supplemental Spreadsheet </w:t>
      </w:r>
      <w:r w:rsidR="00216A62">
        <w:t>“</w:t>
      </w:r>
      <w:proofErr w:type="spellStart"/>
      <w:r w:rsidR="00216A62" w:rsidRPr="00216A62">
        <w:t>CIRDA_GHGanalysis_AppendixSpreadsheet</w:t>
      </w:r>
      <w:proofErr w:type="spellEnd"/>
      <w:r w:rsidR="00216A62">
        <w:t xml:space="preserve">” </w:t>
      </w:r>
      <w:r w:rsidR="00227746">
        <w:t>for more detail</w:t>
      </w:r>
      <w:r>
        <w:t xml:space="preserve">. </w:t>
      </w:r>
    </w:p>
    <w:p w14:paraId="4ADCA22E" w14:textId="4DA26A52" w:rsidR="00786CF6" w:rsidRDefault="00786CF6" w:rsidP="00786CF6">
      <w:pPr>
        <w:pStyle w:val="Heading1"/>
        <w:numPr>
          <w:ilvl w:val="0"/>
          <w:numId w:val="0"/>
        </w:numPr>
        <w:ind w:left="792" w:hanging="792"/>
      </w:pPr>
      <w:r>
        <w:t>#1: Regional Building and Asset Modernization Program</w:t>
      </w:r>
    </w:p>
    <w:p w14:paraId="1900FFA1" w14:textId="77777777" w:rsidR="001733AB" w:rsidRDefault="001733AB" w:rsidP="001733AB">
      <w:pPr>
        <w:pStyle w:val="Heading2"/>
        <w:numPr>
          <w:ilvl w:val="0"/>
          <w:numId w:val="0"/>
        </w:numPr>
        <w:ind w:left="792" w:hanging="792"/>
      </w:pPr>
      <w:r>
        <w:t>Program Analysis by Project Type</w:t>
      </w:r>
    </w:p>
    <w:p w14:paraId="7C9492BF" w14:textId="117EFEC4" w:rsidR="008704D0" w:rsidRDefault="001118B8" w:rsidP="00AD0B03">
      <w:r w:rsidRPr="001118B8">
        <w:t xml:space="preserve">GHG emissions reductions were estimated for each </w:t>
      </w:r>
      <w:r w:rsidR="00786CF6">
        <w:t>project type</w:t>
      </w:r>
      <w:r w:rsidRPr="001118B8">
        <w:t xml:space="preserve"> </w:t>
      </w:r>
      <w:r w:rsidR="007A2409">
        <w:t xml:space="preserve">supported by the </w:t>
      </w:r>
      <w:r w:rsidR="00864487">
        <w:t>p</w:t>
      </w:r>
      <w:r w:rsidR="007A2409">
        <w:t>rogram</w:t>
      </w:r>
      <w:r w:rsidR="00786CF6">
        <w:t xml:space="preserve"> and summed for program total</w:t>
      </w:r>
      <w:r w:rsidRPr="001118B8">
        <w:t xml:space="preserve">. There are uncertainties around the </w:t>
      </w:r>
      <w:r w:rsidR="002065CE">
        <w:t xml:space="preserve">actual </w:t>
      </w:r>
      <w:r w:rsidR="00786CF6">
        <w:t xml:space="preserve">projects </w:t>
      </w:r>
      <w:r w:rsidRPr="001118B8">
        <w:t>that will be implemented</w:t>
      </w:r>
      <w:r w:rsidR="000975F5">
        <w:t>;</w:t>
      </w:r>
      <w:r w:rsidRPr="001118B8">
        <w:t xml:space="preserve"> therefore, the </w:t>
      </w:r>
      <w:r w:rsidR="00786CF6">
        <w:t xml:space="preserve">split of funds by </w:t>
      </w:r>
      <w:r w:rsidR="00773AA9">
        <w:t xml:space="preserve">project </w:t>
      </w:r>
      <w:r w:rsidR="00786CF6">
        <w:t xml:space="preserve">type in Table </w:t>
      </w:r>
      <w:r w:rsidR="00E26513">
        <w:t>1</w:t>
      </w:r>
      <w:r w:rsidR="00786CF6">
        <w:t xml:space="preserve"> was informed by</w:t>
      </w:r>
      <w:r w:rsidRPr="001118B8">
        <w:t xml:space="preserve"> factors such as </w:t>
      </w:r>
      <w:r w:rsidR="008D5FC3">
        <w:t>seven</w:t>
      </w:r>
      <w:r w:rsidR="00727BBD">
        <w:t xml:space="preserve"> </w:t>
      </w:r>
      <w:r w:rsidR="00E26513">
        <w:t xml:space="preserve">known </w:t>
      </w:r>
      <w:r w:rsidR="00005E13">
        <w:t xml:space="preserve">pilot </w:t>
      </w:r>
      <w:r w:rsidR="00E26513">
        <w:t>project</w:t>
      </w:r>
      <w:r w:rsidR="0036051E">
        <w:t>s</w:t>
      </w:r>
      <w:r w:rsidR="00005E13">
        <w:t xml:space="preserve"> and </w:t>
      </w:r>
      <w:r w:rsidR="008D5FC3">
        <w:t>three</w:t>
      </w:r>
      <w:r w:rsidR="00727BBD">
        <w:t xml:space="preserve"> </w:t>
      </w:r>
      <w:r w:rsidR="00005E13">
        <w:t>example project</w:t>
      </w:r>
      <w:r w:rsidRPr="001118B8">
        <w:t xml:space="preserve"> cost</w:t>
      </w:r>
      <w:r w:rsidR="00E26513">
        <w:t>s</w:t>
      </w:r>
      <w:r w:rsidRPr="001118B8">
        <w:t xml:space="preserve">, difficulty </w:t>
      </w:r>
      <w:r w:rsidR="000E52E3">
        <w:t xml:space="preserve">and practicality </w:t>
      </w:r>
      <w:r w:rsidRPr="001118B8">
        <w:t xml:space="preserve">of implementation, </w:t>
      </w:r>
      <w:r w:rsidR="00F4563F">
        <w:t xml:space="preserve">and </w:t>
      </w:r>
      <w:r w:rsidRPr="001118B8">
        <w:t>popularity.</w:t>
      </w:r>
      <w:r w:rsidR="003C30C0">
        <w:t xml:space="preserve"> </w:t>
      </w:r>
      <w:r w:rsidR="001A425F">
        <w:t>The t</w:t>
      </w:r>
      <w:r w:rsidR="000B6FE3">
        <w:t xml:space="preserve">otal funding requested for the </w:t>
      </w:r>
      <w:r w:rsidR="00AD06EE">
        <w:t>p</w:t>
      </w:r>
      <w:r w:rsidR="000B6FE3">
        <w:t>rogram is $</w:t>
      </w:r>
      <w:r w:rsidR="00134064">
        <w:t>275</w:t>
      </w:r>
      <w:r w:rsidR="000B6FE3">
        <w:t xml:space="preserve"> million</w:t>
      </w:r>
      <w:r w:rsidR="00AD06EE">
        <w:t xml:space="preserve">, including </w:t>
      </w:r>
      <w:r w:rsidR="000B6FE3">
        <w:t>$</w:t>
      </w:r>
      <w:r w:rsidR="00AA260D">
        <w:t>33.6</w:t>
      </w:r>
      <w:r w:rsidR="000B6FE3">
        <w:t xml:space="preserve"> million for administration. The remaining $</w:t>
      </w:r>
      <w:r w:rsidR="00FC3548">
        <w:t>2</w:t>
      </w:r>
      <w:r w:rsidR="00AA260D">
        <w:t>41</w:t>
      </w:r>
      <w:r w:rsidR="00FC3548">
        <w:t>.4</w:t>
      </w:r>
      <w:r w:rsidR="000B6FE3">
        <w:t xml:space="preserve"> million </w:t>
      </w:r>
      <w:r w:rsidR="00005E13">
        <w:t>i</w:t>
      </w:r>
      <w:r w:rsidR="000B6FE3">
        <w:t xml:space="preserve">s assumed to be available for emissions reducing </w:t>
      </w:r>
      <w:r w:rsidR="00F4563F">
        <w:t>project</w:t>
      </w:r>
      <w:r w:rsidR="00005E13">
        <w:t>s</w:t>
      </w:r>
      <w:r w:rsidR="000B6FE3">
        <w:t>.</w:t>
      </w:r>
    </w:p>
    <w:p w14:paraId="04DB4104" w14:textId="559CDB94" w:rsidR="001118B8" w:rsidRDefault="001118B8" w:rsidP="003C481B">
      <w:pPr>
        <w:pStyle w:val="Heading5"/>
      </w:pPr>
      <w:bookmarkStart w:id="0" w:name="_Ref160546748"/>
      <w:r w:rsidRPr="001118B8">
        <w:t xml:space="preserve">Table </w:t>
      </w:r>
      <w:bookmarkEnd w:id="0"/>
      <w:r w:rsidR="00E26513">
        <w:t>1</w:t>
      </w:r>
      <w:r w:rsidR="00811A6F">
        <w:t>.</w:t>
      </w:r>
      <w:r w:rsidRPr="001118B8">
        <w:t xml:space="preserve"> </w:t>
      </w:r>
      <w:r w:rsidR="00A63236">
        <w:t xml:space="preserve">Measure 1 </w:t>
      </w:r>
      <w:r w:rsidRPr="001118B8">
        <w:t>Program</w:t>
      </w:r>
      <w:r w:rsidR="00786CF6">
        <w:t xml:space="preserve"> Fund Allocation by Project Type</w:t>
      </w:r>
    </w:p>
    <w:tbl>
      <w:tblPr>
        <w:tblStyle w:val="ListTable2"/>
        <w:tblW w:w="9306" w:type="dxa"/>
        <w:jc w:val="center"/>
        <w:tblLook w:val="04A0" w:firstRow="1" w:lastRow="0" w:firstColumn="1" w:lastColumn="0" w:noHBand="0" w:noVBand="1"/>
      </w:tblPr>
      <w:tblGrid>
        <w:gridCol w:w="3312"/>
        <w:gridCol w:w="864"/>
        <w:gridCol w:w="1138"/>
        <w:gridCol w:w="1004"/>
        <w:gridCol w:w="1422"/>
        <w:gridCol w:w="1566"/>
      </w:tblGrid>
      <w:tr w:rsidR="00597753" w:rsidRPr="0068673D" w14:paraId="584BB380" w14:textId="5EC0BB1A" w:rsidTr="0085163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vAlign w:val="center"/>
          </w:tcPr>
          <w:p w14:paraId="40CD009F" w14:textId="2A016EA5" w:rsidR="00A9651E" w:rsidRPr="00EB2DCA" w:rsidRDefault="00A9651E" w:rsidP="0068673D">
            <w:pPr>
              <w:spacing w:after="0"/>
              <w:rPr>
                <w:rFonts w:eastAsia="Times New Roman" w:cs="Calibri"/>
                <w:sz w:val="20"/>
                <w:szCs w:val="20"/>
              </w:rPr>
            </w:pPr>
            <w:r w:rsidRPr="00EB2DCA">
              <w:rPr>
                <w:rFonts w:eastAsia="Times New Roman" w:cs="Calibri"/>
                <w:sz w:val="20"/>
                <w:szCs w:val="20"/>
              </w:rPr>
              <w:t>Project Type</w:t>
            </w:r>
          </w:p>
        </w:tc>
        <w:tc>
          <w:tcPr>
            <w:tcW w:w="864" w:type="dxa"/>
            <w:vAlign w:val="center"/>
          </w:tcPr>
          <w:p w14:paraId="139DA31C" w14:textId="577B8D2C" w:rsidR="00A9651E" w:rsidRPr="00EB2DCA" w:rsidRDefault="00A9651E" w:rsidP="0068673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Share of Funds</w:t>
            </w:r>
          </w:p>
        </w:tc>
        <w:tc>
          <w:tcPr>
            <w:tcW w:w="1138" w:type="dxa"/>
            <w:vAlign w:val="center"/>
          </w:tcPr>
          <w:p w14:paraId="39477335" w14:textId="1A6692ED" w:rsidR="00A9651E" w:rsidRPr="00EB2DCA" w:rsidRDefault="002F25CA" w:rsidP="0068673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sz w:val="20"/>
                <w:szCs w:val="20"/>
              </w:rPr>
            </w:pPr>
            <w:r w:rsidRPr="00EB2DCA">
              <w:rPr>
                <w:rFonts w:eastAsia="Times New Roman" w:cs="Calibri"/>
                <w:sz w:val="20"/>
                <w:szCs w:val="20"/>
              </w:rPr>
              <w:t>Total</w:t>
            </w:r>
          </w:p>
          <w:p w14:paraId="7F635E33" w14:textId="4389ED1E" w:rsidR="00A9651E" w:rsidRPr="00EB2DCA" w:rsidRDefault="00A9651E" w:rsidP="0068673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Funds</w:t>
            </w:r>
          </w:p>
        </w:tc>
        <w:tc>
          <w:tcPr>
            <w:tcW w:w="1004" w:type="dxa"/>
            <w:vAlign w:val="center"/>
          </w:tcPr>
          <w:p w14:paraId="75B51A3A" w14:textId="4F23AB5C" w:rsidR="00A9651E" w:rsidRPr="00EB2DCA" w:rsidRDefault="00202960" w:rsidP="0068673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Average</w:t>
            </w:r>
            <w:r w:rsidR="00A9651E" w:rsidRPr="00EB2DCA">
              <w:rPr>
                <w:rFonts w:eastAsia="Times New Roman" w:cs="Calibri"/>
                <w:sz w:val="20"/>
                <w:szCs w:val="20"/>
              </w:rPr>
              <w:t xml:space="preserve"> Cost per Project</w:t>
            </w:r>
          </w:p>
        </w:tc>
        <w:tc>
          <w:tcPr>
            <w:tcW w:w="1422" w:type="dxa"/>
            <w:vAlign w:val="center"/>
          </w:tcPr>
          <w:p w14:paraId="71DE52A8" w14:textId="77777777" w:rsidR="00597753" w:rsidRPr="00EB2DCA" w:rsidRDefault="00202960" w:rsidP="0068673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sz w:val="20"/>
                <w:szCs w:val="20"/>
              </w:rPr>
            </w:pPr>
            <w:r w:rsidRPr="00EB2DCA">
              <w:rPr>
                <w:rFonts w:eastAsia="Times New Roman" w:cs="Calibri"/>
                <w:sz w:val="20"/>
                <w:szCs w:val="20"/>
              </w:rPr>
              <w:t>Average</w:t>
            </w:r>
          </w:p>
          <w:p w14:paraId="29A17A8B" w14:textId="122A0A6A" w:rsidR="00A9651E" w:rsidRPr="00EB2DCA" w:rsidRDefault="00202960" w:rsidP="0068673D">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Ann. GHGs Reduced</w:t>
            </w:r>
            <w:r w:rsidR="00667C4D" w:rsidRPr="00EB2DCA">
              <w:rPr>
                <w:rFonts w:eastAsia="Times New Roman" w:cs="Calibri"/>
                <w:sz w:val="20"/>
                <w:szCs w:val="20"/>
              </w:rPr>
              <w:t xml:space="preserve"> per Project</w:t>
            </w:r>
          </w:p>
        </w:tc>
        <w:tc>
          <w:tcPr>
            <w:tcW w:w="1566" w:type="dxa"/>
            <w:vAlign w:val="center"/>
          </w:tcPr>
          <w:p w14:paraId="22D6C4EA" w14:textId="33975896" w:rsidR="00A9651E" w:rsidRPr="00EB2DCA" w:rsidRDefault="00A9651E" w:rsidP="00CC2AB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sz w:val="20"/>
                <w:szCs w:val="20"/>
              </w:rPr>
            </w:pPr>
            <w:r w:rsidRPr="00EB2DCA">
              <w:rPr>
                <w:rFonts w:eastAsia="Times New Roman" w:cs="Calibri"/>
                <w:sz w:val="20"/>
                <w:szCs w:val="20"/>
              </w:rPr>
              <w:t>Est</w:t>
            </w:r>
            <w:r w:rsidR="007524DE" w:rsidRPr="00EB2DCA">
              <w:rPr>
                <w:rFonts w:eastAsia="Times New Roman" w:cs="Calibri"/>
                <w:sz w:val="20"/>
                <w:szCs w:val="20"/>
              </w:rPr>
              <w:t>imated</w:t>
            </w:r>
            <w:r w:rsidRPr="00EB2DCA">
              <w:rPr>
                <w:rFonts w:eastAsia="Times New Roman" w:cs="Calibri"/>
                <w:sz w:val="20"/>
                <w:szCs w:val="20"/>
              </w:rPr>
              <w:t xml:space="preserve"> Count</w:t>
            </w:r>
            <w:r w:rsidR="00BF3637" w:rsidRPr="00EB2DCA">
              <w:rPr>
                <w:rFonts w:eastAsia="Times New Roman" w:cs="Calibri"/>
                <w:sz w:val="20"/>
                <w:szCs w:val="20"/>
              </w:rPr>
              <w:t>s</w:t>
            </w:r>
            <w:r w:rsidR="00CC2ABA" w:rsidRPr="00EB2DCA">
              <w:rPr>
                <w:rFonts w:eastAsia="Times New Roman" w:cs="Calibri"/>
                <w:sz w:val="20"/>
                <w:szCs w:val="20"/>
              </w:rPr>
              <w:t xml:space="preserve"> Supported</w:t>
            </w:r>
          </w:p>
        </w:tc>
      </w:tr>
      <w:tr w:rsidR="00597753" w:rsidRPr="0068673D" w14:paraId="38C8B52A" w14:textId="32B94843" w:rsidTr="008516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tcPr>
          <w:p w14:paraId="468DA0F2" w14:textId="60476276" w:rsidR="00A9651E" w:rsidRPr="00EB2DCA" w:rsidRDefault="00A9651E" w:rsidP="00FB02C7">
            <w:pPr>
              <w:spacing w:after="0"/>
              <w:rPr>
                <w:rFonts w:eastAsia="Times New Roman" w:cs="Calibri"/>
                <w:b w:val="0"/>
                <w:sz w:val="20"/>
                <w:szCs w:val="20"/>
              </w:rPr>
            </w:pPr>
            <w:r w:rsidRPr="00EB2DCA">
              <w:rPr>
                <w:rFonts w:eastAsia="Times New Roman" w:cs="Calibri"/>
                <w:b w:val="0"/>
                <w:sz w:val="20"/>
                <w:szCs w:val="20"/>
              </w:rPr>
              <w:t>Buildings: Solar</w:t>
            </w:r>
          </w:p>
        </w:tc>
        <w:tc>
          <w:tcPr>
            <w:tcW w:w="864" w:type="dxa"/>
          </w:tcPr>
          <w:p w14:paraId="42644865" w14:textId="7423692A" w:rsidR="00A9651E" w:rsidRPr="00EB2DCA" w:rsidRDefault="00EE59AB" w:rsidP="00FB02C7">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14</w:t>
            </w:r>
            <w:r w:rsidR="00A9651E" w:rsidRPr="00EB2DCA">
              <w:rPr>
                <w:rFonts w:eastAsia="Times New Roman" w:cs="Calibri"/>
                <w:sz w:val="20"/>
                <w:szCs w:val="20"/>
              </w:rPr>
              <w:t>%</w:t>
            </w:r>
          </w:p>
        </w:tc>
        <w:tc>
          <w:tcPr>
            <w:tcW w:w="1138" w:type="dxa"/>
            <w:vAlign w:val="center"/>
          </w:tcPr>
          <w:p w14:paraId="1C3A146C" w14:textId="5294438A"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$3</w:t>
            </w:r>
            <w:r w:rsidR="00B5213C">
              <w:rPr>
                <w:rFonts w:eastAsia="Times New Roman" w:cs="Calibri"/>
                <w:sz w:val="20"/>
                <w:szCs w:val="20"/>
              </w:rPr>
              <w:t>3.3</w:t>
            </w:r>
            <w:r w:rsidRPr="00EB2DCA">
              <w:rPr>
                <w:rFonts w:eastAsia="Times New Roman" w:cs="Calibri"/>
                <w:sz w:val="20"/>
                <w:szCs w:val="20"/>
              </w:rPr>
              <w:t xml:space="preserve"> M</w:t>
            </w:r>
          </w:p>
        </w:tc>
        <w:tc>
          <w:tcPr>
            <w:tcW w:w="1004" w:type="dxa"/>
            <w:vAlign w:val="center"/>
          </w:tcPr>
          <w:p w14:paraId="7B2E42E1" w14:textId="41D36A5E"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A46CF9" w:rsidRPr="00EB2DCA">
              <w:rPr>
                <w:rFonts w:eastAsia="Times New Roman" w:cs="Calibri"/>
                <w:sz w:val="20"/>
                <w:szCs w:val="20"/>
              </w:rPr>
              <w:t>3.3</w:t>
            </w:r>
            <w:r w:rsidRPr="00EB2DCA">
              <w:rPr>
                <w:rFonts w:eastAsia="Times New Roman" w:cs="Calibri"/>
                <w:sz w:val="20"/>
                <w:szCs w:val="20"/>
              </w:rPr>
              <w:t xml:space="preserve"> M</w:t>
            </w:r>
          </w:p>
        </w:tc>
        <w:tc>
          <w:tcPr>
            <w:tcW w:w="1422" w:type="dxa"/>
            <w:vAlign w:val="center"/>
          </w:tcPr>
          <w:p w14:paraId="4CADE86A" w14:textId="5697B3C3" w:rsidR="00A9651E" w:rsidRPr="00EB2DCA" w:rsidRDefault="00670D41"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462 MT</w:t>
            </w:r>
          </w:p>
        </w:tc>
        <w:tc>
          <w:tcPr>
            <w:tcW w:w="1566" w:type="dxa"/>
          </w:tcPr>
          <w:p w14:paraId="091608BC" w14:textId="70036105" w:rsidR="00A9651E" w:rsidRPr="00EB2DCA" w:rsidRDefault="00A9651E" w:rsidP="00FB02C7">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20 projects</w:t>
            </w:r>
          </w:p>
        </w:tc>
      </w:tr>
      <w:tr w:rsidR="00597753" w:rsidRPr="0068673D" w14:paraId="1E5BC6AB" w14:textId="5752FF2C" w:rsidTr="00851634">
        <w:trPr>
          <w:jc w:val="center"/>
        </w:trPr>
        <w:tc>
          <w:tcPr>
            <w:cnfStyle w:val="001000000000" w:firstRow="0" w:lastRow="0" w:firstColumn="1" w:lastColumn="0" w:oddVBand="0" w:evenVBand="0" w:oddHBand="0" w:evenHBand="0" w:firstRowFirstColumn="0" w:firstRowLastColumn="0" w:lastRowFirstColumn="0" w:lastRowLastColumn="0"/>
            <w:tcW w:w="3312" w:type="dxa"/>
          </w:tcPr>
          <w:p w14:paraId="4BFA0881" w14:textId="6BAC33AF" w:rsidR="00A9651E" w:rsidRPr="00EB2DCA" w:rsidRDefault="00A9651E" w:rsidP="00FB02C7">
            <w:pPr>
              <w:spacing w:after="0"/>
              <w:rPr>
                <w:rFonts w:eastAsia="Times New Roman" w:cs="Calibri"/>
                <w:b w:val="0"/>
                <w:sz w:val="20"/>
                <w:szCs w:val="20"/>
              </w:rPr>
            </w:pPr>
            <w:r w:rsidRPr="00EB2DCA">
              <w:rPr>
                <w:rFonts w:eastAsia="Times New Roman" w:cs="Calibri"/>
                <w:b w:val="0"/>
                <w:sz w:val="20"/>
                <w:szCs w:val="20"/>
              </w:rPr>
              <w:t>Buildings: LED Lighting Efficiency</w:t>
            </w:r>
          </w:p>
        </w:tc>
        <w:tc>
          <w:tcPr>
            <w:tcW w:w="864" w:type="dxa"/>
          </w:tcPr>
          <w:p w14:paraId="52250877" w14:textId="7889DCB7" w:rsidR="00A9651E" w:rsidRPr="00EB2DCA" w:rsidRDefault="00A9651E" w:rsidP="00FB02C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EE59AB" w:rsidRPr="00EB2DCA">
              <w:rPr>
                <w:rFonts w:eastAsia="Times New Roman" w:cs="Calibri"/>
                <w:sz w:val="20"/>
                <w:szCs w:val="20"/>
              </w:rPr>
              <w:t>0</w:t>
            </w:r>
            <w:r w:rsidRPr="00EB2DCA">
              <w:rPr>
                <w:rFonts w:eastAsia="Times New Roman" w:cs="Calibri"/>
                <w:sz w:val="20"/>
                <w:szCs w:val="20"/>
              </w:rPr>
              <w:t>%</w:t>
            </w:r>
          </w:p>
        </w:tc>
        <w:tc>
          <w:tcPr>
            <w:tcW w:w="1138" w:type="dxa"/>
            <w:vAlign w:val="center"/>
          </w:tcPr>
          <w:p w14:paraId="71C2A1A2" w14:textId="0021BB51"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w:t>
            </w:r>
            <w:r w:rsidR="00B5213C">
              <w:rPr>
                <w:rFonts w:eastAsia="Times New Roman" w:cs="Calibri"/>
                <w:sz w:val="20"/>
                <w:szCs w:val="20"/>
              </w:rPr>
              <w:t>5</w:t>
            </w:r>
            <w:r w:rsidR="00C26153">
              <w:rPr>
                <w:rFonts w:eastAsia="Times New Roman" w:cs="Calibri"/>
                <w:sz w:val="20"/>
                <w:szCs w:val="20"/>
              </w:rPr>
              <w:t>.0</w:t>
            </w:r>
            <w:r w:rsidRPr="00EB2DCA">
              <w:rPr>
                <w:rFonts w:eastAsia="Times New Roman" w:cs="Calibri"/>
                <w:sz w:val="20"/>
                <w:szCs w:val="20"/>
              </w:rPr>
              <w:t xml:space="preserve"> M</w:t>
            </w:r>
          </w:p>
        </w:tc>
        <w:tc>
          <w:tcPr>
            <w:tcW w:w="1004" w:type="dxa"/>
            <w:vAlign w:val="center"/>
          </w:tcPr>
          <w:p w14:paraId="52BFACFA" w14:textId="6A7B556B"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7E2A71" w:rsidRPr="00EB2DCA">
              <w:rPr>
                <w:rFonts w:eastAsia="Times New Roman" w:cs="Calibri"/>
                <w:sz w:val="20"/>
                <w:szCs w:val="20"/>
              </w:rPr>
              <w:t>4.6</w:t>
            </w:r>
            <w:r w:rsidRPr="00EB2DCA">
              <w:rPr>
                <w:rFonts w:eastAsia="Times New Roman" w:cs="Calibri"/>
                <w:sz w:val="20"/>
                <w:szCs w:val="20"/>
              </w:rPr>
              <w:t xml:space="preserve"> M</w:t>
            </w:r>
          </w:p>
        </w:tc>
        <w:tc>
          <w:tcPr>
            <w:tcW w:w="1422" w:type="dxa"/>
            <w:vAlign w:val="center"/>
          </w:tcPr>
          <w:p w14:paraId="3785884F" w14:textId="7528A9F4" w:rsidR="00A9651E" w:rsidRPr="00EB2DCA" w:rsidRDefault="00670D41"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17 MT</w:t>
            </w:r>
          </w:p>
        </w:tc>
        <w:tc>
          <w:tcPr>
            <w:tcW w:w="1566" w:type="dxa"/>
          </w:tcPr>
          <w:p w14:paraId="26140F6E" w14:textId="7F63ECEF" w:rsidR="00A9651E" w:rsidRPr="00EB2DCA" w:rsidRDefault="00A9651E" w:rsidP="00FB02C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6 buildings</w:t>
            </w:r>
          </w:p>
        </w:tc>
      </w:tr>
      <w:tr w:rsidR="00597753" w:rsidRPr="0068673D" w14:paraId="6C22EB9D" w14:textId="6548ED1F" w:rsidTr="008516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tcPr>
          <w:p w14:paraId="519D6DA4" w14:textId="01F25888" w:rsidR="00A9651E" w:rsidRPr="00EB2DCA" w:rsidRDefault="00A9651E" w:rsidP="00FB02C7">
            <w:pPr>
              <w:spacing w:after="0"/>
              <w:rPr>
                <w:rFonts w:eastAsia="Times New Roman" w:cs="Calibri"/>
                <w:b w:val="0"/>
                <w:sz w:val="20"/>
                <w:szCs w:val="20"/>
              </w:rPr>
            </w:pPr>
            <w:r w:rsidRPr="00EB2DCA">
              <w:rPr>
                <w:rFonts w:eastAsia="Times New Roman" w:cs="Calibri"/>
                <w:b w:val="0"/>
                <w:sz w:val="20"/>
                <w:szCs w:val="20"/>
              </w:rPr>
              <w:t>Buildings: HVAC Efficiency</w:t>
            </w:r>
          </w:p>
        </w:tc>
        <w:tc>
          <w:tcPr>
            <w:tcW w:w="864" w:type="dxa"/>
          </w:tcPr>
          <w:p w14:paraId="1F840F43" w14:textId="3A45BBDD" w:rsidR="00A9651E" w:rsidRPr="00EB2DCA" w:rsidRDefault="00EE59AB" w:rsidP="00FB02C7">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7</w:t>
            </w:r>
            <w:r w:rsidR="00A9651E" w:rsidRPr="00EB2DCA">
              <w:rPr>
                <w:rFonts w:eastAsia="Times New Roman" w:cs="Calibri"/>
                <w:sz w:val="20"/>
                <w:szCs w:val="20"/>
              </w:rPr>
              <w:t>%</w:t>
            </w:r>
          </w:p>
        </w:tc>
        <w:tc>
          <w:tcPr>
            <w:tcW w:w="1138" w:type="dxa"/>
            <w:vAlign w:val="center"/>
          </w:tcPr>
          <w:p w14:paraId="284A3949" w14:textId="1CCE31C3"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C26153">
              <w:rPr>
                <w:rFonts w:eastAsia="Times New Roman" w:cs="Calibri"/>
                <w:sz w:val="20"/>
                <w:szCs w:val="20"/>
              </w:rPr>
              <w:t>6</w:t>
            </w:r>
            <w:r>
              <w:rPr>
                <w:rFonts w:eastAsia="Times New Roman" w:cs="Calibri"/>
                <w:sz w:val="20"/>
                <w:szCs w:val="20"/>
              </w:rPr>
              <w:t>.7</w:t>
            </w:r>
            <w:r w:rsidRPr="00EB2DCA">
              <w:rPr>
                <w:rFonts w:eastAsia="Times New Roman" w:cs="Calibri"/>
                <w:sz w:val="20"/>
                <w:szCs w:val="20"/>
              </w:rPr>
              <w:t xml:space="preserve"> M</w:t>
            </w:r>
          </w:p>
        </w:tc>
        <w:tc>
          <w:tcPr>
            <w:tcW w:w="1004" w:type="dxa"/>
            <w:vAlign w:val="center"/>
          </w:tcPr>
          <w:p w14:paraId="428464FC" w14:textId="3A880A34"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7E2A71" w:rsidRPr="00EB2DCA">
              <w:rPr>
                <w:rFonts w:eastAsia="Times New Roman" w:cs="Calibri"/>
                <w:sz w:val="20"/>
                <w:szCs w:val="20"/>
              </w:rPr>
              <w:t>2.1</w:t>
            </w:r>
            <w:r w:rsidRPr="00EB2DCA">
              <w:rPr>
                <w:rFonts w:eastAsia="Times New Roman" w:cs="Calibri"/>
                <w:sz w:val="20"/>
                <w:szCs w:val="20"/>
              </w:rPr>
              <w:t xml:space="preserve"> M</w:t>
            </w:r>
          </w:p>
        </w:tc>
        <w:tc>
          <w:tcPr>
            <w:tcW w:w="1422" w:type="dxa"/>
            <w:vAlign w:val="center"/>
          </w:tcPr>
          <w:p w14:paraId="5AE5422A" w14:textId="0792A312" w:rsidR="00A9651E" w:rsidRPr="00EB2DCA" w:rsidRDefault="00670D41"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6 MT</w:t>
            </w:r>
          </w:p>
        </w:tc>
        <w:tc>
          <w:tcPr>
            <w:tcW w:w="1566" w:type="dxa"/>
          </w:tcPr>
          <w:p w14:paraId="39BDA164" w14:textId="02F3B7F7" w:rsidR="00A9651E" w:rsidRPr="00EB2DCA" w:rsidRDefault="00A9651E" w:rsidP="00FB02C7">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8 systems</w:t>
            </w:r>
          </w:p>
        </w:tc>
      </w:tr>
      <w:tr w:rsidR="00597753" w:rsidRPr="0068673D" w14:paraId="1789269D" w14:textId="441A5D40" w:rsidTr="00851634">
        <w:trPr>
          <w:jc w:val="center"/>
        </w:trPr>
        <w:tc>
          <w:tcPr>
            <w:cnfStyle w:val="001000000000" w:firstRow="0" w:lastRow="0" w:firstColumn="1" w:lastColumn="0" w:oddVBand="0" w:evenVBand="0" w:oddHBand="0" w:evenHBand="0" w:firstRowFirstColumn="0" w:firstRowLastColumn="0" w:lastRowFirstColumn="0" w:lastRowLastColumn="0"/>
            <w:tcW w:w="3312" w:type="dxa"/>
          </w:tcPr>
          <w:p w14:paraId="31E302F4" w14:textId="3946D7E2" w:rsidR="00A9651E" w:rsidRPr="00EB2DCA" w:rsidRDefault="00A9651E" w:rsidP="00FB02C7">
            <w:pPr>
              <w:spacing w:after="0"/>
              <w:rPr>
                <w:rFonts w:eastAsia="Times New Roman" w:cs="Calibri"/>
                <w:b w:val="0"/>
                <w:sz w:val="20"/>
                <w:szCs w:val="20"/>
              </w:rPr>
            </w:pPr>
            <w:r w:rsidRPr="00EB2DCA">
              <w:rPr>
                <w:rFonts w:eastAsia="Times New Roman" w:cs="Calibri"/>
                <w:b w:val="0"/>
                <w:sz w:val="20"/>
                <w:szCs w:val="20"/>
              </w:rPr>
              <w:t>Buildings: Window Efficiency</w:t>
            </w:r>
          </w:p>
        </w:tc>
        <w:tc>
          <w:tcPr>
            <w:tcW w:w="864" w:type="dxa"/>
          </w:tcPr>
          <w:p w14:paraId="6CF51D5C" w14:textId="0F7D3BA0" w:rsidR="00A9651E" w:rsidRPr="00EB2DCA" w:rsidRDefault="00EE59AB" w:rsidP="00FB02C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3</w:t>
            </w:r>
            <w:r w:rsidR="00A9651E" w:rsidRPr="00EB2DCA">
              <w:rPr>
                <w:rFonts w:eastAsia="Times New Roman" w:cs="Calibri"/>
                <w:sz w:val="20"/>
                <w:szCs w:val="20"/>
              </w:rPr>
              <w:t>%</w:t>
            </w:r>
          </w:p>
        </w:tc>
        <w:tc>
          <w:tcPr>
            <w:tcW w:w="1138" w:type="dxa"/>
            <w:vAlign w:val="center"/>
          </w:tcPr>
          <w:p w14:paraId="127440A5" w14:textId="19282D34"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$8.</w:t>
            </w:r>
            <w:r w:rsidR="00C26153">
              <w:rPr>
                <w:rFonts w:eastAsia="Times New Roman" w:cs="Calibri"/>
                <w:sz w:val="20"/>
                <w:szCs w:val="20"/>
              </w:rPr>
              <w:t>3</w:t>
            </w:r>
            <w:r w:rsidRPr="00EB2DCA">
              <w:rPr>
                <w:rFonts w:eastAsia="Times New Roman" w:cs="Calibri"/>
                <w:sz w:val="20"/>
                <w:szCs w:val="20"/>
              </w:rPr>
              <w:t xml:space="preserve"> M</w:t>
            </w:r>
          </w:p>
        </w:tc>
        <w:tc>
          <w:tcPr>
            <w:tcW w:w="1004" w:type="dxa"/>
            <w:vAlign w:val="center"/>
          </w:tcPr>
          <w:p w14:paraId="10E0B4EA" w14:textId="0B507E9C"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6E6982" w:rsidRPr="00EB2DCA">
              <w:rPr>
                <w:rFonts w:eastAsia="Times New Roman" w:cs="Calibri"/>
                <w:sz w:val="20"/>
                <w:szCs w:val="20"/>
              </w:rPr>
              <w:t>6.4</w:t>
            </w:r>
            <w:r w:rsidRPr="00EB2DCA">
              <w:rPr>
                <w:rFonts w:eastAsia="Times New Roman" w:cs="Calibri"/>
                <w:sz w:val="20"/>
                <w:szCs w:val="20"/>
              </w:rPr>
              <w:t xml:space="preserve"> M</w:t>
            </w:r>
          </w:p>
        </w:tc>
        <w:tc>
          <w:tcPr>
            <w:tcW w:w="1422" w:type="dxa"/>
            <w:vAlign w:val="center"/>
          </w:tcPr>
          <w:p w14:paraId="2809CD00" w14:textId="5FC7E6BF" w:rsidR="00A9651E" w:rsidRPr="00EB2DCA" w:rsidRDefault="00670D41"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4 MT</w:t>
            </w:r>
          </w:p>
        </w:tc>
        <w:tc>
          <w:tcPr>
            <w:tcW w:w="1566" w:type="dxa"/>
          </w:tcPr>
          <w:p w14:paraId="427843AE" w14:textId="2549826E" w:rsidR="00A9651E" w:rsidRPr="00EB2DCA" w:rsidRDefault="00D3459E" w:rsidP="00FB02C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Pr>
                <w:rFonts w:eastAsia="Times New Roman" w:cs="Calibri"/>
                <w:sz w:val="20"/>
                <w:szCs w:val="20"/>
              </w:rPr>
              <w:t>1+</w:t>
            </w:r>
            <w:r w:rsidR="00A9651E" w:rsidRPr="00EB2DCA">
              <w:rPr>
                <w:rFonts w:eastAsia="Times New Roman" w:cs="Calibri"/>
                <w:sz w:val="20"/>
                <w:szCs w:val="20"/>
              </w:rPr>
              <w:t xml:space="preserve"> buildings</w:t>
            </w:r>
          </w:p>
        </w:tc>
      </w:tr>
      <w:tr w:rsidR="00597753" w:rsidRPr="0068673D" w14:paraId="27AD6E0E" w14:textId="2B057001" w:rsidTr="008516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tcPr>
          <w:p w14:paraId="6B321A5A" w14:textId="6E2C0069" w:rsidR="00A9651E" w:rsidRPr="00EB2DCA" w:rsidRDefault="00A9651E" w:rsidP="00FB02C7">
            <w:pPr>
              <w:spacing w:after="0"/>
              <w:rPr>
                <w:rFonts w:eastAsia="Times New Roman" w:cs="Calibri"/>
                <w:b w:val="0"/>
                <w:sz w:val="20"/>
                <w:szCs w:val="20"/>
              </w:rPr>
            </w:pPr>
            <w:r w:rsidRPr="00EB2DCA">
              <w:rPr>
                <w:rFonts w:eastAsia="Times New Roman" w:cs="Calibri"/>
                <w:b w:val="0"/>
                <w:sz w:val="20"/>
                <w:szCs w:val="20"/>
              </w:rPr>
              <w:t>Energy Insights Program: Electricity</w:t>
            </w:r>
          </w:p>
        </w:tc>
        <w:tc>
          <w:tcPr>
            <w:tcW w:w="864" w:type="dxa"/>
          </w:tcPr>
          <w:p w14:paraId="7C29DB43" w14:textId="5C26134C" w:rsidR="00A9651E" w:rsidRPr="00EB2DCA" w:rsidRDefault="00A9651E" w:rsidP="00FB02C7">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4%</w:t>
            </w:r>
          </w:p>
        </w:tc>
        <w:tc>
          <w:tcPr>
            <w:tcW w:w="1138" w:type="dxa"/>
            <w:vAlign w:val="center"/>
          </w:tcPr>
          <w:p w14:paraId="11E09637" w14:textId="0BC66313"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EA1890">
              <w:rPr>
                <w:rFonts w:eastAsia="Times New Roman" w:cs="Calibri"/>
                <w:sz w:val="20"/>
                <w:szCs w:val="20"/>
              </w:rPr>
              <w:t>9</w:t>
            </w:r>
            <w:r w:rsidRPr="00EB2DCA">
              <w:rPr>
                <w:rFonts w:eastAsia="Times New Roman" w:cs="Calibri"/>
                <w:sz w:val="20"/>
                <w:szCs w:val="20"/>
              </w:rPr>
              <w:t>.</w:t>
            </w:r>
            <w:r>
              <w:rPr>
                <w:rFonts w:eastAsia="Times New Roman" w:cs="Calibri"/>
                <w:sz w:val="20"/>
                <w:szCs w:val="20"/>
              </w:rPr>
              <w:t>0</w:t>
            </w:r>
            <w:r w:rsidRPr="00EB2DCA">
              <w:rPr>
                <w:rFonts w:eastAsia="Times New Roman" w:cs="Calibri"/>
                <w:sz w:val="20"/>
                <w:szCs w:val="20"/>
              </w:rPr>
              <w:t xml:space="preserve"> M</w:t>
            </w:r>
          </w:p>
        </w:tc>
        <w:tc>
          <w:tcPr>
            <w:tcW w:w="1004" w:type="dxa"/>
            <w:vAlign w:val="center"/>
          </w:tcPr>
          <w:p w14:paraId="12129137" w14:textId="1CAA2C77"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$0.</w:t>
            </w:r>
            <w:r w:rsidR="002859B4" w:rsidRPr="00EB2DCA">
              <w:rPr>
                <w:rFonts w:eastAsia="Times New Roman" w:cs="Calibri"/>
                <w:sz w:val="20"/>
                <w:szCs w:val="20"/>
              </w:rPr>
              <w:t>0</w:t>
            </w:r>
            <w:r w:rsidRPr="00EB2DCA">
              <w:rPr>
                <w:rFonts w:eastAsia="Times New Roman" w:cs="Calibri"/>
                <w:sz w:val="20"/>
                <w:szCs w:val="20"/>
              </w:rPr>
              <w:t>6 M</w:t>
            </w:r>
          </w:p>
        </w:tc>
        <w:tc>
          <w:tcPr>
            <w:tcW w:w="1422" w:type="dxa"/>
            <w:vAlign w:val="center"/>
          </w:tcPr>
          <w:p w14:paraId="3926B21D" w14:textId="45C31C5E" w:rsidR="00A9651E" w:rsidRPr="00EB2DCA" w:rsidRDefault="00CA78E6"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33 MT</w:t>
            </w:r>
          </w:p>
        </w:tc>
        <w:tc>
          <w:tcPr>
            <w:tcW w:w="1566" w:type="dxa"/>
          </w:tcPr>
          <w:p w14:paraId="0AA6ABB6" w14:textId="5D2C02C3" w:rsidR="00A9651E" w:rsidRPr="00EB2DCA" w:rsidRDefault="00A9651E" w:rsidP="00FB02C7">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D16E73">
              <w:rPr>
                <w:rFonts w:eastAsia="Times New Roman" w:cs="Calibri"/>
                <w:sz w:val="20"/>
                <w:szCs w:val="20"/>
              </w:rPr>
              <w:t>6</w:t>
            </w:r>
            <w:r w:rsidRPr="00EB2DCA">
              <w:rPr>
                <w:rFonts w:eastAsia="Times New Roman" w:cs="Calibri"/>
                <w:sz w:val="20"/>
                <w:szCs w:val="20"/>
              </w:rPr>
              <w:t>0 facilities</w:t>
            </w:r>
          </w:p>
        </w:tc>
      </w:tr>
      <w:tr w:rsidR="00597753" w:rsidRPr="0068673D" w14:paraId="1E9AFEB8" w14:textId="2A108074" w:rsidTr="00851634">
        <w:trPr>
          <w:jc w:val="center"/>
        </w:trPr>
        <w:tc>
          <w:tcPr>
            <w:cnfStyle w:val="001000000000" w:firstRow="0" w:lastRow="0" w:firstColumn="1" w:lastColumn="0" w:oddVBand="0" w:evenVBand="0" w:oddHBand="0" w:evenHBand="0" w:firstRowFirstColumn="0" w:firstRowLastColumn="0" w:lastRowFirstColumn="0" w:lastRowLastColumn="0"/>
            <w:tcW w:w="3312" w:type="dxa"/>
          </w:tcPr>
          <w:p w14:paraId="4363CACE" w14:textId="7EC314AA" w:rsidR="00A9651E" w:rsidRPr="00EB2DCA" w:rsidRDefault="00A9651E" w:rsidP="005B01D6">
            <w:pPr>
              <w:spacing w:after="0"/>
              <w:rPr>
                <w:rFonts w:eastAsia="Times New Roman" w:cs="Calibri"/>
                <w:b w:val="0"/>
                <w:sz w:val="20"/>
                <w:szCs w:val="20"/>
              </w:rPr>
            </w:pPr>
            <w:r w:rsidRPr="00EB2DCA">
              <w:rPr>
                <w:rFonts w:eastAsia="Times New Roman" w:cs="Calibri"/>
                <w:b w:val="0"/>
                <w:sz w:val="20"/>
                <w:szCs w:val="20"/>
              </w:rPr>
              <w:t>Energy Insights Program: Natural Gas</w:t>
            </w:r>
          </w:p>
        </w:tc>
        <w:tc>
          <w:tcPr>
            <w:tcW w:w="864" w:type="dxa"/>
          </w:tcPr>
          <w:p w14:paraId="666811C2" w14:textId="7F03DEE2" w:rsidR="00A9651E" w:rsidRPr="00EB2DCA" w:rsidRDefault="00A72522"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0.4</w:t>
            </w:r>
            <w:r w:rsidR="00A9651E" w:rsidRPr="00EB2DCA">
              <w:rPr>
                <w:rFonts w:eastAsia="Times New Roman" w:cs="Calibri"/>
                <w:sz w:val="20"/>
                <w:szCs w:val="20"/>
              </w:rPr>
              <w:t>%</w:t>
            </w:r>
          </w:p>
        </w:tc>
        <w:tc>
          <w:tcPr>
            <w:tcW w:w="1138" w:type="dxa"/>
            <w:vAlign w:val="center"/>
          </w:tcPr>
          <w:p w14:paraId="7EDD41C4" w14:textId="535DDB26"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EA1890">
              <w:rPr>
                <w:rFonts w:eastAsia="Times New Roman" w:cs="Calibri"/>
                <w:sz w:val="20"/>
                <w:szCs w:val="20"/>
              </w:rPr>
              <w:t>1</w:t>
            </w:r>
            <w:r w:rsidRPr="00EB2DCA">
              <w:rPr>
                <w:rFonts w:eastAsia="Times New Roman" w:cs="Calibri"/>
                <w:sz w:val="20"/>
                <w:szCs w:val="20"/>
              </w:rPr>
              <w:t>.0 M</w:t>
            </w:r>
          </w:p>
        </w:tc>
        <w:tc>
          <w:tcPr>
            <w:tcW w:w="1004" w:type="dxa"/>
            <w:vAlign w:val="center"/>
          </w:tcPr>
          <w:p w14:paraId="62C71FDD" w14:textId="29A247AA"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$0.005 M</w:t>
            </w:r>
          </w:p>
        </w:tc>
        <w:tc>
          <w:tcPr>
            <w:tcW w:w="1422" w:type="dxa"/>
            <w:vAlign w:val="center"/>
          </w:tcPr>
          <w:p w14:paraId="60C8DB43" w14:textId="5EE89A41" w:rsidR="00A9651E" w:rsidRPr="00EB2DCA" w:rsidRDefault="00CA78E6"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18 MT</w:t>
            </w:r>
          </w:p>
        </w:tc>
        <w:tc>
          <w:tcPr>
            <w:tcW w:w="1566" w:type="dxa"/>
          </w:tcPr>
          <w:p w14:paraId="561C9B03" w14:textId="1DFBD28B" w:rsidR="00A9651E" w:rsidRPr="00EB2DCA" w:rsidRDefault="00A9651E"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200 facilities</w:t>
            </w:r>
          </w:p>
        </w:tc>
      </w:tr>
      <w:tr w:rsidR="00597753" w:rsidRPr="0068673D" w14:paraId="76A079FB" w14:textId="0050264A" w:rsidTr="008516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tcPr>
          <w:p w14:paraId="1A60EB71" w14:textId="493B0F81" w:rsidR="00A9651E" w:rsidRPr="00EB2DCA" w:rsidRDefault="00A9651E" w:rsidP="005B01D6">
            <w:pPr>
              <w:spacing w:after="0"/>
              <w:rPr>
                <w:rFonts w:eastAsia="Times New Roman" w:cs="Calibri"/>
                <w:b w:val="0"/>
                <w:sz w:val="20"/>
                <w:szCs w:val="20"/>
              </w:rPr>
            </w:pPr>
            <w:r w:rsidRPr="00EB2DCA">
              <w:rPr>
                <w:rFonts w:eastAsia="Times New Roman" w:cs="Calibri"/>
                <w:b w:val="0"/>
                <w:sz w:val="20"/>
                <w:szCs w:val="20"/>
              </w:rPr>
              <w:t>Industrial: Energy Efficiency</w:t>
            </w:r>
          </w:p>
        </w:tc>
        <w:tc>
          <w:tcPr>
            <w:tcW w:w="864" w:type="dxa"/>
          </w:tcPr>
          <w:p w14:paraId="13350640" w14:textId="45C70A76" w:rsidR="00A9651E" w:rsidRPr="00EB2DCA" w:rsidRDefault="00EE59AB" w:rsidP="005B01D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29</w:t>
            </w:r>
            <w:r w:rsidR="00A9651E" w:rsidRPr="00EB2DCA">
              <w:rPr>
                <w:rFonts w:eastAsia="Times New Roman" w:cs="Calibri"/>
                <w:sz w:val="20"/>
                <w:szCs w:val="20"/>
              </w:rPr>
              <w:t>%</w:t>
            </w:r>
          </w:p>
        </w:tc>
        <w:tc>
          <w:tcPr>
            <w:tcW w:w="1138" w:type="dxa"/>
            <w:vAlign w:val="center"/>
          </w:tcPr>
          <w:p w14:paraId="743D8190" w14:textId="0BB7F07A"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EA1890">
              <w:rPr>
                <w:rFonts w:eastAsia="Times New Roman" w:cs="Calibri"/>
                <w:sz w:val="20"/>
                <w:szCs w:val="20"/>
              </w:rPr>
              <w:t>69.4</w:t>
            </w:r>
            <w:r w:rsidRPr="00EB2DCA">
              <w:rPr>
                <w:rFonts w:eastAsia="Times New Roman" w:cs="Calibri"/>
                <w:sz w:val="20"/>
                <w:szCs w:val="20"/>
              </w:rPr>
              <w:t xml:space="preserve"> M</w:t>
            </w:r>
          </w:p>
        </w:tc>
        <w:tc>
          <w:tcPr>
            <w:tcW w:w="1004" w:type="dxa"/>
            <w:vAlign w:val="center"/>
          </w:tcPr>
          <w:p w14:paraId="14D32427" w14:textId="091375D8"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081429" w:rsidRPr="00EB2DCA">
              <w:rPr>
                <w:rFonts w:eastAsia="Times New Roman" w:cs="Calibri"/>
                <w:sz w:val="20"/>
                <w:szCs w:val="20"/>
              </w:rPr>
              <w:t>0.49</w:t>
            </w:r>
            <w:r w:rsidRPr="00EB2DCA">
              <w:rPr>
                <w:rFonts w:eastAsia="Times New Roman" w:cs="Calibri"/>
                <w:sz w:val="20"/>
                <w:szCs w:val="20"/>
              </w:rPr>
              <w:t xml:space="preserve"> M</w:t>
            </w:r>
          </w:p>
        </w:tc>
        <w:tc>
          <w:tcPr>
            <w:tcW w:w="1422" w:type="dxa"/>
            <w:vAlign w:val="center"/>
          </w:tcPr>
          <w:p w14:paraId="3A4B3BBD" w14:textId="170CDA52" w:rsidR="00A9651E" w:rsidRPr="00EB2DCA" w:rsidRDefault="00FC27E2"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641 MT</w:t>
            </w:r>
          </w:p>
        </w:tc>
        <w:tc>
          <w:tcPr>
            <w:tcW w:w="1566" w:type="dxa"/>
          </w:tcPr>
          <w:p w14:paraId="1DD99943" w14:textId="4C17E937" w:rsidR="00A9651E" w:rsidRPr="00EB2DCA" w:rsidRDefault="00A9651E" w:rsidP="005B01D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D16E73">
              <w:rPr>
                <w:rFonts w:eastAsia="Times New Roman" w:cs="Calibri"/>
                <w:sz w:val="20"/>
                <w:szCs w:val="20"/>
              </w:rPr>
              <w:t>43</w:t>
            </w:r>
            <w:r w:rsidRPr="00EB2DCA">
              <w:rPr>
                <w:rFonts w:eastAsia="Times New Roman" w:cs="Calibri"/>
                <w:sz w:val="20"/>
                <w:szCs w:val="20"/>
              </w:rPr>
              <w:t xml:space="preserve"> facilities</w:t>
            </w:r>
          </w:p>
        </w:tc>
      </w:tr>
      <w:tr w:rsidR="00597753" w:rsidRPr="0068673D" w14:paraId="6872D073" w14:textId="7804BEFF" w:rsidTr="00851634">
        <w:trPr>
          <w:jc w:val="center"/>
        </w:trPr>
        <w:tc>
          <w:tcPr>
            <w:cnfStyle w:val="001000000000" w:firstRow="0" w:lastRow="0" w:firstColumn="1" w:lastColumn="0" w:oddVBand="0" w:evenVBand="0" w:oddHBand="0" w:evenHBand="0" w:firstRowFirstColumn="0" w:firstRowLastColumn="0" w:lastRowFirstColumn="0" w:lastRowLastColumn="0"/>
            <w:tcW w:w="3312" w:type="dxa"/>
          </w:tcPr>
          <w:p w14:paraId="34C2920D" w14:textId="79CEA73F" w:rsidR="00A9651E" w:rsidRPr="00EB2DCA" w:rsidRDefault="00A9651E" w:rsidP="005B01D6">
            <w:pPr>
              <w:spacing w:after="0"/>
              <w:rPr>
                <w:rFonts w:eastAsia="Times New Roman" w:cs="Calibri"/>
                <w:b w:val="0"/>
                <w:sz w:val="20"/>
                <w:szCs w:val="20"/>
              </w:rPr>
            </w:pPr>
            <w:r w:rsidRPr="00EB2DCA">
              <w:rPr>
                <w:rFonts w:eastAsia="Times New Roman" w:cs="Calibri"/>
                <w:b w:val="0"/>
                <w:sz w:val="20"/>
                <w:szCs w:val="20"/>
              </w:rPr>
              <w:t>Industrial: Solar</w:t>
            </w:r>
          </w:p>
        </w:tc>
        <w:tc>
          <w:tcPr>
            <w:tcW w:w="864" w:type="dxa"/>
          </w:tcPr>
          <w:p w14:paraId="2769D4D7" w14:textId="798835A1" w:rsidR="00A9651E" w:rsidRPr="00EB2DCA" w:rsidRDefault="00A9651E"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EE59AB" w:rsidRPr="00EB2DCA">
              <w:rPr>
                <w:rFonts w:eastAsia="Times New Roman" w:cs="Calibri"/>
                <w:sz w:val="20"/>
                <w:szCs w:val="20"/>
              </w:rPr>
              <w:t>0</w:t>
            </w:r>
            <w:r w:rsidRPr="00EB2DCA">
              <w:rPr>
                <w:rFonts w:eastAsia="Times New Roman" w:cs="Calibri"/>
                <w:sz w:val="20"/>
                <w:szCs w:val="20"/>
              </w:rPr>
              <w:t>%</w:t>
            </w:r>
          </w:p>
        </w:tc>
        <w:tc>
          <w:tcPr>
            <w:tcW w:w="1138" w:type="dxa"/>
            <w:vAlign w:val="center"/>
          </w:tcPr>
          <w:p w14:paraId="221706F6" w14:textId="729350DC"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w:t>
            </w:r>
            <w:r w:rsidR="00EA1890">
              <w:rPr>
                <w:rFonts w:eastAsia="Times New Roman" w:cs="Calibri"/>
                <w:sz w:val="20"/>
                <w:szCs w:val="20"/>
              </w:rPr>
              <w:t>3.1</w:t>
            </w:r>
            <w:r w:rsidRPr="00EB2DCA">
              <w:rPr>
                <w:rFonts w:eastAsia="Times New Roman" w:cs="Calibri"/>
                <w:sz w:val="20"/>
                <w:szCs w:val="20"/>
              </w:rPr>
              <w:t xml:space="preserve"> M</w:t>
            </w:r>
          </w:p>
        </w:tc>
        <w:tc>
          <w:tcPr>
            <w:tcW w:w="1004" w:type="dxa"/>
            <w:vAlign w:val="center"/>
          </w:tcPr>
          <w:p w14:paraId="03EEDF48" w14:textId="0DB1C539"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081429" w:rsidRPr="00EB2DCA">
              <w:rPr>
                <w:rFonts w:eastAsia="Times New Roman" w:cs="Calibri"/>
                <w:sz w:val="20"/>
                <w:szCs w:val="20"/>
              </w:rPr>
              <w:t>1</w:t>
            </w:r>
            <w:r w:rsidR="00680CC5">
              <w:rPr>
                <w:rFonts w:eastAsia="Times New Roman" w:cs="Calibri"/>
                <w:sz w:val="20"/>
                <w:szCs w:val="20"/>
              </w:rPr>
              <w:t>3.8</w:t>
            </w:r>
            <w:r w:rsidRPr="00EB2DCA">
              <w:rPr>
                <w:rFonts w:eastAsia="Times New Roman" w:cs="Calibri"/>
                <w:sz w:val="20"/>
                <w:szCs w:val="20"/>
              </w:rPr>
              <w:t xml:space="preserve"> M</w:t>
            </w:r>
          </w:p>
        </w:tc>
        <w:tc>
          <w:tcPr>
            <w:tcW w:w="1422" w:type="dxa"/>
            <w:vAlign w:val="center"/>
          </w:tcPr>
          <w:p w14:paraId="346348E6" w14:textId="0E9891E4" w:rsidR="00A9651E" w:rsidRPr="00EB2DCA" w:rsidRDefault="00952BE0"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Pr>
                <w:rFonts w:eastAsia="Times New Roman" w:cs="Calibri"/>
                <w:sz w:val="20"/>
                <w:szCs w:val="20"/>
              </w:rPr>
              <w:t>3,982</w:t>
            </w:r>
            <w:r w:rsidR="00FC27E2" w:rsidRPr="00EB2DCA">
              <w:rPr>
                <w:rFonts w:eastAsia="Times New Roman" w:cs="Calibri"/>
                <w:sz w:val="20"/>
                <w:szCs w:val="20"/>
              </w:rPr>
              <w:t xml:space="preserve"> MT</w:t>
            </w:r>
          </w:p>
        </w:tc>
        <w:tc>
          <w:tcPr>
            <w:tcW w:w="1566" w:type="dxa"/>
          </w:tcPr>
          <w:p w14:paraId="6920393E" w14:textId="74117196" w:rsidR="00A9651E" w:rsidRPr="00EB2DCA" w:rsidRDefault="00081429"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A9651E" w:rsidRPr="00EB2DCA">
              <w:rPr>
                <w:rFonts w:eastAsia="Times New Roman" w:cs="Calibri"/>
                <w:sz w:val="20"/>
                <w:szCs w:val="20"/>
              </w:rPr>
              <w:t xml:space="preserve"> projects</w:t>
            </w:r>
          </w:p>
        </w:tc>
      </w:tr>
      <w:tr w:rsidR="00597753" w:rsidRPr="0068673D" w14:paraId="1C2F0DD6" w14:textId="1C82C3F6" w:rsidTr="008516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tcPr>
          <w:p w14:paraId="2D70B8C2" w14:textId="19DFE21A" w:rsidR="00A9651E" w:rsidRPr="00EB2DCA" w:rsidRDefault="00A9651E" w:rsidP="005B01D6">
            <w:pPr>
              <w:spacing w:after="0"/>
              <w:rPr>
                <w:rFonts w:eastAsia="Times New Roman" w:cs="Calibri"/>
                <w:b w:val="0"/>
                <w:sz w:val="20"/>
                <w:szCs w:val="20"/>
              </w:rPr>
            </w:pPr>
            <w:r w:rsidRPr="00EB2DCA">
              <w:rPr>
                <w:rFonts w:eastAsia="Times New Roman" w:cs="Calibri"/>
                <w:b w:val="0"/>
                <w:sz w:val="20"/>
                <w:szCs w:val="20"/>
              </w:rPr>
              <w:t>Transportation: EV charging</w:t>
            </w:r>
          </w:p>
        </w:tc>
        <w:tc>
          <w:tcPr>
            <w:tcW w:w="864" w:type="dxa"/>
          </w:tcPr>
          <w:p w14:paraId="586CAE23" w14:textId="5302919E" w:rsidR="00A9651E" w:rsidRPr="00EB2DCA" w:rsidRDefault="00A9651E" w:rsidP="005B01D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1</w:t>
            </w:r>
            <w:r w:rsidR="000F72A4" w:rsidRPr="00EB2DCA">
              <w:rPr>
                <w:rFonts w:eastAsia="Times New Roman" w:cs="Calibri"/>
                <w:sz w:val="20"/>
                <w:szCs w:val="20"/>
              </w:rPr>
              <w:t>2</w:t>
            </w:r>
            <w:r w:rsidRPr="00EB2DCA">
              <w:rPr>
                <w:rFonts w:eastAsia="Times New Roman" w:cs="Calibri"/>
                <w:sz w:val="20"/>
                <w:szCs w:val="20"/>
              </w:rPr>
              <w:t>%</w:t>
            </w:r>
          </w:p>
        </w:tc>
        <w:tc>
          <w:tcPr>
            <w:tcW w:w="1138" w:type="dxa"/>
            <w:vAlign w:val="center"/>
          </w:tcPr>
          <w:p w14:paraId="5C614F60" w14:textId="05408E79"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w:t>
            </w:r>
            <w:r w:rsidR="003402BF">
              <w:rPr>
                <w:rFonts w:eastAsia="Times New Roman" w:cs="Calibri"/>
                <w:sz w:val="20"/>
                <w:szCs w:val="20"/>
              </w:rPr>
              <w:t>7.8</w:t>
            </w:r>
            <w:r w:rsidRPr="00EB2DCA">
              <w:rPr>
                <w:rFonts w:eastAsia="Times New Roman" w:cs="Calibri"/>
                <w:sz w:val="20"/>
                <w:szCs w:val="20"/>
              </w:rPr>
              <w:t xml:space="preserve"> M</w:t>
            </w:r>
          </w:p>
        </w:tc>
        <w:tc>
          <w:tcPr>
            <w:tcW w:w="1004" w:type="dxa"/>
            <w:vAlign w:val="center"/>
          </w:tcPr>
          <w:p w14:paraId="52AEAB1D" w14:textId="1BCEA1F5"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98381C" w:rsidRPr="00EB2DCA">
              <w:rPr>
                <w:rFonts w:eastAsia="Times New Roman" w:cs="Calibri"/>
                <w:sz w:val="20"/>
                <w:szCs w:val="20"/>
              </w:rPr>
              <w:t>0.12</w:t>
            </w:r>
            <w:r w:rsidRPr="00EB2DCA">
              <w:rPr>
                <w:rFonts w:eastAsia="Times New Roman" w:cs="Calibri"/>
                <w:sz w:val="20"/>
                <w:szCs w:val="20"/>
              </w:rPr>
              <w:t xml:space="preserve"> M</w:t>
            </w:r>
          </w:p>
        </w:tc>
        <w:tc>
          <w:tcPr>
            <w:tcW w:w="1422" w:type="dxa"/>
            <w:vAlign w:val="center"/>
          </w:tcPr>
          <w:p w14:paraId="1D2A772F" w14:textId="66643ACD" w:rsidR="00A9651E" w:rsidRPr="00EB2DCA" w:rsidRDefault="00670D41"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5 MT</w:t>
            </w:r>
          </w:p>
        </w:tc>
        <w:tc>
          <w:tcPr>
            <w:tcW w:w="1566" w:type="dxa"/>
          </w:tcPr>
          <w:p w14:paraId="5FA469B7" w14:textId="1F649934" w:rsidR="00A9651E" w:rsidRPr="00EB2DCA" w:rsidRDefault="00A9651E" w:rsidP="005B01D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w:t>
            </w:r>
            <w:r w:rsidR="00FB63CB">
              <w:rPr>
                <w:rFonts w:eastAsia="Times New Roman" w:cs="Calibri"/>
                <w:sz w:val="20"/>
                <w:szCs w:val="20"/>
              </w:rPr>
              <w:t>32</w:t>
            </w:r>
            <w:r w:rsidRPr="00EB2DCA">
              <w:rPr>
                <w:rFonts w:eastAsia="Times New Roman" w:cs="Calibri"/>
                <w:sz w:val="20"/>
                <w:szCs w:val="20"/>
              </w:rPr>
              <w:t xml:space="preserve"> ports</w:t>
            </w:r>
          </w:p>
        </w:tc>
      </w:tr>
      <w:tr w:rsidR="00597753" w:rsidRPr="0068673D" w14:paraId="42E5E0D6" w14:textId="2EFFD7E4" w:rsidTr="00851634">
        <w:trPr>
          <w:jc w:val="center"/>
        </w:trPr>
        <w:tc>
          <w:tcPr>
            <w:cnfStyle w:val="001000000000" w:firstRow="0" w:lastRow="0" w:firstColumn="1" w:lastColumn="0" w:oddVBand="0" w:evenVBand="0" w:oddHBand="0" w:evenHBand="0" w:firstRowFirstColumn="0" w:firstRowLastColumn="0" w:lastRowFirstColumn="0" w:lastRowLastColumn="0"/>
            <w:tcW w:w="3312" w:type="dxa"/>
          </w:tcPr>
          <w:p w14:paraId="3B2AA0DA" w14:textId="6C7E5FCE" w:rsidR="00A9651E" w:rsidRPr="00EB2DCA" w:rsidRDefault="00A9651E" w:rsidP="005B01D6">
            <w:pPr>
              <w:spacing w:after="0"/>
              <w:rPr>
                <w:rFonts w:eastAsia="Times New Roman" w:cs="Calibri"/>
                <w:b w:val="0"/>
                <w:sz w:val="20"/>
                <w:szCs w:val="20"/>
              </w:rPr>
            </w:pPr>
            <w:r w:rsidRPr="00EB2DCA">
              <w:rPr>
                <w:rFonts w:eastAsia="Times New Roman" w:cs="Calibri"/>
                <w:b w:val="0"/>
                <w:sz w:val="20"/>
                <w:szCs w:val="20"/>
              </w:rPr>
              <w:t>Transportation: Mobility</w:t>
            </w:r>
          </w:p>
        </w:tc>
        <w:tc>
          <w:tcPr>
            <w:tcW w:w="864" w:type="dxa"/>
          </w:tcPr>
          <w:p w14:paraId="6D699406" w14:textId="23C681B9" w:rsidR="00A9651E" w:rsidRPr="00EB2DCA" w:rsidRDefault="000F72A4"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4</w:t>
            </w:r>
            <w:r w:rsidR="00A9651E" w:rsidRPr="00EB2DCA">
              <w:rPr>
                <w:rFonts w:eastAsia="Times New Roman" w:cs="Calibri"/>
                <w:sz w:val="20"/>
                <w:szCs w:val="20"/>
              </w:rPr>
              <w:t>%</w:t>
            </w:r>
          </w:p>
        </w:tc>
        <w:tc>
          <w:tcPr>
            <w:tcW w:w="1138" w:type="dxa"/>
            <w:vAlign w:val="center"/>
          </w:tcPr>
          <w:p w14:paraId="11747A6B" w14:textId="46864F3D"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$9</w:t>
            </w:r>
            <w:r>
              <w:rPr>
                <w:rFonts w:eastAsia="Times New Roman" w:cs="Calibri"/>
                <w:sz w:val="20"/>
                <w:szCs w:val="20"/>
              </w:rPr>
              <w:t>.</w:t>
            </w:r>
            <w:r w:rsidR="003402BF">
              <w:rPr>
                <w:rFonts w:eastAsia="Times New Roman" w:cs="Calibri"/>
                <w:sz w:val="20"/>
                <w:szCs w:val="20"/>
              </w:rPr>
              <w:t>0</w:t>
            </w:r>
            <w:r w:rsidRPr="00EB2DCA">
              <w:rPr>
                <w:rFonts w:eastAsia="Times New Roman" w:cs="Calibri"/>
                <w:sz w:val="20"/>
                <w:szCs w:val="20"/>
              </w:rPr>
              <w:t xml:space="preserve"> M</w:t>
            </w:r>
          </w:p>
        </w:tc>
        <w:tc>
          <w:tcPr>
            <w:tcW w:w="1004" w:type="dxa"/>
            <w:vAlign w:val="center"/>
          </w:tcPr>
          <w:p w14:paraId="5AEA9027" w14:textId="3975ACE0"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98381C" w:rsidRPr="00EB2DCA">
              <w:rPr>
                <w:rFonts w:eastAsia="Times New Roman" w:cs="Calibri"/>
                <w:sz w:val="20"/>
                <w:szCs w:val="20"/>
              </w:rPr>
              <w:t>1.5</w:t>
            </w:r>
            <w:r w:rsidRPr="00EB2DCA">
              <w:rPr>
                <w:rFonts w:eastAsia="Times New Roman" w:cs="Calibri"/>
                <w:sz w:val="20"/>
                <w:szCs w:val="20"/>
              </w:rPr>
              <w:t xml:space="preserve"> M</w:t>
            </w:r>
          </w:p>
        </w:tc>
        <w:tc>
          <w:tcPr>
            <w:tcW w:w="1422" w:type="dxa"/>
            <w:vAlign w:val="center"/>
          </w:tcPr>
          <w:p w14:paraId="0E85CB9D" w14:textId="31AF16D0" w:rsidR="00A9651E" w:rsidRPr="00EB2DCA" w:rsidRDefault="00952BE0"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Pr>
                <w:rFonts w:eastAsia="Times New Roman" w:cs="Calibri"/>
                <w:sz w:val="20"/>
                <w:szCs w:val="20"/>
              </w:rPr>
              <w:t>120</w:t>
            </w:r>
            <w:r w:rsidR="00FC27E2" w:rsidRPr="00EB2DCA">
              <w:rPr>
                <w:rFonts w:eastAsia="Times New Roman" w:cs="Calibri"/>
                <w:sz w:val="20"/>
                <w:szCs w:val="20"/>
              </w:rPr>
              <w:t xml:space="preserve"> MT</w:t>
            </w:r>
          </w:p>
        </w:tc>
        <w:tc>
          <w:tcPr>
            <w:tcW w:w="1566" w:type="dxa"/>
          </w:tcPr>
          <w:p w14:paraId="280A0645" w14:textId="0F935EEB" w:rsidR="00A9651E" w:rsidRPr="00EB2DCA" w:rsidRDefault="00FB63CB"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Pr>
                <w:rFonts w:eastAsia="Times New Roman" w:cs="Calibri"/>
                <w:sz w:val="20"/>
                <w:szCs w:val="20"/>
              </w:rPr>
              <w:t>6</w:t>
            </w:r>
            <w:r w:rsidR="00A9651E" w:rsidRPr="00EB2DCA">
              <w:rPr>
                <w:rFonts w:eastAsia="Times New Roman" w:cs="Calibri"/>
                <w:sz w:val="20"/>
                <w:szCs w:val="20"/>
              </w:rPr>
              <w:t xml:space="preserve"> projects</w:t>
            </w:r>
          </w:p>
        </w:tc>
      </w:tr>
      <w:tr w:rsidR="00597753" w:rsidRPr="0068673D" w14:paraId="7E22EA6E" w14:textId="47003D34" w:rsidTr="0085163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12" w:type="dxa"/>
          </w:tcPr>
          <w:p w14:paraId="07EF3E9F" w14:textId="62FF6371" w:rsidR="00A9651E" w:rsidRPr="00EB2DCA" w:rsidRDefault="00A9651E" w:rsidP="005B01D6">
            <w:pPr>
              <w:spacing w:after="0"/>
              <w:rPr>
                <w:rFonts w:eastAsia="Times New Roman" w:cs="Calibri"/>
                <w:b w:val="0"/>
                <w:sz w:val="20"/>
                <w:szCs w:val="20"/>
              </w:rPr>
            </w:pPr>
            <w:r w:rsidRPr="00EB2DCA">
              <w:rPr>
                <w:rFonts w:eastAsia="Times New Roman" w:cs="Calibri"/>
                <w:b w:val="0"/>
                <w:sz w:val="20"/>
                <w:szCs w:val="20"/>
              </w:rPr>
              <w:t>Transportation: Public Transit</w:t>
            </w:r>
          </w:p>
        </w:tc>
        <w:tc>
          <w:tcPr>
            <w:tcW w:w="864" w:type="dxa"/>
          </w:tcPr>
          <w:p w14:paraId="00421B2E" w14:textId="6F392DFD" w:rsidR="00A9651E" w:rsidRPr="00EB2DCA" w:rsidRDefault="000F72A4" w:rsidP="005B01D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8</w:t>
            </w:r>
            <w:r w:rsidR="00A9651E" w:rsidRPr="00EB2DCA">
              <w:rPr>
                <w:rFonts w:eastAsia="Times New Roman" w:cs="Calibri"/>
                <w:sz w:val="20"/>
                <w:szCs w:val="20"/>
              </w:rPr>
              <w:t>%</w:t>
            </w:r>
          </w:p>
        </w:tc>
        <w:tc>
          <w:tcPr>
            <w:tcW w:w="1138" w:type="dxa"/>
            <w:vAlign w:val="center"/>
          </w:tcPr>
          <w:p w14:paraId="0802B17B" w14:textId="1B1B2755"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3402BF">
              <w:rPr>
                <w:rFonts w:eastAsia="Times New Roman" w:cs="Calibri"/>
                <w:sz w:val="20"/>
                <w:szCs w:val="20"/>
              </w:rPr>
              <w:t>18.8</w:t>
            </w:r>
            <w:r w:rsidRPr="00EB2DCA">
              <w:rPr>
                <w:rFonts w:eastAsia="Times New Roman" w:cs="Calibri"/>
                <w:sz w:val="20"/>
                <w:szCs w:val="20"/>
              </w:rPr>
              <w:t xml:space="preserve"> M</w:t>
            </w:r>
          </w:p>
        </w:tc>
        <w:tc>
          <w:tcPr>
            <w:tcW w:w="1004" w:type="dxa"/>
            <w:vAlign w:val="center"/>
          </w:tcPr>
          <w:p w14:paraId="199AD04C" w14:textId="7F8D9008" w:rsidR="00A9651E" w:rsidRPr="00EB2DCA" w:rsidRDefault="00A9651E"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w:t>
            </w:r>
            <w:r w:rsidR="003402BF">
              <w:rPr>
                <w:rFonts w:eastAsia="Times New Roman" w:cs="Calibri"/>
                <w:sz w:val="20"/>
                <w:szCs w:val="20"/>
              </w:rPr>
              <w:t>18.8</w:t>
            </w:r>
            <w:r w:rsidRPr="00EB2DCA">
              <w:rPr>
                <w:rFonts w:eastAsia="Times New Roman" w:cs="Calibri"/>
                <w:sz w:val="20"/>
                <w:szCs w:val="20"/>
              </w:rPr>
              <w:t xml:space="preserve"> M</w:t>
            </w:r>
          </w:p>
        </w:tc>
        <w:tc>
          <w:tcPr>
            <w:tcW w:w="1422" w:type="dxa"/>
            <w:vAlign w:val="center"/>
          </w:tcPr>
          <w:p w14:paraId="29CBCB83" w14:textId="237BEDEE" w:rsidR="00A9651E" w:rsidRPr="00EB2DCA" w:rsidRDefault="0076716F" w:rsidP="006C68B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Pr>
                <w:rFonts w:eastAsia="Times New Roman" w:cs="Calibri"/>
                <w:sz w:val="20"/>
                <w:szCs w:val="20"/>
              </w:rPr>
              <w:t>87</w:t>
            </w:r>
            <w:r w:rsidR="00E5368F" w:rsidRPr="00EB2DCA">
              <w:rPr>
                <w:rFonts w:eastAsia="Times New Roman" w:cs="Calibri"/>
                <w:sz w:val="20"/>
                <w:szCs w:val="20"/>
              </w:rPr>
              <w:t xml:space="preserve"> MT</w:t>
            </w:r>
          </w:p>
        </w:tc>
        <w:tc>
          <w:tcPr>
            <w:tcW w:w="1566" w:type="dxa"/>
          </w:tcPr>
          <w:p w14:paraId="6F38C436" w14:textId="4024753F" w:rsidR="00A9651E" w:rsidRPr="00EB2DCA" w:rsidRDefault="00A9651E" w:rsidP="005B01D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EB2DCA">
              <w:rPr>
                <w:rFonts w:eastAsia="Times New Roman" w:cs="Calibri"/>
                <w:sz w:val="20"/>
                <w:szCs w:val="20"/>
              </w:rPr>
              <w:t>2</w:t>
            </w:r>
            <w:r w:rsidR="00FB63CB">
              <w:rPr>
                <w:rFonts w:eastAsia="Times New Roman" w:cs="Calibri"/>
                <w:sz w:val="20"/>
                <w:szCs w:val="20"/>
              </w:rPr>
              <w:t>2</w:t>
            </w:r>
            <w:r w:rsidRPr="00EB2DCA">
              <w:rPr>
                <w:rFonts w:eastAsia="Times New Roman" w:cs="Calibri"/>
                <w:sz w:val="20"/>
                <w:szCs w:val="20"/>
              </w:rPr>
              <w:t xml:space="preserve"> hybrid buses</w:t>
            </w:r>
          </w:p>
        </w:tc>
      </w:tr>
      <w:tr w:rsidR="00597753" w:rsidRPr="0068673D" w14:paraId="69FCC3EB" w14:textId="154B6E73" w:rsidTr="00851634">
        <w:trPr>
          <w:trHeight w:val="70"/>
          <w:jc w:val="center"/>
        </w:trPr>
        <w:tc>
          <w:tcPr>
            <w:cnfStyle w:val="001000000000" w:firstRow="0" w:lastRow="0" w:firstColumn="1" w:lastColumn="0" w:oddVBand="0" w:evenVBand="0" w:oddHBand="0" w:evenHBand="0" w:firstRowFirstColumn="0" w:firstRowLastColumn="0" w:lastRowFirstColumn="0" w:lastRowLastColumn="0"/>
            <w:tcW w:w="3312" w:type="dxa"/>
            <w:vAlign w:val="center"/>
          </w:tcPr>
          <w:p w14:paraId="61B668BF" w14:textId="228A8DE2" w:rsidR="00A9651E" w:rsidRPr="00EB2DCA" w:rsidRDefault="00A9651E" w:rsidP="005B01D6">
            <w:pPr>
              <w:spacing w:after="0"/>
              <w:rPr>
                <w:rFonts w:eastAsia="Times New Roman" w:cs="Calibri"/>
                <w:sz w:val="20"/>
                <w:szCs w:val="20"/>
              </w:rPr>
            </w:pPr>
            <w:r w:rsidRPr="00EB2DCA">
              <w:rPr>
                <w:rFonts w:eastAsia="Times New Roman" w:cs="Calibri"/>
                <w:sz w:val="20"/>
                <w:szCs w:val="20"/>
              </w:rPr>
              <w:t>Program Total</w:t>
            </w:r>
          </w:p>
        </w:tc>
        <w:tc>
          <w:tcPr>
            <w:tcW w:w="864" w:type="dxa"/>
            <w:vAlign w:val="center"/>
          </w:tcPr>
          <w:p w14:paraId="2DDD4D37" w14:textId="77777777" w:rsidR="00A9651E" w:rsidRPr="00EB2DCA" w:rsidRDefault="00A9651E"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r w:rsidRPr="00EB2DCA">
              <w:rPr>
                <w:rFonts w:eastAsia="Times New Roman" w:cs="Calibri"/>
                <w:b/>
                <w:sz w:val="20"/>
                <w:szCs w:val="20"/>
              </w:rPr>
              <w:t>100%</w:t>
            </w:r>
          </w:p>
        </w:tc>
        <w:tc>
          <w:tcPr>
            <w:tcW w:w="1138" w:type="dxa"/>
            <w:vAlign w:val="center"/>
          </w:tcPr>
          <w:p w14:paraId="12208E6D" w14:textId="71751E45"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r w:rsidRPr="00EB2DCA">
              <w:rPr>
                <w:rFonts w:eastAsia="Times New Roman" w:cs="Calibri"/>
                <w:b/>
                <w:sz w:val="20"/>
                <w:szCs w:val="20"/>
              </w:rPr>
              <w:t>$2</w:t>
            </w:r>
            <w:r w:rsidR="00B5213C">
              <w:rPr>
                <w:rFonts w:eastAsia="Times New Roman" w:cs="Calibri"/>
                <w:b/>
                <w:sz w:val="20"/>
                <w:szCs w:val="20"/>
              </w:rPr>
              <w:t>41</w:t>
            </w:r>
            <w:r>
              <w:rPr>
                <w:rFonts w:eastAsia="Times New Roman" w:cs="Calibri"/>
                <w:b/>
                <w:sz w:val="20"/>
                <w:szCs w:val="20"/>
              </w:rPr>
              <w:t>.4</w:t>
            </w:r>
            <w:r w:rsidRPr="00EB2DCA">
              <w:rPr>
                <w:rFonts w:eastAsia="Times New Roman" w:cs="Calibri"/>
                <w:b/>
                <w:sz w:val="20"/>
                <w:szCs w:val="20"/>
              </w:rPr>
              <w:t xml:space="preserve"> M</w:t>
            </w:r>
          </w:p>
        </w:tc>
        <w:tc>
          <w:tcPr>
            <w:tcW w:w="1004" w:type="dxa"/>
            <w:vAlign w:val="center"/>
          </w:tcPr>
          <w:p w14:paraId="4B555968" w14:textId="77777777"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p>
        </w:tc>
        <w:tc>
          <w:tcPr>
            <w:tcW w:w="1422" w:type="dxa"/>
            <w:vAlign w:val="center"/>
          </w:tcPr>
          <w:p w14:paraId="735FCE20" w14:textId="77777777" w:rsidR="00A9651E" w:rsidRPr="00EB2DCA" w:rsidRDefault="00A9651E" w:rsidP="006C68B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p>
        </w:tc>
        <w:tc>
          <w:tcPr>
            <w:tcW w:w="1566" w:type="dxa"/>
          </w:tcPr>
          <w:p w14:paraId="09D8F345" w14:textId="21FC9EAB" w:rsidR="00A9651E" w:rsidRPr="00EB2DCA" w:rsidRDefault="00A9651E" w:rsidP="005B01D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p>
        </w:tc>
      </w:tr>
    </w:tbl>
    <w:p w14:paraId="252DB7B6" w14:textId="12E3C150" w:rsidR="00FE183F" w:rsidRDefault="004B2E0A" w:rsidP="00B739E9">
      <w:pPr>
        <w:spacing w:before="80"/>
      </w:pPr>
      <w:r>
        <w:t>T</w:t>
      </w:r>
      <w:r w:rsidR="00286300">
        <w:t xml:space="preserve">o estimate </w:t>
      </w:r>
      <w:r w:rsidR="00C100BC">
        <w:t>program</w:t>
      </w:r>
      <w:r w:rsidR="00633BC5">
        <w:t>-</w:t>
      </w:r>
      <w:r w:rsidR="00C100BC">
        <w:t xml:space="preserve">wide </w:t>
      </w:r>
      <w:r w:rsidR="00873923" w:rsidRPr="00873923">
        <w:t>impacts</w:t>
      </w:r>
      <w:r w:rsidR="00286300">
        <w:t>, t</w:t>
      </w:r>
      <w:r>
        <w:t>he</w:t>
      </w:r>
      <w:r w:rsidR="0075274A">
        <w:t xml:space="preserve"> </w:t>
      </w:r>
      <w:r w:rsidR="00C74FDB">
        <w:t>pilot</w:t>
      </w:r>
      <w:r w:rsidR="00652C1C">
        <w:t xml:space="preserve"> project</w:t>
      </w:r>
      <w:r w:rsidR="0065462B">
        <w:t>s</w:t>
      </w:r>
      <w:r w:rsidR="00C74FDB">
        <w:t xml:space="preserve"> </w:t>
      </w:r>
      <w:r w:rsidR="00C100BC">
        <w:t>were</w:t>
      </w:r>
      <w:r w:rsidR="00C74FDB">
        <w:t xml:space="preserve"> assumed to be implemented </w:t>
      </w:r>
      <w:r w:rsidR="00873923" w:rsidRPr="00873923">
        <w:t xml:space="preserve">with resulting GHG emissions </w:t>
      </w:r>
      <w:r w:rsidR="0075274A">
        <w:t xml:space="preserve">reductions </w:t>
      </w:r>
      <w:r w:rsidR="00873923" w:rsidRPr="00873923">
        <w:t>contributing to program total</w:t>
      </w:r>
      <w:r w:rsidR="00983D1D">
        <w:t>. T</w:t>
      </w:r>
      <w:r w:rsidR="00C74FDB">
        <w:t xml:space="preserve">hen </w:t>
      </w:r>
      <w:r w:rsidR="0075274A">
        <w:t>average</w:t>
      </w:r>
      <w:r w:rsidR="004C0C57">
        <w:t xml:space="preserve"> costs and</w:t>
      </w:r>
      <w:r w:rsidR="0075274A">
        <w:t xml:space="preserve"> reductions</w:t>
      </w:r>
      <w:r w:rsidR="00841191">
        <w:t xml:space="preserve"> </w:t>
      </w:r>
      <w:r w:rsidR="00505A58">
        <w:t xml:space="preserve">from </w:t>
      </w:r>
      <w:r w:rsidR="00841191">
        <w:t>pilots</w:t>
      </w:r>
      <w:r w:rsidR="0095150B">
        <w:t xml:space="preserve"> of </w:t>
      </w:r>
      <w:r w:rsidR="008B1D3E">
        <w:t>the same project type</w:t>
      </w:r>
      <w:r w:rsidR="00673380">
        <w:t xml:space="preserve"> </w:t>
      </w:r>
      <w:r w:rsidR="0075274A">
        <w:t xml:space="preserve">were </w:t>
      </w:r>
      <w:r w:rsidR="00A350CD">
        <w:t xml:space="preserve">used to inform program-wide reductions, up to </w:t>
      </w:r>
      <w:r w:rsidR="0075274A">
        <w:t xml:space="preserve">the </w:t>
      </w:r>
      <w:r w:rsidR="00A350CD">
        <w:t>available funds in Table 1.</w:t>
      </w:r>
      <w:r w:rsidR="004A3195">
        <w:t xml:space="preserve"> </w:t>
      </w:r>
      <w:r w:rsidR="0088307C">
        <w:t>The average cost was used to determine a</w:t>
      </w:r>
      <w:r w:rsidR="0075274A">
        <w:t xml:space="preserve"> count of </w:t>
      </w:r>
      <w:r w:rsidR="0088307C">
        <w:t>more</w:t>
      </w:r>
      <w:r w:rsidR="00C41B2A">
        <w:t xml:space="preserve"> </w:t>
      </w:r>
      <w:r w:rsidR="0075274A">
        <w:t>projects that could be implemented</w:t>
      </w:r>
      <w:r w:rsidR="00953117">
        <w:t xml:space="preserve"> </w:t>
      </w:r>
      <w:r w:rsidR="00F32DE3">
        <w:t xml:space="preserve">for </w:t>
      </w:r>
      <w:r w:rsidR="0088307C">
        <w:t>that</w:t>
      </w:r>
      <w:r w:rsidR="00F32DE3">
        <w:t xml:space="preserve"> project type</w:t>
      </w:r>
      <w:r w:rsidR="0088307C">
        <w:t xml:space="preserve"> </w:t>
      </w:r>
      <w:r w:rsidR="00C2701B">
        <w:t>given</w:t>
      </w:r>
      <w:r w:rsidR="0088307C">
        <w:t xml:space="preserve"> remaining available funds. The count </w:t>
      </w:r>
      <w:r w:rsidR="00C2701B">
        <w:t>was then</w:t>
      </w:r>
      <w:r w:rsidR="0088307C">
        <w:t xml:space="preserve"> </w:t>
      </w:r>
      <w:r>
        <w:t xml:space="preserve">multiplied </w:t>
      </w:r>
      <w:r w:rsidR="00C2701B">
        <w:t>by</w:t>
      </w:r>
      <w:r w:rsidR="003631BC">
        <w:t xml:space="preserve"> average</w:t>
      </w:r>
      <w:r w:rsidR="00B739E9">
        <w:t xml:space="preserve"> annual GHG emissions reductions to estimate the benefits. </w:t>
      </w:r>
      <w:r w:rsidR="005866F0" w:rsidDel="00737334">
        <w:t>It was</w:t>
      </w:r>
      <w:r w:rsidR="005866F0">
        <w:t xml:space="preserve"> assumed </w:t>
      </w:r>
      <w:r w:rsidR="00737334">
        <w:t xml:space="preserve">that </w:t>
      </w:r>
      <w:r w:rsidR="005866F0">
        <w:t xml:space="preserve">30% of remaining funds were </w:t>
      </w:r>
      <w:r w:rsidR="000E2D01">
        <w:t xml:space="preserve">disbursed </w:t>
      </w:r>
      <w:r w:rsidR="005866F0">
        <w:t xml:space="preserve">for </w:t>
      </w:r>
      <w:r w:rsidR="00435076">
        <w:t>Tranche 2</w:t>
      </w:r>
      <w:r w:rsidR="005C5B8A">
        <w:t>, with</w:t>
      </w:r>
      <w:r w:rsidR="00435076">
        <w:t xml:space="preserve"> </w:t>
      </w:r>
      <w:r w:rsidR="005C5B8A">
        <w:t xml:space="preserve">new </w:t>
      </w:r>
      <w:r w:rsidR="005866F0">
        <w:t xml:space="preserve">projects </w:t>
      </w:r>
      <w:r w:rsidR="00435076">
        <w:t>online by 2027</w:t>
      </w:r>
      <w:r w:rsidR="005C5B8A">
        <w:t>,</w:t>
      </w:r>
      <w:r w:rsidR="00435076">
        <w:t xml:space="preserve"> and all remaining funds </w:t>
      </w:r>
      <w:r w:rsidR="00572DC3">
        <w:t xml:space="preserve">disbursed </w:t>
      </w:r>
      <w:r w:rsidR="00435076">
        <w:t>for Tranche 3</w:t>
      </w:r>
      <w:r w:rsidR="005C5B8A">
        <w:t xml:space="preserve">, </w:t>
      </w:r>
      <w:r w:rsidR="00435076">
        <w:t xml:space="preserve">with all projects online </w:t>
      </w:r>
      <w:r w:rsidR="001C29F7">
        <w:t>by 2029</w:t>
      </w:r>
      <w:r w:rsidR="0075274A">
        <w:t>.</w:t>
      </w:r>
      <w:r w:rsidR="00B739E9">
        <w:t xml:space="preserve"> </w:t>
      </w:r>
      <w:r w:rsidR="00FE183F" w:rsidRPr="00A7465C">
        <w:t xml:space="preserve">See </w:t>
      </w:r>
      <w:r w:rsidR="00FE183F">
        <w:t>Table M</w:t>
      </w:r>
      <w:r w:rsidR="00FE183F" w:rsidRPr="00A7465C">
        <w:t xml:space="preserve">1 </w:t>
      </w:r>
      <w:r w:rsidR="00FE183F">
        <w:t>for annual and cumulative GHG emissions reduction results</w:t>
      </w:r>
      <w:r w:rsidR="00FE183F" w:rsidRPr="00A7465C">
        <w:t>.</w:t>
      </w:r>
      <w:r w:rsidR="00FE183F">
        <w:t xml:space="preserve"> T</w:t>
      </w:r>
      <w:r w:rsidR="00FE183F" w:rsidRPr="00E3256D">
        <w:t xml:space="preserve">he </w:t>
      </w:r>
      <w:r w:rsidR="00FE183F">
        <w:t xml:space="preserve">estimated </w:t>
      </w:r>
      <w:r w:rsidR="00FE183F" w:rsidRPr="00E3256D">
        <w:t>cost</w:t>
      </w:r>
      <w:r w:rsidR="00FE183F">
        <w:t>-</w:t>
      </w:r>
      <w:r w:rsidR="00FE183F" w:rsidRPr="00E3256D">
        <w:t xml:space="preserve">effectiveness </w:t>
      </w:r>
      <w:r w:rsidR="001003C5">
        <w:t xml:space="preserve">(in </w:t>
      </w:r>
      <w:r w:rsidR="00FE183F" w:rsidRPr="00E3256D">
        <w:t>dollar per MT CO2e reduced</w:t>
      </w:r>
      <w:r w:rsidR="00BF678A">
        <w:t>)</w:t>
      </w:r>
      <w:r w:rsidR="00FE183F">
        <w:t xml:space="preserve"> </w:t>
      </w:r>
      <w:r w:rsidR="004136B7">
        <w:t>listed</w:t>
      </w:r>
      <w:r w:rsidR="00936A36">
        <w:t xml:space="preserve"> </w:t>
      </w:r>
      <w:r w:rsidR="00FE183F">
        <w:t xml:space="preserve">in the grant application for </w:t>
      </w:r>
      <w:r w:rsidR="002B470D">
        <w:t>each measure</w:t>
      </w:r>
      <w:r w:rsidR="00FE183F">
        <w:t xml:space="preserve"> was calculated by dividing the total funds requested by the cumulative GHG emissions reduced</w:t>
      </w:r>
      <w:r w:rsidR="00FE183F" w:rsidRPr="00E3256D">
        <w:t>.</w:t>
      </w:r>
    </w:p>
    <w:p w14:paraId="36FDD2DA" w14:textId="15C33258" w:rsidR="001118B8" w:rsidRDefault="00786CF6" w:rsidP="00525082">
      <w:pPr>
        <w:pStyle w:val="Heading2"/>
        <w:numPr>
          <w:ilvl w:val="0"/>
          <w:numId w:val="0"/>
        </w:numPr>
      </w:pPr>
      <w:r>
        <w:t>Project</w:t>
      </w:r>
      <w:r w:rsidR="00DA57B9">
        <w:t xml:space="preserve"> </w:t>
      </w:r>
      <w:r w:rsidR="009050E0">
        <w:t>Analyses</w:t>
      </w:r>
    </w:p>
    <w:p w14:paraId="269170AB" w14:textId="71AE6FE6" w:rsidR="00EE6C45" w:rsidRPr="00EE6C45" w:rsidRDefault="00EE6C45" w:rsidP="00EE6C45">
      <w:r>
        <w:t xml:space="preserve">The following subsections describe the methodology </w:t>
      </w:r>
      <w:r w:rsidR="00C6106F">
        <w:t xml:space="preserve">for each </w:t>
      </w:r>
      <w:r w:rsidR="00D262F6">
        <w:t xml:space="preserve">pilot </w:t>
      </w:r>
      <w:r w:rsidR="00C6106F">
        <w:t>project</w:t>
      </w:r>
      <w:r w:rsidR="00D262F6">
        <w:t xml:space="preserve"> and example project for which there is no known pilot proposed</w:t>
      </w:r>
      <w:r w:rsidR="007132AD">
        <w:t xml:space="preserve"> at this time but which the program funds could support</w:t>
      </w:r>
      <w:r w:rsidR="004B176B">
        <w:t>. Th</w:t>
      </w:r>
      <w:r w:rsidR="009D5F34">
        <w:t>is methodology</w:t>
      </w:r>
      <w:r w:rsidR="00F32172">
        <w:t xml:space="preserve"> inform</w:t>
      </w:r>
      <w:r w:rsidR="009D30A3">
        <w:t>s</w:t>
      </w:r>
      <w:r w:rsidR="00F32172">
        <w:t xml:space="preserve"> the above analysis by project type to estimate program wide GHG reductions</w:t>
      </w:r>
      <w:r w:rsidR="00D262F6">
        <w:t>.</w:t>
      </w:r>
    </w:p>
    <w:p w14:paraId="7F476087" w14:textId="09BED470" w:rsidR="001118B8" w:rsidRDefault="00855A7C" w:rsidP="00505AD0">
      <w:pPr>
        <w:pStyle w:val="Heading3"/>
        <w:numPr>
          <w:ilvl w:val="0"/>
          <w:numId w:val="0"/>
        </w:numPr>
        <w:ind w:left="734" w:hanging="734"/>
      </w:pPr>
      <w:r>
        <w:t xml:space="preserve">#1a: City of Indianapolis </w:t>
      </w:r>
      <w:r w:rsidRPr="00505AD0">
        <w:t>Solar</w:t>
      </w:r>
      <w:r>
        <w:t xml:space="preserve"> Updates</w:t>
      </w:r>
    </w:p>
    <w:p w14:paraId="7F38911F" w14:textId="52133AB7" w:rsidR="00E61071" w:rsidRDefault="00A02FDC" w:rsidP="00786CF6">
      <w:r>
        <w:t xml:space="preserve">The </w:t>
      </w:r>
      <w:r w:rsidR="002300DF">
        <w:t xml:space="preserve">10 </w:t>
      </w:r>
      <w:r w:rsidR="000465F9">
        <w:t>buildings</w:t>
      </w:r>
      <w:r>
        <w:t xml:space="preserve"> estimate </w:t>
      </w:r>
      <w:r w:rsidR="00801558">
        <w:t xml:space="preserve">collective </w:t>
      </w:r>
      <w:r w:rsidR="00A22EB8">
        <w:t>2</w:t>
      </w:r>
      <w:r w:rsidR="00573EC2">
        <w:t>,845</w:t>
      </w:r>
      <w:r w:rsidR="00A22EB8">
        <w:t xml:space="preserve"> MWh of zero-emitting generation </w:t>
      </w:r>
      <w:r>
        <w:t>from the new solar array</w:t>
      </w:r>
      <w:r w:rsidR="00573EC2">
        <w:t>s</w:t>
      </w:r>
      <w:r w:rsidR="00A22EB8">
        <w:t xml:space="preserve"> which</w:t>
      </w:r>
      <w:r w:rsidR="002F5BC1">
        <w:t>,</w:t>
      </w:r>
      <w:r w:rsidR="00A22EB8">
        <w:t xml:space="preserve"> </w:t>
      </w:r>
      <w:r w:rsidR="00B70CF5">
        <w:t>beginning</w:t>
      </w:r>
      <w:r w:rsidR="00D317E5">
        <w:t xml:space="preserve"> in 2026</w:t>
      </w:r>
      <w:r w:rsidR="002F5BC1">
        <w:t>,</w:t>
      </w:r>
      <w:r w:rsidR="00D317E5">
        <w:t xml:space="preserve"> </w:t>
      </w:r>
      <w:r w:rsidR="00573EC2">
        <w:t>are</w:t>
      </w:r>
      <w:r w:rsidR="00A22EB8">
        <w:t xml:space="preserve"> assumed to offset</w:t>
      </w:r>
      <w:r w:rsidR="0001087E">
        <w:t xml:space="preserve"> average state grid emissions each year. </w:t>
      </w:r>
      <w:r w:rsidR="00786CF6">
        <w:t xml:space="preserve">See </w:t>
      </w:r>
      <w:r w:rsidR="0001087E">
        <w:t>“</w:t>
      </w:r>
      <w:r w:rsidR="00786CF6">
        <w:t>Electricity Grid Emissions</w:t>
      </w:r>
      <w:r w:rsidR="0001087E">
        <w:t>”</w:t>
      </w:r>
      <w:r w:rsidR="00786CF6">
        <w:t xml:space="preserve"> section </w:t>
      </w:r>
      <w:r w:rsidR="00640CFD">
        <w:t>below</w:t>
      </w:r>
      <w:r w:rsidR="00786CF6">
        <w:t xml:space="preserve"> for how the </w:t>
      </w:r>
      <w:r w:rsidR="00A032B7">
        <w:t xml:space="preserve">base </w:t>
      </w:r>
      <w:r w:rsidR="00640CFD">
        <w:t>grid emission rate</w:t>
      </w:r>
      <w:r w:rsidR="00786CF6">
        <w:t xml:space="preserve"> was estimated. </w:t>
      </w:r>
      <w:r w:rsidR="00994229">
        <w:t xml:space="preserve">This </w:t>
      </w:r>
      <w:r w:rsidR="000230FC">
        <w:t>pilot</w:t>
      </w:r>
      <w:r w:rsidR="00994229">
        <w:t xml:space="preserve"> was used to inform </w:t>
      </w:r>
      <w:r w:rsidR="003A03CE">
        <w:t>average</w:t>
      </w:r>
      <w:r w:rsidR="000230FC">
        <w:t xml:space="preserve">s </w:t>
      </w:r>
      <w:r w:rsidR="00994229">
        <w:t>for the “</w:t>
      </w:r>
      <w:r w:rsidR="00B70CF5">
        <w:t xml:space="preserve">Buildings: </w:t>
      </w:r>
      <w:r w:rsidR="00994229">
        <w:t>Solar” project type</w:t>
      </w:r>
      <w:r w:rsidR="008D7B56">
        <w:t>.</w:t>
      </w:r>
    </w:p>
    <w:p w14:paraId="4FFE4B0B" w14:textId="18DB582A" w:rsidR="0010474C" w:rsidRDefault="0010474C" w:rsidP="0010474C">
      <w:pPr>
        <w:pStyle w:val="Heading3"/>
        <w:numPr>
          <w:ilvl w:val="0"/>
          <w:numId w:val="0"/>
        </w:numPr>
        <w:ind w:left="737" w:hanging="737"/>
      </w:pPr>
      <w:r>
        <w:t>#1</w:t>
      </w:r>
      <w:r w:rsidR="0061033F">
        <w:t>b</w:t>
      </w:r>
      <w:r>
        <w:t xml:space="preserve">: </w:t>
      </w:r>
      <w:proofErr w:type="spellStart"/>
      <w:r w:rsidR="0061033F">
        <w:t>McCordsville</w:t>
      </w:r>
      <w:proofErr w:type="spellEnd"/>
      <w:r w:rsidR="0061033F">
        <w:t xml:space="preserve"> Town Hall Energy Efficiency Upgrades</w:t>
      </w:r>
    </w:p>
    <w:p w14:paraId="39320BDF" w14:textId="4D4BBFCF" w:rsidR="0010474C" w:rsidRDefault="00CB10F0" w:rsidP="0010474C">
      <w:r>
        <w:t xml:space="preserve">This project estimates </w:t>
      </w:r>
      <w:r w:rsidR="003048F8">
        <w:t xml:space="preserve">base </w:t>
      </w:r>
      <w:r w:rsidR="00286148">
        <w:t>annual HVAC</w:t>
      </w:r>
      <w:r w:rsidR="003F7E33">
        <w:t xml:space="preserve"> energy consumption of 60.5 MWh would be reduced to 38.3 MWh with a new, more efficient system</w:t>
      </w:r>
      <w:r w:rsidR="00D90F2B">
        <w:t xml:space="preserve"> </w:t>
      </w:r>
      <w:r>
        <w:t>assumed to</w:t>
      </w:r>
      <w:r w:rsidR="00E768D5">
        <w:t xml:space="preserve"> be installed in 202</w:t>
      </w:r>
      <w:r w:rsidR="00FE71DC">
        <w:t>6,</w:t>
      </w:r>
      <w:r>
        <w:t xml:space="preserve"> </w:t>
      </w:r>
      <w:r w:rsidR="00FE71DC">
        <w:t>reducing</w:t>
      </w:r>
      <w:r>
        <w:t xml:space="preserve"> emissions </w:t>
      </w:r>
      <w:r w:rsidR="00D75156">
        <w:t xml:space="preserve">from the state’s average </w:t>
      </w:r>
      <w:r w:rsidR="000E738F">
        <w:t>grid</w:t>
      </w:r>
      <w:r w:rsidR="00D75156">
        <w:t xml:space="preserve"> </w:t>
      </w:r>
      <w:r>
        <w:t>each year</w:t>
      </w:r>
      <w:r w:rsidR="00D75156">
        <w:t xml:space="preserve"> due to reduced consumption</w:t>
      </w:r>
      <w:r>
        <w:t xml:space="preserve">. See “Electricity Grid Emissions” section </w:t>
      </w:r>
      <w:r w:rsidR="00640CFD">
        <w:t>below</w:t>
      </w:r>
      <w:r>
        <w:t xml:space="preserve"> for how the </w:t>
      </w:r>
      <w:r w:rsidR="00640CFD">
        <w:t>grid emission rate</w:t>
      </w:r>
      <w:r>
        <w:t xml:space="preserve"> was estimated. This pilot was used to inform averages for the “Buildings: </w:t>
      </w:r>
      <w:r w:rsidR="00FE71DC">
        <w:t>HVAC</w:t>
      </w:r>
      <w:r>
        <w:t>” project type.</w:t>
      </w:r>
    </w:p>
    <w:p w14:paraId="74CBE69D" w14:textId="2859A70E" w:rsidR="0061033F" w:rsidRDefault="0061033F" w:rsidP="0061033F">
      <w:pPr>
        <w:pStyle w:val="Heading3"/>
        <w:numPr>
          <w:ilvl w:val="0"/>
          <w:numId w:val="0"/>
        </w:numPr>
        <w:ind w:left="737" w:hanging="737"/>
      </w:pPr>
      <w:r>
        <w:t>#1c: Energy Insights Program</w:t>
      </w:r>
      <w:r w:rsidR="004458C9">
        <w:t xml:space="preserve"> (EIP)</w:t>
      </w:r>
    </w:p>
    <w:p w14:paraId="5B18323E" w14:textId="0C94C749" w:rsidR="00F76465" w:rsidRDefault="00425A7D" w:rsidP="0061033F">
      <w:r>
        <w:t xml:space="preserve">EIP </w:t>
      </w:r>
      <w:r w:rsidR="0004504A">
        <w:t xml:space="preserve">expansion </w:t>
      </w:r>
      <w:r w:rsidR="002C19A9">
        <w:t>would offer</w:t>
      </w:r>
      <w:r w:rsidR="0004504A">
        <w:t xml:space="preserve"> energy audits and planning </w:t>
      </w:r>
      <w:r w:rsidR="00883834">
        <w:t>support</w:t>
      </w:r>
      <w:r w:rsidR="0004504A">
        <w:t xml:space="preserve"> for industrial facilities to </w:t>
      </w:r>
      <w:r w:rsidR="00883834">
        <w:t xml:space="preserve">then </w:t>
      </w:r>
      <w:r w:rsidR="0004504A">
        <w:t>install</w:t>
      </w:r>
      <w:r w:rsidR="00883834">
        <w:t xml:space="preserve"> energy efficiency measures</w:t>
      </w:r>
      <w:r w:rsidR="00B608FF">
        <w:t xml:space="preserve"> for both electricity and natural gas usages</w:t>
      </w:r>
      <w:r w:rsidR="00883834">
        <w:t>.</w:t>
      </w:r>
    </w:p>
    <w:p w14:paraId="72AA8009" w14:textId="4F0DC1AC" w:rsidR="006F021D" w:rsidRDefault="006F021D" w:rsidP="0061033F">
      <w:r>
        <w:t>The program found average electricity usage per participant to be</w:t>
      </w:r>
      <w:r w:rsidR="00C12DD6">
        <w:t xml:space="preserve"> 2,400 MWh, which could be reduced by 10% </w:t>
      </w:r>
      <w:r w:rsidR="00461A89">
        <w:t>at each of the 100</w:t>
      </w:r>
      <w:r w:rsidR="003A76ED">
        <w:t xml:space="preserve"> </w:t>
      </w:r>
      <w:r w:rsidR="00461A89">
        <w:t>p</w:t>
      </w:r>
      <w:r w:rsidR="00312A18">
        <w:t>ilot p</w:t>
      </w:r>
      <w:r w:rsidR="00461A89">
        <w:t>articipants</w:t>
      </w:r>
      <w:r w:rsidR="00D75156">
        <w:t xml:space="preserve">, reducing emissions from the state’s average </w:t>
      </w:r>
      <w:r w:rsidR="000E738F">
        <w:t>grid</w:t>
      </w:r>
      <w:r w:rsidR="00D75156">
        <w:t xml:space="preserve"> each year </w:t>
      </w:r>
      <w:r w:rsidR="00D0509C">
        <w:t xml:space="preserve">due to reduced consumption </w:t>
      </w:r>
      <w:r w:rsidR="003358A3">
        <w:t>during</w:t>
      </w:r>
      <w:r w:rsidR="00D0509C">
        <w:t xml:space="preserve"> a project’s 10-year life </w:t>
      </w:r>
      <w:r w:rsidR="00A83CE9">
        <w:t xml:space="preserve">funded </w:t>
      </w:r>
      <w:r w:rsidR="00D0509C">
        <w:t>beginning in 2026</w:t>
      </w:r>
      <w:r w:rsidR="00D75156">
        <w:t>.</w:t>
      </w:r>
      <w:r w:rsidR="008027CA" w:rsidRPr="008027CA">
        <w:t xml:space="preserve"> </w:t>
      </w:r>
      <w:r w:rsidR="008027CA">
        <w:t xml:space="preserve">See “Electricity Grid Emissions” section </w:t>
      </w:r>
      <w:r w:rsidR="00640CFD">
        <w:t>below</w:t>
      </w:r>
      <w:r w:rsidR="008027CA">
        <w:t xml:space="preserve"> for how the </w:t>
      </w:r>
      <w:r w:rsidR="00640CFD">
        <w:t>grid emission rate</w:t>
      </w:r>
      <w:r w:rsidR="008027CA">
        <w:t xml:space="preserve"> was estimated. This pilot was used to inform averages for the </w:t>
      </w:r>
      <w:r w:rsidR="00425A7D">
        <w:t>EIP</w:t>
      </w:r>
      <w:r w:rsidR="008027CA">
        <w:t xml:space="preserve"> “Electricity” project type.</w:t>
      </w:r>
    </w:p>
    <w:p w14:paraId="061C6142" w14:textId="48392BFA" w:rsidR="00D372C0" w:rsidRDefault="00D372C0" w:rsidP="0061033F">
      <w:r>
        <w:t>CIRDA’s GHG inventory data was used to inform reductions</w:t>
      </w:r>
      <w:r w:rsidR="00425A7D">
        <w:t xml:space="preserve"> for the </w:t>
      </w:r>
      <w:r w:rsidR="00E17029">
        <w:t xml:space="preserve">EIP’s gas usage measures. </w:t>
      </w:r>
      <w:r w:rsidR="00E45EB9">
        <w:t xml:space="preserve">Total </w:t>
      </w:r>
      <w:r w:rsidR="00E17029">
        <w:t>consumption of 35,</w:t>
      </w:r>
      <w:r w:rsidR="00E45EB9">
        <w:t xml:space="preserve">855,303 MMBtu across 1,606 non-waste industrial facilities averages </w:t>
      </w:r>
      <w:r w:rsidR="007F6D42">
        <w:t xml:space="preserve">to </w:t>
      </w:r>
      <w:r w:rsidR="00E45EB9">
        <w:t>22,326 MMBtu of gas consumption per facility.</w:t>
      </w:r>
      <w:r w:rsidR="0060199C">
        <w:t xml:space="preserve"> T</w:t>
      </w:r>
      <w:r w:rsidR="00CF32C0">
        <w:t>his</w:t>
      </w:r>
      <w:r w:rsidR="007F6D42">
        <w:t xml:space="preserve"> average</w:t>
      </w:r>
      <w:r w:rsidR="00CF32C0">
        <w:t xml:space="preserve"> usage </w:t>
      </w:r>
      <w:r w:rsidR="007F6D42">
        <w:t>was assumed to be reduced by</w:t>
      </w:r>
      <w:r w:rsidR="00CF32C0">
        <w:t xml:space="preserve"> 4% after implementing behavioral changes</w:t>
      </w:r>
      <w:r w:rsidR="004B3C5D">
        <w:rPr>
          <w:rStyle w:val="FootnoteReference"/>
        </w:rPr>
        <w:footnoteReference w:id="2"/>
      </w:r>
      <w:r w:rsidR="004B3C5D">
        <w:t xml:space="preserve"> </w:t>
      </w:r>
      <w:r w:rsidR="0060199C">
        <w:t xml:space="preserve">at each of the 100 pilot participants </w:t>
      </w:r>
      <w:r w:rsidR="004B3C5D">
        <w:t>in 2026 for a 10-year measure life</w:t>
      </w:r>
      <w:r w:rsidR="007F6D42">
        <w:t>.</w:t>
      </w:r>
      <w:r w:rsidR="001D5F8D">
        <w:t xml:space="preserve"> </w:t>
      </w:r>
      <w:r w:rsidR="006D7F9D">
        <w:t xml:space="preserve">This </w:t>
      </w:r>
      <w:r w:rsidR="00787700">
        <w:t>may be</w:t>
      </w:r>
      <w:r w:rsidR="006D7F9D">
        <w:t xml:space="preserve"> considered </w:t>
      </w:r>
      <w:r w:rsidR="00DC276F">
        <w:t>conservative</w:t>
      </w:r>
      <w:r w:rsidR="006D7F9D">
        <w:t xml:space="preserve"> as up to 12</w:t>
      </w:r>
      <w:r w:rsidR="00DC276F">
        <w:t>% savings may be achieved</w:t>
      </w:r>
      <w:r w:rsidR="008F42B3">
        <w:t xml:space="preserve"> and measure life could be longer than 10 years</w:t>
      </w:r>
      <w:r w:rsidR="00DC276F">
        <w:t xml:space="preserve">. </w:t>
      </w:r>
      <w:r w:rsidR="005F066E">
        <w:t xml:space="preserve">GHG emissions reductions from </w:t>
      </w:r>
      <w:r w:rsidR="003E30E9">
        <w:t xml:space="preserve">reduced </w:t>
      </w:r>
      <w:r w:rsidR="005F066E">
        <w:t>gas combustion were estimat</w:t>
      </w:r>
      <w:r w:rsidR="003E30E9">
        <w:t>ed</w:t>
      </w:r>
      <w:r w:rsidR="005F066E">
        <w:t xml:space="preserve"> using </w:t>
      </w:r>
      <w:r w:rsidR="001D5F8D">
        <w:t>EPA</w:t>
      </w:r>
      <w:r w:rsidR="00CF6824">
        <w:t>’s</w:t>
      </w:r>
      <w:r w:rsidR="005F066E">
        <w:t xml:space="preserve"> emission factor</w:t>
      </w:r>
      <w:bookmarkStart w:id="1" w:name="_Ref161661202"/>
      <w:r w:rsidR="002E126E">
        <w:t>.</w:t>
      </w:r>
      <w:bookmarkStart w:id="2" w:name="_Ref161666152"/>
      <w:r w:rsidR="00E777CF">
        <w:rPr>
          <w:rStyle w:val="FootnoteReference"/>
        </w:rPr>
        <w:footnoteReference w:id="3"/>
      </w:r>
      <w:bookmarkEnd w:id="1"/>
      <w:bookmarkEnd w:id="2"/>
      <w:r w:rsidR="00F94F05" w:rsidRPr="00F94F05">
        <w:t xml:space="preserve"> </w:t>
      </w:r>
      <w:r w:rsidR="00F94F05">
        <w:t>This pilot was used to inform averages for the EIP “Natural Gas” project type</w:t>
      </w:r>
      <w:r w:rsidR="003E30E9">
        <w:t>.</w:t>
      </w:r>
    </w:p>
    <w:p w14:paraId="16641636" w14:textId="4A50DAF3" w:rsidR="0061033F" w:rsidRDefault="0061033F" w:rsidP="0061033F">
      <w:pPr>
        <w:pStyle w:val="Heading3"/>
        <w:numPr>
          <w:ilvl w:val="0"/>
          <w:numId w:val="0"/>
        </w:numPr>
        <w:ind w:left="737" w:hanging="737"/>
      </w:pPr>
      <w:r>
        <w:t>#1d: Rolls Royce</w:t>
      </w:r>
      <w:r w:rsidR="002B6990">
        <w:t xml:space="preserve"> HVAC Optimization &amp; Submetering</w:t>
      </w:r>
    </w:p>
    <w:p w14:paraId="4A075C27" w14:textId="7FF74D2A" w:rsidR="00632FC5" w:rsidRDefault="007744B5" w:rsidP="0061033F">
      <w:r>
        <w:t>The project estimates</w:t>
      </w:r>
      <w:r w:rsidR="00426DE9">
        <w:t xml:space="preserve"> </w:t>
      </w:r>
      <w:r w:rsidR="009E5E04">
        <w:t xml:space="preserve">that </w:t>
      </w:r>
      <w:r w:rsidR="00426DE9">
        <w:t>an annual average of 900 MWh of electricity consum</w:t>
      </w:r>
      <w:r w:rsidR="00BB02BA">
        <w:t>ption would be avoided</w:t>
      </w:r>
      <w:r w:rsidR="00545F09">
        <w:t xml:space="preserve">, </w:t>
      </w:r>
      <w:r w:rsidR="00874B66">
        <w:t xml:space="preserve">which </w:t>
      </w:r>
      <w:r w:rsidR="00873923">
        <w:t>is</w:t>
      </w:r>
      <w:r w:rsidR="00874B66">
        <w:t xml:space="preserve"> </w:t>
      </w:r>
      <w:r w:rsidR="00545F09">
        <w:t>assume</w:t>
      </w:r>
      <w:r w:rsidR="00545F09" w:rsidDel="00874B66">
        <w:t>d</w:t>
      </w:r>
      <w:r w:rsidR="00545F09">
        <w:t xml:space="preserve"> </w:t>
      </w:r>
      <w:r w:rsidR="00BB02BA" w:rsidDel="00874B66">
        <w:t xml:space="preserve">here </w:t>
      </w:r>
      <w:r w:rsidR="00545F09" w:rsidDel="00874B66">
        <w:t>to</w:t>
      </w:r>
      <w:r w:rsidR="00545F09">
        <w:t xml:space="preserve"> offset average state grid emissions</w:t>
      </w:r>
      <w:r w:rsidR="00632FC5">
        <w:t xml:space="preserve">. See “Electricity Grid Emissions” section </w:t>
      </w:r>
      <w:r w:rsidR="00640CFD">
        <w:t>below</w:t>
      </w:r>
      <w:r w:rsidR="00632FC5">
        <w:t xml:space="preserve"> for how the base </w:t>
      </w:r>
      <w:r w:rsidR="00640CFD">
        <w:t>grid emission rate</w:t>
      </w:r>
      <w:r w:rsidR="00632FC5">
        <w:t xml:space="preserve"> was estimated. The project also estimates these measures would avoid 6,977 MMBtu of gas consumed, </w:t>
      </w:r>
      <w:r w:rsidR="00724AFB">
        <w:t xml:space="preserve">resulting in reduced emissions from </w:t>
      </w:r>
      <w:r w:rsidR="004822B4">
        <w:t xml:space="preserve">less </w:t>
      </w:r>
      <w:r w:rsidR="00724AFB">
        <w:t>gas combustion, estimated using EPA’s emission factor.</w:t>
      </w:r>
      <w:r w:rsidR="00F35FD9" w:rsidRPr="00F35FD9">
        <w:rPr>
          <w:vertAlign w:val="superscript"/>
        </w:rPr>
        <w:fldChar w:fldCharType="begin"/>
      </w:r>
      <w:r w:rsidR="00F35FD9" w:rsidRPr="00F35FD9">
        <w:rPr>
          <w:vertAlign w:val="superscript"/>
        </w:rPr>
        <w:instrText xml:space="preserve"> NOTEREF _Ref161666152 \h </w:instrText>
      </w:r>
      <w:r w:rsidR="00F35FD9">
        <w:rPr>
          <w:vertAlign w:val="superscript"/>
        </w:rPr>
        <w:instrText xml:space="preserve"> \* MERGEFORMAT </w:instrText>
      </w:r>
      <w:r w:rsidR="00F35FD9" w:rsidRPr="00F35FD9">
        <w:rPr>
          <w:vertAlign w:val="superscript"/>
        </w:rPr>
      </w:r>
      <w:r w:rsidR="00F35FD9" w:rsidRPr="00F35FD9">
        <w:rPr>
          <w:vertAlign w:val="superscript"/>
        </w:rPr>
        <w:fldChar w:fldCharType="separate"/>
      </w:r>
      <w:r w:rsidR="0006006E">
        <w:rPr>
          <w:vertAlign w:val="superscript"/>
        </w:rPr>
        <w:t>2</w:t>
      </w:r>
      <w:r w:rsidR="00F35FD9" w:rsidRPr="00F35FD9">
        <w:rPr>
          <w:vertAlign w:val="superscript"/>
        </w:rPr>
        <w:fldChar w:fldCharType="end"/>
      </w:r>
      <w:r w:rsidR="00724AFB">
        <w:t xml:space="preserve"> </w:t>
      </w:r>
      <w:r w:rsidR="00F867F9">
        <w:t xml:space="preserve">It was assumed these measures would be implemented </w:t>
      </w:r>
      <w:r w:rsidR="00E251B4">
        <w:t>by</w:t>
      </w:r>
      <w:r w:rsidR="00F867F9">
        <w:t xml:space="preserve"> 2026 and t</w:t>
      </w:r>
      <w:r w:rsidR="00632FC5">
        <w:t>his pilot was used to inform averages for the “Industrial: Energy Efficiency” project type.</w:t>
      </w:r>
    </w:p>
    <w:p w14:paraId="40936536" w14:textId="4CAAB945" w:rsidR="002B6990" w:rsidRDefault="002B6990" w:rsidP="002B6990">
      <w:pPr>
        <w:pStyle w:val="Heading3"/>
        <w:numPr>
          <w:ilvl w:val="0"/>
          <w:numId w:val="0"/>
        </w:numPr>
        <w:ind w:left="737" w:hanging="737"/>
      </w:pPr>
      <w:r>
        <w:t>#1e: Rolls Royce Solar PV</w:t>
      </w:r>
    </w:p>
    <w:p w14:paraId="58F5A94D" w14:textId="2C5C7547" w:rsidR="002B6990" w:rsidRDefault="003B5EB0" w:rsidP="0061033F">
      <w:r>
        <w:t xml:space="preserve">The project estimates </w:t>
      </w:r>
      <w:r w:rsidR="00B773F3">
        <w:t>14,488</w:t>
      </w:r>
      <w:r>
        <w:t xml:space="preserve"> MWh of zero-emitting generation from new </w:t>
      </w:r>
      <w:r w:rsidR="00B773F3">
        <w:t xml:space="preserve">on-site </w:t>
      </w:r>
      <w:r>
        <w:t xml:space="preserve">solar, which </w:t>
      </w:r>
      <w:r w:rsidR="0047483E">
        <w:t>is assumed to be operational in 2029</w:t>
      </w:r>
      <w:r w:rsidR="00215667">
        <w:t>, offsetting</w:t>
      </w:r>
      <w:r>
        <w:t xml:space="preserve"> average state grid emissions each year</w:t>
      </w:r>
      <w:r w:rsidR="00215667">
        <w:t xml:space="preserve"> thereafter</w:t>
      </w:r>
      <w:r>
        <w:t xml:space="preserve">. See “Electricity Grid Emissions” section </w:t>
      </w:r>
      <w:r w:rsidR="00640CFD">
        <w:t>below</w:t>
      </w:r>
      <w:r>
        <w:t xml:space="preserve"> for how the base </w:t>
      </w:r>
      <w:r w:rsidR="00640CFD">
        <w:t>grid emission rate</w:t>
      </w:r>
      <w:r>
        <w:t xml:space="preserve"> was estimated. </w:t>
      </w:r>
      <w:r w:rsidR="001102ED">
        <w:t xml:space="preserve">Emissions from construction are assumed to be insignificant/not included. </w:t>
      </w:r>
      <w:r>
        <w:t>This pilot was used to inform averages for the “</w:t>
      </w:r>
      <w:r w:rsidR="005C4718">
        <w:t>Industrial</w:t>
      </w:r>
      <w:r>
        <w:t>: Solar” project type.</w:t>
      </w:r>
    </w:p>
    <w:p w14:paraId="6068D40C" w14:textId="123028B0" w:rsidR="002B6990" w:rsidRDefault="002B6990" w:rsidP="002B6990">
      <w:pPr>
        <w:pStyle w:val="Heading3"/>
        <w:numPr>
          <w:ilvl w:val="0"/>
          <w:numId w:val="0"/>
        </w:numPr>
        <w:ind w:left="737" w:hanging="737"/>
      </w:pPr>
      <w:r>
        <w:t>#1f: Crispus Attucks High School Energy Efficiency Renovations</w:t>
      </w:r>
    </w:p>
    <w:p w14:paraId="6C4D0DFE" w14:textId="29122DD7" w:rsidR="001F6A56" w:rsidRDefault="002B6990" w:rsidP="001F6A56">
      <w:r>
        <w:t>T</w:t>
      </w:r>
      <w:r w:rsidR="00EC6285">
        <w:t>his pilot would implement three separate upgrades</w:t>
      </w:r>
      <w:r w:rsidR="004F6902">
        <w:t xml:space="preserve"> with</w:t>
      </w:r>
      <w:r w:rsidR="00EE112C">
        <w:t xml:space="preserve"> resulting avoided emissions for </w:t>
      </w:r>
      <w:r w:rsidR="006037F8">
        <w:t xml:space="preserve">each described here then summed for </w:t>
      </w:r>
      <w:r w:rsidR="008E41B0">
        <w:t xml:space="preserve">the </w:t>
      </w:r>
      <w:r w:rsidR="006037F8">
        <w:t xml:space="preserve">pilot </w:t>
      </w:r>
      <w:r w:rsidR="00A068D4">
        <w:t xml:space="preserve">project’s </w:t>
      </w:r>
      <w:r w:rsidR="006037F8">
        <w:t>total</w:t>
      </w:r>
      <w:r w:rsidR="00EC6285">
        <w:t xml:space="preserve">. </w:t>
      </w:r>
      <w:r w:rsidR="001F6A56">
        <w:t>See “Base Building Energy Consumption” section below for how the base natural gas and electricity consumptions for the building were estimated.</w:t>
      </w:r>
    </w:p>
    <w:p w14:paraId="6DF6CEFE" w14:textId="4D921CB0" w:rsidR="002B6990" w:rsidRDefault="00B35F8C" w:rsidP="0061033F">
      <w:r>
        <w:t xml:space="preserve">An </w:t>
      </w:r>
      <w:r w:rsidR="00EC6285">
        <w:t>HVAC system upgrade</w:t>
      </w:r>
      <w:r w:rsidR="00783CAC">
        <w:t xml:space="preserve"> would </w:t>
      </w:r>
      <w:r w:rsidR="00283319">
        <w:t>lower the</w:t>
      </w:r>
      <w:r w:rsidR="00EC6285">
        <w:t xml:space="preserve"> building</w:t>
      </w:r>
      <w:r w:rsidR="00B85FE5">
        <w:t>’s</w:t>
      </w:r>
      <w:r w:rsidR="00EC6285">
        <w:t xml:space="preserve"> </w:t>
      </w:r>
      <w:r>
        <w:t xml:space="preserve">natural gas </w:t>
      </w:r>
      <w:r w:rsidR="00EC6285">
        <w:t xml:space="preserve">consumption of </w:t>
      </w:r>
      <w:r w:rsidR="00D01548">
        <w:t>2</w:t>
      </w:r>
      <w:r w:rsidR="00EC6285">
        <w:t>,</w:t>
      </w:r>
      <w:r w:rsidR="00D01548">
        <w:t>249</w:t>
      </w:r>
      <w:r w:rsidR="00EC6285">
        <w:t xml:space="preserve"> MMBtu by roughly 5% when a newer, more efficient system</w:t>
      </w:r>
      <w:bookmarkStart w:id="3" w:name="_Ref161660995"/>
      <w:r w:rsidR="00EC6285">
        <w:rPr>
          <w:rStyle w:val="FootnoteReference"/>
        </w:rPr>
        <w:footnoteReference w:id="4"/>
      </w:r>
      <w:bookmarkEnd w:id="3"/>
      <w:r w:rsidR="00EC6285">
        <w:t xml:space="preserve"> is installed in 2026. GHG emissions reductions from reduced gas combustion were estimated using EPA’s emission factor</w:t>
      </w:r>
      <w:r w:rsidR="00672A9B">
        <w:t>.</w:t>
      </w:r>
      <w:r w:rsidR="007B7925" w:rsidRPr="007B7925">
        <w:rPr>
          <w:vertAlign w:val="superscript"/>
        </w:rPr>
        <w:fldChar w:fldCharType="begin"/>
      </w:r>
      <w:r w:rsidR="007B7925" w:rsidRPr="007B7925">
        <w:rPr>
          <w:vertAlign w:val="superscript"/>
        </w:rPr>
        <w:instrText xml:space="preserve"> NOTEREF _Ref161661202 \h </w:instrText>
      </w:r>
      <w:r w:rsidR="007B7925">
        <w:rPr>
          <w:vertAlign w:val="superscript"/>
        </w:rPr>
        <w:instrText xml:space="preserve"> \* MERGEFORMAT </w:instrText>
      </w:r>
      <w:r w:rsidR="007B7925" w:rsidRPr="007B7925">
        <w:rPr>
          <w:vertAlign w:val="superscript"/>
        </w:rPr>
      </w:r>
      <w:r w:rsidR="007B7925" w:rsidRPr="007B7925">
        <w:rPr>
          <w:vertAlign w:val="superscript"/>
        </w:rPr>
        <w:fldChar w:fldCharType="separate"/>
      </w:r>
      <w:r w:rsidR="0006006E">
        <w:rPr>
          <w:vertAlign w:val="superscript"/>
        </w:rPr>
        <w:t>2</w:t>
      </w:r>
      <w:r w:rsidR="007B7925" w:rsidRPr="007B7925">
        <w:rPr>
          <w:vertAlign w:val="superscript"/>
        </w:rPr>
        <w:fldChar w:fldCharType="end"/>
      </w:r>
      <w:r w:rsidR="00EC6285" w:rsidRPr="001A24DA">
        <w:t xml:space="preserve"> </w:t>
      </w:r>
      <w:r w:rsidR="00EC6285">
        <w:t>This pilot was used to inform averages for the “Buildings: HVAC” project type.</w:t>
      </w:r>
    </w:p>
    <w:p w14:paraId="48E4B4CD" w14:textId="73DD0521" w:rsidR="008603BC" w:rsidRDefault="008603BC" w:rsidP="0061033F">
      <w:r>
        <w:t xml:space="preserve">The pilot would also replace windows, improving </w:t>
      </w:r>
      <w:r w:rsidR="009B3238">
        <w:t xml:space="preserve">building envelope sealing and thus </w:t>
      </w:r>
      <w:r w:rsidR="00C95D07">
        <w:t xml:space="preserve">gas-fueled heating/cooling efficiency. To avoid double counting, it was assumed that first the new HVAC system would be </w:t>
      </w:r>
      <w:proofErr w:type="gramStart"/>
      <w:r w:rsidR="00C95D07">
        <w:t>installed</w:t>
      </w:r>
      <w:proofErr w:type="gramEnd"/>
      <w:r w:rsidR="00C95D07">
        <w:t xml:space="preserve"> and the new, lower gas consumption was </w:t>
      </w:r>
      <w:r w:rsidR="009B3238">
        <w:t>used to inform the window improvement analysis.</w:t>
      </w:r>
      <w:r w:rsidR="006D2DA9">
        <w:t xml:space="preserve"> It was assumed that 25%,</w:t>
      </w:r>
      <w:r w:rsidR="0099687B">
        <w:rPr>
          <w:rStyle w:val="FootnoteReference"/>
        </w:rPr>
        <w:footnoteReference w:id="5"/>
      </w:r>
      <w:r w:rsidR="006D2DA9">
        <w:t xml:space="preserve"> or</w:t>
      </w:r>
      <w:r w:rsidR="005A3045">
        <w:t xml:space="preserve"> 531 MMBtu of this gas consumption is related to losses due to inefficient windows.</w:t>
      </w:r>
      <w:r w:rsidR="00AF2969">
        <w:t xml:space="preserve"> New windows installed in 2026 </w:t>
      </w:r>
      <w:r w:rsidR="005952E6">
        <w:t xml:space="preserve">were assumed to </w:t>
      </w:r>
      <w:r w:rsidR="00C00B4E">
        <w:t>improve this</w:t>
      </w:r>
      <w:r w:rsidR="005952E6">
        <w:t xml:space="preserve"> </w:t>
      </w:r>
      <w:r w:rsidR="00CF5121">
        <w:t xml:space="preserve">by </w:t>
      </w:r>
      <w:r w:rsidR="00C00B4E">
        <w:t>13</w:t>
      </w:r>
      <w:r w:rsidR="00CF5121">
        <w:t>%,</w:t>
      </w:r>
      <w:r w:rsidR="00645ADA">
        <w:rPr>
          <w:rStyle w:val="FootnoteReference"/>
        </w:rPr>
        <w:footnoteReference w:id="6"/>
      </w:r>
      <w:r w:rsidR="00CF5121">
        <w:t xml:space="preserve"> consuming roughly 462 MMBtu per year, reducing emissions from gas combustion, estimated using EPA’s emission factor.</w:t>
      </w:r>
      <w:r w:rsidR="00CF5121" w:rsidRPr="007B7925">
        <w:rPr>
          <w:vertAlign w:val="superscript"/>
        </w:rPr>
        <w:fldChar w:fldCharType="begin"/>
      </w:r>
      <w:r w:rsidR="00CF5121" w:rsidRPr="007B7925">
        <w:rPr>
          <w:vertAlign w:val="superscript"/>
        </w:rPr>
        <w:instrText xml:space="preserve"> NOTEREF _Ref161661202 \h </w:instrText>
      </w:r>
      <w:r w:rsidR="00CF5121">
        <w:rPr>
          <w:vertAlign w:val="superscript"/>
        </w:rPr>
        <w:instrText xml:space="preserve"> \* MERGEFORMAT </w:instrText>
      </w:r>
      <w:r w:rsidR="00CF5121" w:rsidRPr="007B7925">
        <w:rPr>
          <w:vertAlign w:val="superscript"/>
        </w:rPr>
      </w:r>
      <w:r w:rsidR="00CF5121" w:rsidRPr="007B7925">
        <w:rPr>
          <w:vertAlign w:val="superscript"/>
        </w:rPr>
        <w:fldChar w:fldCharType="separate"/>
      </w:r>
      <w:r w:rsidR="0006006E">
        <w:rPr>
          <w:vertAlign w:val="superscript"/>
        </w:rPr>
        <w:t>2</w:t>
      </w:r>
      <w:r w:rsidR="00CF5121" w:rsidRPr="007B7925">
        <w:rPr>
          <w:vertAlign w:val="superscript"/>
        </w:rPr>
        <w:fldChar w:fldCharType="end"/>
      </w:r>
      <w:r w:rsidR="00CF5121" w:rsidRPr="001A24DA">
        <w:t xml:space="preserve"> </w:t>
      </w:r>
      <w:r w:rsidR="00CF5121">
        <w:t>This pilot was used to inform averages for the “Buildings: Window” project type.</w:t>
      </w:r>
    </w:p>
    <w:p w14:paraId="63B785FC" w14:textId="6FCB8A94" w:rsidR="0056447C" w:rsidRDefault="0056447C" w:rsidP="0061033F">
      <w:r>
        <w:t>The pilot would also replace</w:t>
      </w:r>
      <w:r w:rsidR="00323C18">
        <w:t xml:space="preserve"> lighting with more efficient LEDs.</w:t>
      </w:r>
      <w:r w:rsidR="00DC034D">
        <w:t xml:space="preserve"> It was estimated that 9%,</w:t>
      </w:r>
      <w:r w:rsidR="00F72582">
        <w:rPr>
          <w:rStyle w:val="FootnoteReference"/>
        </w:rPr>
        <w:footnoteReference w:id="7"/>
      </w:r>
      <w:r w:rsidR="00DC034D">
        <w:t xml:space="preserve"> or </w:t>
      </w:r>
      <w:r w:rsidR="00674B3E">
        <w:t>nearly 99 MWh</w:t>
      </w:r>
      <w:r w:rsidR="00DC034D">
        <w:t xml:space="preserve"> of the building’s base electricity consumption </w:t>
      </w:r>
      <w:r w:rsidR="00674B3E">
        <w:t xml:space="preserve">is due to </w:t>
      </w:r>
      <w:r w:rsidR="00D22097">
        <w:t xml:space="preserve">current </w:t>
      </w:r>
      <w:r w:rsidR="00674B3E">
        <w:t>lighting.</w:t>
      </w:r>
      <w:r w:rsidR="00D22097">
        <w:t xml:space="preserve"> New LEDs </w:t>
      </w:r>
      <w:r w:rsidR="00DA6CA0">
        <w:t xml:space="preserve">installed in 2026 were assumed to reduce this by </w:t>
      </w:r>
      <w:r w:rsidR="000E17F2">
        <w:t>60</w:t>
      </w:r>
      <w:r w:rsidR="00DA6CA0">
        <w:t>%,</w:t>
      </w:r>
      <w:r w:rsidR="00225C4E">
        <w:rPr>
          <w:rStyle w:val="FootnoteReference"/>
        </w:rPr>
        <w:footnoteReference w:id="8"/>
      </w:r>
      <w:r w:rsidR="00DA6CA0">
        <w:t xml:space="preserve"> consuming less than 40 MWh per year</w:t>
      </w:r>
      <w:r w:rsidR="001843C2">
        <w:t>, reducing emissions from the state’s average grid each year.</w:t>
      </w:r>
      <w:r w:rsidR="001843C2" w:rsidRPr="008027CA">
        <w:t xml:space="preserve"> </w:t>
      </w:r>
      <w:r w:rsidR="001843C2">
        <w:t>See “Electricity Grid Emissions” section below for how the grid emission rate was estimated</w:t>
      </w:r>
      <w:r w:rsidR="00DA6CA0">
        <w:t>.</w:t>
      </w:r>
      <w:r w:rsidR="00385102" w:rsidRPr="00385102">
        <w:t xml:space="preserve"> </w:t>
      </w:r>
      <w:r w:rsidR="00385102">
        <w:t>This pilot was used to inform averages for the “Buildings: LED” project type.</w:t>
      </w:r>
    </w:p>
    <w:p w14:paraId="44411392" w14:textId="7CFE5538" w:rsidR="002B6990" w:rsidRDefault="002B6990" w:rsidP="002B6990">
      <w:pPr>
        <w:pStyle w:val="Heading3"/>
        <w:numPr>
          <w:ilvl w:val="0"/>
          <w:numId w:val="0"/>
        </w:numPr>
        <w:ind w:left="737" w:hanging="737"/>
      </w:pPr>
      <w:r>
        <w:t>#1</w:t>
      </w:r>
      <w:r w:rsidR="00896008">
        <w:t>g</w:t>
      </w:r>
      <w:r>
        <w:t xml:space="preserve">: </w:t>
      </w:r>
      <w:r w:rsidR="00AE63D0">
        <w:t>Indianapolis Arts Center Upgrades</w:t>
      </w:r>
    </w:p>
    <w:p w14:paraId="7C182218" w14:textId="77777777" w:rsidR="009E1FA8" w:rsidRDefault="00CC4851" w:rsidP="001A24DA">
      <w:r>
        <w:t xml:space="preserve">The project estimates 223 MWh of zero-emitting generation from </w:t>
      </w:r>
      <w:r w:rsidR="00F558A6">
        <w:t>a</w:t>
      </w:r>
      <w:r>
        <w:t xml:space="preserve"> new solar array, which beginning in 2026 is assumed to offset average state grid emissions each year. See “Electricity Grid Emissions” section </w:t>
      </w:r>
      <w:r w:rsidR="00640CFD">
        <w:t>below</w:t>
      </w:r>
      <w:r>
        <w:t xml:space="preserve"> for how the </w:t>
      </w:r>
      <w:r w:rsidR="00A032B7">
        <w:t xml:space="preserve">base </w:t>
      </w:r>
      <w:r w:rsidR="00640CFD">
        <w:t>grid emission rate</w:t>
      </w:r>
      <w:r>
        <w:t xml:space="preserve"> was estimated. This </w:t>
      </w:r>
      <w:r w:rsidR="000230FC">
        <w:t>pilot</w:t>
      </w:r>
      <w:r>
        <w:t xml:space="preserve"> was used to inform average</w:t>
      </w:r>
      <w:r w:rsidR="000230FC">
        <w:t xml:space="preserve">s </w:t>
      </w:r>
      <w:r>
        <w:t>for the “Buildings: Solar” project type.</w:t>
      </w:r>
    </w:p>
    <w:p w14:paraId="019DC588" w14:textId="09056C91" w:rsidR="001A24DA" w:rsidRDefault="003034C4" w:rsidP="001A24DA">
      <w:r>
        <w:t>This pilot also includes HVAC system upgrade</w:t>
      </w:r>
      <w:r w:rsidR="00065C2D">
        <w:t>, where base building consumption of 1,</w:t>
      </w:r>
      <w:r w:rsidR="00A547B1">
        <w:t>958</w:t>
      </w:r>
      <w:r w:rsidR="00065C2D">
        <w:t xml:space="preserve"> MMBtu of gas is assumed to be </w:t>
      </w:r>
      <w:r w:rsidR="00D27660">
        <w:t>reduced</w:t>
      </w:r>
      <w:r w:rsidR="00CF0570">
        <w:t xml:space="preserve"> by </w:t>
      </w:r>
      <w:r w:rsidR="006E41F4">
        <w:t xml:space="preserve">roughly </w:t>
      </w:r>
      <w:r w:rsidR="00CF0570">
        <w:t xml:space="preserve">5% </w:t>
      </w:r>
      <w:r w:rsidR="00501C1A">
        <w:t>when a newer, more efficient system</w:t>
      </w:r>
      <w:r w:rsidR="00CF6ABB" w:rsidRPr="00CF6ABB">
        <w:rPr>
          <w:vertAlign w:val="superscript"/>
        </w:rPr>
        <w:fldChar w:fldCharType="begin"/>
      </w:r>
      <w:r w:rsidR="00CF6ABB" w:rsidRPr="00CF6ABB">
        <w:rPr>
          <w:vertAlign w:val="superscript"/>
        </w:rPr>
        <w:instrText xml:space="preserve"> NOTEREF _Ref161660995 \h </w:instrText>
      </w:r>
      <w:r w:rsidR="00CF6ABB">
        <w:rPr>
          <w:vertAlign w:val="superscript"/>
        </w:rPr>
        <w:instrText xml:space="preserve"> \* MERGEFORMAT </w:instrText>
      </w:r>
      <w:r w:rsidR="00CF6ABB" w:rsidRPr="00CF6ABB">
        <w:rPr>
          <w:vertAlign w:val="superscript"/>
        </w:rPr>
      </w:r>
      <w:r w:rsidR="00CF6ABB" w:rsidRPr="00CF6ABB">
        <w:rPr>
          <w:vertAlign w:val="superscript"/>
        </w:rPr>
        <w:fldChar w:fldCharType="separate"/>
      </w:r>
      <w:r w:rsidR="0006006E">
        <w:rPr>
          <w:vertAlign w:val="superscript"/>
        </w:rPr>
        <w:t>3</w:t>
      </w:r>
      <w:r w:rsidR="00CF6ABB" w:rsidRPr="00CF6ABB">
        <w:rPr>
          <w:vertAlign w:val="superscript"/>
        </w:rPr>
        <w:fldChar w:fldCharType="end"/>
      </w:r>
      <w:r w:rsidR="00501C1A">
        <w:t xml:space="preserve"> is installed in 2026. </w:t>
      </w:r>
      <w:r w:rsidR="00F34B67">
        <w:t xml:space="preserve">See “Base Building Energy Consumption” section </w:t>
      </w:r>
      <w:r w:rsidR="00640CFD">
        <w:t>below</w:t>
      </w:r>
      <w:r w:rsidR="00F34B67">
        <w:t xml:space="preserve"> for how the base </w:t>
      </w:r>
      <w:r w:rsidR="006129C2">
        <w:t xml:space="preserve">was estimated. </w:t>
      </w:r>
      <w:r w:rsidR="00F34B67">
        <w:t>GHG emissions reductions from reduced gas combustion were estimated using EPA’s emission factor</w:t>
      </w:r>
      <w:r w:rsidR="00672A9B">
        <w:t>.</w:t>
      </w:r>
      <w:r w:rsidR="007B7925" w:rsidRPr="007B7925">
        <w:rPr>
          <w:vertAlign w:val="superscript"/>
        </w:rPr>
        <w:fldChar w:fldCharType="begin"/>
      </w:r>
      <w:r w:rsidR="007B7925" w:rsidRPr="007B7925">
        <w:rPr>
          <w:vertAlign w:val="superscript"/>
        </w:rPr>
        <w:instrText xml:space="preserve"> NOTEREF _Ref161661202 \h </w:instrText>
      </w:r>
      <w:r w:rsidR="007B7925">
        <w:rPr>
          <w:vertAlign w:val="superscript"/>
        </w:rPr>
        <w:instrText xml:space="preserve"> \* MERGEFORMAT </w:instrText>
      </w:r>
      <w:r w:rsidR="007B7925" w:rsidRPr="007B7925">
        <w:rPr>
          <w:vertAlign w:val="superscript"/>
        </w:rPr>
      </w:r>
      <w:r w:rsidR="007B7925" w:rsidRPr="007B7925">
        <w:rPr>
          <w:vertAlign w:val="superscript"/>
        </w:rPr>
        <w:fldChar w:fldCharType="separate"/>
      </w:r>
      <w:r w:rsidR="0006006E">
        <w:rPr>
          <w:vertAlign w:val="superscript"/>
        </w:rPr>
        <w:t>2</w:t>
      </w:r>
      <w:r w:rsidR="007B7925" w:rsidRPr="007B7925">
        <w:rPr>
          <w:vertAlign w:val="superscript"/>
        </w:rPr>
        <w:fldChar w:fldCharType="end"/>
      </w:r>
      <w:r w:rsidR="001A24DA" w:rsidRPr="001A24DA">
        <w:t xml:space="preserve"> </w:t>
      </w:r>
      <w:r w:rsidR="001A24DA">
        <w:t>This was used to inform averages for the “Buildings: HVAC” project type.</w:t>
      </w:r>
    </w:p>
    <w:p w14:paraId="515526B3" w14:textId="5C717E0B" w:rsidR="00D262F6" w:rsidRDefault="00D262F6" w:rsidP="00D262F6">
      <w:pPr>
        <w:pStyle w:val="Heading3"/>
        <w:numPr>
          <w:ilvl w:val="0"/>
          <w:numId w:val="0"/>
        </w:numPr>
        <w:ind w:left="737" w:hanging="737"/>
      </w:pPr>
      <w:r>
        <w:t>Example: EV charging infrastructure</w:t>
      </w:r>
    </w:p>
    <w:p w14:paraId="1EAEEB43" w14:textId="6451DCFD" w:rsidR="00197046" w:rsidRDefault="00B30A1D" w:rsidP="00197046">
      <w:r>
        <w:t>An estimated</w:t>
      </w:r>
      <w:r w:rsidR="00197046">
        <w:t xml:space="preserve"> cost of</w:t>
      </w:r>
      <w:r>
        <w:t xml:space="preserve"> </w:t>
      </w:r>
      <w:r w:rsidR="00197046">
        <w:t xml:space="preserve">$120,000 for </w:t>
      </w:r>
      <w:r>
        <w:t>purchase and install</w:t>
      </w:r>
      <w:r w:rsidR="009A2F08">
        <w:t>ation</w:t>
      </w:r>
      <w:r w:rsidR="00744CC8">
        <w:rPr>
          <w:rStyle w:val="FootnoteReference"/>
        </w:rPr>
        <w:footnoteReference w:id="9"/>
      </w:r>
      <w:r>
        <w:t xml:space="preserve"> </w:t>
      </w:r>
      <w:r w:rsidR="00197046">
        <w:t xml:space="preserve">of </w:t>
      </w:r>
      <w:r w:rsidR="00742749">
        <w:t>one</w:t>
      </w:r>
      <w:r w:rsidR="00197046">
        <w:t xml:space="preserve"> EV charge</w:t>
      </w:r>
      <w:r w:rsidR="00742749">
        <w:t>r</w:t>
      </w:r>
      <w:r w:rsidR="00197046">
        <w:t xml:space="preserve"> was used to inform the “EV charging” project type analysis.</w:t>
      </w:r>
      <w:r w:rsidR="00C63D08">
        <w:t xml:space="preserve"> It was assumed </w:t>
      </w:r>
      <w:r w:rsidR="00744CC8">
        <w:t xml:space="preserve">this </w:t>
      </w:r>
      <w:r w:rsidR="00C63D08">
        <w:t xml:space="preserve">one workplace charger </w:t>
      </w:r>
      <w:r w:rsidR="00CC2ECD">
        <w:t>is assumed to</w:t>
      </w:r>
      <w:r w:rsidR="00C63D08">
        <w:t xml:space="preserve"> support the full charging needs of two EVs </w:t>
      </w:r>
      <w:r w:rsidR="00660568">
        <w:t>each year, avoiding two internal combustion engine</w:t>
      </w:r>
      <w:r w:rsidR="00C55A77">
        <w:t xml:space="preserve"> (ICE)</w:t>
      </w:r>
      <w:r w:rsidR="00660568">
        <w:t xml:space="preserve"> vehicles that may have otherwise been on the road. For estimating emissions </w:t>
      </w:r>
      <w:r w:rsidR="00C55A77">
        <w:t>due to</w:t>
      </w:r>
      <w:r w:rsidR="00660568">
        <w:t xml:space="preserve"> EV charging, it was assumed each </w:t>
      </w:r>
      <w:r w:rsidR="00E52939">
        <w:t>EV</w:t>
      </w:r>
      <w:r w:rsidR="00660568">
        <w:t xml:space="preserve"> consumes </w:t>
      </w:r>
      <w:r w:rsidR="00E52939">
        <w:t>4.9 MWh each year</w:t>
      </w:r>
      <w:r w:rsidR="00C263B1">
        <w:t>,</w:t>
      </w:r>
      <w:r w:rsidR="00C263B1">
        <w:rPr>
          <w:rStyle w:val="FootnoteReference"/>
        </w:rPr>
        <w:footnoteReference w:id="10"/>
      </w:r>
      <w:r w:rsidR="00C263B1">
        <w:t xml:space="preserve"> multiplied by the average state grid emission rate described in the “Electricity Gri</w:t>
      </w:r>
      <w:r w:rsidR="000508F8">
        <w:t>d</w:t>
      </w:r>
      <w:r w:rsidR="00C263B1">
        <w:t xml:space="preserve"> Emissions” section below</w:t>
      </w:r>
      <w:r w:rsidR="00E52939">
        <w:t>.</w:t>
      </w:r>
      <w:r w:rsidR="00B60021">
        <w:t xml:space="preserve"> For</w:t>
      </w:r>
      <w:r w:rsidR="00A124A6">
        <w:t xml:space="preserve"> estimating avoided emissions from these not being ICE vehicles, an average annual drive of 11,106 miles</w:t>
      </w:r>
      <w:r w:rsidR="00C55A77">
        <w:t xml:space="preserve"> per vehicle</w:t>
      </w:r>
      <w:r w:rsidR="00A124A6">
        <w:t xml:space="preserve"> was assumed</w:t>
      </w:r>
      <w:r w:rsidR="00CC1899">
        <w:t>,</w:t>
      </w:r>
      <w:r w:rsidR="00413E3E">
        <w:rPr>
          <w:rStyle w:val="FootnoteReference"/>
        </w:rPr>
        <w:footnoteReference w:id="11"/>
      </w:r>
      <w:r w:rsidR="00CC1899">
        <w:t xml:space="preserve"> multiplied by the Gasoline LD</w:t>
      </w:r>
      <w:r w:rsidR="00DD0818">
        <w:t>V</w:t>
      </w:r>
      <w:r w:rsidR="00CC1899">
        <w:t xml:space="preserve"> Fleet average</w:t>
      </w:r>
      <w:r w:rsidR="000B1509">
        <w:t xml:space="preserve"> </w:t>
      </w:r>
      <w:r w:rsidR="00CC1899">
        <w:t>CO</w:t>
      </w:r>
      <w:r w:rsidR="00CC1899" w:rsidRPr="00053ACB">
        <w:rPr>
          <w:vertAlign w:val="subscript"/>
        </w:rPr>
        <w:t>2</w:t>
      </w:r>
      <w:r w:rsidR="00CC1899">
        <w:t xml:space="preserve"> emission factor </w:t>
      </w:r>
      <w:r w:rsidR="00377FC0">
        <w:t xml:space="preserve">for </w:t>
      </w:r>
      <w:r w:rsidR="00FD6CF5">
        <w:t>2026</w:t>
      </w:r>
      <w:r w:rsidR="00C01B72">
        <w:t>.</w:t>
      </w:r>
      <w:bookmarkStart w:id="4" w:name="_Ref161668731"/>
      <w:r w:rsidR="00CC1899">
        <w:rPr>
          <w:rStyle w:val="FootnoteReference"/>
        </w:rPr>
        <w:footnoteReference w:id="12"/>
      </w:r>
      <w:bookmarkEnd w:id="4"/>
      <w:r w:rsidR="00B60021">
        <w:t xml:space="preserve"> The net of these </w:t>
      </w:r>
      <w:r w:rsidR="00583612">
        <w:t>calculations</w:t>
      </w:r>
      <w:r w:rsidR="00B60021">
        <w:t xml:space="preserve"> </w:t>
      </w:r>
      <w:proofErr w:type="gramStart"/>
      <w:r w:rsidR="00B60021">
        <w:t>result</w:t>
      </w:r>
      <w:proofErr w:type="gramEnd"/>
      <w:r w:rsidR="00B60021">
        <w:t xml:space="preserve"> in the avoided emissions used for the program analysis.</w:t>
      </w:r>
    </w:p>
    <w:p w14:paraId="3E82F705" w14:textId="53A7A39E" w:rsidR="00D262F6" w:rsidRDefault="00D262F6" w:rsidP="00D262F6">
      <w:pPr>
        <w:pStyle w:val="Heading3"/>
        <w:numPr>
          <w:ilvl w:val="0"/>
          <w:numId w:val="0"/>
        </w:numPr>
        <w:ind w:left="737" w:hanging="737"/>
      </w:pPr>
      <w:r>
        <w:t>Example: Mobility</w:t>
      </w:r>
    </w:p>
    <w:p w14:paraId="414B4227" w14:textId="3CBB4DC8" w:rsidR="00D262F6" w:rsidRDefault="00640CFD" w:rsidP="00D262F6">
      <w:r>
        <w:t xml:space="preserve">Informed by </w:t>
      </w:r>
      <w:r w:rsidR="00E45E97">
        <w:t>draft</w:t>
      </w:r>
      <w:r>
        <w:t xml:space="preserve"> projects considered in the CIRDA region, an estimated average cost of $1.</w:t>
      </w:r>
      <w:r w:rsidR="00795D46">
        <w:t>5</w:t>
      </w:r>
      <w:r>
        <w:t xml:space="preserve"> million for a 240-bicycle bike share project</w:t>
      </w:r>
      <w:r w:rsidR="005847BF">
        <w:t>,</w:t>
      </w:r>
      <w:r>
        <w:t xml:space="preserve"> </w:t>
      </w:r>
      <w:r w:rsidR="00425DBD">
        <w:t>operational by 2026</w:t>
      </w:r>
      <w:r w:rsidR="005847BF">
        <w:t>,</w:t>
      </w:r>
      <w:r w:rsidR="00425DBD">
        <w:t xml:space="preserve"> </w:t>
      </w:r>
      <w:r>
        <w:t>was use</w:t>
      </w:r>
      <w:r w:rsidR="00823AE9">
        <w:t>d</w:t>
      </w:r>
      <w:r>
        <w:t xml:space="preserve"> to inform the “Mobility” project type analysis.</w:t>
      </w:r>
      <w:r w:rsidR="00416863">
        <w:t xml:space="preserve"> </w:t>
      </w:r>
      <w:r w:rsidR="001456EA">
        <w:t>Due to uncertainties, i</w:t>
      </w:r>
      <w:r w:rsidR="00416863">
        <w:t xml:space="preserve">t was assumed </w:t>
      </w:r>
      <w:r w:rsidR="00E54491">
        <w:t>that</w:t>
      </w:r>
      <w:r w:rsidR="00416863">
        <w:t xml:space="preserve"> half these bikes would be regularly used </w:t>
      </w:r>
      <w:r w:rsidR="00E54491">
        <w:t>any given commute day (</w:t>
      </w:r>
      <w:r w:rsidR="00794045">
        <w:t>235</w:t>
      </w:r>
      <w:r w:rsidR="00E54491">
        <w:t xml:space="preserve"> days </w:t>
      </w:r>
      <w:r w:rsidR="0079573F">
        <w:t xml:space="preserve">per year </w:t>
      </w:r>
      <w:r w:rsidR="00E54491">
        <w:t>assumed</w:t>
      </w:r>
      <w:bookmarkStart w:id="5" w:name="_Ref162345964"/>
      <w:r w:rsidR="00794045">
        <w:rPr>
          <w:rStyle w:val="FootnoteReference"/>
        </w:rPr>
        <w:footnoteReference w:id="13"/>
      </w:r>
      <w:bookmarkEnd w:id="5"/>
      <w:r w:rsidR="00E54491">
        <w:t xml:space="preserve">) </w:t>
      </w:r>
      <w:r w:rsidR="00416863">
        <w:t xml:space="preserve">to avoid single occupancy </w:t>
      </w:r>
      <w:r w:rsidR="008963FC">
        <w:t xml:space="preserve">ICE </w:t>
      </w:r>
      <w:r w:rsidR="00416863">
        <w:t>vehicle</w:t>
      </w:r>
      <w:r w:rsidR="0079573F">
        <w:t>s</w:t>
      </w:r>
      <w:r w:rsidR="00416863">
        <w:t>.</w:t>
      </w:r>
      <w:r w:rsidR="0088653B">
        <w:t xml:space="preserve"> Mean trip distance of 7.52 miles was assumed,</w:t>
      </w:r>
      <w:bookmarkStart w:id="6" w:name="_Ref161738979"/>
      <w:r w:rsidR="006D752D">
        <w:rPr>
          <w:rStyle w:val="FootnoteReference"/>
        </w:rPr>
        <w:footnoteReference w:id="14"/>
      </w:r>
      <w:bookmarkEnd w:id="6"/>
      <w:r w:rsidR="0088653B">
        <w:t xml:space="preserve"> and doubled to account for a to-and-from commute. The total annual</w:t>
      </w:r>
      <w:r w:rsidR="006D752D">
        <w:t xml:space="preserve"> avoided vehicle miles </w:t>
      </w:r>
      <w:r w:rsidR="00022C1B">
        <w:t>(</w:t>
      </w:r>
      <w:r w:rsidR="001456EA">
        <w:t>3,534.4</w:t>
      </w:r>
      <w:r w:rsidR="006B196F">
        <w:t xml:space="preserve"> per vehicle x 120 bikes in use</w:t>
      </w:r>
      <w:r w:rsidR="00022C1B">
        <w:t xml:space="preserve">) </w:t>
      </w:r>
      <w:r w:rsidR="006D752D">
        <w:t>w</w:t>
      </w:r>
      <w:r w:rsidR="00C47159">
        <w:t>ere</w:t>
      </w:r>
      <w:r w:rsidR="006D752D">
        <w:t xml:space="preserve"> multiplied by </w:t>
      </w:r>
      <w:r w:rsidR="00C47159">
        <w:t xml:space="preserve">the </w:t>
      </w:r>
      <w:r w:rsidR="00313D4E">
        <w:t xml:space="preserve">Gasoline LDV Fleet average </w:t>
      </w:r>
      <w:r w:rsidR="00053ACB">
        <w:t>CO</w:t>
      </w:r>
      <w:r w:rsidR="00053ACB" w:rsidRPr="00053ACB">
        <w:rPr>
          <w:vertAlign w:val="subscript"/>
        </w:rPr>
        <w:t>2</w:t>
      </w:r>
      <w:r w:rsidR="00053ACB">
        <w:t xml:space="preserve"> </w:t>
      </w:r>
      <w:r w:rsidR="00313D4E">
        <w:t>emission factor</w:t>
      </w:r>
      <w:r w:rsidR="00053ACB">
        <w:t xml:space="preserve"> f</w:t>
      </w:r>
      <w:r w:rsidR="00377FC0">
        <w:t>or the same year</w:t>
      </w:r>
      <w:r w:rsidR="00C01B72" w:rsidRPr="00C01B72">
        <w:rPr>
          <w:vertAlign w:val="superscript"/>
        </w:rPr>
        <w:fldChar w:fldCharType="begin"/>
      </w:r>
      <w:r w:rsidR="00C01B72" w:rsidRPr="00C01B72">
        <w:rPr>
          <w:vertAlign w:val="superscript"/>
        </w:rPr>
        <w:instrText xml:space="preserve"> NOTEREF _Ref161668731 \h </w:instrText>
      </w:r>
      <w:r w:rsidR="00C01B72">
        <w:rPr>
          <w:vertAlign w:val="superscript"/>
        </w:rPr>
        <w:instrText xml:space="preserve"> \* MERGEFORMAT </w:instrText>
      </w:r>
      <w:r w:rsidR="00C01B72" w:rsidRPr="00C01B72">
        <w:rPr>
          <w:vertAlign w:val="superscript"/>
        </w:rPr>
      </w:r>
      <w:r w:rsidR="00C01B72" w:rsidRPr="00C01B72">
        <w:rPr>
          <w:vertAlign w:val="superscript"/>
        </w:rPr>
        <w:fldChar w:fldCharType="separate"/>
      </w:r>
      <w:r w:rsidR="0006006E">
        <w:rPr>
          <w:vertAlign w:val="superscript"/>
        </w:rPr>
        <w:t>11</w:t>
      </w:r>
      <w:r w:rsidR="00C01B72" w:rsidRPr="00C01B72">
        <w:rPr>
          <w:vertAlign w:val="superscript"/>
        </w:rPr>
        <w:fldChar w:fldCharType="end"/>
      </w:r>
      <w:r w:rsidR="006D752D">
        <w:t xml:space="preserve"> to estimate avoided emissions.</w:t>
      </w:r>
    </w:p>
    <w:p w14:paraId="763B45D4" w14:textId="52DE59F8" w:rsidR="00D262F6" w:rsidRDefault="00D262F6" w:rsidP="00D262F6">
      <w:pPr>
        <w:pStyle w:val="Heading3"/>
        <w:numPr>
          <w:ilvl w:val="0"/>
          <w:numId w:val="0"/>
        </w:numPr>
        <w:ind w:left="737" w:hanging="737"/>
      </w:pPr>
      <w:r>
        <w:t>Example: Public Transit</w:t>
      </w:r>
    </w:p>
    <w:p w14:paraId="772608D6" w14:textId="3C755352" w:rsidR="00277836" w:rsidRDefault="00427312" w:rsidP="0010474C">
      <w:r>
        <w:t>Informed by draft projects considered in the CIRDA region, an estimated cost of $</w:t>
      </w:r>
      <w:r w:rsidR="00850DE1">
        <w:t>18.8</w:t>
      </w:r>
      <w:r>
        <w:t xml:space="preserve"> million</w:t>
      </w:r>
      <w:r w:rsidR="009443A2">
        <w:t xml:space="preserve"> could support</w:t>
      </w:r>
      <w:r w:rsidR="009C6FF9">
        <w:rPr>
          <w:rStyle w:val="FootnoteReference"/>
        </w:rPr>
        <w:footnoteReference w:id="15"/>
      </w:r>
      <w:r w:rsidR="009443A2">
        <w:t xml:space="preserve"> 2</w:t>
      </w:r>
      <w:r w:rsidR="00D13C89">
        <w:t>2</w:t>
      </w:r>
      <w:r w:rsidR="009443A2">
        <w:t xml:space="preserve"> hybrid diesel buses</w:t>
      </w:r>
      <w:r w:rsidR="00F32BB8">
        <w:t xml:space="preserve"> operational by 2027</w:t>
      </w:r>
      <w:r w:rsidR="00EF3B5C">
        <w:t xml:space="preserve">, </w:t>
      </w:r>
      <w:r w:rsidR="00F32BB8">
        <w:t xml:space="preserve">used to inform the “Public Transit” project type analysis. </w:t>
      </w:r>
      <w:r w:rsidR="001456EA">
        <w:t>Due to uncertainties, i</w:t>
      </w:r>
      <w:r w:rsidR="00F32BB8">
        <w:t>t was assumed each bus</w:t>
      </w:r>
      <w:r w:rsidR="000E0F9A">
        <w:t xml:space="preserve"> would have five regular riders</w:t>
      </w:r>
      <w:r w:rsidR="00EF3B5C">
        <w:t xml:space="preserve"> </w:t>
      </w:r>
      <w:r w:rsidR="000E0F9A">
        <w:t>any given commute day (</w:t>
      </w:r>
      <w:r w:rsidR="001456EA">
        <w:t>235</w:t>
      </w:r>
      <w:r w:rsidR="000E0F9A">
        <w:t xml:space="preserve"> days per year</w:t>
      </w:r>
      <w:r w:rsidR="008A0827">
        <w:t xml:space="preserve"> assumed</w:t>
      </w:r>
      <w:r w:rsidR="001456EA" w:rsidRPr="001456EA">
        <w:rPr>
          <w:vertAlign w:val="superscript"/>
        </w:rPr>
        <w:fldChar w:fldCharType="begin"/>
      </w:r>
      <w:r w:rsidR="001456EA" w:rsidRPr="001456EA">
        <w:rPr>
          <w:vertAlign w:val="superscript"/>
        </w:rPr>
        <w:instrText xml:space="preserve"> NOTEREF _Ref162345964 \h </w:instrText>
      </w:r>
      <w:r w:rsidR="001456EA">
        <w:rPr>
          <w:vertAlign w:val="superscript"/>
        </w:rPr>
        <w:instrText xml:space="preserve"> \* MERGEFORMAT </w:instrText>
      </w:r>
      <w:r w:rsidR="001456EA" w:rsidRPr="001456EA">
        <w:rPr>
          <w:vertAlign w:val="superscript"/>
        </w:rPr>
      </w:r>
      <w:r w:rsidR="001456EA" w:rsidRPr="001456EA">
        <w:rPr>
          <w:vertAlign w:val="superscript"/>
        </w:rPr>
        <w:fldChar w:fldCharType="separate"/>
      </w:r>
      <w:r w:rsidR="005F0D8D">
        <w:rPr>
          <w:vertAlign w:val="superscript"/>
        </w:rPr>
        <w:t>12</w:t>
      </w:r>
      <w:r w:rsidR="001456EA" w:rsidRPr="001456EA">
        <w:rPr>
          <w:vertAlign w:val="superscript"/>
        </w:rPr>
        <w:fldChar w:fldCharType="end"/>
      </w:r>
      <w:r w:rsidR="008A0827">
        <w:t>) t</w:t>
      </w:r>
      <w:r w:rsidR="00981E11">
        <w:t>hat would have otherwise used</w:t>
      </w:r>
      <w:r w:rsidR="008A0827">
        <w:t xml:space="preserve"> single occupancy </w:t>
      </w:r>
      <w:r w:rsidR="00981E11">
        <w:t xml:space="preserve">ICE </w:t>
      </w:r>
      <w:r w:rsidR="008A0827">
        <w:t>vehicles</w:t>
      </w:r>
      <w:r w:rsidR="00EF3B5C">
        <w:t xml:space="preserve"> (2</w:t>
      </w:r>
      <w:r w:rsidR="00850DE1">
        <w:t>2</w:t>
      </w:r>
      <w:r w:rsidR="00EF3B5C">
        <w:t xml:space="preserve"> x 5 = 11</w:t>
      </w:r>
      <w:r w:rsidR="00850DE1">
        <w:t>0</w:t>
      </w:r>
      <w:r w:rsidR="00EF3B5C">
        <w:t xml:space="preserve"> </w:t>
      </w:r>
      <w:r w:rsidR="00981E11">
        <w:t xml:space="preserve">ICE vehicle commutes </w:t>
      </w:r>
      <w:r w:rsidR="00EF3B5C">
        <w:t>avoided)</w:t>
      </w:r>
      <w:r w:rsidR="008A0827">
        <w:t>.</w:t>
      </w:r>
    </w:p>
    <w:p w14:paraId="51E9F40E" w14:textId="31EF1363" w:rsidR="00277836" w:rsidRDefault="00615188" w:rsidP="0010474C">
      <w:r>
        <w:t xml:space="preserve">For estimating emissions due to initial route construction in 2025 and 2026, </w:t>
      </w:r>
      <w:r w:rsidR="0003061E">
        <w:t xml:space="preserve">it was assumed 4 regular work vehicles would </w:t>
      </w:r>
      <w:r w:rsidR="005D1057">
        <w:t xml:space="preserve">each </w:t>
      </w:r>
      <w:r w:rsidR="0003061E">
        <w:t xml:space="preserve">drive </w:t>
      </w:r>
      <w:r w:rsidR="009C5999">
        <w:t>4,950</w:t>
      </w:r>
      <w:r w:rsidR="00676F91">
        <w:t xml:space="preserve"> miles over each year in the course of the work</w:t>
      </w:r>
      <w:r w:rsidR="00183BCC">
        <w:t xml:space="preserve">, consuming </w:t>
      </w:r>
      <w:r w:rsidR="009C5999">
        <w:t xml:space="preserve">total </w:t>
      </w:r>
      <w:r w:rsidR="00183BCC">
        <w:t>3,300 gallons of diesel,</w:t>
      </w:r>
      <w:bookmarkStart w:id="7" w:name="_Ref161743795"/>
      <w:r w:rsidR="00720D32">
        <w:rPr>
          <w:rStyle w:val="FootnoteReference"/>
        </w:rPr>
        <w:footnoteReference w:id="16"/>
      </w:r>
      <w:bookmarkEnd w:id="7"/>
      <w:r w:rsidR="00183BCC">
        <w:t xml:space="preserve"> with emissions f</w:t>
      </w:r>
      <w:r w:rsidR="009C5999">
        <w:t>rom</w:t>
      </w:r>
      <w:r w:rsidR="00183BCC">
        <w:t xml:space="preserve"> fuel combustion estimat</w:t>
      </w:r>
      <w:r w:rsidR="009C5999">
        <w:t>ed</w:t>
      </w:r>
      <w:r w:rsidR="00183BCC">
        <w:t xml:space="preserve"> using EPA’s</w:t>
      </w:r>
      <w:r w:rsidR="00E915F0">
        <w:t xml:space="preserve"> diesel fuel and non-road equipment emission factors</w:t>
      </w:r>
      <w:r w:rsidR="00E915F0" w:rsidRPr="00E915F0">
        <w:rPr>
          <w:vertAlign w:val="superscript"/>
        </w:rPr>
        <w:fldChar w:fldCharType="begin"/>
      </w:r>
      <w:r w:rsidR="00E915F0" w:rsidRPr="00E915F0">
        <w:rPr>
          <w:vertAlign w:val="superscript"/>
        </w:rPr>
        <w:instrText xml:space="preserve"> NOTEREF _Ref161666152 \h </w:instrText>
      </w:r>
      <w:r w:rsidR="00E915F0">
        <w:rPr>
          <w:vertAlign w:val="superscript"/>
        </w:rPr>
        <w:instrText xml:space="preserve"> \* MERGEFORMAT </w:instrText>
      </w:r>
      <w:r w:rsidR="00E915F0" w:rsidRPr="00E915F0">
        <w:rPr>
          <w:vertAlign w:val="superscript"/>
        </w:rPr>
      </w:r>
      <w:r w:rsidR="00E915F0" w:rsidRPr="00E915F0">
        <w:rPr>
          <w:vertAlign w:val="superscript"/>
        </w:rPr>
        <w:fldChar w:fldCharType="separate"/>
      </w:r>
      <w:r w:rsidR="0006006E">
        <w:rPr>
          <w:vertAlign w:val="superscript"/>
        </w:rPr>
        <w:t>2</w:t>
      </w:r>
      <w:r w:rsidR="00E915F0" w:rsidRPr="00E915F0">
        <w:rPr>
          <w:vertAlign w:val="superscript"/>
        </w:rPr>
        <w:fldChar w:fldCharType="end"/>
      </w:r>
      <w:r w:rsidR="009C5999">
        <w:t xml:space="preserve"> </w:t>
      </w:r>
      <w:r w:rsidR="00C34155">
        <w:t>and global warming potentials</w:t>
      </w:r>
      <w:r w:rsidR="00DE354F">
        <w:t xml:space="preserve"> (GWPs)</w:t>
      </w:r>
      <w:r w:rsidR="00C34155">
        <w:t xml:space="preserve"> </w:t>
      </w:r>
      <w:r w:rsidR="00512E1B">
        <w:t xml:space="preserve">for the 100-year time horizon </w:t>
      </w:r>
      <w:r w:rsidR="00C34155">
        <w:t>from IPCC 5</w:t>
      </w:r>
      <w:r w:rsidR="00C34155" w:rsidRPr="00C34155">
        <w:rPr>
          <w:vertAlign w:val="superscript"/>
        </w:rPr>
        <w:t>th</w:t>
      </w:r>
      <w:r w:rsidR="00C34155">
        <w:t xml:space="preserve"> A</w:t>
      </w:r>
      <w:r w:rsidR="00DE354F">
        <w:t xml:space="preserve">ssessment </w:t>
      </w:r>
      <w:r w:rsidR="00C34155">
        <w:t>R</w:t>
      </w:r>
      <w:r w:rsidR="00DE354F">
        <w:t>eport</w:t>
      </w:r>
      <w:r w:rsidR="00512E1B" w:rsidRPr="00512E1B">
        <w:t xml:space="preserve"> </w:t>
      </w:r>
      <w:r w:rsidR="00512E1B">
        <w:t>for pollutant conversions to CO</w:t>
      </w:r>
      <w:r w:rsidR="00512E1B" w:rsidRPr="00EB79FE">
        <w:rPr>
          <w:vertAlign w:val="subscript"/>
        </w:rPr>
        <w:t>2</w:t>
      </w:r>
      <w:r w:rsidR="00512E1B">
        <w:t>e</w:t>
      </w:r>
      <w:r w:rsidR="00C34155">
        <w:t>.</w:t>
      </w:r>
      <w:bookmarkStart w:id="8" w:name="_Ref161743543"/>
      <w:r w:rsidR="00DE354F">
        <w:rPr>
          <w:rStyle w:val="FootnoteReference"/>
        </w:rPr>
        <w:footnoteReference w:id="17"/>
      </w:r>
      <w:bookmarkEnd w:id="8"/>
      <w:r w:rsidR="00DE354F">
        <w:t xml:space="preserve"> </w:t>
      </w:r>
    </w:p>
    <w:p w14:paraId="0F2BBD83" w14:textId="0E84D993" w:rsidR="00D262F6" w:rsidRDefault="009C5999" w:rsidP="0010474C">
      <w:r>
        <w:t>Emissions for the hybrid bus operations beginning in 2027 were estimated</w:t>
      </w:r>
      <w:r w:rsidR="00F144C3">
        <w:t xml:space="preserve"> assuming mean trip distance of 7.52 miles,</w:t>
      </w:r>
      <w:r w:rsidR="0072483F" w:rsidRPr="0072483F">
        <w:rPr>
          <w:vertAlign w:val="superscript"/>
        </w:rPr>
        <w:fldChar w:fldCharType="begin"/>
      </w:r>
      <w:r w:rsidR="0072483F" w:rsidRPr="0072483F">
        <w:rPr>
          <w:vertAlign w:val="superscript"/>
        </w:rPr>
        <w:instrText xml:space="preserve"> NOTEREF _Ref161738979 \h </w:instrText>
      </w:r>
      <w:r w:rsidR="0072483F">
        <w:rPr>
          <w:vertAlign w:val="superscript"/>
        </w:rPr>
        <w:instrText xml:space="preserve"> \* MERGEFORMAT </w:instrText>
      </w:r>
      <w:r w:rsidR="0072483F" w:rsidRPr="0072483F">
        <w:rPr>
          <w:vertAlign w:val="superscript"/>
        </w:rPr>
      </w:r>
      <w:r w:rsidR="0072483F" w:rsidRPr="0072483F">
        <w:rPr>
          <w:vertAlign w:val="superscript"/>
        </w:rPr>
        <w:fldChar w:fldCharType="separate"/>
      </w:r>
      <w:r w:rsidR="005F0D8D">
        <w:rPr>
          <w:vertAlign w:val="superscript"/>
        </w:rPr>
        <w:t>13</w:t>
      </w:r>
      <w:r w:rsidR="0072483F" w:rsidRPr="0072483F">
        <w:rPr>
          <w:vertAlign w:val="superscript"/>
        </w:rPr>
        <w:fldChar w:fldCharType="end"/>
      </w:r>
      <w:r w:rsidR="00F144C3">
        <w:t xml:space="preserve"> and doubled to account for a to-and-from commute. The total annual </w:t>
      </w:r>
      <w:r w:rsidR="008034EE">
        <w:t>hybrid bus</w:t>
      </w:r>
      <w:r w:rsidR="00F144C3">
        <w:t xml:space="preserve"> miles (</w:t>
      </w:r>
      <w:r w:rsidR="001456EA">
        <w:t>3,534.4</w:t>
      </w:r>
      <w:r w:rsidR="00F144C3">
        <w:t xml:space="preserve"> per vehicle x </w:t>
      </w:r>
      <w:r w:rsidR="008034EE">
        <w:t>2</w:t>
      </w:r>
      <w:r w:rsidR="009E64C5">
        <w:t>2</w:t>
      </w:r>
      <w:r w:rsidR="008034EE">
        <w:t xml:space="preserve"> buses</w:t>
      </w:r>
      <w:r w:rsidR="00F144C3">
        <w:t xml:space="preserve">) were multiplied by the </w:t>
      </w:r>
      <w:r w:rsidR="006D14A7">
        <w:t xml:space="preserve">Diesel Bus </w:t>
      </w:r>
      <w:r w:rsidR="00F144C3">
        <w:t>Fleet average CO</w:t>
      </w:r>
      <w:r w:rsidR="00F144C3" w:rsidRPr="00053ACB">
        <w:rPr>
          <w:vertAlign w:val="subscript"/>
        </w:rPr>
        <w:t>2</w:t>
      </w:r>
      <w:r w:rsidR="00F144C3">
        <w:t xml:space="preserve"> emission factor for </w:t>
      </w:r>
      <w:r w:rsidR="006D14A7">
        <w:t>2027</w:t>
      </w:r>
      <w:r w:rsidR="00F144C3" w:rsidRPr="00C01B72">
        <w:rPr>
          <w:vertAlign w:val="superscript"/>
        </w:rPr>
        <w:fldChar w:fldCharType="begin"/>
      </w:r>
      <w:r w:rsidR="00F144C3" w:rsidRPr="00C01B72">
        <w:rPr>
          <w:vertAlign w:val="superscript"/>
        </w:rPr>
        <w:instrText xml:space="preserve"> NOTEREF _Ref161668731 \h </w:instrText>
      </w:r>
      <w:r w:rsidR="00F144C3">
        <w:rPr>
          <w:vertAlign w:val="superscript"/>
        </w:rPr>
        <w:instrText xml:space="preserve"> \* MERGEFORMAT </w:instrText>
      </w:r>
      <w:r w:rsidR="00F144C3" w:rsidRPr="00C01B72">
        <w:rPr>
          <w:vertAlign w:val="superscript"/>
        </w:rPr>
      </w:r>
      <w:r w:rsidR="00F144C3" w:rsidRPr="00C01B72">
        <w:rPr>
          <w:vertAlign w:val="superscript"/>
        </w:rPr>
        <w:fldChar w:fldCharType="separate"/>
      </w:r>
      <w:r w:rsidR="0006006E">
        <w:rPr>
          <w:vertAlign w:val="superscript"/>
        </w:rPr>
        <w:t>11</w:t>
      </w:r>
      <w:r w:rsidR="00F144C3" w:rsidRPr="00C01B72">
        <w:rPr>
          <w:vertAlign w:val="superscript"/>
        </w:rPr>
        <w:fldChar w:fldCharType="end"/>
      </w:r>
      <w:r w:rsidR="00F144C3">
        <w:t xml:space="preserve"> to estimate emissions</w:t>
      </w:r>
      <w:r w:rsidR="006D14A7">
        <w:t xml:space="preserve">, though the emission factor was reduced by </w:t>
      </w:r>
      <w:r w:rsidR="00140FA8">
        <w:t>7</w:t>
      </w:r>
      <w:r w:rsidR="006D14A7">
        <w:t>5%</w:t>
      </w:r>
      <w:r w:rsidR="00A14C9B">
        <w:rPr>
          <w:rStyle w:val="FootnoteReference"/>
        </w:rPr>
        <w:footnoteReference w:id="18"/>
      </w:r>
      <w:r w:rsidR="006D14A7">
        <w:t xml:space="preserve"> to account for lower emissions </w:t>
      </w:r>
      <w:r w:rsidR="0063091A">
        <w:t>of</w:t>
      </w:r>
      <w:r w:rsidR="006D14A7">
        <w:t xml:space="preserve"> hybrid diesel bus</w:t>
      </w:r>
      <w:r w:rsidR="0063091A">
        <w:t>es</w:t>
      </w:r>
      <w:r w:rsidR="00F144C3">
        <w:t>.</w:t>
      </w:r>
    </w:p>
    <w:p w14:paraId="6C520F40" w14:textId="7DF752E9" w:rsidR="002F2A9A" w:rsidRDefault="002F2A9A" w:rsidP="0010474C">
      <w:r>
        <w:t xml:space="preserve">For estimating avoided emissions from </w:t>
      </w:r>
      <w:r w:rsidR="0063091A">
        <w:t>buses</w:t>
      </w:r>
      <w:r>
        <w:t xml:space="preserve"> </w:t>
      </w:r>
      <w:r w:rsidR="00E4319C">
        <w:t>avoiding</w:t>
      </w:r>
      <w:r>
        <w:t xml:space="preserve"> ICE vehicle</w:t>
      </w:r>
      <w:r w:rsidR="00E4319C">
        <w:t xml:space="preserve"> use,</w:t>
      </w:r>
      <w:r>
        <w:t xml:space="preserve"> </w:t>
      </w:r>
      <w:r w:rsidR="009A79FC">
        <w:t>the annual commute</w:t>
      </w:r>
      <w:r w:rsidR="00E4319C">
        <w:t xml:space="preserve"> miles</w:t>
      </w:r>
      <w:r w:rsidR="009A79FC">
        <w:t xml:space="preserve"> (</w:t>
      </w:r>
      <w:r w:rsidR="001456EA">
        <w:t>3,534.4</w:t>
      </w:r>
      <w:r w:rsidR="009A79FC">
        <w:t xml:space="preserve"> miles x</w:t>
      </w:r>
      <w:r w:rsidR="00DD0818">
        <w:t xml:space="preserve"> 11</w:t>
      </w:r>
      <w:r w:rsidR="009E64C5">
        <w:t>0</w:t>
      </w:r>
      <w:r w:rsidR="00DD0818">
        <w:t xml:space="preserve"> LDVs) were</w:t>
      </w:r>
      <w:r>
        <w:t xml:space="preserve"> multiplied by the Gasoline LD</w:t>
      </w:r>
      <w:r w:rsidR="00DD0818">
        <w:t>V</w:t>
      </w:r>
      <w:r>
        <w:t xml:space="preserve"> Fleet average CO</w:t>
      </w:r>
      <w:r w:rsidRPr="00053ACB">
        <w:rPr>
          <w:vertAlign w:val="subscript"/>
        </w:rPr>
        <w:t>2</w:t>
      </w:r>
      <w:r>
        <w:t xml:space="preserve"> emission factor for 202</w:t>
      </w:r>
      <w:r w:rsidR="00E4319C">
        <w:t>7</w:t>
      </w:r>
      <w:r>
        <w:t>.</w:t>
      </w:r>
      <w:r w:rsidR="007F2C95" w:rsidRPr="007F2C95">
        <w:rPr>
          <w:vertAlign w:val="superscript"/>
        </w:rPr>
        <w:fldChar w:fldCharType="begin"/>
      </w:r>
      <w:r w:rsidR="007F2C95" w:rsidRPr="007F2C95">
        <w:rPr>
          <w:vertAlign w:val="superscript"/>
        </w:rPr>
        <w:instrText xml:space="preserve"> NOTEREF _Ref161668731 \h </w:instrText>
      </w:r>
      <w:r w:rsidR="007F2C95">
        <w:rPr>
          <w:vertAlign w:val="superscript"/>
        </w:rPr>
        <w:instrText xml:space="preserve"> \* MERGEFORMAT </w:instrText>
      </w:r>
      <w:r w:rsidR="007F2C95" w:rsidRPr="007F2C95">
        <w:rPr>
          <w:vertAlign w:val="superscript"/>
        </w:rPr>
      </w:r>
      <w:r w:rsidR="007F2C95" w:rsidRPr="007F2C95">
        <w:rPr>
          <w:vertAlign w:val="superscript"/>
        </w:rPr>
        <w:fldChar w:fldCharType="separate"/>
      </w:r>
      <w:r w:rsidR="0006006E">
        <w:rPr>
          <w:vertAlign w:val="superscript"/>
        </w:rPr>
        <w:t>11</w:t>
      </w:r>
      <w:r w:rsidR="007F2C95" w:rsidRPr="007F2C95">
        <w:rPr>
          <w:vertAlign w:val="superscript"/>
        </w:rPr>
        <w:fldChar w:fldCharType="end"/>
      </w:r>
    </w:p>
    <w:p w14:paraId="118714B4" w14:textId="2057D7FA" w:rsidR="002F2A9A" w:rsidRPr="009C5999" w:rsidRDefault="002F2A9A" w:rsidP="0010474C">
      <w:r>
        <w:t xml:space="preserve">The </w:t>
      </w:r>
      <w:r w:rsidR="00FF0DF3">
        <w:t xml:space="preserve">annual </w:t>
      </w:r>
      <w:r>
        <w:t>net of the</w:t>
      </w:r>
      <w:r w:rsidR="00FF0DF3">
        <w:t xml:space="preserve"> above</w:t>
      </w:r>
      <w:r>
        <w:t xml:space="preserve"> </w:t>
      </w:r>
      <w:r w:rsidR="004E3F7C">
        <w:t>calculations result</w:t>
      </w:r>
      <w:r w:rsidR="00626D95">
        <w:t>ed</w:t>
      </w:r>
      <w:r>
        <w:t xml:space="preserve"> in avoided emissions for the program analysis.</w:t>
      </w:r>
    </w:p>
    <w:p w14:paraId="38089C03" w14:textId="1293EDB8" w:rsidR="00E3256D" w:rsidRDefault="003F5AF9" w:rsidP="00A57C1E">
      <w:pPr>
        <w:pStyle w:val="Heading2"/>
        <w:numPr>
          <w:ilvl w:val="0"/>
          <w:numId w:val="0"/>
        </w:numPr>
        <w:ind w:left="792" w:hanging="792"/>
      </w:pPr>
      <w:r>
        <w:t>Table M1</w:t>
      </w:r>
      <w:r w:rsidR="00811A6F">
        <w:t>.</w:t>
      </w:r>
      <w:r>
        <w:t xml:space="preserve"> Measure #1 </w:t>
      </w:r>
      <w:r w:rsidR="00587D20">
        <w:t>GHG Emissions Reductions</w:t>
      </w:r>
      <w:r w:rsidR="008C43A7">
        <w:t xml:space="preserve"> (MT CO</w:t>
      </w:r>
      <w:r w:rsidR="008C43A7" w:rsidRPr="008C43A7">
        <w:rPr>
          <w:vertAlign w:val="subscript"/>
        </w:rPr>
        <w:t>2</w:t>
      </w:r>
      <w:r w:rsidR="008C43A7">
        <w:t>e)</w:t>
      </w:r>
    </w:p>
    <w:tbl>
      <w:tblPr>
        <w:tblStyle w:val="ListTable6Colorful"/>
        <w:tblW w:w="9810" w:type="dxa"/>
        <w:jc w:val="center"/>
        <w:tblLayout w:type="fixed"/>
        <w:tblCellMar>
          <w:left w:w="0" w:type="dxa"/>
          <w:right w:w="0" w:type="dxa"/>
        </w:tblCellMar>
        <w:tblLook w:val="04A0" w:firstRow="1" w:lastRow="0" w:firstColumn="1" w:lastColumn="0" w:noHBand="0" w:noVBand="1"/>
      </w:tblPr>
      <w:tblGrid>
        <w:gridCol w:w="446"/>
        <w:gridCol w:w="544"/>
        <w:gridCol w:w="630"/>
        <w:gridCol w:w="360"/>
        <w:gridCol w:w="630"/>
        <w:gridCol w:w="630"/>
        <w:gridCol w:w="720"/>
        <w:gridCol w:w="450"/>
        <w:gridCol w:w="630"/>
        <w:gridCol w:w="540"/>
        <w:gridCol w:w="630"/>
        <w:gridCol w:w="360"/>
        <w:gridCol w:w="630"/>
        <w:gridCol w:w="360"/>
        <w:gridCol w:w="630"/>
        <w:gridCol w:w="720"/>
        <w:gridCol w:w="900"/>
      </w:tblGrid>
      <w:tr w:rsidR="00670DCB" w:rsidRPr="0081769C" w14:paraId="583B03DE" w14:textId="77777777" w:rsidTr="00E52864">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vMerge w:val="restart"/>
            <w:tcBorders>
              <w:top w:val="single" w:sz="4" w:space="0" w:color="000000"/>
              <w:right w:val="single" w:sz="4" w:space="0" w:color="auto"/>
            </w:tcBorders>
            <w:vAlign w:val="center"/>
          </w:tcPr>
          <w:p w14:paraId="13EC4006" w14:textId="77777777" w:rsidR="00197B4C" w:rsidRPr="00F301E5" w:rsidRDefault="00197B4C">
            <w:pPr>
              <w:spacing w:after="0"/>
              <w:jc w:val="center"/>
              <w:rPr>
                <w:rFonts w:eastAsia="Times New Roman" w:cs="Calibri"/>
                <w:sz w:val="20"/>
                <w:szCs w:val="20"/>
                <w:lang w:eastAsia="en-US"/>
              </w:rPr>
            </w:pPr>
          </w:p>
        </w:tc>
        <w:tc>
          <w:tcPr>
            <w:tcW w:w="1174" w:type="dxa"/>
            <w:gridSpan w:val="2"/>
            <w:tcBorders>
              <w:left w:val="single" w:sz="4" w:space="0" w:color="auto"/>
              <w:bottom w:val="single" w:sz="4" w:space="0" w:color="A6A6A6" w:themeColor="background1" w:themeShade="A6"/>
              <w:right w:val="single" w:sz="8" w:space="0" w:color="1C1C1C" w:themeColor="text1"/>
            </w:tcBorders>
            <w:shd w:val="clear" w:color="auto" w:fill="auto"/>
            <w:vAlign w:val="center"/>
          </w:tcPr>
          <w:p w14:paraId="45202178" w14:textId="0EEC7E11"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1a</w:t>
            </w:r>
          </w:p>
        </w:tc>
        <w:tc>
          <w:tcPr>
            <w:tcW w:w="99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259CE879" w14:textId="7FABB520"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1b</w:t>
            </w:r>
          </w:p>
        </w:tc>
        <w:tc>
          <w:tcPr>
            <w:tcW w:w="135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04628F38" w14:textId="23FD9E55"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1c</w:t>
            </w:r>
          </w:p>
        </w:tc>
        <w:tc>
          <w:tcPr>
            <w:tcW w:w="108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78FB6E8B" w14:textId="1CE4658B"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1d</w:t>
            </w:r>
          </w:p>
        </w:tc>
        <w:tc>
          <w:tcPr>
            <w:tcW w:w="117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48D256F9" w14:textId="197C7810"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1e</w:t>
            </w:r>
          </w:p>
        </w:tc>
        <w:tc>
          <w:tcPr>
            <w:tcW w:w="99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338B23F8" w14:textId="4278CC4F"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1f</w:t>
            </w:r>
          </w:p>
        </w:tc>
        <w:tc>
          <w:tcPr>
            <w:tcW w:w="990" w:type="dxa"/>
            <w:gridSpan w:val="2"/>
            <w:tcBorders>
              <w:left w:val="single" w:sz="8" w:space="0" w:color="1C1C1C" w:themeColor="text1"/>
              <w:bottom w:val="single" w:sz="8" w:space="0" w:color="BFBFBF" w:themeColor="background1" w:themeShade="BF"/>
              <w:right w:val="single" w:sz="12" w:space="0" w:color="auto"/>
            </w:tcBorders>
            <w:shd w:val="clear" w:color="auto" w:fill="auto"/>
            <w:vAlign w:val="center"/>
          </w:tcPr>
          <w:p w14:paraId="2C523DB9" w14:textId="30C77AA4"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1g</w:t>
            </w:r>
          </w:p>
        </w:tc>
        <w:tc>
          <w:tcPr>
            <w:tcW w:w="1620" w:type="dxa"/>
            <w:gridSpan w:val="2"/>
            <w:tcBorders>
              <w:top w:val="single" w:sz="4" w:space="0" w:color="000000"/>
              <w:left w:val="single" w:sz="12" w:space="0" w:color="auto"/>
              <w:bottom w:val="single" w:sz="4" w:space="0" w:color="A6A6A6" w:themeColor="background1" w:themeShade="A6"/>
            </w:tcBorders>
            <w:shd w:val="clear" w:color="auto" w:fill="auto"/>
            <w:vAlign w:val="center"/>
          </w:tcPr>
          <w:p w14:paraId="0336612F" w14:textId="4821116C" w:rsidR="00197B4C" w:rsidRPr="00F301E5" w:rsidRDefault="00197B4C" w:rsidP="00E03DA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Measure #1</w:t>
            </w:r>
          </w:p>
        </w:tc>
      </w:tr>
      <w:tr w:rsidR="00506B65" w:rsidRPr="0081769C" w14:paraId="7F3C2240" w14:textId="77777777" w:rsidTr="005919BE">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446" w:type="dxa"/>
            <w:vMerge/>
            <w:tcBorders>
              <w:bottom w:val="single" w:sz="4" w:space="0" w:color="auto"/>
              <w:right w:val="single" w:sz="4" w:space="0" w:color="auto"/>
            </w:tcBorders>
            <w:shd w:val="clear" w:color="auto" w:fill="auto"/>
            <w:vAlign w:val="center"/>
            <w:hideMark/>
          </w:tcPr>
          <w:p w14:paraId="572FE410" w14:textId="590813BC" w:rsidR="00197B4C" w:rsidRPr="00F301E5" w:rsidRDefault="00197B4C">
            <w:pPr>
              <w:spacing w:after="0"/>
              <w:jc w:val="center"/>
              <w:rPr>
                <w:rFonts w:eastAsia="Times New Roman" w:cs="Calibri"/>
                <w:sz w:val="20"/>
                <w:szCs w:val="20"/>
                <w:lang w:eastAsia="en-US"/>
              </w:rPr>
            </w:pPr>
          </w:p>
        </w:tc>
        <w:tc>
          <w:tcPr>
            <w:tcW w:w="544" w:type="dxa"/>
            <w:tcBorders>
              <w:top w:val="single" w:sz="8" w:space="0" w:color="BFBFBF" w:themeColor="background1" w:themeShade="BF"/>
              <w:left w:val="single" w:sz="4" w:space="0" w:color="auto"/>
              <w:bottom w:val="single" w:sz="4" w:space="0" w:color="auto"/>
              <w:right w:val="single" w:sz="8" w:space="0" w:color="BFBFBF" w:themeColor="background1" w:themeShade="BF"/>
            </w:tcBorders>
            <w:shd w:val="clear" w:color="auto" w:fill="auto"/>
            <w:vAlign w:val="center"/>
          </w:tcPr>
          <w:p w14:paraId="634D1B71" w14:textId="6CB6F199"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2022B1E4" w14:textId="415F71DE"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360" w:type="dxa"/>
            <w:tcBorders>
              <w:top w:val="single" w:sz="8" w:space="0" w:color="BFBFBF" w:themeColor="background1" w:themeShade="BF"/>
              <w:left w:val="single" w:sz="8" w:space="0" w:color="1C1C1C" w:themeColor="text1"/>
              <w:bottom w:val="single" w:sz="4" w:space="0" w:color="auto"/>
              <w:right w:val="single" w:sz="8" w:space="0" w:color="BFBFBF" w:themeColor="background1" w:themeShade="BF"/>
            </w:tcBorders>
            <w:shd w:val="clear" w:color="auto" w:fill="auto"/>
            <w:vAlign w:val="center"/>
          </w:tcPr>
          <w:p w14:paraId="6E0F4A9F" w14:textId="05A03216"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5DE5636D" w14:textId="6DAE20B3"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630" w:type="dxa"/>
            <w:tcBorders>
              <w:top w:val="single" w:sz="8" w:space="0" w:color="BFBFBF" w:themeColor="background1" w:themeShade="BF"/>
              <w:left w:val="single" w:sz="8" w:space="0" w:color="1C1C1C" w:themeColor="text1"/>
              <w:bottom w:val="single" w:sz="4" w:space="0" w:color="auto"/>
              <w:right w:val="single" w:sz="8" w:space="0" w:color="BFBFBF" w:themeColor="background1" w:themeShade="BF"/>
            </w:tcBorders>
            <w:shd w:val="clear" w:color="auto" w:fill="auto"/>
            <w:vAlign w:val="center"/>
          </w:tcPr>
          <w:p w14:paraId="442426A9" w14:textId="4C296165"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72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39EC07F9" w14:textId="6A8A4EF5"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450" w:type="dxa"/>
            <w:tcBorders>
              <w:top w:val="single" w:sz="8" w:space="0" w:color="BFBFBF" w:themeColor="background1" w:themeShade="BF"/>
              <w:left w:val="single" w:sz="8" w:space="0" w:color="1C1C1C" w:themeColor="text1"/>
              <w:bottom w:val="single" w:sz="4" w:space="0" w:color="auto"/>
              <w:right w:val="single" w:sz="8" w:space="0" w:color="BFBFBF" w:themeColor="background1" w:themeShade="BF"/>
            </w:tcBorders>
            <w:shd w:val="clear" w:color="auto" w:fill="auto"/>
            <w:vAlign w:val="center"/>
          </w:tcPr>
          <w:p w14:paraId="2EFAA87C" w14:textId="57040317"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611E6C65" w14:textId="1D2FF632"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540" w:type="dxa"/>
            <w:tcBorders>
              <w:top w:val="single" w:sz="4" w:space="0" w:color="A6A6A6" w:themeColor="background1" w:themeShade="A6"/>
              <w:left w:val="single" w:sz="8" w:space="0" w:color="1C1C1C" w:themeColor="text1"/>
              <w:bottom w:val="single" w:sz="4" w:space="0" w:color="auto"/>
              <w:right w:val="single" w:sz="8" w:space="0" w:color="BFBFBF" w:themeColor="background1" w:themeShade="BF"/>
            </w:tcBorders>
            <w:shd w:val="clear" w:color="auto" w:fill="auto"/>
            <w:vAlign w:val="center"/>
          </w:tcPr>
          <w:p w14:paraId="4C764301" w14:textId="540497BB"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4" w:space="0" w:color="A6A6A6" w:themeColor="background1" w:themeShade="A6"/>
              <w:left w:val="single" w:sz="8" w:space="0" w:color="BFBFBF" w:themeColor="background1" w:themeShade="BF"/>
              <w:bottom w:val="single" w:sz="4" w:space="0" w:color="auto"/>
              <w:right w:val="single" w:sz="8" w:space="0" w:color="1C1C1C" w:themeColor="text1"/>
            </w:tcBorders>
            <w:shd w:val="clear" w:color="auto" w:fill="auto"/>
            <w:vAlign w:val="center"/>
          </w:tcPr>
          <w:p w14:paraId="1A993146" w14:textId="4F3DCA48"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360" w:type="dxa"/>
            <w:tcBorders>
              <w:top w:val="single" w:sz="4" w:space="0" w:color="A6A6A6" w:themeColor="background1" w:themeShade="A6"/>
              <w:left w:val="single" w:sz="8" w:space="0" w:color="1C1C1C" w:themeColor="text1"/>
              <w:bottom w:val="single" w:sz="4" w:space="0" w:color="auto"/>
              <w:right w:val="single" w:sz="8" w:space="0" w:color="BFBFBF" w:themeColor="background1" w:themeShade="BF"/>
            </w:tcBorders>
            <w:shd w:val="clear" w:color="auto" w:fill="auto"/>
            <w:vAlign w:val="center"/>
          </w:tcPr>
          <w:p w14:paraId="5FA19A4A" w14:textId="108614D6"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4" w:space="0" w:color="A6A6A6" w:themeColor="background1" w:themeShade="A6"/>
              <w:left w:val="single" w:sz="8" w:space="0" w:color="BFBFBF" w:themeColor="background1" w:themeShade="BF"/>
              <w:bottom w:val="single" w:sz="4" w:space="0" w:color="auto"/>
              <w:right w:val="single" w:sz="8" w:space="0" w:color="1C1C1C" w:themeColor="text1"/>
            </w:tcBorders>
            <w:shd w:val="clear" w:color="auto" w:fill="auto"/>
            <w:vAlign w:val="center"/>
          </w:tcPr>
          <w:p w14:paraId="4DB6A257" w14:textId="02D9FFB5"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360" w:type="dxa"/>
            <w:tcBorders>
              <w:top w:val="single" w:sz="4" w:space="0" w:color="A6A6A6" w:themeColor="background1" w:themeShade="A6"/>
              <w:left w:val="single" w:sz="8" w:space="0" w:color="1C1C1C" w:themeColor="text1"/>
              <w:bottom w:val="single" w:sz="4" w:space="0" w:color="auto"/>
              <w:right w:val="single" w:sz="8" w:space="0" w:color="BFBFBF" w:themeColor="background1" w:themeShade="BF"/>
            </w:tcBorders>
            <w:shd w:val="clear" w:color="auto" w:fill="auto"/>
            <w:vAlign w:val="center"/>
          </w:tcPr>
          <w:p w14:paraId="6731463E" w14:textId="00336B72"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4" w:space="0" w:color="A6A6A6" w:themeColor="background1" w:themeShade="A6"/>
              <w:left w:val="single" w:sz="8" w:space="0" w:color="BFBFBF" w:themeColor="background1" w:themeShade="BF"/>
              <w:bottom w:val="single" w:sz="4" w:space="0" w:color="auto"/>
              <w:right w:val="single" w:sz="12" w:space="0" w:color="auto"/>
            </w:tcBorders>
            <w:shd w:val="clear" w:color="auto" w:fill="auto"/>
            <w:vAlign w:val="center"/>
          </w:tcPr>
          <w:p w14:paraId="68609369" w14:textId="4FAD99BB"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720" w:type="dxa"/>
            <w:tcBorders>
              <w:top w:val="single" w:sz="4" w:space="0" w:color="A6A6A6" w:themeColor="background1" w:themeShade="A6"/>
              <w:left w:val="single" w:sz="12" w:space="0" w:color="auto"/>
              <w:bottom w:val="single" w:sz="4" w:space="0" w:color="auto"/>
              <w:right w:val="single" w:sz="8" w:space="0" w:color="BFBFBF" w:themeColor="background1" w:themeShade="BF"/>
            </w:tcBorders>
            <w:shd w:val="clear" w:color="auto" w:fill="auto"/>
            <w:vAlign w:val="center"/>
          </w:tcPr>
          <w:p w14:paraId="5C0409A5" w14:textId="51EF76F0"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 xml:space="preserve">Ann </w:t>
            </w:r>
          </w:p>
        </w:tc>
        <w:tc>
          <w:tcPr>
            <w:tcW w:w="900" w:type="dxa"/>
            <w:tcBorders>
              <w:top w:val="single" w:sz="4" w:space="0" w:color="A6A6A6" w:themeColor="background1" w:themeShade="A6"/>
              <w:left w:val="single" w:sz="8" w:space="0" w:color="BFBFBF" w:themeColor="background1" w:themeShade="BF"/>
              <w:bottom w:val="single" w:sz="4" w:space="0" w:color="auto"/>
            </w:tcBorders>
            <w:shd w:val="clear" w:color="auto" w:fill="auto"/>
            <w:vAlign w:val="center"/>
          </w:tcPr>
          <w:p w14:paraId="21F2EB5D" w14:textId="6AB2C73A" w:rsidR="00197B4C" w:rsidRPr="00F301E5" w:rsidRDefault="00197B4C" w:rsidP="00E03DA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r w:rsidRPr="00F301E5">
              <w:rPr>
                <w:rFonts w:eastAsia="Times New Roman" w:cs="Calibri"/>
                <w:sz w:val="20"/>
                <w:szCs w:val="20"/>
                <w:lang w:eastAsia="en-US"/>
              </w:rPr>
              <w:t xml:space="preserve"> </w:t>
            </w:r>
          </w:p>
        </w:tc>
      </w:tr>
      <w:tr w:rsidR="00506B65" w:rsidRPr="0081769C" w14:paraId="0A8B3CAE" w14:textId="77777777" w:rsidTr="005919BE">
        <w:trPr>
          <w:trHeight w:val="179"/>
          <w:jc w:val="center"/>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auto"/>
              <w:right w:val="single" w:sz="4" w:space="0" w:color="auto"/>
            </w:tcBorders>
            <w:vAlign w:val="center"/>
            <w:hideMark/>
          </w:tcPr>
          <w:p w14:paraId="40FAFECA" w14:textId="77777777" w:rsidR="003E287A" w:rsidRPr="00F301E5" w:rsidRDefault="003E287A" w:rsidP="003E287A">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2025</w:t>
            </w:r>
          </w:p>
        </w:tc>
        <w:tc>
          <w:tcPr>
            <w:tcW w:w="544" w:type="dxa"/>
            <w:tcBorders>
              <w:top w:val="single" w:sz="4" w:space="0" w:color="auto"/>
              <w:left w:val="single" w:sz="4" w:space="0" w:color="auto"/>
              <w:right w:val="single" w:sz="8" w:space="0" w:color="BFBFBF" w:themeColor="background1" w:themeShade="BF"/>
            </w:tcBorders>
            <w:vAlign w:val="center"/>
          </w:tcPr>
          <w:p w14:paraId="780D69DD" w14:textId="1FC4FD4E"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BFBFBF" w:themeColor="background1" w:themeShade="BF"/>
              <w:right w:val="single" w:sz="8" w:space="0" w:color="1C1C1C" w:themeColor="text1"/>
            </w:tcBorders>
            <w:vAlign w:val="center"/>
          </w:tcPr>
          <w:p w14:paraId="35A3455D" w14:textId="63365773"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360" w:type="dxa"/>
            <w:tcBorders>
              <w:top w:val="single" w:sz="4" w:space="0" w:color="auto"/>
              <w:left w:val="single" w:sz="8" w:space="0" w:color="1C1C1C" w:themeColor="text1"/>
              <w:right w:val="single" w:sz="8" w:space="0" w:color="BFBFBF" w:themeColor="background1" w:themeShade="BF"/>
            </w:tcBorders>
            <w:noWrap/>
            <w:vAlign w:val="center"/>
          </w:tcPr>
          <w:p w14:paraId="53A8C0D9" w14:textId="4C5EE409"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BFBFBF" w:themeColor="background1" w:themeShade="BF"/>
              <w:right w:val="single" w:sz="8" w:space="0" w:color="1C1C1C" w:themeColor="text1"/>
            </w:tcBorders>
            <w:vAlign w:val="center"/>
          </w:tcPr>
          <w:p w14:paraId="3A302CBD" w14:textId="6F5F11E5"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1C1C1C" w:themeColor="text1"/>
              <w:right w:val="single" w:sz="8" w:space="0" w:color="BFBFBF" w:themeColor="background1" w:themeShade="BF"/>
            </w:tcBorders>
            <w:vAlign w:val="center"/>
          </w:tcPr>
          <w:p w14:paraId="65311EFB" w14:textId="6F8AB178"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720" w:type="dxa"/>
            <w:tcBorders>
              <w:top w:val="single" w:sz="4" w:space="0" w:color="auto"/>
              <w:left w:val="single" w:sz="8" w:space="0" w:color="BFBFBF" w:themeColor="background1" w:themeShade="BF"/>
              <w:right w:val="single" w:sz="8" w:space="0" w:color="1C1C1C" w:themeColor="text1"/>
            </w:tcBorders>
            <w:vAlign w:val="center"/>
          </w:tcPr>
          <w:p w14:paraId="287E7899" w14:textId="36C73B29"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450" w:type="dxa"/>
            <w:tcBorders>
              <w:top w:val="single" w:sz="4" w:space="0" w:color="auto"/>
              <w:left w:val="single" w:sz="8" w:space="0" w:color="1C1C1C" w:themeColor="text1"/>
              <w:right w:val="single" w:sz="8" w:space="0" w:color="BFBFBF" w:themeColor="background1" w:themeShade="BF"/>
            </w:tcBorders>
            <w:vAlign w:val="center"/>
          </w:tcPr>
          <w:p w14:paraId="16E55143" w14:textId="14581A72"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BFBFBF" w:themeColor="background1" w:themeShade="BF"/>
              <w:right w:val="single" w:sz="8" w:space="0" w:color="1C1C1C" w:themeColor="text1"/>
            </w:tcBorders>
            <w:vAlign w:val="center"/>
          </w:tcPr>
          <w:p w14:paraId="766B3C59" w14:textId="12FB34AD"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540" w:type="dxa"/>
            <w:tcBorders>
              <w:top w:val="single" w:sz="4" w:space="0" w:color="auto"/>
              <w:left w:val="single" w:sz="8" w:space="0" w:color="1C1C1C" w:themeColor="text1"/>
              <w:right w:val="single" w:sz="8" w:space="0" w:color="BFBFBF" w:themeColor="background1" w:themeShade="BF"/>
            </w:tcBorders>
            <w:vAlign w:val="bottom"/>
          </w:tcPr>
          <w:p w14:paraId="6D621DB2" w14:textId="32634665" w:rsidR="003E287A" w:rsidRPr="00F301E5" w:rsidRDefault="00BA2C08"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BFBFBF" w:themeColor="background1" w:themeShade="BF"/>
              <w:right w:val="single" w:sz="8" w:space="0" w:color="1C1C1C" w:themeColor="text1"/>
            </w:tcBorders>
            <w:vAlign w:val="bottom"/>
          </w:tcPr>
          <w:p w14:paraId="2F0517FD" w14:textId="4857A958" w:rsidR="003E287A" w:rsidRPr="00F301E5" w:rsidRDefault="00BA2C08"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360" w:type="dxa"/>
            <w:tcBorders>
              <w:top w:val="single" w:sz="4" w:space="0" w:color="auto"/>
              <w:left w:val="single" w:sz="8" w:space="0" w:color="1C1C1C" w:themeColor="text1"/>
              <w:right w:val="single" w:sz="8" w:space="0" w:color="BFBFBF" w:themeColor="background1" w:themeShade="BF"/>
            </w:tcBorders>
            <w:vAlign w:val="center"/>
          </w:tcPr>
          <w:p w14:paraId="55B5FE35" w14:textId="06E23F2C"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BFBFBF" w:themeColor="background1" w:themeShade="BF"/>
              <w:right w:val="single" w:sz="8" w:space="0" w:color="1C1C1C" w:themeColor="text1"/>
            </w:tcBorders>
            <w:vAlign w:val="center"/>
          </w:tcPr>
          <w:p w14:paraId="2B2EEF3C" w14:textId="309E36DA" w:rsidR="003E287A" w:rsidRPr="00F301E5" w:rsidRDefault="003E287A"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360" w:type="dxa"/>
            <w:tcBorders>
              <w:top w:val="single" w:sz="4" w:space="0" w:color="auto"/>
              <w:left w:val="single" w:sz="8" w:space="0" w:color="1C1C1C" w:themeColor="text1"/>
              <w:right w:val="single" w:sz="8" w:space="0" w:color="BFBFBF" w:themeColor="background1" w:themeShade="BF"/>
            </w:tcBorders>
            <w:vAlign w:val="bottom"/>
          </w:tcPr>
          <w:p w14:paraId="0AF70757" w14:textId="067AEA5D" w:rsidR="003E287A" w:rsidRPr="00F301E5" w:rsidRDefault="00044173"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630" w:type="dxa"/>
            <w:tcBorders>
              <w:top w:val="single" w:sz="4" w:space="0" w:color="auto"/>
              <w:left w:val="single" w:sz="8" w:space="0" w:color="BFBFBF" w:themeColor="background1" w:themeShade="BF"/>
              <w:right w:val="single" w:sz="12" w:space="0" w:color="auto"/>
            </w:tcBorders>
            <w:vAlign w:val="bottom"/>
          </w:tcPr>
          <w:p w14:paraId="41E14263" w14:textId="1ECBFA6D" w:rsidR="003E287A" w:rsidRPr="00F301E5" w:rsidRDefault="00044173"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720" w:type="dxa"/>
            <w:tcBorders>
              <w:top w:val="single" w:sz="4" w:space="0" w:color="auto"/>
              <w:left w:val="single" w:sz="12" w:space="0" w:color="auto"/>
              <w:right w:val="single" w:sz="8" w:space="0" w:color="BFBFBF" w:themeColor="background1" w:themeShade="BF"/>
            </w:tcBorders>
            <w:vAlign w:val="bottom"/>
          </w:tcPr>
          <w:p w14:paraId="79BCA920" w14:textId="390B54BC" w:rsidR="003E287A" w:rsidRPr="00F301E5" w:rsidRDefault="003B3BD0"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-35</w:t>
            </w:r>
          </w:p>
        </w:tc>
        <w:tc>
          <w:tcPr>
            <w:tcW w:w="900" w:type="dxa"/>
            <w:tcBorders>
              <w:top w:val="single" w:sz="4" w:space="0" w:color="auto"/>
              <w:left w:val="single" w:sz="8" w:space="0" w:color="BFBFBF" w:themeColor="background1" w:themeShade="BF"/>
            </w:tcBorders>
            <w:vAlign w:val="bottom"/>
          </w:tcPr>
          <w:p w14:paraId="55B136AC" w14:textId="61AF5EEE" w:rsidR="003E287A" w:rsidRPr="00F301E5" w:rsidRDefault="003B3BD0" w:rsidP="003E287A">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-35</w:t>
            </w:r>
          </w:p>
        </w:tc>
      </w:tr>
      <w:tr w:rsidR="00506B65" w:rsidRPr="0081769C" w14:paraId="704E8263" w14:textId="77777777" w:rsidTr="005919BE">
        <w:trPr>
          <w:cnfStyle w:val="000000100000" w:firstRow="0" w:lastRow="0" w:firstColumn="0" w:lastColumn="0" w:oddVBand="0" w:evenVBand="0" w:oddHBand="1" w:evenHBand="0"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AA38AAC" w14:textId="77777777" w:rsidR="00044173" w:rsidRPr="00F301E5" w:rsidRDefault="00044173" w:rsidP="00044173">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2026</w:t>
            </w:r>
          </w:p>
        </w:tc>
        <w:tc>
          <w:tcPr>
            <w:tcW w:w="544" w:type="dxa"/>
            <w:tcBorders>
              <w:left w:val="single" w:sz="4" w:space="0" w:color="auto"/>
              <w:right w:val="single" w:sz="8" w:space="0" w:color="BFBFBF" w:themeColor="background1" w:themeShade="BF"/>
            </w:tcBorders>
          </w:tcPr>
          <w:p w14:paraId="0F0BA973" w14:textId="3620BB41"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1,656 </w:t>
            </w:r>
          </w:p>
        </w:tc>
        <w:tc>
          <w:tcPr>
            <w:tcW w:w="630" w:type="dxa"/>
            <w:tcBorders>
              <w:left w:val="single" w:sz="8" w:space="0" w:color="BFBFBF" w:themeColor="background1" w:themeShade="BF"/>
              <w:right w:val="single" w:sz="8" w:space="0" w:color="1C1C1C" w:themeColor="text1"/>
            </w:tcBorders>
            <w:vAlign w:val="center"/>
          </w:tcPr>
          <w:p w14:paraId="4D7066C3" w14:textId="61AC083D"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1,656</w:t>
            </w:r>
          </w:p>
        </w:tc>
        <w:tc>
          <w:tcPr>
            <w:tcW w:w="360" w:type="dxa"/>
            <w:tcBorders>
              <w:left w:val="single" w:sz="8" w:space="0" w:color="1C1C1C" w:themeColor="text1"/>
              <w:right w:val="single" w:sz="8" w:space="0" w:color="BFBFBF" w:themeColor="background1" w:themeShade="BF"/>
            </w:tcBorders>
            <w:noWrap/>
            <w:vAlign w:val="bottom"/>
          </w:tcPr>
          <w:p w14:paraId="6C231357" w14:textId="6C4AE574"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w:t>
            </w:r>
          </w:p>
        </w:tc>
        <w:tc>
          <w:tcPr>
            <w:tcW w:w="630" w:type="dxa"/>
            <w:tcBorders>
              <w:left w:val="single" w:sz="8" w:space="0" w:color="BFBFBF" w:themeColor="background1" w:themeShade="BF"/>
              <w:right w:val="single" w:sz="8" w:space="0" w:color="1C1C1C" w:themeColor="text1"/>
            </w:tcBorders>
            <w:vAlign w:val="bottom"/>
          </w:tcPr>
          <w:p w14:paraId="53C6FDBE" w14:textId="10517453"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w:t>
            </w:r>
          </w:p>
        </w:tc>
        <w:tc>
          <w:tcPr>
            <w:tcW w:w="630" w:type="dxa"/>
            <w:tcBorders>
              <w:left w:val="single" w:sz="8" w:space="0" w:color="1C1C1C" w:themeColor="text1"/>
              <w:right w:val="single" w:sz="8" w:space="0" w:color="BFBFBF" w:themeColor="background1" w:themeShade="BF"/>
            </w:tcBorders>
            <w:vAlign w:val="bottom"/>
          </w:tcPr>
          <w:p w14:paraId="1401515F" w14:textId="29511C00"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13,969</w:t>
            </w:r>
          </w:p>
        </w:tc>
        <w:tc>
          <w:tcPr>
            <w:tcW w:w="720" w:type="dxa"/>
            <w:tcBorders>
              <w:left w:val="single" w:sz="8" w:space="0" w:color="BFBFBF" w:themeColor="background1" w:themeShade="BF"/>
              <w:right w:val="single" w:sz="8" w:space="0" w:color="1C1C1C" w:themeColor="text1"/>
            </w:tcBorders>
            <w:vAlign w:val="bottom"/>
          </w:tcPr>
          <w:p w14:paraId="119B59D8" w14:textId="27ABE3E6"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13,969</w:t>
            </w:r>
          </w:p>
        </w:tc>
        <w:tc>
          <w:tcPr>
            <w:tcW w:w="450" w:type="dxa"/>
            <w:tcBorders>
              <w:left w:val="single" w:sz="8" w:space="0" w:color="1C1C1C" w:themeColor="text1"/>
              <w:right w:val="single" w:sz="8" w:space="0" w:color="BFBFBF" w:themeColor="background1" w:themeShade="BF"/>
            </w:tcBorders>
            <w:vAlign w:val="bottom"/>
          </w:tcPr>
          <w:p w14:paraId="0FD26D04" w14:textId="791BBB3A"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894</w:t>
            </w:r>
          </w:p>
        </w:tc>
        <w:tc>
          <w:tcPr>
            <w:tcW w:w="630" w:type="dxa"/>
            <w:tcBorders>
              <w:left w:val="single" w:sz="8" w:space="0" w:color="BFBFBF" w:themeColor="background1" w:themeShade="BF"/>
              <w:right w:val="single" w:sz="8" w:space="0" w:color="1C1C1C" w:themeColor="text1"/>
            </w:tcBorders>
            <w:vAlign w:val="bottom"/>
          </w:tcPr>
          <w:p w14:paraId="16ACF91D" w14:textId="37EAA631"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894</w:t>
            </w:r>
          </w:p>
        </w:tc>
        <w:tc>
          <w:tcPr>
            <w:tcW w:w="540" w:type="dxa"/>
            <w:tcBorders>
              <w:left w:val="single" w:sz="8" w:space="0" w:color="1C1C1C" w:themeColor="text1"/>
              <w:right w:val="single" w:sz="8" w:space="0" w:color="BFBFBF" w:themeColor="background1" w:themeShade="BF"/>
            </w:tcBorders>
            <w:vAlign w:val="bottom"/>
          </w:tcPr>
          <w:p w14:paraId="13C5B304" w14:textId="2BE04736" w:rsidR="00044173" w:rsidRPr="00F301E5" w:rsidRDefault="00BA2C08"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630" w:type="dxa"/>
            <w:tcBorders>
              <w:left w:val="single" w:sz="8" w:space="0" w:color="BFBFBF" w:themeColor="background1" w:themeShade="BF"/>
              <w:right w:val="single" w:sz="8" w:space="0" w:color="1C1C1C" w:themeColor="text1"/>
            </w:tcBorders>
            <w:vAlign w:val="bottom"/>
          </w:tcPr>
          <w:p w14:paraId="03B2F308" w14:textId="4C3ABDC2" w:rsidR="00044173" w:rsidRPr="00F301E5" w:rsidRDefault="00BA2C08"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360" w:type="dxa"/>
            <w:tcBorders>
              <w:left w:val="single" w:sz="8" w:space="0" w:color="1C1C1C" w:themeColor="text1"/>
              <w:right w:val="single" w:sz="8" w:space="0" w:color="BFBFBF" w:themeColor="background1" w:themeShade="BF"/>
            </w:tcBorders>
            <w:vAlign w:val="bottom"/>
          </w:tcPr>
          <w:p w14:paraId="6A037595" w14:textId="4E511B70"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45</w:t>
            </w:r>
          </w:p>
        </w:tc>
        <w:tc>
          <w:tcPr>
            <w:tcW w:w="630" w:type="dxa"/>
            <w:tcBorders>
              <w:left w:val="single" w:sz="8" w:space="0" w:color="BFBFBF" w:themeColor="background1" w:themeShade="BF"/>
              <w:right w:val="single" w:sz="8" w:space="0" w:color="1C1C1C" w:themeColor="text1"/>
            </w:tcBorders>
            <w:vAlign w:val="bottom"/>
          </w:tcPr>
          <w:p w14:paraId="454A891D" w14:textId="18967EA4"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45</w:t>
            </w:r>
          </w:p>
        </w:tc>
        <w:tc>
          <w:tcPr>
            <w:tcW w:w="360" w:type="dxa"/>
            <w:tcBorders>
              <w:left w:val="single" w:sz="8" w:space="0" w:color="1C1C1C" w:themeColor="text1"/>
              <w:right w:val="single" w:sz="8" w:space="0" w:color="BFBFBF" w:themeColor="background1" w:themeShade="BF"/>
            </w:tcBorders>
            <w:vAlign w:val="bottom"/>
          </w:tcPr>
          <w:p w14:paraId="04DD8C07" w14:textId="0EF572E2"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135</w:t>
            </w:r>
          </w:p>
        </w:tc>
        <w:tc>
          <w:tcPr>
            <w:tcW w:w="630" w:type="dxa"/>
            <w:tcBorders>
              <w:left w:val="single" w:sz="8" w:space="0" w:color="BFBFBF" w:themeColor="background1" w:themeShade="BF"/>
              <w:right w:val="single" w:sz="12" w:space="0" w:color="auto"/>
            </w:tcBorders>
            <w:vAlign w:val="bottom"/>
          </w:tcPr>
          <w:p w14:paraId="4251AEC0" w14:textId="6959CD12" w:rsidR="00044173" w:rsidRPr="00F301E5" w:rsidRDefault="00044173"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135</w:t>
            </w:r>
          </w:p>
        </w:tc>
        <w:tc>
          <w:tcPr>
            <w:tcW w:w="720" w:type="dxa"/>
            <w:tcBorders>
              <w:left w:val="single" w:sz="12" w:space="0" w:color="auto"/>
              <w:right w:val="single" w:sz="8" w:space="0" w:color="BFBFBF" w:themeColor="background1" w:themeShade="BF"/>
            </w:tcBorders>
            <w:vAlign w:val="bottom"/>
          </w:tcPr>
          <w:p w14:paraId="52A9DD28" w14:textId="7EBFF99D" w:rsidR="00044173" w:rsidRPr="00F301E5" w:rsidRDefault="003B3BD0"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16,819</w:t>
            </w:r>
          </w:p>
        </w:tc>
        <w:tc>
          <w:tcPr>
            <w:tcW w:w="900" w:type="dxa"/>
            <w:tcBorders>
              <w:left w:val="single" w:sz="8" w:space="0" w:color="BFBFBF" w:themeColor="background1" w:themeShade="BF"/>
            </w:tcBorders>
            <w:vAlign w:val="bottom"/>
          </w:tcPr>
          <w:p w14:paraId="59962677" w14:textId="6BAF2DFD" w:rsidR="00044173" w:rsidRPr="00F301E5" w:rsidRDefault="003B3BD0" w:rsidP="00044173">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16,785</w:t>
            </w:r>
          </w:p>
        </w:tc>
      </w:tr>
      <w:tr w:rsidR="00506B65" w:rsidRPr="0081769C" w14:paraId="79F02AA6" w14:textId="77777777" w:rsidTr="005919BE">
        <w:trPr>
          <w:trHeight w:val="135"/>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EED0408"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2027</w:t>
            </w:r>
          </w:p>
        </w:tc>
        <w:tc>
          <w:tcPr>
            <w:tcW w:w="544" w:type="dxa"/>
            <w:tcBorders>
              <w:left w:val="single" w:sz="4" w:space="0" w:color="auto"/>
              <w:right w:val="single" w:sz="8" w:space="0" w:color="BFBFBF" w:themeColor="background1" w:themeShade="BF"/>
            </w:tcBorders>
          </w:tcPr>
          <w:p w14:paraId="35C06852" w14:textId="20BC886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1,344 </w:t>
            </w:r>
          </w:p>
        </w:tc>
        <w:tc>
          <w:tcPr>
            <w:tcW w:w="630" w:type="dxa"/>
            <w:tcBorders>
              <w:left w:val="single" w:sz="8" w:space="0" w:color="BFBFBF" w:themeColor="background1" w:themeShade="BF"/>
              <w:right w:val="single" w:sz="8" w:space="0" w:color="1C1C1C" w:themeColor="text1"/>
            </w:tcBorders>
          </w:tcPr>
          <w:p w14:paraId="316EDB38" w14:textId="1ADC34D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3,001 </w:t>
            </w:r>
          </w:p>
        </w:tc>
        <w:tc>
          <w:tcPr>
            <w:tcW w:w="360" w:type="dxa"/>
            <w:tcBorders>
              <w:left w:val="single" w:sz="8" w:space="0" w:color="1C1C1C" w:themeColor="text1"/>
              <w:right w:val="single" w:sz="8" w:space="0" w:color="BFBFBF" w:themeColor="background1" w:themeShade="BF"/>
            </w:tcBorders>
            <w:noWrap/>
            <w:vAlign w:val="bottom"/>
          </w:tcPr>
          <w:p w14:paraId="04DCCD7D" w14:textId="1FE85E4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w:t>
            </w:r>
          </w:p>
        </w:tc>
        <w:tc>
          <w:tcPr>
            <w:tcW w:w="630" w:type="dxa"/>
            <w:tcBorders>
              <w:left w:val="single" w:sz="8" w:space="0" w:color="BFBFBF" w:themeColor="background1" w:themeShade="BF"/>
              <w:right w:val="single" w:sz="8" w:space="0" w:color="1C1C1C" w:themeColor="text1"/>
            </w:tcBorders>
            <w:vAlign w:val="bottom"/>
          </w:tcPr>
          <w:p w14:paraId="05D74275" w14:textId="3074D61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23</w:t>
            </w:r>
          </w:p>
        </w:tc>
        <w:tc>
          <w:tcPr>
            <w:tcW w:w="630" w:type="dxa"/>
            <w:tcBorders>
              <w:left w:val="single" w:sz="8" w:space="0" w:color="1C1C1C" w:themeColor="text1"/>
              <w:right w:val="single" w:sz="8" w:space="0" w:color="BFBFBF" w:themeColor="background1" w:themeShade="BF"/>
            </w:tcBorders>
            <w:vAlign w:val="bottom"/>
          </w:tcPr>
          <w:p w14:paraId="2E1D36F5" w14:textId="0852B55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16,073</w:t>
            </w:r>
          </w:p>
        </w:tc>
        <w:tc>
          <w:tcPr>
            <w:tcW w:w="720" w:type="dxa"/>
            <w:tcBorders>
              <w:left w:val="single" w:sz="8" w:space="0" w:color="BFBFBF" w:themeColor="background1" w:themeShade="BF"/>
              <w:right w:val="single" w:sz="8" w:space="0" w:color="1C1C1C" w:themeColor="text1"/>
            </w:tcBorders>
            <w:vAlign w:val="bottom"/>
          </w:tcPr>
          <w:p w14:paraId="31D20E2D" w14:textId="68047D3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30,043</w:t>
            </w:r>
          </w:p>
        </w:tc>
        <w:tc>
          <w:tcPr>
            <w:tcW w:w="450" w:type="dxa"/>
            <w:tcBorders>
              <w:left w:val="single" w:sz="8" w:space="0" w:color="1C1C1C" w:themeColor="text1"/>
              <w:right w:val="single" w:sz="8" w:space="0" w:color="BFBFBF" w:themeColor="background1" w:themeShade="BF"/>
            </w:tcBorders>
            <w:vAlign w:val="bottom"/>
          </w:tcPr>
          <w:p w14:paraId="62769E86" w14:textId="3FF6850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795</w:t>
            </w:r>
          </w:p>
        </w:tc>
        <w:tc>
          <w:tcPr>
            <w:tcW w:w="630" w:type="dxa"/>
            <w:tcBorders>
              <w:left w:val="single" w:sz="8" w:space="0" w:color="BFBFBF" w:themeColor="background1" w:themeShade="BF"/>
              <w:right w:val="single" w:sz="8" w:space="0" w:color="1C1C1C" w:themeColor="text1"/>
            </w:tcBorders>
            <w:vAlign w:val="bottom"/>
          </w:tcPr>
          <w:p w14:paraId="7BAC7423" w14:textId="6F5A7EF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1,689</w:t>
            </w:r>
          </w:p>
        </w:tc>
        <w:tc>
          <w:tcPr>
            <w:tcW w:w="540" w:type="dxa"/>
            <w:tcBorders>
              <w:left w:val="single" w:sz="8" w:space="0" w:color="1C1C1C" w:themeColor="text1"/>
              <w:right w:val="single" w:sz="8" w:space="0" w:color="BFBFBF" w:themeColor="background1" w:themeShade="BF"/>
            </w:tcBorders>
            <w:vAlign w:val="bottom"/>
          </w:tcPr>
          <w:p w14:paraId="14042AC6" w14:textId="5618AB2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left w:val="single" w:sz="8" w:space="0" w:color="BFBFBF" w:themeColor="background1" w:themeShade="BF"/>
              <w:right w:val="single" w:sz="8" w:space="0" w:color="1C1C1C" w:themeColor="text1"/>
            </w:tcBorders>
            <w:vAlign w:val="bottom"/>
          </w:tcPr>
          <w:p w14:paraId="1139B54D" w14:textId="152458F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360" w:type="dxa"/>
            <w:tcBorders>
              <w:left w:val="single" w:sz="8" w:space="0" w:color="1C1C1C" w:themeColor="text1"/>
              <w:right w:val="single" w:sz="8" w:space="0" w:color="BFBFBF" w:themeColor="background1" w:themeShade="BF"/>
            </w:tcBorders>
            <w:vAlign w:val="bottom"/>
          </w:tcPr>
          <w:p w14:paraId="15F1EF76" w14:textId="6085231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38</w:t>
            </w:r>
          </w:p>
        </w:tc>
        <w:tc>
          <w:tcPr>
            <w:tcW w:w="630" w:type="dxa"/>
            <w:tcBorders>
              <w:left w:val="single" w:sz="8" w:space="0" w:color="BFBFBF" w:themeColor="background1" w:themeShade="BF"/>
              <w:right w:val="single" w:sz="8" w:space="0" w:color="1C1C1C" w:themeColor="text1"/>
            </w:tcBorders>
            <w:vAlign w:val="bottom"/>
          </w:tcPr>
          <w:p w14:paraId="04B85FED" w14:textId="6E9FBDB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83</w:t>
            </w:r>
          </w:p>
        </w:tc>
        <w:tc>
          <w:tcPr>
            <w:tcW w:w="360" w:type="dxa"/>
            <w:tcBorders>
              <w:left w:val="single" w:sz="8" w:space="0" w:color="1C1C1C" w:themeColor="text1"/>
              <w:right w:val="single" w:sz="8" w:space="0" w:color="BFBFBF" w:themeColor="background1" w:themeShade="BF"/>
            </w:tcBorders>
            <w:vAlign w:val="bottom"/>
          </w:tcPr>
          <w:p w14:paraId="21F04D6A" w14:textId="36F699C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111</w:t>
            </w:r>
          </w:p>
        </w:tc>
        <w:tc>
          <w:tcPr>
            <w:tcW w:w="630" w:type="dxa"/>
            <w:tcBorders>
              <w:left w:val="single" w:sz="8" w:space="0" w:color="BFBFBF" w:themeColor="background1" w:themeShade="BF"/>
              <w:right w:val="single" w:sz="12" w:space="0" w:color="auto"/>
            </w:tcBorders>
            <w:vAlign w:val="bottom"/>
          </w:tcPr>
          <w:p w14:paraId="1AD6A829" w14:textId="54A0FAE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246</w:t>
            </w:r>
          </w:p>
        </w:tc>
        <w:tc>
          <w:tcPr>
            <w:tcW w:w="720" w:type="dxa"/>
            <w:tcBorders>
              <w:left w:val="single" w:sz="12" w:space="0" w:color="auto"/>
              <w:right w:val="single" w:sz="8" w:space="0" w:color="BFBFBF" w:themeColor="background1" w:themeShade="BF"/>
            </w:tcBorders>
            <w:vAlign w:val="bottom"/>
          </w:tcPr>
          <w:p w14:paraId="37FDFFC4" w14:textId="7CEA79E8"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49,551</w:t>
            </w:r>
          </w:p>
        </w:tc>
        <w:tc>
          <w:tcPr>
            <w:tcW w:w="900" w:type="dxa"/>
            <w:tcBorders>
              <w:left w:val="single" w:sz="8" w:space="0" w:color="BFBFBF" w:themeColor="background1" w:themeShade="BF"/>
            </w:tcBorders>
            <w:vAlign w:val="bottom"/>
          </w:tcPr>
          <w:p w14:paraId="2649D7FF" w14:textId="06285C98"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66,336</w:t>
            </w:r>
          </w:p>
        </w:tc>
      </w:tr>
      <w:tr w:rsidR="00506B65" w:rsidRPr="0081769C" w14:paraId="3A64D1E9" w14:textId="77777777" w:rsidTr="005919BE">
        <w:trPr>
          <w:cnfStyle w:val="000000100000" w:firstRow="0" w:lastRow="0" w:firstColumn="0" w:lastColumn="0" w:oddVBand="0" w:evenVBand="0" w:oddHBand="1" w:evenHBand="0" w:firstRowFirstColumn="0" w:firstRowLastColumn="0" w:lastRowFirstColumn="0" w:lastRowLastColumn="0"/>
          <w:trHeight w:val="81"/>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DA11A6B"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2028</w:t>
            </w:r>
          </w:p>
        </w:tc>
        <w:tc>
          <w:tcPr>
            <w:tcW w:w="544" w:type="dxa"/>
            <w:tcBorders>
              <w:left w:val="single" w:sz="4" w:space="0" w:color="auto"/>
              <w:right w:val="single" w:sz="8" w:space="0" w:color="BFBFBF" w:themeColor="background1" w:themeShade="BF"/>
            </w:tcBorders>
          </w:tcPr>
          <w:p w14:paraId="787F34F0" w14:textId="7BC99E7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1,227 </w:t>
            </w:r>
          </w:p>
        </w:tc>
        <w:tc>
          <w:tcPr>
            <w:tcW w:w="630" w:type="dxa"/>
            <w:tcBorders>
              <w:left w:val="single" w:sz="8" w:space="0" w:color="BFBFBF" w:themeColor="background1" w:themeShade="BF"/>
              <w:right w:val="single" w:sz="8" w:space="0" w:color="1C1C1C" w:themeColor="text1"/>
            </w:tcBorders>
          </w:tcPr>
          <w:p w14:paraId="431ED2A0" w14:textId="0CE36B5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4,227 </w:t>
            </w:r>
          </w:p>
        </w:tc>
        <w:tc>
          <w:tcPr>
            <w:tcW w:w="360" w:type="dxa"/>
            <w:tcBorders>
              <w:left w:val="single" w:sz="8" w:space="0" w:color="1C1C1C" w:themeColor="text1"/>
              <w:right w:val="single" w:sz="8" w:space="0" w:color="BFBFBF" w:themeColor="background1" w:themeShade="BF"/>
            </w:tcBorders>
            <w:noWrap/>
            <w:vAlign w:val="bottom"/>
          </w:tcPr>
          <w:p w14:paraId="10830C49" w14:textId="0D46924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w:t>
            </w:r>
          </w:p>
        </w:tc>
        <w:tc>
          <w:tcPr>
            <w:tcW w:w="630" w:type="dxa"/>
            <w:tcBorders>
              <w:left w:val="single" w:sz="8" w:space="0" w:color="BFBFBF" w:themeColor="background1" w:themeShade="BF"/>
              <w:right w:val="single" w:sz="8" w:space="0" w:color="1C1C1C" w:themeColor="text1"/>
            </w:tcBorders>
            <w:vAlign w:val="bottom"/>
          </w:tcPr>
          <w:p w14:paraId="3F2B80EA" w14:textId="676606F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w:t>
            </w:r>
          </w:p>
        </w:tc>
        <w:tc>
          <w:tcPr>
            <w:tcW w:w="630" w:type="dxa"/>
            <w:tcBorders>
              <w:left w:val="single" w:sz="8" w:space="0" w:color="1C1C1C" w:themeColor="text1"/>
              <w:right w:val="single" w:sz="8" w:space="0" w:color="BFBFBF" w:themeColor="background1" w:themeShade="BF"/>
            </w:tcBorders>
            <w:vAlign w:val="bottom"/>
          </w:tcPr>
          <w:p w14:paraId="02FD71D2" w14:textId="0F4464F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15,082</w:t>
            </w:r>
          </w:p>
        </w:tc>
        <w:tc>
          <w:tcPr>
            <w:tcW w:w="720" w:type="dxa"/>
            <w:tcBorders>
              <w:left w:val="single" w:sz="8" w:space="0" w:color="BFBFBF" w:themeColor="background1" w:themeShade="BF"/>
              <w:right w:val="single" w:sz="8" w:space="0" w:color="1C1C1C" w:themeColor="text1"/>
            </w:tcBorders>
            <w:vAlign w:val="bottom"/>
          </w:tcPr>
          <w:p w14:paraId="50042C7A" w14:textId="4DE17A1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45,125</w:t>
            </w:r>
          </w:p>
        </w:tc>
        <w:tc>
          <w:tcPr>
            <w:tcW w:w="450" w:type="dxa"/>
            <w:tcBorders>
              <w:left w:val="single" w:sz="8" w:space="0" w:color="1C1C1C" w:themeColor="text1"/>
              <w:right w:val="single" w:sz="8" w:space="0" w:color="BFBFBF" w:themeColor="background1" w:themeShade="BF"/>
            </w:tcBorders>
            <w:vAlign w:val="bottom"/>
          </w:tcPr>
          <w:p w14:paraId="4B2B1E16" w14:textId="7DC4A0C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758</w:t>
            </w:r>
          </w:p>
        </w:tc>
        <w:tc>
          <w:tcPr>
            <w:tcW w:w="630" w:type="dxa"/>
            <w:tcBorders>
              <w:left w:val="single" w:sz="8" w:space="0" w:color="BFBFBF" w:themeColor="background1" w:themeShade="BF"/>
              <w:right w:val="single" w:sz="8" w:space="0" w:color="1C1C1C" w:themeColor="text1"/>
            </w:tcBorders>
            <w:vAlign w:val="bottom"/>
          </w:tcPr>
          <w:p w14:paraId="502E13B3" w14:textId="7B58687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2,447</w:t>
            </w:r>
          </w:p>
        </w:tc>
        <w:tc>
          <w:tcPr>
            <w:tcW w:w="540" w:type="dxa"/>
            <w:tcBorders>
              <w:left w:val="single" w:sz="8" w:space="0" w:color="1C1C1C" w:themeColor="text1"/>
              <w:right w:val="single" w:sz="8" w:space="0" w:color="BFBFBF" w:themeColor="background1" w:themeShade="BF"/>
            </w:tcBorders>
            <w:vAlign w:val="bottom"/>
          </w:tcPr>
          <w:p w14:paraId="1DF62892" w14:textId="2E76F30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left w:val="single" w:sz="8" w:space="0" w:color="BFBFBF" w:themeColor="background1" w:themeShade="BF"/>
              <w:right w:val="single" w:sz="8" w:space="0" w:color="1C1C1C" w:themeColor="text1"/>
            </w:tcBorders>
            <w:vAlign w:val="bottom"/>
          </w:tcPr>
          <w:p w14:paraId="08BE40C1" w14:textId="34E7F9E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360" w:type="dxa"/>
            <w:tcBorders>
              <w:left w:val="single" w:sz="8" w:space="0" w:color="1C1C1C" w:themeColor="text1"/>
              <w:right w:val="single" w:sz="8" w:space="0" w:color="BFBFBF" w:themeColor="background1" w:themeShade="BF"/>
            </w:tcBorders>
            <w:vAlign w:val="bottom"/>
          </w:tcPr>
          <w:p w14:paraId="1ECB78DD" w14:textId="013EBEB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w:t>
            </w:r>
          </w:p>
        </w:tc>
        <w:tc>
          <w:tcPr>
            <w:tcW w:w="630" w:type="dxa"/>
            <w:tcBorders>
              <w:left w:val="single" w:sz="8" w:space="0" w:color="BFBFBF" w:themeColor="background1" w:themeShade="BF"/>
              <w:right w:val="single" w:sz="8" w:space="0" w:color="1C1C1C" w:themeColor="text1"/>
            </w:tcBorders>
            <w:vAlign w:val="bottom"/>
          </w:tcPr>
          <w:p w14:paraId="25B1284A" w14:textId="5F27888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360" w:type="dxa"/>
            <w:tcBorders>
              <w:left w:val="single" w:sz="8" w:space="0" w:color="1C1C1C" w:themeColor="text1"/>
              <w:right w:val="single" w:sz="8" w:space="0" w:color="BFBFBF" w:themeColor="background1" w:themeShade="BF"/>
            </w:tcBorders>
            <w:vAlign w:val="bottom"/>
          </w:tcPr>
          <w:p w14:paraId="12B68E7A" w14:textId="3A07C2B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102</w:t>
            </w:r>
          </w:p>
        </w:tc>
        <w:tc>
          <w:tcPr>
            <w:tcW w:w="630" w:type="dxa"/>
            <w:tcBorders>
              <w:left w:val="single" w:sz="8" w:space="0" w:color="BFBFBF" w:themeColor="background1" w:themeShade="BF"/>
              <w:right w:val="single" w:sz="12" w:space="0" w:color="auto"/>
            </w:tcBorders>
            <w:vAlign w:val="bottom"/>
          </w:tcPr>
          <w:p w14:paraId="008486A3" w14:textId="700D1E9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348</w:t>
            </w:r>
          </w:p>
        </w:tc>
        <w:tc>
          <w:tcPr>
            <w:tcW w:w="720" w:type="dxa"/>
            <w:tcBorders>
              <w:left w:val="single" w:sz="12" w:space="0" w:color="auto"/>
              <w:right w:val="single" w:sz="8" w:space="0" w:color="BFBFBF" w:themeColor="background1" w:themeShade="BF"/>
            </w:tcBorders>
            <w:vAlign w:val="bottom"/>
          </w:tcPr>
          <w:p w14:paraId="772DC40C" w14:textId="7E0E4B80"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48,391</w:t>
            </w:r>
          </w:p>
        </w:tc>
        <w:tc>
          <w:tcPr>
            <w:tcW w:w="900" w:type="dxa"/>
            <w:tcBorders>
              <w:left w:val="single" w:sz="8" w:space="0" w:color="BFBFBF" w:themeColor="background1" w:themeShade="BF"/>
            </w:tcBorders>
            <w:vAlign w:val="bottom"/>
          </w:tcPr>
          <w:p w14:paraId="31C70057" w14:textId="378F4C36"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114,727</w:t>
            </w:r>
          </w:p>
        </w:tc>
      </w:tr>
      <w:tr w:rsidR="00506B65" w:rsidRPr="0081769C" w14:paraId="7C3E9C60"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8D5BC59"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2029</w:t>
            </w:r>
          </w:p>
        </w:tc>
        <w:tc>
          <w:tcPr>
            <w:tcW w:w="544" w:type="dxa"/>
            <w:tcBorders>
              <w:left w:val="single" w:sz="4" w:space="0" w:color="auto"/>
              <w:right w:val="single" w:sz="8" w:space="0" w:color="BFBFBF" w:themeColor="background1" w:themeShade="BF"/>
            </w:tcBorders>
          </w:tcPr>
          <w:p w14:paraId="4AA780F7" w14:textId="00D0831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1,067 </w:t>
            </w:r>
          </w:p>
        </w:tc>
        <w:tc>
          <w:tcPr>
            <w:tcW w:w="630" w:type="dxa"/>
            <w:tcBorders>
              <w:left w:val="single" w:sz="8" w:space="0" w:color="BFBFBF" w:themeColor="background1" w:themeShade="BF"/>
              <w:right w:val="single" w:sz="8" w:space="0" w:color="1C1C1C" w:themeColor="text1"/>
            </w:tcBorders>
          </w:tcPr>
          <w:p w14:paraId="170B6D62" w14:textId="0B9945D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5,294 </w:t>
            </w:r>
          </w:p>
        </w:tc>
        <w:tc>
          <w:tcPr>
            <w:tcW w:w="360" w:type="dxa"/>
            <w:tcBorders>
              <w:left w:val="single" w:sz="8" w:space="0" w:color="1C1C1C" w:themeColor="text1"/>
              <w:right w:val="single" w:sz="8" w:space="0" w:color="BFBFBF" w:themeColor="background1" w:themeShade="BF"/>
            </w:tcBorders>
            <w:noWrap/>
            <w:vAlign w:val="bottom"/>
          </w:tcPr>
          <w:p w14:paraId="2C70006D" w14:textId="5026A19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w:t>
            </w:r>
          </w:p>
        </w:tc>
        <w:tc>
          <w:tcPr>
            <w:tcW w:w="630" w:type="dxa"/>
            <w:tcBorders>
              <w:left w:val="single" w:sz="8" w:space="0" w:color="BFBFBF" w:themeColor="background1" w:themeShade="BF"/>
              <w:right w:val="single" w:sz="8" w:space="0" w:color="1C1C1C" w:themeColor="text1"/>
            </w:tcBorders>
            <w:vAlign w:val="bottom"/>
          </w:tcPr>
          <w:p w14:paraId="48AA6F28" w14:textId="75116EC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41</w:t>
            </w:r>
          </w:p>
        </w:tc>
        <w:tc>
          <w:tcPr>
            <w:tcW w:w="630" w:type="dxa"/>
            <w:tcBorders>
              <w:left w:val="single" w:sz="8" w:space="0" w:color="1C1C1C" w:themeColor="text1"/>
              <w:right w:val="single" w:sz="8" w:space="0" w:color="BFBFBF" w:themeColor="background1" w:themeShade="BF"/>
            </w:tcBorders>
            <w:vAlign w:val="bottom"/>
          </w:tcPr>
          <w:p w14:paraId="4D773496" w14:textId="5E14DC6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13,731</w:t>
            </w:r>
          </w:p>
        </w:tc>
        <w:tc>
          <w:tcPr>
            <w:tcW w:w="720" w:type="dxa"/>
            <w:tcBorders>
              <w:left w:val="single" w:sz="8" w:space="0" w:color="BFBFBF" w:themeColor="background1" w:themeShade="BF"/>
              <w:right w:val="single" w:sz="8" w:space="0" w:color="1C1C1C" w:themeColor="text1"/>
            </w:tcBorders>
            <w:vAlign w:val="bottom"/>
          </w:tcPr>
          <w:p w14:paraId="71293D46" w14:textId="6159444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58,856</w:t>
            </w:r>
          </w:p>
        </w:tc>
        <w:tc>
          <w:tcPr>
            <w:tcW w:w="450" w:type="dxa"/>
            <w:tcBorders>
              <w:left w:val="single" w:sz="8" w:space="0" w:color="1C1C1C" w:themeColor="text1"/>
              <w:right w:val="single" w:sz="8" w:space="0" w:color="BFBFBF" w:themeColor="background1" w:themeShade="BF"/>
            </w:tcBorders>
            <w:vAlign w:val="bottom"/>
          </w:tcPr>
          <w:p w14:paraId="56209E04" w14:textId="09ACF21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707</w:t>
            </w:r>
          </w:p>
        </w:tc>
        <w:tc>
          <w:tcPr>
            <w:tcW w:w="630" w:type="dxa"/>
            <w:tcBorders>
              <w:left w:val="single" w:sz="8" w:space="0" w:color="BFBFBF" w:themeColor="background1" w:themeShade="BF"/>
              <w:right w:val="single" w:sz="8" w:space="0" w:color="1C1C1C" w:themeColor="text1"/>
            </w:tcBorders>
            <w:vAlign w:val="bottom"/>
          </w:tcPr>
          <w:p w14:paraId="3C5AD565" w14:textId="4AD0AAE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3,154</w:t>
            </w:r>
          </w:p>
        </w:tc>
        <w:tc>
          <w:tcPr>
            <w:tcW w:w="540" w:type="dxa"/>
            <w:tcBorders>
              <w:left w:val="single" w:sz="8" w:space="0" w:color="1C1C1C" w:themeColor="text1"/>
              <w:right w:val="single" w:sz="8" w:space="0" w:color="BFBFBF" w:themeColor="background1" w:themeShade="BF"/>
            </w:tcBorders>
            <w:vAlign w:val="bottom"/>
          </w:tcPr>
          <w:p w14:paraId="224FAC9D" w14:textId="53A61C6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5,430</w:t>
            </w:r>
          </w:p>
        </w:tc>
        <w:tc>
          <w:tcPr>
            <w:tcW w:w="630" w:type="dxa"/>
            <w:tcBorders>
              <w:left w:val="single" w:sz="8" w:space="0" w:color="BFBFBF" w:themeColor="background1" w:themeShade="BF"/>
              <w:right w:val="single" w:sz="8" w:space="0" w:color="1C1C1C" w:themeColor="text1"/>
            </w:tcBorders>
            <w:vAlign w:val="bottom"/>
          </w:tcPr>
          <w:p w14:paraId="6EA7F5F8" w14:textId="496544C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5,430</w:t>
            </w:r>
          </w:p>
        </w:tc>
        <w:tc>
          <w:tcPr>
            <w:tcW w:w="360" w:type="dxa"/>
            <w:tcBorders>
              <w:left w:val="single" w:sz="8" w:space="0" w:color="1C1C1C" w:themeColor="text1"/>
              <w:right w:val="single" w:sz="8" w:space="0" w:color="BFBFBF" w:themeColor="background1" w:themeShade="BF"/>
            </w:tcBorders>
            <w:vAlign w:val="bottom"/>
          </w:tcPr>
          <w:p w14:paraId="297B3A20" w14:textId="0AAECF7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w:t>
            </w:r>
          </w:p>
        </w:tc>
        <w:tc>
          <w:tcPr>
            <w:tcW w:w="630" w:type="dxa"/>
            <w:tcBorders>
              <w:left w:val="single" w:sz="8" w:space="0" w:color="BFBFBF" w:themeColor="background1" w:themeShade="BF"/>
              <w:right w:val="single" w:sz="8" w:space="0" w:color="1C1C1C" w:themeColor="text1"/>
            </w:tcBorders>
            <w:vAlign w:val="bottom"/>
          </w:tcPr>
          <w:p w14:paraId="386D8878" w14:textId="6F5A9ED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151</w:t>
            </w:r>
          </w:p>
        </w:tc>
        <w:tc>
          <w:tcPr>
            <w:tcW w:w="360" w:type="dxa"/>
            <w:tcBorders>
              <w:left w:val="single" w:sz="8" w:space="0" w:color="1C1C1C" w:themeColor="text1"/>
              <w:right w:val="single" w:sz="8" w:space="0" w:color="BFBFBF" w:themeColor="background1" w:themeShade="BF"/>
            </w:tcBorders>
            <w:vAlign w:val="bottom"/>
          </w:tcPr>
          <w:p w14:paraId="03B96AA6" w14:textId="519A5FA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89</w:t>
            </w:r>
          </w:p>
        </w:tc>
        <w:tc>
          <w:tcPr>
            <w:tcW w:w="630" w:type="dxa"/>
            <w:tcBorders>
              <w:left w:val="single" w:sz="8" w:space="0" w:color="BFBFBF" w:themeColor="background1" w:themeShade="BF"/>
              <w:right w:val="single" w:sz="12" w:space="0" w:color="auto"/>
            </w:tcBorders>
            <w:vAlign w:val="bottom"/>
          </w:tcPr>
          <w:p w14:paraId="7B3D0571" w14:textId="1EA09FA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438</w:t>
            </w:r>
          </w:p>
        </w:tc>
        <w:tc>
          <w:tcPr>
            <w:tcW w:w="720" w:type="dxa"/>
            <w:tcBorders>
              <w:left w:val="single" w:sz="12" w:space="0" w:color="auto"/>
              <w:right w:val="single" w:sz="8" w:space="0" w:color="BFBFBF" w:themeColor="background1" w:themeShade="BF"/>
            </w:tcBorders>
            <w:vAlign w:val="bottom"/>
          </w:tcPr>
          <w:p w14:paraId="6F06C785" w14:textId="2AB74358"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124,437</w:t>
            </w:r>
          </w:p>
        </w:tc>
        <w:tc>
          <w:tcPr>
            <w:tcW w:w="900" w:type="dxa"/>
            <w:tcBorders>
              <w:left w:val="single" w:sz="8" w:space="0" w:color="BFBFBF" w:themeColor="background1" w:themeShade="BF"/>
            </w:tcBorders>
            <w:vAlign w:val="bottom"/>
          </w:tcPr>
          <w:p w14:paraId="722122BD" w14:textId="20F63D8B"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239,164</w:t>
            </w:r>
          </w:p>
        </w:tc>
      </w:tr>
      <w:tr w:rsidR="00506B65" w:rsidRPr="0081769C" w14:paraId="16CDFB0A" w14:textId="77777777" w:rsidTr="005919BE">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902087D"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2030</w:t>
            </w:r>
          </w:p>
        </w:tc>
        <w:tc>
          <w:tcPr>
            <w:tcW w:w="544" w:type="dxa"/>
            <w:tcBorders>
              <w:left w:val="single" w:sz="4" w:space="0" w:color="auto"/>
              <w:right w:val="single" w:sz="8" w:space="0" w:color="BFBFBF" w:themeColor="background1" w:themeShade="BF"/>
            </w:tcBorders>
          </w:tcPr>
          <w:p w14:paraId="2E0C4F65" w14:textId="5A42A13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892 </w:t>
            </w:r>
          </w:p>
        </w:tc>
        <w:tc>
          <w:tcPr>
            <w:tcW w:w="630" w:type="dxa"/>
            <w:tcBorders>
              <w:left w:val="single" w:sz="8" w:space="0" w:color="BFBFBF" w:themeColor="background1" w:themeShade="BF"/>
              <w:right w:val="single" w:sz="8" w:space="0" w:color="1C1C1C" w:themeColor="text1"/>
            </w:tcBorders>
          </w:tcPr>
          <w:p w14:paraId="294EA112" w14:textId="1219182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6,185 </w:t>
            </w:r>
          </w:p>
        </w:tc>
        <w:tc>
          <w:tcPr>
            <w:tcW w:w="360" w:type="dxa"/>
            <w:tcBorders>
              <w:left w:val="single" w:sz="8" w:space="0" w:color="1C1C1C" w:themeColor="text1"/>
              <w:right w:val="single" w:sz="8" w:space="0" w:color="BFBFBF" w:themeColor="background1" w:themeShade="BF"/>
            </w:tcBorders>
            <w:noWrap/>
            <w:vAlign w:val="bottom"/>
          </w:tcPr>
          <w:p w14:paraId="4885FF0A" w14:textId="38D4859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w:t>
            </w:r>
          </w:p>
        </w:tc>
        <w:tc>
          <w:tcPr>
            <w:tcW w:w="630" w:type="dxa"/>
            <w:tcBorders>
              <w:left w:val="single" w:sz="8" w:space="0" w:color="BFBFBF" w:themeColor="background1" w:themeShade="BF"/>
              <w:right w:val="single" w:sz="8" w:space="0" w:color="1C1C1C" w:themeColor="text1"/>
            </w:tcBorders>
            <w:vAlign w:val="bottom"/>
          </w:tcPr>
          <w:p w14:paraId="7AC10D45" w14:textId="4C16BB7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48</w:t>
            </w:r>
          </w:p>
        </w:tc>
        <w:tc>
          <w:tcPr>
            <w:tcW w:w="630" w:type="dxa"/>
            <w:tcBorders>
              <w:left w:val="single" w:sz="8" w:space="0" w:color="1C1C1C" w:themeColor="text1"/>
              <w:right w:val="single" w:sz="8" w:space="0" w:color="BFBFBF" w:themeColor="background1" w:themeShade="BF"/>
            </w:tcBorders>
            <w:vAlign w:val="bottom"/>
          </w:tcPr>
          <w:p w14:paraId="5B2713DD" w14:textId="389D02E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12,255</w:t>
            </w:r>
          </w:p>
        </w:tc>
        <w:tc>
          <w:tcPr>
            <w:tcW w:w="720" w:type="dxa"/>
            <w:tcBorders>
              <w:left w:val="single" w:sz="8" w:space="0" w:color="BFBFBF" w:themeColor="background1" w:themeShade="BF"/>
              <w:right w:val="single" w:sz="8" w:space="0" w:color="1C1C1C" w:themeColor="text1"/>
            </w:tcBorders>
            <w:vAlign w:val="bottom"/>
          </w:tcPr>
          <w:p w14:paraId="0531F29C" w14:textId="7A84363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71,110</w:t>
            </w:r>
          </w:p>
        </w:tc>
        <w:tc>
          <w:tcPr>
            <w:tcW w:w="450" w:type="dxa"/>
            <w:tcBorders>
              <w:left w:val="single" w:sz="8" w:space="0" w:color="1C1C1C" w:themeColor="text1"/>
              <w:right w:val="single" w:sz="8" w:space="0" w:color="BFBFBF" w:themeColor="background1" w:themeShade="BF"/>
            </w:tcBorders>
            <w:vAlign w:val="bottom"/>
          </w:tcPr>
          <w:p w14:paraId="6834FEAC" w14:textId="423A645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652</w:t>
            </w:r>
          </w:p>
        </w:tc>
        <w:tc>
          <w:tcPr>
            <w:tcW w:w="630" w:type="dxa"/>
            <w:tcBorders>
              <w:left w:val="single" w:sz="8" w:space="0" w:color="BFBFBF" w:themeColor="background1" w:themeShade="BF"/>
              <w:right w:val="single" w:sz="8" w:space="0" w:color="1C1C1C" w:themeColor="text1"/>
            </w:tcBorders>
            <w:vAlign w:val="bottom"/>
          </w:tcPr>
          <w:p w14:paraId="541AE892" w14:textId="552875C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3,806</w:t>
            </w:r>
          </w:p>
        </w:tc>
        <w:tc>
          <w:tcPr>
            <w:tcW w:w="540" w:type="dxa"/>
            <w:tcBorders>
              <w:left w:val="single" w:sz="8" w:space="0" w:color="1C1C1C" w:themeColor="text1"/>
              <w:right w:val="single" w:sz="8" w:space="0" w:color="BFBFBF" w:themeColor="background1" w:themeShade="BF"/>
            </w:tcBorders>
            <w:vAlign w:val="bottom"/>
          </w:tcPr>
          <w:p w14:paraId="1BE65B63" w14:textId="0711B2A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4,539</w:t>
            </w:r>
          </w:p>
        </w:tc>
        <w:tc>
          <w:tcPr>
            <w:tcW w:w="630" w:type="dxa"/>
            <w:tcBorders>
              <w:left w:val="single" w:sz="8" w:space="0" w:color="BFBFBF" w:themeColor="background1" w:themeShade="BF"/>
              <w:right w:val="single" w:sz="8" w:space="0" w:color="1C1C1C" w:themeColor="text1"/>
            </w:tcBorders>
            <w:vAlign w:val="bottom"/>
          </w:tcPr>
          <w:p w14:paraId="3AB2AA24" w14:textId="2A70623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9,970</w:t>
            </w:r>
          </w:p>
        </w:tc>
        <w:tc>
          <w:tcPr>
            <w:tcW w:w="360" w:type="dxa"/>
            <w:tcBorders>
              <w:left w:val="single" w:sz="8" w:space="0" w:color="1C1C1C" w:themeColor="text1"/>
              <w:right w:val="single" w:sz="8" w:space="0" w:color="BFBFBF" w:themeColor="background1" w:themeShade="BF"/>
            </w:tcBorders>
            <w:vAlign w:val="bottom"/>
          </w:tcPr>
          <w:p w14:paraId="018554C3" w14:textId="028B787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29</w:t>
            </w:r>
          </w:p>
        </w:tc>
        <w:tc>
          <w:tcPr>
            <w:tcW w:w="630" w:type="dxa"/>
            <w:tcBorders>
              <w:left w:val="single" w:sz="8" w:space="0" w:color="BFBFBF" w:themeColor="background1" w:themeShade="BF"/>
              <w:right w:val="single" w:sz="8" w:space="0" w:color="1C1C1C" w:themeColor="text1"/>
            </w:tcBorders>
            <w:vAlign w:val="bottom"/>
          </w:tcPr>
          <w:p w14:paraId="5F51CA58" w14:textId="3B9849A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180</w:t>
            </w:r>
          </w:p>
        </w:tc>
        <w:tc>
          <w:tcPr>
            <w:tcW w:w="360" w:type="dxa"/>
            <w:tcBorders>
              <w:left w:val="single" w:sz="8" w:space="0" w:color="1C1C1C" w:themeColor="text1"/>
              <w:right w:val="single" w:sz="8" w:space="0" w:color="BFBFBF" w:themeColor="background1" w:themeShade="BF"/>
            </w:tcBorders>
            <w:vAlign w:val="bottom"/>
          </w:tcPr>
          <w:p w14:paraId="27590BF2" w14:textId="000C297B"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76</w:t>
            </w:r>
          </w:p>
        </w:tc>
        <w:tc>
          <w:tcPr>
            <w:tcW w:w="630" w:type="dxa"/>
            <w:tcBorders>
              <w:left w:val="single" w:sz="8" w:space="0" w:color="BFBFBF" w:themeColor="background1" w:themeShade="BF"/>
              <w:right w:val="single" w:sz="12" w:space="0" w:color="auto"/>
            </w:tcBorders>
            <w:vAlign w:val="bottom"/>
          </w:tcPr>
          <w:p w14:paraId="1E2C13C4" w14:textId="2C5CC2C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513</w:t>
            </w:r>
          </w:p>
        </w:tc>
        <w:tc>
          <w:tcPr>
            <w:tcW w:w="720" w:type="dxa"/>
            <w:tcBorders>
              <w:left w:val="single" w:sz="12" w:space="0" w:color="auto"/>
              <w:right w:val="single" w:sz="8" w:space="0" w:color="BFBFBF" w:themeColor="background1" w:themeShade="BF"/>
            </w:tcBorders>
            <w:vAlign w:val="bottom"/>
          </w:tcPr>
          <w:p w14:paraId="1BFEF94F" w14:textId="20672B05"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Pr>
                <w:rFonts w:cs="Calibri"/>
                <w:color w:val="000000"/>
                <w:sz w:val="20"/>
                <w:szCs w:val="20"/>
              </w:rPr>
              <w:t>121,820</w:t>
            </w:r>
          </w:p>
        </w:tc>
        <w:tc>
          <w:tcPr>
            <w:tcW w:w="900" w:type="dxa"/>
            <w:tcBorders>
              <w:left w:val="single" w:sz="8" w:space="0" w:color="BFBFBF" w:themeColor="background1" w:themeShade="BF"/>
            </w:tcBorders>
            <w:vAlign w:val="bottom"/>
          </w:tcPr>
          <w:p w14:paraId="1FAEFA88" w14:textId="1F42739E"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Pr>
                <w:rFonts w:cs="Calibri"/>
                <w:color w:val="000000"/>
                <w:sz w:val="20"/>
                <w:szCs w:val="20"/>
              </w:rPr>
              <w:t>360,984</w:t>
            </w:r>
          </w:p>
        </w:tc>
      </w:tr>
      <w:tr w:rsidR="00506B65" w:rsidRPr="0081769C" w14:paraId="5C44B689"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77247AFB"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2031</w:t>
            </w:r>
          </w:p>
        </w:tc>
        <w:tc>
          <w:tcPr>
            <w:tcW w:w="544" w:type="dxa"/>
            <w:tcBorders>
              <w:left w:val="single" w:sz="4" w:space="0" w:color="auto"/>
              <w:right w:val="single" w:sz="8" w:space="0" w:color="BFBFBF" w:themeColor="background1" w:themeShade="BF"/>
            </w:tcBorders>
          </w:tcPr>
          <w:p w14:paraId="4D8EF2E8" w14:textId="492F7ED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857 </w:t>
            </w:r>
          </w:p>
        </w:tc>
        <w:tc>
          <w:tcPr>
            <w:tcW w:w="630" w:type="dxa"/>
            <w:tcBorders>
              <w:left w:val="single" w:sz="8" w:space="0" w:color="BFBFBF" w:themeColor="background1" w:themeShade="BF"/>
              <w:right w:val="single" w:sz="8" w:space="0" w:color="1C1C1C" w:themeColor="text1"/>
            </w:tcBorders>
          </w:tcPr>
          <w:p w14:paraId="000994B6" w14:textId="67C0823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7,042 </w:t>
            </w:r>
          </w:p>
        </w:tc>
        <w:tc>
          <w:tcPr>
            <w:tcW w:w="360" w:type="dxa"/>
            <w:tcBorders>
              <w:left w:val="single" w:sz="8" w:space="0" w:color="1C1C1C" w:themeColor="text1"/>
              <w:right w:val="single" w:sz="8" w:space="0" w:color="BFBFBF" w:themeColor="background1" w:themeShade="BF"/>
            </w:tcBorders>
            <w:noWrap/>
            <w:vAlign w:val="bottom"/>
          </w:tcPr>
          <w:p w14:paraId="0A9AC936" w14:textId="1F229F7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w:t>
            </w:r>
          </w:p>
        </w:tc>
        <w:tc>
          <w:tcPr>
            <w:tcW w:w="630" w:type="dxa"/>
            <w:tcBorders>
              <w:left w:val="single" w:sz="8" w:space="0" w:color="BFBFBF" w:themeColor="background1" w:themeShade="BF"/>
              <w:right w:val="single" w:sz="8" w:space="0" w:color="1C1C1C" w:themeColor="text1"/>
            </w:tcBorders>
            <w:vAlign w:val="bottom"/>
          </w:tcPr>
          <w:p w14:paraId="6EFDF32E" w14:textId="0E4D87C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55</w:t>
            </w:r>
          </w:p>
        </w:tc>
        <w:tc>
          <w:tcPr>
            <w:tcW w:w="630" w:type="dxa"/>
            <w:tcBorders>
              <w:left w:val="single" w:sz="8" w:space="0" w:color="1C1C1C" w:themeColor="text1"/>
              <w:right w:val="single" w:sz="8" w:space="0" w:color="BFBFBF" w:themeColor="background1" w:themeShade="BF"/>
            </w:tcBorders>
            <w:vAlign w:val="bottom"/>
          </w:tcPr>
          <w:p w14:paraId="1F67192F" w14:textId="3D21034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11,960</w:t>
            </w:r>
          </w:p>
        </w:tc>
        <w:tc>
          <w:tcPr>
            <w:tcW w:w="720" w:type="dxa"/>
            <w:tcBorders>
              <w:left w:val="single" w:sz="8" w:space="0" w:color="BFBFBF" w:themeColor="background1" w:themeShade="BF"/>
              <w:right w:val="single" w:sz="8" w:space="0" w:color="1C1C1C" w:themeColor="text1"/>
            </w:tcBorders>
            <w:vAlign w:val="bottom"/>
          </w:tcPr>
          <w:p w14:paraId="513DE216" w14:textId="3688455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83,071</w:t>
            </w:r>
          </w:p>
        </w:tc>
        <w:tc>
          <w:tcPr>
            <w:tcW w:w="450" w:type="dxa"/>
            <w:tcBorders>
              <w:left w:val="single" w:sz="8" w:space="0" w:color="1C1C1C" w:themeColor="text1"/>
              <w:right w:val="single" w:sz="8" w:space="0" w:color="BFBFBF" w:themeColor="background1" w:themeShade="BF"/>
            </w:tcBorders>
            <w:vAlign w:val="bottom"/>
          </w:tcPr>
          <w:p w14:paraId="4E1740CE" w14:textId="0C3B767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641</w:t>
            </w:r>
          </w:p>
        </w:tc>
        <w:tc>
          <w:tcPr>
            <w:tcW w:w="630" w:type="dxa"/>
            <w:tcBorders>
              <w:left w:val="single" w:sz="8" w:space="0" w:color="BFBFBF" w:themeColor="background1" w:themeShade="BF"/>
              <w:right w:val="single" w:sz="8" w:space="0" w:color="1C1C1C" w:themeColor="text1"/>
            </w:tcBorders>
            <w:vAlign w:val="bottom"/>
          </w:tcPr>
          <w:p w14:paraId="6D1DFE5E" w14:textId="603D646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4,447</w:t>
            </w:r>
          </w:p>
        </w:tc>
        <w:tc>
          <w:tcPr>
            <w:tcW w:w="540" w:type="dxa"/>
            <w:tcBorders>
              <w:left w:val="single" w:sz="8" w:space="0" w:color="1C1C1C" w:themeColor="text1"/>
              <w:right w:val="single" w:sz="8" w:space="0" w:color="BFBFBF" w:themeColor="background1" w:themeShade="BF"/>
            </w:tcBorders>
            <w:vAlign w:val="bottom"/>
          </w:tcPr>
          <w:p w14:paraId="624775E2" w14:textId="205A726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4,362</w:t>
            </w:r>
          </w:p>
        </w:tc>
        <w:tc>
          <w:tcPr>
            <w:tcW w:w="630" w:type="dxa"/>
            <w:tcBorders>
              <w:left w:val="single" w:sz="8" w:space="0" w:color="BFBFBF" w:themeColor="background1" w:themeShade="BF"/>
              <w:right w:val="single" w:sz="8" w:space="0" w:color="1C1C1C" w:themeColor="text1"/>
            </w:tcBorders>
            <w:vAlign w:val="bottom"/>
          </w:tcPr>
          <w:p w14:paraId="7381C675" w14:textId="54E1981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14,331</w:t>
            </w:r>
          </w:p>
        </w:tc>
        <w:tc>
          <w:tcPr>
            <w:tcW w:w="360" w:type="dxa"/>
            <w:tcBorders>
              <w:left w:val="single" w:sz="8" w:space="0" w:color="1C1C1C" w:themeColor="text1"/>
              <w:right w:val="single" w:sz="8" w:space="0" w:color="BFBFBF" w:themeColor="background1" w:themeShade="BF"/>
            </w:tcBorders>
            <w:vAlign w:val="bottom"/>
          </w:tcPr>
          <w:p w14:paraId="254BE278" w14:textId="5C4EC49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28</w:t>
            </w:r>
          </w:p>
        </w:tc>
        <w:tc>
          <w:tcPr>
            <w:tcW w:w="630" w:type="dxa"/>
            <w:tcBorders>
              <w:left w:val="single" w:sz="8" w:space="0" w:color="BFBFBF" w:themeColor="background1" w:themeShade="BF"/>
              <w:right w:val="single" w:sz="8" w:space="0" w:color="1C1C1C" w:themeColor="text1"/>
            </w:tcBorders>
            <w:vAlign w:val="bottom"/>
          </w:tcPr>
          <w:p w14:paraId="65382D6D" w14:textId="54D8D0C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208</w:t>
            </w:r>
          </w:p>
        </w:tc>
        <w:tc>
          <w:tcPr>
            <w:tcW w:w="360" w:type="dxa"/>
            <w:tcBorders>
              <w:left w:val="single" w:sz="8" w:space="0" w:color="1C1C1C" w:themeColor="text1"/>
              <w:right w:val="single" w:sz="8" w:space="0" w:color="BFBFBF" w:themeColor="background1" w:themeShade="BF"/>
            </w:tcBorders>
            <w:vAlign w:val="bottom"/>
          </w:tcPr>
          <w:p w14:paraId="32B44CB1" w14:textId="0521EBA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73</w:t>
            </w:r>
          </w:p>
        </w:tc>
        <w:tc>
          <w:tcPr>
            <w:tcW w:w="630" w:type="dxa"/>
            <w:tcBorders>
              <w:left w:val="single" w:sz="8" w:space="0" w:color="BFBFBF" w:themeColor="background1" w:themeShade="BF"/>
              <w:right w:val="single" w:sz="12" w:space="0" w:color="auto"/>
            </w:tcBorders>
            <w:vAlign w:val="bottom"/>
          </w:tcPr>
          <w:p w14:paraId="49EEF58C" w14:textId="538C9BDA"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586</w:t>
            </w:r>
          </w:p>
        </w:tc>
        <w:tc>
          <w:tcPr>
            <w:tcW w:w="720" w:type="dxa"/>
            <w:tcBorders>
              <w:left w:val="single" w:sz="12" w:space="0" w:color="auto"/>
              <w:right w:val="single" w:sz="8" w:space="0" w:color="BFBFBF" w:themeColor="background1" w:themeShade="BF"/>
            </w:tcBorders>
            <w:vAlign w:val="bottom"/>
          </w:tcPr>
          <w:p w14:paraId="6F4ECE21" w14:textId="48140761"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121,297</w:t>
            </w:r>
          </w:p>
        </w:tc>
        <w:tc>
          <w:tcPr>
            <w:tcW w:w="900" w:type="dxa"/>
            <w:tcBorders>
              <w:left w:val="single" w:sz="8" w:space="0" w:color="BFBFBF" w:themeColor="background1" w:themeShade="BF"/>
            </w:tcBorders>
            <w:vAlign w:val="bottom"/>
          </w:tcPr>
          <w:p w14:paraId="3D46B2C3" w14:textId="1DD8AF9B"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482,281</w:t>
            </w:r>
          </w:p>
        </w:tc>
      </w:tr>
      <w:tr w:rsidR="00506B65" w:rsidRPr="0081769C" w14:paraId="2C3943E4" w14:textId="77777777" w:rsidTr="005919BE">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31B7B7D"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2032</w:t>
            </w:r>
          </w:p>
        </w:tc>
        <w:tc>
          <w:tcPr>
            <w:tcW w:w="544" w:type="dxa"/>
            <w:tcBorders>
              <w:left w:val="single" w:sz="4" w:space="0" w:color="auto"/>
              <w:right w:val="single" w:sz="8" w:space="0" w:color="BFBFBF" w:themeColor="background1" w:themeShade="BF"/>
            </w:tcBorders>
          </w:tcPr>
          <w:p w14:paraId="605D3C74" w14:textId="3E22DF5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803 </w:t>
            </w:r>
          </w:p>
        </w:tc>
        <w:tc>
          <w:tcPr>
            <w:tcW w:w="630" w:type="dxa"/>
            <w:tcBorders>
              <w:left w:val="single" w:sz="8" w:space="0" w:color="BFBFBF" w:themeColor="background1" w:themeShade="BF"/>
              <w:right w:val="single" w:sz="8" w:space="0" w:color="1C1C1C" w:themeColor="text1"/>
            </w:tcBorders>
          </w:tcPr>
          <w:p w14:paraId="73E52A5E" w14:textId="5F5016A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7,845 </w:t>
            </w:r>
          </w:p>
        </w:tc>
        <w:tc>
          <w:tcPr>
            <w:tcW w:w="360" w:type="dxa"/>
            <w:tcBorders>
              <w:left w:val="single" w:sz="8" w:space="0" w:color="1C1C1C" w:themeColor="text1"/>
              <w:right w:val="single" w:sz="8" w:space="0" w:color="BFBFBF" w:themeColor="background1" w:themeShade="BF"/>
            </w:tcBorders>
            <w:noWrap/>
            <w:vAlign w:val="bottom"/>
          </w:tcPr>
          <w:p w14:paraId="39975E7F" w14:textId="4F5DCEE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1731989C" w14:textId="5CD855C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w:t>
            </w:r>
          </w:p>
        </w:tc>
        <w:tc>
          <w:tcPr>
            <w:tcW w:w="630" w:type="dxa"/>
            <w:tcBorders>
              <w:left w:val="single" w:sz="8" w:space="0" w:color="1C1C1C" w:themeColor="text1"/>
              <w:right w:val="single" w:sz="8" w:space="0" w:color="BFBFBF" w:themeColor="background1" w:themeShade="BF"/>
            </w:tcBorders>
            <w:vAlign w:val="bottom"/>
          </w:tcPr>
          <w:p w14:paraId="64B856A3" w14:textId="24D7EB9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11,509</w:t>
            </w:r>
          </w:p>
        </w:tc>
        <w:tc>
          <w:tcPr>
            <w:tcW w:w="720" w:type="dxa"/>
            <w:tcBorders>
              <w:left w:val="single" w:sz="8" w:space="0" w:color="BFBFBF" w:themeColor="background1" w:themeShade="BF"/>
              <w:right w:val="single" w:sz="8" w:space="0" w:color="1C1C1C" w:themeColor="text1"/>
            </w:tcBorders>
            <w:vAlign w:val="bottom"/>
          </w:tcPr>
          <w:p w14:paraId="0EE08D60" w14:textId="0A75344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94,580</w:t>
            </w:r>
          </w:p>
        </w:tc>
        <w:tc>
          <w:tcPr>
            <w:tcW w:w="450" w:type="dxa"/>
            <w:tcBorders>
              <w:left w:val="single" w:sz="8" w:space="0" w:color="1C1C1C" w:themeColor="text1"/>
              <w:right w:val="single" w:sz="8" w:space="0" w:color="BFBFBF" w:themeColor="background1" w:themeShade="BF"/>
            </w:tcBorders>
            <w:vAlign w:val="bottom"/>
          </w:tcPr>
          <w:p w14:paraId="579C4D67" w14:textId="2E42098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624</w:t>
            </w:r>
          </w:p>
        </w:tc>
        <w:tc>
          <w:tcPr>
            <w:tcW w:w="630" w:type="dxa"/>
            <w:tcBorders>
              <w:left w:val="single" w:sz="8" w:space="0" w:color="BFBFBF" w:themeColor="background1" w:themeShade="BF"/>
              <w:right w:val="single" w:sz="8" w:space="0" w:color="1C1C1C" w:themeColor="text1"/>
            </w:tcBorders>
            <w:vAlign w:val="bottom"/>
          </w:tcPr>
          <w:p w14:paraId="225244BB" w14:textId="367463C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5,071</w:t>
            </w:r>
          </w:p>
        </w:tc>
        <w:tc>
          <w:tcPr>
            <w:tcW w:w="540" w:type="dxa"/>
            <w:tcBorders>
              <w:left w:val="single" w:sz="8" w:space="0" w:color="1C1C1C" w:themeColor="text1"/>
              <w:right w:val="single" w:sz="8" w:space="0" w:color="BFBFBF" w:themeColor="background1" w:themeShade="BF"/>
            </w:tcBorders>
            <w:vAlign w:val="bottom"/>
          </w:tcPr>
          <w:p w14:paraId="36F78DAC" w14:textId="01C0B82B"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4,089</w:t>
            </w:r>
          </w:p>
        </w:tc>
        <w:tc>
          <w:tcPr>
            <w:tcW w:w="630" w:type="dxa"/>
            <w:tcBorders>
              <w:left w:val="single" w:sz="8" w:space="0" w:color="BFBFBF" w:themeColor="background1" w:themeShade="BF"/>
              <w:right w:val="single" w:sz="8" w:space="0" w:color="1C1C1C" w:themeColor="text1"/>
            </w:tcBorders>
            <w:vAlign w:val="bottom"/>
          </w:tcPr>
          <w:p w14:paraId="799DB973" w14:textId="3888FB4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18,421</w:t>
            </w:r>
          </w:p>
        </w:tc>
        <w:tc>
          <w:tcPr>
            <w:tcW w:w="360" w:type="dxa"/>
            <w:tcBorders>
              <w:left w:val="single" w:sz="8" w:space="0" w:color="1C1C1C" w:themeColor="text1"/>
              <w:right w:val="single" w:sz="8" w:space="0" w:color="BFBFBF" w:themeColor="background1" w:themeShade="BF"/>
            </w:tcBorders>
            <w:vAlign w:val="bottom"/>
          </w:tcPr>
          <w:p w14:paraId="6A811B62" w14:textId="1CCE997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171BD8DA" w14:textId="3CE354E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236</w:t>
            </w:r>
          </w:p>
        </w:tc>
        <w:tc>
          <w:tcPr>
            <w:tcW w:w="360" w:type="dxa"/>
            <w:tcBorders>
              <w:left w:val="single" w:sz="8" w:space="0" w:color="1C1C1C" w:themeColor="text1"/>
              <w:right w:val="single" w:sz="8" w:space="0" w:color="BFBFBF" w:themeColor="background1" w:themeShade="BF"/>
            </w:tcBorders>
            <w:vAlign w:val="bottom"/>
          </w:tcPr>
          <w:p w14:paraId="49238B61" w14:textId="4CBC514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69</w:t>
            </w:r>
          </w:p>
        </w:tc>
        <w:tc>
          <w:tcPr>
            <w:tcW w:w="630" w:type="dxa"/>
            <w:tcBorders>
              <w:left w:val="single" w:sz="8" w:space="0" w:color="BFBFBF" w:themeColor="background1" w:themeShade="BF"/>
              <w:right w:val="single" w:sz="12" w:space="0" w:color="auto"/>
            </w:tcBorders>
            <w:vAlign w:val="bottom"/>
          </w:tcPr>
          <w:p w14:paraId="73A6F315" w14:textId="2973518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655</w:t>
            </w:r>
          </w:p>
        </w:tc>
        <w:tc>
          <w:tcPr>
            <w:tcW w:w="720" w:type="dxa"/>
            <w:tcBorders>
              <w:left w:val="single" w:sz="12" w:space="0" w:color="auto"/>
              <w:right w:val="single" w:sz="8" w:space="0" w:color="BFBFBF" w:themeColor="background1" w:themeShade="BF"/>
            </w:tcBorders>
            <w:vAlign w:val="bottom"/>
          </w:tcPr>
          <w:p w14:paraId="66C86D94" w14:textId="46CB8468"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120,496</w:t>
            </w:r>
          </w:p>
        </w:tc>
        <w:tc>
          <w:tcPr>
            <w:tcW w:w="900" w:type="dxa"/>
            <w:tcBorders>
              <w:left w:val="single" w:sz="8" w:space="0" w:color="BFBFBF" w:themeColor="background1" w:themeShade="BF"/>
            </w:tcBorders>
            <w:vAlign w:val="bottom"/>
          </w:tcPr>
          <w:p w14:paraId="3220B7D5" w14:textId="7DF28AC9"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602,777</w:t>
            </w:r>
          </w:p>
        </w:tc>
      </w:tr>
      <w:tr w:rsidR="00506B65" w:rsidRPr="0081769C" w14:paraId="0CD504C4" w14:textId="77777777" w:rsidTr="005919BE">
        <w:trPr>
          <w:trHeight w:val="117"/>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2BEE4FAE"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2033</w:t>
            </w:r>
          </w:p>
        </w:tc>
        <w:tc>
          <w:tcPr>
            <w:tcW w:w="544" w:type="dxa"/>
            <w:tcBorders>
              <w:left w:val="single" w:sz="4" w:space="0" w:color="auto"/>
              <w:right w:val="single" w:sz="8" w:space="0" w:color="BFBFBF" w:themeColor="background1" w:themeShade="BF"/>
            </w:tcBorders>
          </w:tcPr>
          <w:p w14:paraId="7073957C" w14:textId="5ADE0A0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786 </w:t>
            </w:r>
          </w:p>
        </w:tc>
        <w:tc>
          <w:tcPr>
            <w:tcW w:w="630" w:type="dxa"/>
            <w:tcBorders>
              <w:left w:val="single" w:sz="8" w:space="0" w:color="BFBFBF" w:themeColor="background1" w:themeShade="BF"/>
              <w:right w:val="single" w:sz="8" w:space="0" w:color="1C1C1C" w:themeColor="text1"/>
            </w:tcBorders>
          </w:tcPr>
          <w:p w14:paraId="1D3A96A2" w14:textId="1E80DD2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8,631 </w:t>
            </w:r>
          </w:p>
        </w:tc>
        <w:tc>
          <w:tcPr>
            <w:tcW w:w="360" w:type="dxa"/>
            <w:tcBorders>
              <w:left w:val="single" w:sz="8" w:space="0" w:color="1C1C1C" w:themeColor="text1"/>
              <w:right w:val="single" w:sz="8" w:space="0" w:color="BFBFBF" w:themeColor="background1" w:themeShade="BF"/>
            </w:tcBorders>
            <w:noWrap/>
            <w:vAlign w:val="bottom"/>
          </w:tcPr>
          <w:p w14:paraId="6BB17D92" w14:textId="7260956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59C9670A" w14:textId="7E507AE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1C1C1C" w:themeColor="text1"/>
              <w:right w:val="single" w:sz="8" w:space="0" w:color="BFBFBF" w:themeColor="background1" w:themeShade="BF"/>
            </w:tcBorders>
            <w:vAlign w:val="bottom"/>
          </w:tcPr>
          <w:p w14:paraId="1E82E152" w14:textId="4D6270E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11,363</w:t>
            </w:r>
          </w:p>
        </w:tc>
        <w:tc>
          <w:tcPr>
            <w:tcW w:w="720" w:type="dxa"/>
            <w:tcBorders>
              <w:left w:val="single" w:sz="8" w:space="0" w:color="BFBFBF" w:themeColor="background1" w:themeShade="BF"/>
              <w:right w:val="single" w:sz="8" w:space="0" w:color="1C1C1C" w:themeColor="text1"/>
            </w:tcBorders>
            <w:vAlign w:val="bottom"/>
          </w:tcPr>
          <w:p w14:paraId="1E0AD5D7" w14:textId="5491950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105,943</w:t>
            </w:r>
          </w:p>
        </w:tc>
        <w:tc>
          <w:tcPr>
            <w:tcW w:w="450" w:type="dxa"/>
            <w:tcBorders>
              <w:left w:val="single" w:sz="8" w:space="0" w:color="1C1C1C" w:themeColor="text1"/>
              <w:right w:val="single" w:sz="8" w:space="0" w:color="BFBFBF" w:themeColor="background1" w:themeShade="BF"/>
            </w:tcBorders>
            <w:vAlign w:val="bottom"/>
          </w:tcPr>
          <w:p w14:paraId="20BA64C9" w14:textId="2A2473B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618</w:t>
            </w:r>
          </w:p>
        </w:tc>
        <w:tc>
          <w:tcPr>
            <w:tcW w:w="630" w:type="dxa"/>
            <w:tcBorders>
              <w:left w:val="single" w:sz="8" w:space="0" w:color="BFBFBF" w:themeColor="background1" w:themeShade="BF"/>
              <w:right w:val="single" w:sz="8" w:space="0" w:color="1C1C1C" w:themeColor="text1"/>
            </w:tcBorders>
            <w:vAlign w:val="bottom"/>
          </w:tcPr>
          <w:p w14:paraId="29B93808" w14:textId="537792E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5,689</w:t>
            </w:r>
          </w:p>
        </w:tc>
        <w:tc>
          <w:tcPr>
            <w:tcW w:w="540" w:type="dxa"/>
            <w:tcBorders>
              <w:left w:val="single" w:sz="8" w:space="0" w:color="1C1C1C" w:themeColor="text1"/>
              <w:right w:val="single" w:sz="8" w:space="0" w:color="BFBFBF" w:themeColor="background1" w:themeShade="BF"/>
            </w:tcBorders>
            <w:vAlign w:val="bottom"/>
          </w:tcPr>
          <w:p w14:paraId="07E5702E" w14:textId="66606AF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4,001</w:t>
            </w:r>
          </w:p>
        </w:tc>
        <w:tc>
          <w:tcPr>
            <w:tcW w:w="630" w:type="dxa"/>
            <w:tcBorders>
              <w:left w:val="single" w:sz="8" w:space="0" w:color="BFBFBF" w:themeColor="background1" w:themeShade="BF"/>
              <w:right w:val="single" w:sz="8" w:space="0" w:color="1C1C1C" w:themeColor="text1"/>
            </w:tcBorders>
            <w:vAlign w:val="bottom"/>
          </w:tcPr>
          <w:p w14:paraId="00CDD8A3" w14:textId="765F8C6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22,421</w:t>
            </w:r>
          </w:p>
        </w:tc>
        <w:tc>
          <w:tcPr>
            <w:tcW w:w="360" w:type="dxa"/>
            <w:tcBorders>
              <w:left w:val="single" w:sz="8" w:space="0" w:color="1C1C1C" w:themeColor="text1"/>
              <w:right w:val="single" w:sz="8" w:space="0" w:color="BFBFBF" w:themeColor="background1" w:themeShade="BF"/>
            </w:tcBorders>
            <w:vAlign w:val="bottom"/>
          </w:tcPr>
          <w:p w14:paraId="552D65E1" w14:textId="783C415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00066D5F" w14:textId="3AA354E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262</w:t>
            </w:r>
          </w:p>
        </w:tc>
        <w:tc>
          <w:tcPr>
            <w:tcW w:w="360" w:type="dxa"/>
            <w:tcBorders>
              <w:left w:val="single" w:sz="8" w:space="0" w:color="1C1C1C" w:themeColor="text1"/>
              <w:right w:val="single" w:sz="8" w:space="0" w:color="BFBFBF" w:themeColor="background1" w:themeShade="BF"/>
            </w:tcBorders>
            <w:vAlign w:val="bottom"/>
          </w:tcPr>
          <w:p w14:paraId="41A7498C" w14:textId="7C2690E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BFBFBF" w:themeColor="background1" w:themeShade="BF"/>
              <w:right w:val="single" w:sz="12" w:space="0" w:color="auto"/>
            </w:tcBorders>
            <w:vAlign w:val="bottom"/>
          </w:tcPr>
          <w:p w14:paraId="49BD5401" w14:textId="779B4E9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722</w:t>
            </w:r>
          </w:p>
        </w:tc>
        <w:tc>
          <w:tcPr>
            <w:tcW w:w="720" w:type="dxa"/>
            <w:tcBorders>
              <w:left w:val="single" w:sz="12" w:space="0" w:color="auto"/>
              <w:right w:val="single" w:sz="8" w:space="0" w:color="BFBFBF" w:themeColor="background1" w:themeShade="BF"/>
            </w:tcBorders>
            <w:vAlign w:val="bottom"/>
          </w:tcPr>
          <w:p w14:paraId="7F4C8386" w14:textId="49289F59"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120,234</w:t>
            </w:r>
          </w:p>
        </w:tc>
        <w:tc>
          <w:tcPr>
            <w:tcW w:w="900" w:type="dxa"/>
            <w:tcBorders>
              <w:left w:val="single" w:sz="8" w:space="0" w:color="BFBFBF" w:themeColor="background1" w:themeShade="BF"/>
            </w:tcBorders>
            <w:vAlign w:val="bottom"/>
          </w:tcPr>
          <w:p w14:paraId="355EB1BA" w14:textId="670FC45E"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723,012</w:t>
            </w:r>
          </w:p>
        </w:tc>
      </w:tr>
      <w:tr w:rsidR="00506B65" w:rsidRPr="0081769C" w14:paraId="1FC7013C" w14:textId="77777777" w:rsidTr="005919BE">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3247EA9"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2034</w:t>
            </w:r>
          </w:p>
        </w:tc>
        <w:tc>
          <w:tcPr>
            <w:tcW w:w="544" w:type="dxa"/>
            <w:tcBorders>
              <w:left w:val="single" w:sz="4" w:space="0" w:color="auto"/>
              <w:right w:val="single" w:sz="8" w:space="0" w:color="BFBFBF" w:themeColor="background1" w:themeShade="BF"/>
            </w:tcBorders>
          </w:tcPr>
          <w:p w14:paraId="0A1C00B9" w14:textId="1332B19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742 </w:t>
            </w:r>
          </w:p>
        </w:tc>
        <w:tc>
          <w:tcPr>
            <w:tcW w:w="630" w:type="dxa"/>
            <w:tcBorders>
              <w:left w:val="single" w:sz="8" w:space="0" w:color="BFBFBF" w:themeColor="background1" w:themeShade="BF"/>
              <w:right w:val="single" w:sz="8" w:space="0" w:color="1C1C1C" w:themeColor="text1"/>
            </w:tcBorders>
          </w:tcPr>
          <w:p w14:paraId="6F547F30" w14:textId="50B00F2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9,373 </w:t>
            </w:r>
          </w:p>
        </w:tc>
        <w:tc>
          <w:tcPr>
            <w:tcW w:w="360" w:type="dxa"/>
            <w:tcBorders>
              <w:left w:val="single" w:sz="8" w:space="0" w:color="1C1C1C" w:themeColor="text1"/>
              <w:right w:val="single" w:sz="8" w:space="0" w:color="BFBFBF" w:themeColor="background1" w:themeShade="BF"/>
            </w:tcBorders>
            <w:noWrap/>
            <w:vAlign w:val="bottom"/>
          </w:tcPr>
          <w:p w14:paraId="17A0474E" w14:textId="70875B0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0AB39D92" w14:textId="13BB685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73</w:t>
            </w:r>
          </w:p>
        </w:tc>
        <w:tc>
          <w:tcPr>
            <w:tcW w:w="630" w:type="dxa"/>
            <w:tcBorders>
              <w:left w:val="single" w:sz="8" w:space="0" w:color="1C1C1C" w:themeColor="text1"/>
              <w:right w:val="single" w:sz="8" w:space="0" w:color="BFBFBF" w:themeColor="background1" w:themeShade="BF"/>
            </w:tcBorders>
            <w:vAlign w:val="bottom"/>
          </w:tcPr>
          <w:p w14:paraId="27B08EE8" w14:textId="700FCC5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10,993</w:t>
            </w:r>
          </w:p>
        </w:tc>
        <w:tc>
          <w:tcPr>
            <w:tcW w:w="720" w:type="dxa"/>
            <w:tcBorders>
              <w:left w:val="single" w:sz="8" w:space="0" w:color="BFBFBF" w:themeColor="background1" w:themeShade="BF"/>
              <w:right w:val="single" w:sz="8" w:space="0" w:color="1C1C1C" w:themeColor="text1"/>
            </w:tcBorders>
            <w:vAlign w:val="bottom"/>
          </w:tcPr>
          <w:p w14:paraId="3B671BD8" w14:textId="2920184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116,936</w:t>
            </w:r>
          </w:p>
        </w:tc>
        <w:tc>
          <w:tcPr>
            <w:tcW w:w="450" w:type="dxa"/>
            <w:tcBorders>
              <w:left w:val="single" w:sz="8" w:space="0" w:color="1C1C1C" w:themeColor="text1"/>
              <w:right w:val="single" w:sz="8" w:space="0" w:color="BFBFBF" w:themeColor="background1" w:themeShade="BF"/>
            </w:tcBorders>
            <w:vAlign w:val="bottom"/>
          </w:tcPr>
          <w:p w14:paraId="7DA404D5" w14:textId="2D4AE7C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605</w:t>
            </w:r>
          </w:p>
        </w:tc>
        <w:tc>
          <w:tcPr>
            <w:tcW w:w="630" w:type="dxa"/>
            <w:tcBorders>
              <w:left w:val="single" w:sz="8" w:space="0" w:color="BFBFBF" w:themeColor="background1" w:themeShade="BF"/>
              <w:right w:val="single" w:sz="8" w:space="0" w:color="1C1C1C" w:themeColor="text1"/>
            </w:tcBorders>
            <w:vAlign w:val="bottom"/>
          </w:tcPr>
          <w:p w14:paraId="185A57A4" w14:textId="2DAAAAE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6,294</w:t>
            </w:r>
          </w:p>
        </w:tc>
        <w:tc>
          <w:tcPr>
            <w:tcW w:w="540" w:type="dxa"/>
            <w:tcBorders>
              <w:left w:val="single" w:sz="8" w:space="0" w:color="1C1C1C" w:themeColor="text1"/>
              <w:right w:val="single" w:sz="8" w:space="0" w:color="BFBFBF" w:themeColor="background1" w:themeShade="BF"/>
            </w:tcBorders>
            <w:vAlign w:val="bottom"/>
          </w:tcPr>
          <w:p w14:paraId="5149800F" w14:textId="071B18F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3,778</w:t>
            </w:r>
          </w:p>
        </w:tc>
        <w:tc>
          <w:tcPr>
            <w:tcW w:w="630" w:type="dxa"/>
            <w:tcBorders>
              <w:left w:val="single" w:sz="8" w:space="0" w:color="BFBFBF" w:themeColor="background1" w:themeShade="BF"/>
              <w:right w:val="single" w:sz="8" w:space="0" w:color="1C1C1C" w:themeColor="text1"/>
            </w:tcBorders>
            <w:vAlign w:val="bottom"/>
          </w:tcPr>
          <w:p w14:paraId="22741C82" w14:textId="3330385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26,199</w:t>
            </w:r>
          </w:p>
        </w:tc>
        <w:tc>
          <w:tcPr>
            <w:tcW w:w="360" w:type="dxa"/>
            <w:tcBorders>
              <w:left w:val="single" w:sz="8" w:space="0" w:color="1C1C1C" w:themeColor="text1"/>
              <w:right w:val="single" w:sz="8" w:space="0" w:color="BFBFBF" w:themeColor="background1" w:themeShade="BF"/>
            </w:tcBorders>
            <w:vAlign w:val="bottom"/>
          </w:tcPr>
          <w:p w14:paraId="051F6623" w14:textId="26FD526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w:t>
            </w:r>
          </w:p>
        </w:tc>
        <w:tc>
          <w:tcPr>
            <w:tcW w:w="630" w:type="dxa"/>
            <w:tcBorders>
              <w:left w:val="single" w:sz="8" w:space="0" w:color="BFBFBF" w:themeColor="background1" w:themeShade="BF"/>
              <w:right w:val="single" w:sz="8" w:space="0" w:color="1C1C1C" w:themeColor="text1"/>
            </w:tcBorders>
            <w:vAlign w:val="bottom"/>
          </w:tcPr>
          <w:p w14:paraId="2DCE17CB" w14:textId="5F4DFDA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288</w:t>
            </w:r>
          </w:p>
        </w:tc>
        <w:tc>
          <w:tcPr>
            <w:tcW w:w="360" w:type="dxa"/>
            <w:tcBorders>
              <w:left w:val="single" w:sz="8" w:space="0" w:color="1C1C1C" w:themeColor="text1"/>
              <w:right w:val="single" w:sz="8" w:space="0" w:color="BFBFBF" w:themeColor="background1" w:themeShade="BF"/>
            </w:tcBorders>
            <w:vAlign w:val="bottom"/>
          </w:tcPr>
          <w:p w14:paraId="5CE0F695" w14:textId="0E82181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64</w:t>
            </w:r>
          </w:p>
        </w:tc>
        <w:tc>
          <w:tcPr>
            <w:tcW w:w="630" w:type="dxa"/>
            <w:tcBorders>
              <w:left w:val="single" w:sz="8" w:space="0" w:color="BFBFBF" w:themeColor="background1" w:themeShade="BF"/>
              <w:right w:val="single" w:sz="12" w:space="0" w:color="auto"/>
            </w:tcBorders>
            <w:vAlign w:val="bottom"/>
          </w:tcPr>
          <w:p w14:paraId="3D60A153" w14:textId="093486D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786</w:t>
            </w:r>
          </w:p>
        </w:tc>
        <w:tc>
          <w:tcPr>
            <w:tcW w:w="720" w:type="dxa"/>
            <w:tcBorders>
              <w:left w:val="single" w:sz="12" w:space="0" w:color="auto"/>
              <w:right w:val="single" w:sz="8" w:space="0" w:color="BFBFBF" w:themeColor="background1" w:themeShade="BF"/>
            </w:tcBorders>
            <w:vAlign w:val="bottom"/>
          </w:tcPr>
          <w:p w14:paraId="3F19B5E8" w14:textId="430B1EB9"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119,578</w:t>
            </w:r>
          </w:p>
        </w:tc>
        <w:tc>
          <w:tcPr>
            <w:tcW w:w="900" w:type="dxa"/>
            <w:tcBorders>
              <w:left w:val="single" w:sz="8" w:space="0" w:color="BFBFBF" w:themeColor="background1" w:themeShade="BF"/>
            </w:tcBorders>
            <w:vAlign w:val="bottom"/>
          </w:tcPr>
          <w:p w14:paraId="58646D6E" w14:textId="38FD38DA"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842,590</w:t>
            </w:r>
          </w:p>
        </w:tc>
      </w:tr>
      <w:tr w:rsidR="00506B65" w:rsidRPr="0081769C" w14:paraId="112E80E3" w14:textId="77777777" w:rsidTr="005919BE">
        <w:trPr>
          <w:trHeight w:val="72"/>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30872055"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2035</w:t>
            </w:r>
          </w:p>
        </w:tc>
        <w:tc>
          <w:tcPr>
            <w:tcW w:w="544" w:type="dxa"/>
            <w:tcBorders>
              <w:left w:val="single" w:sz="4" w:space="0" w:color="auto"/>
              <w:right w:val="single" w:sz="8" w:space="0" w:color="BFBFBF" w:themeColor="background1" w:themeShade="BF"/>
            </w:tcBorders>
          </w:tcPr>
          <w:p w14:paraId="4AF025EF" w14:textId="1AD2BC0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734 </w:t>
            </w:r>
          </w:p>
        </w:tc>
        <w:tc>
          <w:tcPr>
            <w:tcW w:w="630" w:type="dxa"/>
            <w:tcBorders>
              <w:left w:val="single" w:sz="8" w:space="0" w:color="BFBFBF" w:themeColor="background1" w:themeShade="BF"/>
              <w:right w:val="single" w:sz="8" w:space="0" w:color="1C1C1C" w:themeColor="text1"/>
            </w:tcBorders>
          </w:tcPr>
          <w:p w14:paraId="79EC1F7B" w14:textId="0D41648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10,107 </w:t>
            </w:r>
          </w:p>
        </w:tc>
        <w:tc>
          <w:tcPr>
            <w:tcW w:w="360" w:type="dxa"/>
            <w:tcBorders>
              <w:left w:val="single" w:sz="8" w:space="0" w:color="1C1C1C" w:themeColor="text1"/>
              <w:right w:val="single" w:sz="8" w:space="0" w:color="BFBFBF" w:themeColor="background1" w:themeShade="BF"/>
            </w:tcBorders>
            <w:noWrap/>
            <w:vAlign w:val="bottom"/>
          </w:tcPr>
          <w:p w14:paraId="7280B3D5" w14:textId="179FB5B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08FE75DC" w14:textId="650BFA7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79</w:t>
            </w:r>
          </w:p>
        </w:tc>
        <w:tc>
          <w:tcPr>
            <w:tcW w:w="630" w:type="dxa"/>
            <w:tcBorders>
              <w:left w:val="single" w:sz="8" w:space="0" w:color="1C1C1C" w:themeColor="text1"/>
              <w:right w:val="single" w:sz="8" w:space="0" w:color="BFBFBF" w:themeColor="background1" w:themeShade="BF"/>
            </w:tcBorders>
            <w:vAlign w:val="bottom"/>
          </w:tcPr>
          <w:p w14:paraId="24FC24D5" w14:textId="4F50257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10,927</w:t>
            </w:r>
          </w:p>
        </w:tc>
        <w:tc>
          <w:tcPr>
            <w:tcW w:w="720" w:type="dxa"/>
            <w:tcBorders>
              <w:left w:val="single" w:sz="8" w:space="0" w:color="BFBFBF" w:themeColor="background1" w:themeShade="BF"/>
              <w:right w:val="single" w:sz="8" w:space="0" w:color="1C1C1C" w:themeColor="text1"/>
            </w:tcBorders>
            <w:vAlign w:val="bottom"/>
          </w:tcPr>
          <w:p w14:paraId="781DC3C9" w14:textId="50B9757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127,863</w:t>
            </w:r>
          </w:p>
        </w:tc>
        <w:tc>
          <w:tcPr>
            <w:tcW w:w="450" w:type="dxa"/>
            <w:tcBorders>
              <w:left w:val="single" w:sz="8" w:space="0" w:color="1C1C1C" w:themeColor="text1"/>
              <w:right w:val="single" w:sz="8" w:space="0" w:color="BFBFBF" w:themeColor="background1" w:themeShade="BF"/>
            </w:tcBorders>
            <w:vAlign w:val="bottom"/>
          </w:tcPr>
          <w:p w14:paraId="28ECF001" w14:textId="076BA2E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602</w:t>
            </w:r>
          </w:p>
        </w:tc>
        <w:tc>
          <w:tcPr>
            <w:tcW w:w="630" w:type="dxa"/>
            <w:tcBorders>
              <w:left w:val="single" w:sz="8" w:space="0" w:color="BFBFBF" w:themeColor="background1" w:themeShade="BF"/>
              <w:right w:val="single" w:sz="8" w:space="0" w:color="1C1C1C" w:themeColor="text1"/>
            </w:tcBorders>
            <w:vAlign w:val="bottom"/>
          </w:tcPr>
          <w:p w14:paraId="24C0251D" w14:textId="475483B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6,896</w:t>
            </w:r>
          </w:p>
        </w:tc>
        <w:tc>
          <w:tcPr>
            <w:tcW w:w="540" w:type="dxa"/>
            <w:tcBorders>
              <w:left w:val="single" w:sz="8" w:space="0" w:color="1C1C1C" w:themeColor="text1"/>
              <w:right w:val="single" w:sz="8" w:space="0" w:color="BFBFBF" w:themeColor="background1" w:themeShade="BF"/>
            </w:tcBorders>
            <w:vAlign w:val="bottom"/>
          </w:tcPr>
          <w:p w14:paraId="471EB01C" w14:textId="06759D6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3,738</w:t>
            </w:r>
          </w:p>
        </w:tc>
        <w:tc>
          <w:tcPr>
            <w:tcW w:w="630" w:type="dxa"/>
            <w:tcBorders>
              <w:left w:val="single" w:sz="8" w:space="0" w:color="BFBFBF" w:themeColor="background1" w:themeShade="BF"/>
              <w:right w:val="single" w:sz="8" w:space="0" w:color="1C1C1C" w:themeColor="text1"/>
            </w:tcBorders>
            <w:vAlign w:val="bottom"/>
          </w:tcPr>
          <w:p w14:paraId="1FB63635" w14:textId="2DC889F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29,937</w:t>
            </w:r>
          </w:p>
        </w:tc>
        <w:tc>
          <w:tcPr>
            <w:tcW w:w="360" w:type="dxa"/>
            <w:tcBorders>
              <w:left w:val="single" w:sz="8" w:space="0" w:color="1C1C1C" w:themeColor="text1"/>
              <w:right w:val="single" w:sz="8" w:space="0" w:color="BFBFBF" w:themeColor="background1" w:themeShade="BF"/>
            </w:tcBorders>
            <w:vAlign w:val="bottom"/>
          </w:tcPr>
          <w:p w14:paraId="1010A82C" w14:textId="4E089BC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w:t>
            </w:r>
          </w:p>
        </w:tc>
        <w:tc>
          <w:tcPr>
            <w:tcW w:w="630" w:type="dxa"/>
            <w:tcBorders>
              <w:left w:val="single" w:sz="8" w:space="0" w:color="BFBFBF" w:themeColor="background1" w:themeShade="BF"/>
              <w:right w:val="single" w:sz="8" w:space="0" w:color="1C1C1C" w:themeColor="text1"/>
            </w:tcBorders>
            <w:vAlign w:val="bottom"/>
          </w:tcPr>
          <w:p w14:paraId="366D0E7E" w14:textId="3B4DE0CA"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313</w:t>
            </w:r>
          </w:p>
        </w:tc>
        <w:tc>
          <w:tcPr>
            <w:tcW w:w="360" w:type="dxa"/>
            <w:tcBorders>
              <w:left w:val="single" w:sz="8" w:space="0" w:color="1C1C1C" w:themeColor="text1"/>
              <w:right w:val="single" w:sz="8" w:space="0" w:color="BFBFBF" w:themeColor="background1" w:themeShade="BF"/>
            </w:tcBorders>
            <w:vAlign w:val="bottom"/>
          </w:tcPr>
          <w:p w14:paraId="7A5C9FB3" w14:textId="4FB33B3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63</w:t>
            </w:r>
          </w:p>
        </w:tc>
        <w:tc>
          <w:tcPr>
            <w:tcW w:w="630" w:type="dxa"/>
            <w:tcBorders>
              <w:left w:val="single" w:sz="8" w:space="0" w:color="BFBFBF" w:themeColor="background1" w:themeShade="BF"/>
              <w:right w:val="single" w:sz="12" w:space="0" w:color="auto"/>
            </w:tcBorders>
            <w:vAlign w:val="bottom"/>
          </w:tcPr>
          <w:p w14:paraId="4E6791E2" w14:textId="299D67B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849</w:t>
            </w:r>
          </w:p>
        </w:tc>
        <w:tc>
          <w:tcPr>
            <w:tcW w:w="720" w:type="dxa"/>
            <w:tcBorders>
              <w:left w:val="single" w:sz="12" w:space="0" w:color="auto"/>
              <w:right w:val="single" w:sz="8" w:space="0" w:color="BFBFBF" w:themeColor="background1" w:themeShade="BF"/>
            </w:tcBorders>
            <w:vAlign w:val="bottom"/>
          </w:tcPr>
          <w:p w14:paraId="76546EAE" w14:textId="3478DFB6"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119,460</w:t>
            </w:r>
          </w:p>
        </w:tc>
        <w:tc>
          <w:tcPr>
            <w:tcW w:w="900" w:type="dxa"/>
            <w:tcBorders>
              <w:left w:val="single" w:sz="8" w:space="0" w:color="BFBFBF" w:themeColor="background1" w:themeShade="BF"/>
            </w:tcBorders>
            <w:vAlign w:val="bottom"/>
          </w:tcPr>
          <w:p w14:paraId="2026F26A" w14:textId="3C8D1253"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962,050</w:t>
            </w:r>
          </w:p>
        </w:tc>
      </w:tr>
      <w:tr w:rsidR="00506B65" w:rsidRPr="0081769C" w14:paraId="75475789" w14:textId="77777777" w:rsidTr="005919BE">
        <w:trPr>
          <w:cnfStyle w:val="000000100000" w:firstRow="0" w:lastRow="0" w:firstColumn="0" w:lastColumn="0" w:oddVBand="0" w:evenVBand="0" w:oddHBand="1" w:evenHBand="0" w:firstRowFirstColumn="0" w:firstRowLastColumn="0" w:lastRowFirstColumn="0" w:lastRowLastColumn="0"/>
          <w:trHeight w:val="108"/>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01336AB"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2036</w:t>
            </w:r>
          </w:p>
        </w:tc>
        <w:tc>
          <w:tcPr>
            <w:tcW w:w="544" w:type="dxa"/>
            <w:tcBorders>
              <w:left w:val="single" w:sz="4" w:space="0" w:color="auto"/>
              <w:right w:val="single" w:sz="8" w:space="0" w:color="BFBFBF" w:themeColor="background1" w:themeShade="BF"/>
            </w:tcBorders>
          </w:tcPr>
          <w:p w14:paraId="3C250C6C" w14:textId="2185174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773 </w:t>
            </w:r>
          </w:p>
        </w:tc>
        <w:tc>
          <w:tcPr>
            <w:tcW w:w="630" w:type="dxa"/>
            <w:tcBorders>
              <w:left w:val="single" w:sz="8" w:space="0" w:color="BFBFBF" w:themeColor="background1" w:themeShade="BF"/>
              <w:right w:val="single" w:sz="8" w:space="0" w:color="1C1C1C" w:themeColor="text1"/>
            </w:tcBorders>
          </w:tcPr>
          <w:p w14:paraId="745A5DF4" w14:textId="20B9FBA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10,880 </w:t>
            </w:r>
          </w:p>
        </w:tc>
        <w:tc>
          <w:tcPr>
            <w:tcW w:w="360" w:type="dxa"/>
            <w:tcBorders>
              <w:left w:val="single" w:sz="8" w:space="0" w:color="1C1C1C" w:themeColor="text1"/>
              <w:right w:val="single" w:sz="8" w:space="0" w:color="BFBFBF" w:themeColor="background1" w:themeShade="BF"/>
            </w:tcBorders>
            <w:noWrap/>
            <w:vAlign w:val="bottom"/>
          </w:tcPr>
          <w:p w14:paraId="49D347DC" w14:textId="179462C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4CA06C2D" w14:textId="329F157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85</w:t>
            </w:r>
          </w:p>
        </w:tc>
        <w:tc>
          <w:tcPr>
            <w:tcW w:w="630" w:type="dxa"/>
            <w:tcBorders>
              <w:left w:val="single" w:sz="8" w:space="0" w:color="1C1C1C" w:themeColor="text1"/>
              <w:right w:val="single" w:sz="8" w:space="0" w:color="BFBFBF" w:themeColor="background1" w:themeShade="BF"/>
            </w:tcBorders>
            <w:vAlign w:val="bottom"/>
          </w:tcPr>
          <w:p w14:paraId="4162D6E2" w14:textId="75DBEAA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4,735</w:t>
            </w:r>
          </w:p>
        </w:tc>
        <w:tc>
          <w:tcPr>
            <w:tcW w:w="720" w:type="dxa"/>
            <w:tcBorders>
              <w:left w:val="single" w:sz="8" w:space="0" w:color="BFBFBF" w:themeColor="background1" w:themeShade="BF"/>
              <w:right w:val="single" w:sz="8" w:space="0" w:color="1C1C1C" w:themeColor="text1"/>
            </w:tcBorders>
            <w:vAlign w:val="bottom"/>
          </w:tcPr>
          <w:p w14:paraId="07DA8275" w14:textId="10C72BF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64CB7AA0" w14:textId="104D74C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614</w:t>
            </w:r>
          </w:p>
        </w:tc>
        <w:tc>
          <w:tcPr>
            <w:tcW w:w="630" w:type="dxa"/>
            <w:tcBorders>
              <w:left w:val="single" w:sz="8" w:space="0" w:color="BFBFBF" w:themeColor="background1" w:themeShade="BF"/>
              <w:right w:val="single" w:sz="8" w:space="0" w:color="1C1C1C" w:themeColor="text1"/>
            </w:tcBorders>
            <w:vAlign w:val="bottom"/>
          </w:tcPr>
          <w:p w14:paraId="6D2C27D6" w14:textId="068678E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7,510</w:t>
            </w:r>
          </w:p>
        </w:tc>
        <w:tc>
          <w:tcPr>
            <w:tcW w:w="540" w:type="dxa"/>
            <w:tcBorders>
              <w:left w:val="single" w:sz="8" w:space="0" w:color="1C1C1C" w:themeColor="text1"/>
              <w:right w:val="single" w:sz="8" w:space="0" w:color="BFBFBF" w:themeColor="background1" w:themeShade="BF"/>
            </w:tcBorders>
            <w:vAlign w:val="bottom"/>
          </w:tcPr>
          <w:p w14:paraId="02868D31" w14:textId="7211F49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3,937</w:t>
            </w:r>
          </w:p>
        </w:tc>
        <w:tc>
          <w:tcPr>
            <w:tcW w:w="630" w:type="dxa"/>
            <w:tcBorders>
              <w:left w:val="single" w:sz="8" w:space="0" w:color="BFBFBF" w:themeColor="background1" w:themeShade="BF"/>
              <w:right w:val="single" w:sz="8" w:space="0" w:color="1C1C1C" w:themeColor="text1"/>
            </w:tcBorders>
            <w:vAlign w:val="bottom"/>
          </w:tcPr>
          <w:p w14:paraId="0D016A2D" w14:textId="10A1293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33,874</w:t>
            </w:r>
          </w:p>
        </w:tc>
        <w:tc>
          <w:tcPr>
            <w:tcW w:w="360" w:type="dxa"/>
            <w:tcBorders>
              <w:left w:val="single" w:sz="8" w:space="0" w:color="1C1C1C" w:themeColor="text1"/>
              <w:right w:val="single" w:sz="8" w:space="0" w:color="BFBFBF" w:themeColor="background1" w:themeShade="BF"/>
            </w:tcBorders>
            <w:vAlign w:val="bottom"/>
          </w:tcPr>
          <w:p w14:paraId="2DE2BF31" w14:textId="35B56CA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w:t>
            </w:r>
          </w:p>
        </w:tc>
        <w:tc>
          <w:tcPr>
            <w:tcW w:w="630" w:type="dxa"/>
            <w:tcBorders>
              <w:left w:val="single" w:sz="8" w:space="0" w:color="BFBFBF" w:themeColor="background1" w:themeShade="BF"/>
              <w:right w:val="single" w:sz="8" w:space="0" w:color="1C1C1C" w:themeColor="text1"/>
            </w:tcBorders>
            <w:vAlign w:val="bottom"/>
          </w:tcPr>
          <w:p w14:paraId="1D4DE9DD" w14:textId="0C159F7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340</w:t>
            </w:r>
          </w:p>
        </w:tc>
        <w:tc>
          <w:tcPr>
            <w:tcW w:w="360" w:type="dxa"/>
            <w:tcBorders>
              <w:left w:val="single" w:sz="8" w:space="0" w:color="1C1C1C" w:themeColor="text1"/>
              <w:right w:val="single" w:sz="8" w:space="0" w:color="BFBFBF" w:themeColor="background1" w:themeShade="BF"/>
            </w:tcBorders>
            <w:vAlign w:val="bottom"/>
          </w:tcPr>
          <w:p w14:paraId="5201232B" w14:textId="4F2707B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66</w:t>
            </w:r>
          </w:p>
        </w:tc>
        <w:tc>
          <w:tcPr>
            <w:tcW w:w="630" w:type="dxa"/>
            <w:tcBorders>
              <w:left w:val="single" w:sz="8" w:space="0" w:color="BFBFBF" w:themeColor="background1" w:themeShade="BF"/>
              <w:right w:val="single" w:sz="12" w:space="0" w:color="auto"/>
            </w:tcBorders>
            <w:vAlign w:val="bottom"/>
          </w:tcPr>
          <w:p w14:paraId="10AF0E27" w14:textId="2446CD6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915</w:t>
            </w:r>
          </w:p>
        </w:tc>
        <w:tc>
          <w:tcPr>
            <w:tcW w:w="720" w:type="dxa"/>
            <w:tcBorders>
              <w:left w:val="single" w:sz="12" w:space="0" w:color="auto"/>
              <w:right w:val="single" w:sz="8" w:space="0" w:color="BFBFBF" w:themeColor="background1" w:themeShade="BF"/>
            </w:tcBorders>
            <w:vAlign w:val="bottom"/>
          </w:tcPr>
          <w:p w14:paraId="26BEA65E" w14:textId="533169DA"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113,520</w:t>
            </w:r>
          </w:p>
        </w:tc>
        <w:tc>
          <w:tcPr>
            <w:tcW w:w="900" w:type="dxa"/>
            <w:tcBorders>
              <w:left w:val="single" w:sz="8" w:space="0" w:color="BFBFBF" w:themeColor="background1" w:themeShade="BF"/>
            </w:tcBorders>
            <w:vAlign w:val="bottom"/>
          </w:tcPr>
          <w:p w14:paraId="7B012076" w14:textId="5E279E24"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1,075,570</w:t>
            </w:r>
          </w:p>
        </w:tc>
      </w:tr>
      <w:tr w:rsidR="00506B65" w:rsidRPr="0081769C" w14:paraId="7B816F3C" w14:textId="77777777" w:rsidTr="005919BE">
        <w:trPr>
          <w:trHeight w:val="126"/>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CF60899"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2037</w:t>
            </w:r>
          </w:p>
        </w:tc>
        <w:tc>
          <w:tcPr>
            <w:tcW w:w="544" w:type="dxa"/>
            <w:tcBorders>
              <w:left w:val="single" w:sz="4" w:space="0" w:color="auto"/>
              <w:right w:val="single" w:sz="8" w:space="0" w:color="BFBFBF" w:themeColor="background1" w:themeShade="BF"/>
            </w:tcBorders>
          </w:tcPr>
          <w:p w14:paraId="15B4A9BB" w14:textId="09DB403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794 </w:t>
            </w:r>
          </w:p>
        </w:tc>
        <w:tc>
          <w:tcPr>
            <w:tcW w:w="630" w:type="dxa"/>
            <w:tcBorders>
              <w:left w:val="single" w:sz="8" w:space="0" w:color="BFBFBF" w:themeColor="background1" w:themeShade="BF"/>
              <w:right w:val="single" w:sz="8" w:space="0" w:color="1C1C1C" w:themeColor="text1"/>
            </w:tcBorders>
          </w:tcPr>
          <w:p w14:paraId="4EE01DBC" w14:textId="19F7745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11,674 </w:t>
            </w:r>
          </w:p>
        </w:tc>
        <w:tc>
          <w:tcPr>
            <w:tcW w:w="360" w:type="dxa"/>
            <w:tcBorders>
              <w:left w:val="single" w:sz="8" w:space="0" w:color="1C1C1C" w:themeColor="text1"/>
              <w:right w:val="single" w:sz="8" w:space="0" w:color="BFBFBF" w:themeColor="background1" w:themeShade="BF"/>
            </w:tcBorders>
            <w:noWrap/>
            <w:vAlign w:val="bottom"/>
          </w:tcPr>
          <w:p w14:paraId="06E194FC" w14:textId="1C07122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5DA7FEB6" w14:textId="56513F0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91</w:t>
            </w:r>
          </w:p>
        </w:tc>
        <w:tc>
          <w:tcPr>
            <w:tcW w:w="630" w:type="dxa"/>
            <w:tcBorders>
              <w:left w:val="single" w:sz="8" w:space="0" w:color="1C1C1C" w:themeColor="text1"/>
              <w:right w:val="single" w:sz="8" w:space="0" w:color="BFBFBF" w:themeColor="background1" w:themeShade="BF"/>
            </w:tcBorders>
            <w:vAlign w:val="bottom"/>
          </w:tcPr>
          <w:p w14:paraId="10E36848" w14:textId="43EE8E4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7F2455AA" w14:textId="31D4203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2FF74DD9" w14:textId="6FD7D6C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621</w:t>
            </w:r>
          </w:p>
        </w:tc>
        <w:tc>
          <w:tcPr>
            <w:tcW w:w="630" w:type="dxa"/>
            <w:tcBorders>
              <w:left w:val="single" w:sz="8" w:space="0" w:color="BFBFBF" w:themeColor="background1" w:themeShade="BF"/>
              <w:right w:val="single" w:sz="8" w:space="0" w:color="1C1C1C" w:themeColor="text1"/>
            </w:tcBorders>
            <w:vAlign w:val="bottom"/>
          </w:tcPr>
          <w:p w14:paraId="3D7257AC" w14:textId="4657935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8,131</w:t>
            </w:r>
          </w:p>
        </w:tc>
        <w:tc>
          <w:tcPr>
            <w:tcW w:w="540" w:type="dxa"/>
            <w:tcBorders>
              <w:left w:val="single" w:sz="8" w:space="0" w:color="1C1C1C" w:themeColor="text1"/>
              <w:right w:val="single" w:sz="8" w:space="0" w:color="BFBFBF" w:themeColor="background1" w:themeShade="BF"/>
            </w:tcBorders>
            <w:vAlign w:val="bottom"/>
          </w:tcPr>
          <w:p w14:paraId="24C3937B" w14:textId="57A31C2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4,040</w:t>
            </w:r>
          </w:p>
        </w:tc>
        <w:tc>
          <w:tcPr>
            <w:tcW w:w="630" w:type="dxa"/>
            <w:tcBorders>
              <w:left w:val="single" w:sz="8" w:space="0" w:color="BFBFBF" w:themeColor="background1" w:themeShade="BF"/>
              <w:right w:val="single" w:sz="8" w:space="0" w:color="1C1C1C" w:themeColor="text1"/>
            </w:tcBorders>
            <w:vAlign w:val="bottom"/>
          </w:tcPr>
          <w:p w14:paraId="1DD1145D" w14:textId="31070E4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37,915</w:t>
            </w:r>
          </w:p>
        </w:tc>
        <w:tc>
          <w:tcPr>
            <w:tcW w:w="360" w:type="dxa"/>
            <w:tcBorders>
              <w:left w:val="single" w:sz="8" w:space="0" w:color="1C1C1C" w:themeColor="text1"/>
              <w:right w:val="single" w:sz="8" w:space="0" w:color="BFBFBF" w:themeColor="background1" w:themeShade="BF"/>
            </w:tcBorders>
            <w:vAlign w:val="bottom"/>
          </w:tcPr>
          <w:p w14:paraId="6F3DB4C1" w14:textId="3492F0B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749F1AE6" w14:textId="042A8D6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367</w:t>
            </w:r>
          </w:p>
        </w:tc>
        <w:tc>
          <w:tcPr>
            <w:tcW w:w="360" w:type="dxa"/>
            <w:tcBorders>
              <w:left w:val="single" w:sz="8" w:space="0" w:color="1C1C1C" w:themeColor="text1"/>
              <w:right w:val="single" w:sz="8" w:space="0" w:color="BFBFBF" w:themeColor="background1" w:themeShade="BF"/>
            </w:tcBorders>
            <w:vAlign w:val="bottom"/>
          </w:tcPr>
          <w:p w14:paraId="669A3327" w14:textId="0677DC9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68</w:t>
            </w:r>
          </w:p>
        </w:tc>
        <w:tc>
          <w:tcPr>
            <w:tcW w:w="630" w:type="dxa"/>
            <w:tcBorders>
              <w:left w:val="single" w:sz="8" w:space="0" w:color="BFBFBF" w:themeColor="background1" w:themeShade="BF"/>
              <w:right w:val="single" w:sz="12" w:space="0" w:color="auto"/>
            </w:tcBorders>
            <w:vAlign w:val="bottom"/>
          </w:tcPr>
          <w:p w14:paraId="44A95EEC" w14:textId="6201955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983</w:t>
            </w:r>
          </w:p>
        </w:tc>
        <w:tc>
          <w:tcPr>
            <w:tcW w:w="720" w:type="dxa"/>
            <w:tcBorders>
              <w:left w:val="single" w:sz="12" w:space="0" w:color="auto"/>
              <w:right w:val="single" w:sz="8" w:space="0" w:color="BFBFBF" w:themeColor="background1" w:themeShade="BF"/>
            </w:tcBorders>
            <w:vAlign w:val="bottom"/>
          </w:tcPr>
          <w:p w14:paraId="30AB51F6" w14:textId="365AEACF"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108,916</w:t>
            </w:r>
          </w:p>
        </w:tc>
        <w:tc>
          <w:tcPr>
            <w:tcW w:w="900" w:type="dxa"/>
            <w:tcBorders>
              <w:left w:val="single" w:sz="8" w:space="0" w:color="BFBFBF" w:themeColor="background1" w:themeShade="BF"/>
            </w:tcBorders>
            <w:vAlign w:val="bottom"/>
          </w:tcPr>
          <w:p w14:paraId="3774161F" w14:textId="5E5338C7"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1,184,486</w:t>
            </w:r>
          </w:p>
        </w:tc>
      </w:tr>
      <w:tr w:rsidR="00506B65" w:rsidRPr="0081769C" w14:paraId="47607C46" w14:textId="77777777" w:rsidTr="005919BE">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2F95580B"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2038</w:t>
            </w:r>
          </w:p>
        </w:tc>
        <w:tc>
          <w:tcPr>
            <w:tcW w:w="544" w:type="dxa"/>
            <w:tcBorders>
              <w:left w:val="single" w:sz="4" w:space="0" w:color="auto"/>
              <w:right w:val="single" w:sz="8" w:space="0" w:color="BFBFBF" w:themeColor="background1" w:themeShade="BF"/>
            </w:tcBorders>
          </w:tcPr>
          <w:p w14:paraId="0F5F7298" w14:textId="3B3A1DC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807 </w:t>
            </w:r>
          </w:p>
        </w:tc>
        <w:tc>
          <w:tcPr>
            <w:tcW w:w="630" w:type="dxa"/>
            <w:tcBorders>
              <w:left w:val="single" w:sz="8" w:space="0" w:color="BFBFBF" w:themeColor="background1" w:themeShade="BF"/>
              <w:right w:val="single" w:sz="8" w:space="0" w:color="1C1C1C" w:themeColor="text1"/>
            </w:tcBorders>
          </w:tcPr>
          <w:p w14:paraId="5BBBE777" w14:textId="4536ABBB"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12,481 </w:t>
            </w:r>
          </w:p>
        </w:tc>
        <w:tc>
          <w:tcPr>
            <w:tcW w:w="360" w:type="dxa"/>
            <w:tcBorders>
              <w:left w:val="single" w:sz="8" w:space="0" w:color="1C1C1C" w:themeColor="text1"/>
              <w:right w:val="single" w:sz="8" w:space="0" w:color="BFBFBF" w:themeColor="background1" w:themeShade="BF"/>
            </w:tcBorders>
            <w:noWrap/>
            <w:vAlign w:val="bottom"/>
          </w:tcPr>
          <w:p w14:paraId="52ABAD8D" w14:textId="05EC0B5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1030DC2A" w14:textId="4B7B147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97</w:t>
            </w:r>
          </w:p>
        </w:tc>
        <w:tc>
          <w:tcPr>
            <w:tcW w:w="630" w:type="dxa"/>
            <w:tcBorders>
              <w:left w:val="single" w:sz="8" w:space="0" w:color="1C1C1C" w:themeColor="text1"/>
              <w:right w:val="single" w:sz="8" w:space="0" w:color="BFBFBF" w:themeColor="background1" w:themeShade="BF"/>
            </w:tcBorders>
            <w:vAlign w:val="bottom"/>
          </w:tcPr>
          <w:p w14:paraId="3D7AFEE4" w14:textId="31E3C3B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32913D2E" w14:textId="09D7AA4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08E4EB13" w14:textId="28BC64F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625</w:t>
            </w:r>
          </w:p>
        </w:tc>
        <w:tc>
          <w:tcPr>
            <w:tcW w:w="630" w:type="dxa"/>
            <w:tcBorders>
              <w:left w:val="single" w:sz="8" w:space="0" w:color="BFBFBF" w:themeColor="background1" w:themeShade="BF"/>
              <w:right w:val="single" w:sz="8" w:space="0" w:color="1C1C1C" w:themeColor="text1"/>
            </w:tcBorders>
            <w:vAlign w:val="bottom"/>
          </w:tcPr>
          <w:p w14:paraId="511AF7D1" w14:textId="5E7A5B4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8,756</w:t>
            </w:r>
          </w:p>
        </w:tc>
        <w:tc>
          <w:tcPr>
            <w:tcW w:w="540" w:type="dxa"/>
            <w:tcBorders>
              <w:left w:val="single" w:sz="8" w:space="0" w:color="1C1C1C" w:themeColor="text1"/>
              <w:right w:val="single" w:sz="8" w:space="0" w:color="BFBFBF" w:themeColor="background1" w:themeShade="BF"/>
            </w:tcBorders>
            <w:vAlign w:val="bottom"/>
          </w:tcPr>
          <w:p w14:paraId="6C55B1BB" w14:textId="080C75EF"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4,108</w:t>
            </w:r>
          </w:p>
        </w:tc>
        <w:tc>
          <w:tcPr>
            <w:tcW w:w="630" w:type="dxa"/>
            <w:tcBorders>
              <w:left w:val="single" w:sz="8" w:space="0" w:color="BFBFBF" w:themeColor="background1" w:themeShade="BF"/>
              <w:right w:val="single" w:sz="8" w:space="0" w:color="1C1C1C" w:themeColor="text1"/>
            </w:tcBorders>
            <w:vAlign w:val="bottom"/>
          </w:tcPr>
          <w:p w14:paraId="231F6315" w14:textId="7E0631D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42,022</w:t>
            </w:r>
          </w:p>
        </w:tc>
        <w:tc>
          <w:tcPr>
            <w:tcW w:w="360" w:type="dxa"/>
            <w:tcBorders>
              <w:left w:val="single" w:sz="8" w:space="0" w:color="1C1C1C" w:themeColor="text1"/>
              <w:right w:val="single" w:sz="8" w:space="0" w:color="BFBFBF" w:themeColor="background1" w:themeShade="BF"/>
            </w:tcBorders>
            <w:vAlign w:val="bottom"/>
          </w:tcPr>
          <w:p w14:paraId="0D2D9C33" w14:textId="6F8077B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09E1BCB3" w14:textId="2E7DC7F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394</w:t>
            </w:r>
          </w:p>
        </w:tc>
        <w:tc>
          <w:tcPr>
            <w:tcW w:w="360" w:type="dxa"/>
            <w:tcBorders>
              <w:left w:val="single" w:sz="8" w:space="0" w:color="1C1C1C" w:themeColor="text1"/>
              <w:right w:val="single" w:sz="8" w:space="0" w:color="BFBFBF" w:themeColor="background1" w:themeShade="BF"/>
            </w:tcBorders>
            <w:vAlign w:val="bottom"/>
          </w:tcPr>
          <w:p w14:paraId="12A1E472" w14:textId="3930D41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69</w:t>
            </w:r>
          </w:p>
        </w:tc>
        <w:tc>
          <w:tcPr>
            <w:tcW w:w="630" w:type="dxa"/>
            <w:tcBorders>
              <w:left w:val="single" w:sz="8" w:space="0" w:color="BFBFBF" w:themeColor="background1" w:themeShade="BF"/>
              <w:right w:val="single" w:sz="12" w:space="0" w:color="auto"/>
            </w:tcBorders>
            <w:vAlign w:val="bottom"/>
          </w:tcPr>
          <w:p w14:paraId="67C5A2E2" w14:textId="50AB08F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1,052</w:t>
            </w:r>
          </w:p>
        </w:tc>
        <w:tc>
          <w:tcPr>
            <w:tcW w:w="720" w:type="dxa"/>
            <w:tcBorders>
              <w:left w:val="single" w:sz="12" w:space="0" w:color="auto"/>
              <w:right w:val="single" w:sz="8" w:space="0" w:color="BFBFBF" w:themeColor="background1" w:themeShade="BF"/>
            </w:tcBorders>
            <w:vAlign w:val="bottom"/>
          </w:tcPr>
          <w:p w14:paraId="24069E28" w14:textId="1AC01060"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109,000</w:t>
            </w:r>
          </w:p>
        </w:tc>
        <w:tc>
          <w:tcPr>
            <w:tcW w:w="900" w:type="dxa"/>
            <w:tcBorders>
              <w:left w:val="single" w:sz="8" w:space="0" w:color="BFBFBF" w:themeColor="background1" w:themeShade="BF"/>
            </w:tcBorders>
            <w:vAlign w:val="bottom"/>
          </w:tcPr>
          <w:p w14:paraId="2CEE2725" w14:textId="363677D7"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1,293,486</w:t>
            </w:r>
          </w:p>
        </w:tc>
      </w:tr>
      <w:tr w:rsidR="00506B65" w:rsidRPr="0081769C" w14:paraId="68FAE5A9"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B8C6E5B"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2039</w:t>
            </w:r>
          </w:p>
        </w:tc>
        <w:tc>
          <w:tcPr>
            <w:tcW w:w="544" w:type="dxa"/>
            <w:tcBorders>
              <w:left w:val="single" w:sz="4" w:space="0" w:color="auto"/>
              <w:right w:val="single" w:sz="8" w:space="0" w:color="BFBFBF" w:themeColor="background1" w:themeShade="BF"/>
            </w:tcBorders>
          </w:tcPr>
          <w:p w14:paraId="35728C99" w14:textId="3F95E2F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783 </w:t>
            </w:r>
          </w:p>
        </w:tc>
        <w:tc>
          <w:tcPr>
            <w:tcW w:w="630" w:type="dxa"/>
            <w:tcBorders>
              <w:left w:val="single" w:sz="8" w:space="0" w:color="BFBFBF" w:themeColor="background1" w:themeShade="BF"/>
              <w:right w:val="single" w:sz="8" w:space="0" w:color="1C1C1C" w:themeColor="text1"/>
            </w:tcBorders>
          </w:tcPr>
          <w:p w14:paraId="0688A6DF" w14:textId="5D67106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13,264 </w:t>
            </w:r>
          </w:p>
        </w:tc>
        <w:tc>
          <w:tcPr>
            <w:tcW w:w="360" w:type="dxa"/>
            <w:tcBorders>
              <w:left w:val="single" w:sz="8" w:space="0" w:color="1C1C1C" w:themeColor="text1"/>
              <w:right w:val="single" w:sz="8" w:space="0" w:color="BFBFBF" w:themeColor="background1" w:themeShade="BF"/>
            </w:tcBorders>
            <w:noWrap/>
            <w:vAlign w:val="bottom"/>
          </w:tcPr>
          <w:p w14:paraId="437671F5" w14:textId="4BCD049A"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0C64FBBB" w14:textId="13366CF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104</w:t>
            </w:r>
          </w:p>
        </w:tc>
        <w:tc>
          <w:tcPr>
            <w:tcW w:w="630" w:type="dxa"/>
            <w:tcBorders>
              <w:left w:val="single" w:sz="8" w:space="0" w:color="1C1C1C" w:themeColor="text1"/>
              <w:right w:val="single" w:sz="8" w:space="0" w:color="BFBFBF" w:themeColor="background1" w:themeShade="BF"/>
            </w:tcBorders>
            <w:vAlign w:val="bottom"/>
          </w:tcPr>
          <w:p w14:paraId="1919F60D" w14:textId="31AD4AFA"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1400FE48" w14:textId="60222E1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0527D46B" w14:textId="170D97A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618</w:t>
            </w:r>
          </w:p>
        </w:tc>
        <w:tc>
          <w:tcPr>
            <w:tcW w:w="630" w:type="dxa"/>
            <w:tcBorders>
              <w:left w:val="single" w:sz="8" w:space="0" w:color="BFBFBF" w:themeColor="background1" w:themeShade="BF"/>
              <w:right w:val="single" w:sz="8" w:space="0" w:color="1C1C1C" w:themeColor="text1"/>
            </w:tcBorders>
            <w:vAlign w:val="bottom"/>
          </w:tcPr>
          <w:p w14:paraId="640CD28D" w14:textId="7F80A79A"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9,374</w:t>
            </w:r>
          </w:p>
        </w:tc>
        <w:tc>
          <w:tcPr>
            <w:tcW w:w="540" w:type="dxa"/>
            <w:tcBorders>
              <w:left w:val="single" w:sz="8" w:space="0" w:color="1C1C1C" w:themeColor="text1"/>
              <w:right w:val="single" w:sz="8" w:space="0" w:color="BFBFBF" w:themeColor="background1" w:themeShade="BF"/>
            </w:tcBorders>
            <w:vAlign w:val="bottom"/>
          </w:tcPr>
          <w:p w14:paraId="5CDF3256" w14:textId="1E44F61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3,989</w:t>
            </w:r>
          </w:p>
        </w:tc>
        <w:tc>
          <w:tcPr>
            <w:tcW w:w="630" w:type="dxa"/>
            <w:tcBorders>
              <w:left w:val="single" w:sz="8" w:space="0" w:color="BFBFBF" w:themeColor="background1" w:themeShade="BF"/>
              <w:right w:val="single" w:sz="8" w:space="0" w:color="1C1C1C" w:themeColor="text1"/>
            </w:tcBorders>
            <w:vAlign w:val="bottom"/>
          </w:tcPr>
          <w:p w14:paraId="68F2A01B" w14:textId="73585EE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46,011</w:t>
            </w:r>
          </w:p>
        </w:tc>
        <w:tc>
          <w:tcPr>
            <w:tcW w:w="360" w:type="dxa"/>
            <w:tcBorders>
              <w:left w:val="single" w:sz="8" w:space="0" w:color="1C1C1C" w:themeColor="text1"/>
              <w:right w:val="single" w:sz="8" w:space="0" w:color="BFBFBF" w:themeColor="background1" w:themeShade="BF"/>
            </w:tcBorders>
            <w:vAlign w:val="bottom"/>
          </w:tcPr>
          <w:p w14:paraId="4C08546E" w14:textId="2A6D9EA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432F3AE7" w14:textId="4A6C6EE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420</w:t>
            </w:r>
          </w:p>
        </w:tc>
        <w:tc>
          <w:tcPr>
            <w:tcW w:w="360" w:type="dxa"/>
            <w:tcBorders>
              <w:left w:val="single" w:sz="8" w:space="0" w:color="1C1C1C" w:themeColor="text1"/>
              <w:right w:val="single" w:sz="8" w:space="0" w:color="BFBFBF" w:themeColor="background1" w:themeShade="BF"/>
            </w:tcBorders>
            <w:vAlign w:val="bottom"/>
          </w:tcPr>
          <w:p w14:paraId="5AF66894" w14:textId="5AFBFDB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BFBFBF" w:themeColor="background1" w:themeShade="BF"/>
              <w:right w:val="single" w:sz="12" w:space="0" w:color="auto"/>
            </w:tcBorders>
            <w:vAlign w:val="bottom"/>
          </w:tcPr>
          <w:p w14:paraId="3A16CB2F" w14:textId="2EA77B2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1,119</w:t>
            </w:r>
          </w:p>
        </w:tc>
        <w:tc>
          <w:tcPr>
            <w:tcW w:w="720" w:type="dxa"/>
            <w:tcBorders>
              <w:left w:val="single" w:sz="12" w:space="0" w:color="auto"/>
              <w:right w:val="single" w:sz="8" w:space="0" w:color="BFBFBF" w:themeColor="background1" w:themeShade="BF"/>
            </w:tcBorders>
            <w:vAlign w:val="bottom"/>
          </w:tcPr>
          <w:p w14:paraId="177DA69D" w14:textId="3C050275"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108,847</w:t>
            </w:r>
          </w:p>
        </w:tc>
        <w:tc>
          <w:tcPr>
            <w:tcW w:w="900" w:type="dxa"/>
            <w:tcBorders>
              <w:left w:val="single" w:sz="8" w:space="0" w:color="BFBFBF" w:themeColor="background1" w:themeShade="BF"/>
            </w:tcBorders>
            <w:vAlign w:val="bottom"/>
          </w:tcPr>
          <w:p w14:paraId="4A6D9506" w14:textId="44C2740D"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1,402,333</w:t>
            </w:r>
          </w:p>
        </w:tc>
      </w:tr>
      <w:tr w:rsidR="00506B65" w:rsidRPr="0081769C" w14:paraId="47F50854" w14:textId="77777777" w:rsidTr="005919BE">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7C498677"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2040</w:t>
            </w:r>
          </w:p>
        </w:tc>
        <w:tc>
          <w:tcPr>
            <w:tcW w:w="544" w:type="dxa"/>
            <w:tcBorders>
              <w:left w:val="single" w:sz="4" w:space="0" w:color="auto"/>
              <w:right w:val="single" w:sz="8" w:space="0" w:color="BFBFBF" w:themeColor="background1" w:themeShade="BF"/>
            </w:tcBorders>
          </w:tcPr>
          <w:p w14:paraId="2BB89006" w14:textId="7430FEF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774 </w:t>
            </w:r>
          </w:p>
        </w:tc>
        <w:tc>
          <w:tcPr>
            <w:tcW w:w="630" w:type="dxa"/>
            <w:tcBorders>
              <w:left w:val="single" w:sz="8" w:space="0" w:color="BFBFBF" w:themeColor="background1" w:themeShade="BF"/>
              <w:right w:val="single" w:sz="8" w:space="0" w:color="1C1C1C" w:themeColor="text1"/>
            </w:tcBorders>
          </w:tcPr>
          <w:p w14:paraId="6279F558" w14:textId="55EC453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14,038 </w:t>
            </w:r>
          </w:p>
        </w:tc>
        <w:tc>
          <w:tcPr>
            <w:tcW w:w="360" w:type="dxa"/>
            <w:tcBorders>
              <w:left w:val="single" w:sz="8" w:space="0" w:color="1C1C1C" w:themeColor="text1"/>
              <w:right w:val="single" w:sz="8" w:space="0" w:color="BFBFBF" w:themeColor="background1" w:themeShade="BF"/>
            </w:tcBorders>
            <w:noWrap/>
            <w:vAlign w:val="bottom"/>
          </w:tcPr>
          <w:p w14:paraId="7BC60F86" w14:textId="29FE7A6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7ECC21A6" w14:textId="22AB5A6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110</w:t>
            </w:r>
          </w:p>
        </w:tc>
        <w:tc>
          <w:tcPr>
            <w:tcW w:w="630" w:type="dxa"/>
            <w:tcBorders>
              <w:left w:val="single" w:sz="8" w:space="0" w:color="1C1C1C" w:themeColor="text1"/>
              <w:right w:val="single" w:sz="8" w:space="0" w:color="BFBFBF" w:themeColor="background1" w:themeShade="BF"/>
            </w:tcBorders>
            <w:vAlign w:val="bottom"/>
          </w:tcPr>
          <w:p w14:paraId="7833EA04" w14:textId="1A4EF6F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7AA5A073" w14:textId="6264DD3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3F094580" w14:textId="05AAC46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615</w:t>
            </w:r>
          </w:p>
        </w:tc>
        <w:tc>
          <w:tcPr>
            <w:tcW w:w="630" w:type="dxa"/>
            <w:tcBorders>
              <w:left w:val="single" w:sz="8" w:space="0" w:color="BFBFBF" w:themeColor="background1" w:themeShade="BF"/>
              <w:right w:val="single" w:sz="8" w:space="0" w:color="1C1C1C" w:themeColor="text1"/>
            </w:tcBorders>
            <w:vAlign w:val="bottom"/>
          </w:tcPr>
          <w:p w14:paraId="61BC24BA" w14:textId="033D1D8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9,988</w:t>
            </w:r>
          </w:p>
        </w:tc>
        <w:tc>
          <w:tcPr>
            <w:tcW w:w="540" w:type="dxa"/>
            <w:tcBorders>
              <w:left w:val="single" w:sz="8" w:space="0" w:color="1C1C1C" w:themeColor="text1"/>
              <w:right w:val="single" w:sz="8" w:space="0" w:color="BFBFBF" w:themeColor="background1" w:themeShade="BF"/>
            </w:tcBorders>
            <w:vAlign w:val="bottom"/>
          </w:tcPr>
          <w:p w14:paraId="414CE758" w14:textId="14FA325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3,940</w:t>
            </w:r>
          </w:p>
        </w:tc>
        <w:tc>
          <w:tcPr>
            <w:tcW w:w="630" w:type="dxa"/>
            <w:tcBorders>
              <w:left w:val="single" w:sz="8" w:space="0" w:color="BFBFBF" w:themeColor="background1" w:themeShade="BF"/>
              <w:right w:val="single" w:sz="8" w:space="0" w:color="1C1C1C" w:themeColor="text1"/>
            </w:tcBorders>
            <w:vAlign w:val="bottom"/>
          </w:tcPr>
          <w:p w14:paraId="4A74CC02" w14:textId="26E0443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49,952</w:t>
            </w:r>
          </w:p>
        </w:tc>
        <w:tc>
          <w:tcPr>
            <w:tcW w:w="360" w:type="dxa"/>
            <w:tcBorders>
              <w:left w:val="single" w:sz="8" w:space="0" w:color="1C1C1C" w:themeColor="text1"/>
              <w:right w:val="single" w:sz="8" w:space="0" w:color="BFBFBF" w:themeColor="background1" w:themeShade="BF"/>
            </w:tcBorders>
            <w:vAlign w:val="bottom"/>
          </w:tcPr>
          <w:p w14:paraId="546768B2" w14:textId="3CE7153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w:t>
            </w:r>
          </w:p>
        </w:tc>
        <w:tc>
          <w:tcPr>
            <w:tcW w:w="630" w:type="dxa"/>
            <w:tcBorders>
              <w:left w:val="single" w:sz="8" w:space="0" w:color="BFBFBF" w:themeColor="background1" w:themeShade="BF"/>
              <w:right w:val="single" w:sz="8" w:space="0" w:color="1C1C1C" w:themeColor="text1"/>
            </w:tcBorders>
            <w:vAlign w:val="bottom"/>
          </w:tcPr>
          <w:p w14:paraId="17B2C7C4" w14:textId="0824D60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447</w:t>
            </w:r>
          </w:p>
        </w:tc>
        <w:tc>
          <w:tcPr>
            <w:tcW w:w="360" w:type="dxa"/>
            <w:tcBorders>
              <w:left w:val="single" w:sz="8" w:space="0" w:color="1C1C1C" w:themeColor="text1"/>
              <w:right w:val="single" w:sz="8" w:space="0" w:color="BFBFBF" w:themeColor="background1" w:themeShade="BF"/>
            </w:tcBorders>
            <w:vAlign w:val="bottom"/>
          </w:tcPr>
          <w:p w14:paraId="09D9DCA0" w14:textId="29CA845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66</w:t>
            </w:r>
          </w:p>
        </w:tc>
        <w:tc>
          <w:tcPr>
            <w:tcW w:w="630" w:type="dxa"/>
            <w:tcBorders>
              <w:left w:val="single" w:sz="8" w:space="0" w:color="BFBFBF" w:themeColor="background1" w:themeShade="BF"/>
              <w:right w:val="single" w:sz="12" w:space="0" w:color="auto"/>
            </w:tcBorders>
            <w:vAlign w:val="bottom"/>
          </w:tcPr>
          <w:p w14:paraId="05F18C91" w14:textId="0D0B5F1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1,186</w:t>
            </w:r>
          </w:p>
        </w:tc>
        <w:tc>
          <w:tcPr>
            <w:tcW w:w="720" w:type="dxa"/>
            <w:tcBorders>
              <w:left w:val="single" w:sz="12" w:space="0" w:color="auto"/>
              <w:right w:val="single" w:sz="8" w:space="0" w:color="BFBFBF" w:themeColor="background1" w:themeShade="BF"/>
            </w:tcBorders>
            <w:vAlign w:val="bottom"/>
          </w:tcPr>
          <w:p w14:paraId="1EAA511F" w14:textId="397D7D19"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108,783</w:t>
            </w:r>
          </w:p>
        </w:tc>
        <w:tc>
          <w:tcPr>
            <w:tcW w:w="900" w:type="dxa"/>
            <w:tcBorders>
              <w:left w:val="single" w:sz="8" w:space="0" w:color="BFBFBF" w:themeColor="background1" w:themeShade="BF"/>
            </w:tcBorders>
            <w:vAlign w:val="bottom"/>
          </w:tcPr>
          <w:p w14:paraId="06F6DFD1" w14:textId="72021321"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1,511,117</w:t>
            </w:r>
          </w:p>
        </w:tc>
      </w:tr>
      <w:tr w:rsidR="00506B65" w:rsidRPr="0081769C" w14:paraId="6B1D7B79"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E4D4939"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2041</w:t>
            </w:r>
          </w:p>
        </w:tc>
        <w:tc>
          <w:tcPr>
            <w:tcW w:w="544" w:type="dxa"/>
            <w:tcBorders>
              <w:left w:val="single" w:sz="4" w:space="0" w:color="auto"/>
              <w:right w:val="single" w:sz="8" w:space="0" w:color="BFBFBF" w:themeColor="background1" w:themeShade="BF"/>
            </w:tcBorders>
          </w:tcPr>
          <w:p w14:paraId="15FEC6DB" w14:textId="16B300E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784 </w:t>
            </w:r>
          </w:p>
        </w:tc>
        <w:tc>
          <w:tcPr>
            <w:tcW w:w="630" w:type="dxa"/>
            <w:tcBorders>
              <w:left w:val="single" w:sz="8" w:space="0" w:color="BFBFBF" w:themeColor="background1" w:themeShade="BF"/>
              <w:right w:val="single" w:sz="8" w:space="0" w:color="1C1C1C" w:themeColor="text1"/>
            </w:tcBorders>
          </w:tcPr>
          <w:p w14:paraId="6A1F8D68" w14:textId="6427F8A4"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14,822 </w:t>
            </w:r>
          </w:p>
        </w:tc>
        <w:tc>
          <w:tcPr>
            <w:tcW w:w="360" w:type="dxa"/>
            <w:tcBorders>
              <w:left w:val="single" w:sz="8" w:space="0" w:color="1C1C1C" w:themeColor="text1"/>
              <w:right w:val="single" w:sz="8" w:space="0" w:color="BFBFBF" w:themeColor="background1" w:themeShade="BF"/>
            </w:tcBorders>
            <w:noWrap/>
            <w:vAlign w:val="bottom"/>
          </w:tcPr>
          <w:p w14:paraId="5780C46B" w14:textId="22B7DAB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2C832583" w14:textId="024F5CC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116</w:t>
            </w:r>
          </w:p>
        </w:tc>
        <w:tc>
          <w:tcPr>
            <w:tcW w:w="630" w:type="dxa"/>
            <w:tcBorders>
              <w:left w:val="single" w:sz="8" w:space="0" w:color="1C1C1C" w:themeColor="text1"/>
              <w:right w:val="single" w:sz="8" w:space="0" w:color="BFBFBF" w:themeColor="background1" w:themeShade="BF"/>
            </w:tcBorders>
            <w:vAlign w:val="bottom"/>
          </w:tcPr>
          <w:p w14:paraId="3E42DC2B" w14:textId="52882488"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260545B3" w14:textId="4BEE582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334FA2F8" w14:textId="5AA183E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618</w:t>
            </w:r>
          </w:p>
        </w:tc>
        <w:tc>
          <w:tcPr>
            <w:tcW w:w="630" w:type="dxa"/>
            <w:tcBorders>
              <w:left w:val="single" w:sz="8" w:space="0" w:color="BFBFBF" w:themeColor="background1" w:themeShade="BF"/>
              <w:right w:val="single" w:sz="8" w:space="0" w:color="1C1C1C" w:themeColor="text1"/>
            </w:tcBorders>
            <w:vAlign w:val="bottom"/>
          </w:tcPr>
          <w:p w14:paraId="112BCDC0" w14:textId="014EFF6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10,606</w:t>
            </w:r>
          </w:p>
        </w:tc>
        <w:tc>
          <w:tcPr>
            <w:tcW w:w="540" w:type="dxa"/>
            <w:tcBorders>
              <w:left w:val="single" w:sz="8" w:space="0" w:color="1C1C1C" w:themeColor="text1"/>
              <w:right w:val="single" w:sz="8" w:space="0" w:color="BFBFBF" w:themeColor="background1" w:themeShade="BF"/>
            </w:tcBorders>
            <w:vAlign w:val="bottom"/>
          </w:tcPr>
          <w:p w14:paraId="647D50A8" w14:textId="471E5E5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3,992</w:t>
            </w:r>
          </w:p>
        </w:tc>
        <w:tc>
          <w:tcPr>
            <w:tcW w:w="630" w:type="dxa"/>
            <w:tcBorders>
              <w:left w:val="single" w:sz="8" w:space="0" w:color="BFBFBF" w:themeColor="background1" w:themeShade="BF"/>
              <w:right w:val="single" w:sz="8" w:space="0" w:color="1C1C1C" w:themeColor="text1"/>
            </w:tcBorders>
            <w:vAlign w:val="bottom"/>
          </w:tcPr>
          <w:p w14:paraId="62078E09" w14:textId="191FCD5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53,943</w:t>
            </w:r>
          </w:p>
        </w:tc>
        <w:tc>
          <w:tcPr>
            <w:tcW w:w="360" w:type="dxa"/>
            <w:tcBorders>
              <w:left w:val="single" w:sz="8" w:space="0" w:color="1C1C1C" w:themeColor="text1"/>
              <w:right w:val="single" w:sz="8" w:space="0" w:color="BFBFBF" w:themeColor="background1" w:themeShade="BF"/>
            </w:tcBorders>
            <w:vAlign w:val="bottom"/>
          </w:tcPr>
          <w:p w14:paraId="19558A8A" w14:textId="0833096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06B188F1" w14:textId="28FDA0B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473</w:t>
            </w:r>
          </w:p>
        </w:tc>
        <w:tc>
          <w:tcPr>
            <w:tcW w:w="360" w:type="dxa"/>
            <w:tcBorders>
              <w:left w:val="single" w:sz="8" w:space="0" w:color="1C1C1C" w:themeColor="text1"/>
              <w:right w:val="single" w:sz="8" w:space="0" w:color="BFBFBF" w:themeColor="background1" w:themeShade="BF"/>
            </w:tcBorders>
            <w:vAlign w:val="bottom"/>
          </w:tcPr>
          <w:p w14:paraId="5881076E" w14:textId="5BE32AA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BFBFBF" w:themeColor="background1" w:themeShade="BF"/>
              <w:right w:val="single" w:sz="12" w:space="0" w:color="auto"/>
            </w:tcBorders>
            <w:vAlign w:val="bottom"/>
          </w:tcPr>
          <w:p w14:paraId="6906E824" w14:textId="5FECD91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1,253</w:t>
            </w:r>
          </w:p>
        </w:tc>
        <w:tc>
          <w:tcPr>
            <w:tcW w:w="720" w:type="dxa"/>
            <w:tcBorders>
              <w:left w:val="single" w:sz="12" w:space="0" w:color="auto"/>
              <w:right w:val="single" w:sz="8" w:space="0" w:color="BFBFBF" w:themeColor="background1" w:themeShade="BF"/>
            </w:tcBorders>
            <w:vAlign w:val="bottom"/>
          </w:tcPr>
          <w:p w14:paraId="49049D78" w14:textId="50BA5ABD"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108,848</w:t>
            </w:r>
          </w:p>
        </w:tc>
        <w:tc>
          <w:tcPr>
            <w:tcW w:w="900" w:type="dxa"/>
            <w:tcBorders>
              <w:left w:val="single" w:sz="8" w:space="0" w:color="BFBFBF" w:themeColor="background1" w:themeShade="BF"/>
            </w:tcBorders>
            <w:vAlign w:val="bottom"/>
          </w:tcPr>
          <w:p w14:paraId="5119F01D" w14:textId="35C0DF3F"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1,619,964</w:t>
            </w:r>
          </w:p>
        </w:tc>
      </w:tr>
      <w:tr w:rsidR="00506B65" w:rsidRPr="0081769C" w14:paraId="3C4D6531" w14:textId="77777777" w:rsidTr="005919BE">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516C339"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2042</w:t>
            </w:r>
          </w:p>
        </w:tc>
        <w:tc>
          <w:tcPr>
            <w:tcW w:w="544" w:type="dxa"/>
            <w:tcBorders>
              <w:left w:val="single" w:sz="4" w:space="0" w:color="auto"/>
              <w:right w:val="single" w:sz="8" w:space="0" w:color="BFBFBF" w:themeColor="background1" w:themeShade="BF"/>
            </w:tcBorders>
          </w:tcPr>
          <w:p w14:paraId="354C3BB2" w14:textId="6C36ABC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786 </w:t>
            </w:r>
          </w:p>
        </w:tc>
        <w:tc>
          <w:tcPr>
            <w:tcW w:w="630" w:type="dxa"/>
            <w:tcBorders>
              <w:left w:val="single" w:sz="8" w:space="0" w:color="BFBFBF" w:themeColor="background1" w:themeShade="BF"/>
              <w:right w:val="single" w:sz="8" w:space="0" w:color="1C1C1C" w:themeColor="text1"/>
            </w:tcBorders>
          </w:tcPr>
          <w:p w14:paraId="489AFB46" w14:textId="6C7A851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15,608 </w:t>
            </w:r>
          </w:p>
        </w:tc>
        <w:tc>
          <w:tcPr>
            <w:tcW w:w="360" w:type="dxa"/>
            <w:tcBorders>
              <w:left w:val="single" w:sz="8" w:space="0" w:color="1C1C1C" w:themeColor="text1"/>
              <w:right w:val="single" w:sz="8" w:space="0" w:color="BFBFBF" w:themeColor="background1" w:themeShade="BF"/>
            </w:tcBorders>
            <w:noWrap/>
            <w:vAlign w:val="bottom"/>
          </w:tcPr>
          <w:p w14:paraId="7CA67D93" w14:textId="39A7092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2AE1D1CE" w14:textId="5816BBE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122</w:t>
            </w:r>
          </w:p>
        </w:tc>
        <w:tc>
          <w:tcPr>
            <w:tcW w:w="630" w:type="dxa"/>
            <w:tcBorders>
              <w:left w:val="single" w:sz="8" w:space="0" w:color="1C1C1C" w:themeColor="text1"/>
              <w:right w:val="single" w:sz="8" w:space="0" w:color="BFBFBF" w:themeColor="background1" w:themeShade="BF"/>
            </w:tcBorders>
            <w:vAlign w:val="bottom"/>
          </w:tcPr>
          <w:p w14:paraId="343AA6CD" w14:textId="11B9062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491DCD94" w14:textId="022E815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17648F12" w14:textId="4EA9F1C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619</w:t>
            </w:r>
          </w:p>
        </w:tc>
        <w:tc>
          <w:tcPr>
            <w:tcW w:w="630" w:type="dxa"/>
            <w:tcBorders>
              <w:left w:val="single" w:sz="8" w:space="0" w:color="BFBFBF" w:themeColor="background1" w:themeShade="BF"/>
              <w:right w:val="single" w:sz="8" w:space="0" w:color="1C1C1C" w:themeColor="text1"/>
            </w:tcBorders>
            <w:vAlign w:val="bottom"/>
          </w:tcPr>
          <w:p w14:paraId="07D15306" w14:textId="68AC6E4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11,225</w:t>
            </w:r>
          </w:p>
        </w:tc>
        <w:tc>
          <w:tcPr>
            <w:tcW w:w="540" w:type="dxa"/>
            <w:tcBorders>
              <w:left w:val="single" w:sz="8" w:space="0" w:color="1C1C1C" w:themeColor="text1"/>
              <w:right w:val="single" w:sz="8" w:space="0" w:color="BFBFBF" w:themeColor="background1" w:themeShade="BF"/>
            </w:tcBorders>
            <w:vAlign w:val="bottom"/>
          </w:tcPr>
          <w:p w14:paraId="44E3EFB0" w14:textId="4E0A376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4,004</w:t>
            </w:r>
          </w:p>
        </w:tc>
        <w:tc>
          <w:tcPr>
            <w:tcW w:w="630" w:type="dxa"/>
            <w:tcBorders>
              <w:left w:val="single" w:sz="8" w:space="0" w:color="BFBFBF" w:themeColor="background1" w:themeShade="BF"/>
              <w:right w:val="single" w:sz="8" w:space="0" w:color="1C1C1C" w:themeColor="text1"/>
            </w:tcBorders>
            <w:vAlign w:val="bottom"/>
          </w:tcPr>
          <w:p w14:paraId="3CF00113" w14:textId="75F4E6D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57,947</w:t>
            </w:r>
          </w:p>
        </w:tc>
        <w:tc>
          <w:tcPr>
            <w:tcW w:w="360" w:type="dxa"/>
            <w:tcBorders>
              <w:left w:val="single" w:sz="8" w:space="0" w:color="1C1C1C" w:themeColor="text1"/>
              <w:right w:val="single" w:sz="8" w:space="0" w:color="BFBFBF" w:themeColor="background1" w:themeShade="BF"/>
            </w:tcBorders>
            <w:vAlign w:val="bottom"/>
          </w:tcPr>
          <w:p w14:paraId="2EC076DD" w14:textId="250B91E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4406A439" w14:textId="47EA1E3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500</w:t>
            </w:r>
          </w:p>
        </w:tc>
        <w:tc>
          <w:tcPr>
            <w:tcW w:w="360" w:type="dxa"/>
            <w:tcBorders>
              <w:left w:val="single" w:sz="8" w:space="0" w:color="1C1C1C" w:themeColor="text1"/>
              <w:right w:val="single" w:sz="8" w:space="0" w:color="BFBFBF" w:themeColor="background1" w:themeShade="BF"/>
            </w:tcBorders>
            <w:vAlign w:val="bottom"/>
          </w:tcPr>
          <w:p w14:paraId="046ACA7A" w14:textId="22A6FF1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BFBFBF" w:themeColor="background1" w:themeShade="BF"/>
              <w:right w:val="single" w:sz="12" w:space="0" w:color="auto"/>
            </w:tcBorders>
            <w:vAlign w:val="bottom"/>
          </w:tcPr>
          <w:p w14:paraId="0FE64DC4" w14:textId="393C8E3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1,320</w:t>
            </w:r>
          </w:p>
        </w:tc>
        <w:tc>
          <w:tcPr>
            <w:tcW w:w="720" w:type="dxa"/>
            <w:tcBorders>
              <w:left w:val="single" w:sz="12" w:space="0" w:color="auto"/>
              <w:right w:val="single" w:sz="8" w:space="0" w:color="BFBFBF" w:themeColor="background1" w:themeShade="BF"/>
            </w:tcBorders>
            <w:vAlign w:val="bottom"/>
          </w:tcPr>
          <w:p w14:paraId="11420876" w14:textId="3952E122"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108,861</w:t>
            </w:r>
          </w:p>
        </w:tc>
        <w:tc>
          <w:tcPr>
            <w:tcW w:w="900" w:type="dxa"/>
            <w:tcBorders>
              <w:left w:val="single" w:sz="8" w:space="0" w:color="BFBFBF" w:themeColor="background1" w:themeShade="BF"/>
            </w:tcBorders>
            <w:vAlign w:val="bottom"/>
          </w:tcPr>
          <w:p w14:paraId="2D4B4972" w14:textId="2BB79C58"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1,728,825</w:t>
            </w:r>
          </w:p>
        </w:tc>
      </w:tr>
      <w:tr w:rsidR="00506B65" w:rsidRPr="0081769C" w14:paraId="7364D254" w14:textId="77777777" w:rsidTr="005919BE">
        <w:trPr>
          <w:trHeight w:val="99"/>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02FED49"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2043</w:t>
            </w:r>
          </w:p>
        </w:tc>
        <w:tc>
          <w:tcPr>
            <w:tcW w:w="544" w:type="dxa"/>
            <w:tcBorders>
              <w:left w:val="single" w:sz="4" w:space="0" w:color="auto"/>
              <w:right w:val="single" w:sz="8" w:space="0" w:color="BFBFBF" w:themeColor="background1" w:themeShade="BF"/>
            </w:tcBorders>
          </w:tcPr>
          <w:p w14:paraId="49AEACE3" w14:textId="0868056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780 </w:t>
            </w:r>
          </w:p>
        </w:tc>
        <w:tc>
          <w:tcPr>
            <w:tcW w:w="630" w:type="dxa"/>
            <w:tcBorders>
              <w:left w:val="single" w:sz="8" w:space="0" w:color="BFBFBF" w:themeColor="background1" w:themeShade="BF"/>
              <w:right w:val="single" w:sz="8" w:space="0" w:color="1C1C1C" w:themeColor="text1"/>
            </w:tcBorders>
          </w:tcPr>
          <w:p w14:paraId="4D2B501D" w14:textId="3351AC1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16,388 </w:t>
            </w:r>
          </w:p>
        </w:tc>
        <w:tc>
          <w:tcPr>
            <w:tcW w:w="360" w:type="dxa"/>
            <w:tcBorders>
              <w:left w:val="single" w:sz="8" w:space="0" w:color="1C1C1C" w:themeColor="text1"/>
              <w:right w:val="single" w:sz="8" w:space="0" w:color="BFBFBF" w:themeColor="background1" w:themeShade="BF"/>
            </w:tcBorders>
            <w:noWrap/>
            <w:vAlign w:val="bottom"/>
          </w:tcPr>
          <w:p w14:paraId="11AD53FC" w14:textId="7B32F67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2398E7EC" w14:textId="6D25140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128</w:t>
            </w:r>
          </w:p>
        </w:tc>
        <w:tc>
          <w:tcPr>
            <w:tcW w:w="630" w:type="dxa"/>
            <w:tcBorders>
              <w:left w:val="single" w:sz="8" w:space="0" w:color="1C1C1C" w:themeColor="text1"/>
              <w:right w:val="single" w:sz="8" w:space="0" w:color="BFBFBF" w:themeColor="background1" w:themeShade="BF"/>
            </w:tcBorders>
            <w:vAlign w:val="bottom"/>
          </w:tcPr>
          <w:p w14:paraId="3C05FC36" w14:textId="4D2447F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4CA9754A" w14:textId="03E9770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1C057146" w14:textId="3A10689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617</w:t>
            </w:r>
          </w:p>
        </w:tc>
        <w:tc>
          <w:tcPr>
            <w:tcW w:w="630" w:type="dxa"/>
            <w:tcBorders>
              <w:left w:val="single" w:sz="8" w:space="0" w:color="BFBFBF" w:themeColor="background1" w:themeShade="BF"/>
              <w:right w:val="single" w:sz="8" w:space="0" w:color="1C1C1C" w:themeColor="text1"/>
            </w:tcBorders>
            <w:vAlign w:val="bottom"/>
          </w:tcPr>
          <w:p w14:paraId="17D758A8" w14:textId="228898C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11,841</w:t>
            </w:r>
          </w:p>
        </w:tc>
        <w:tc>
          <w:tcPr>
            <w:tcW w:w="540" w:type="dxa"/>
            <w:tcBorders>
              <w:left w:val="single" w:sz="8" w:space="0" w:color="1C1C1C" w:themeColor="text1"/>
              <w:right w:val="single" w:sz="8" w:space="0" w:color="BFBFBF" w:themeColor="background1" w:themeShade="BF"/>
            </w:tcBorders>
            <w:vAlign w:val="bottom"/>
          </w:tcPr>
          <w:p w14:paraId="47F30AD3" w14:textId="2A4A9C6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3,971</w:t>
            </w:r>
          </w:p>
        </w:tc>
        <w:tc>
          <w:tcPr>
            <w:tcW w:w="630" w:type="dxa"/>
            <w:tcBorders>
              <w:left w:val="single" w:sz="8" w:space="0" w:color="BFBFBF" w:themeColor="background1" w:themeShade="BF"/>
              <w:right w:val="single" w:sz="8" w:space="0" w:color="1C1C1C" w:themeColor="text1"/>
            </w:tcBorders>
            <w:vAlign w:val="bottom"/>
          </w:tcPr>
          <w:p w14:paraId="0242A60A" w14:textId="7A15AAF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61,918</w:t>
            </w:r>
          </w:p>
        </w:tc>
        <w:tc>
          <w:tcPr>
            <w:tcW w:w="360" w:type="dxa"/>
            <w:tcBorders>
              <w:left w:val="single" w:sz="8" w:space="0" w:color="1C1C1C" w:themeColor="text1"/>
              <w:right w:val="single" w:sz="8" w:space="0" w:color="BFBFBF" w:themeColor="background1" w:themeShade="BF"/>
            </w:tcBorders>
            <w:vAlign w:val="bottom"/>
          </w:tcPr>
          <w:p w14:paraId="460CC4EB" w14:textId="7B95299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60103986" w14:textId="246AA13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527</w:t>
            </w:r>
          </w:p>
        </w:tc>
        <w:tc>
          <w:tcPr>
            <w:tcW w:w="360" w:type="dxa"/>
            <w:tcBorders>
              <w:left w:val="single" w:sz="8" w:space="0" w:color="1C1C1C" w:themeColor="text1"/>
              <w:right w:val="single" w:sz="8" w:space="0" w:color="BFBFBF" w:themeColor="background1" w:themeShade="BF"/>
            </w:tcBorders>
            <w:vAlign w:val="bottom"/>
          </w:tcPr>
          <w:p w14:paraId="3B70F0C9" w14:textId="085C2DA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BFBFBF" w:themeColor="background1" w:themeShade="BF"/>
              <w:right w:val="single" w:sz="12" w:space="0" w:color="auto"/>
            </w:tcBorders>
            <w:vAlign w:val="bottom"/>
          </w:tcPr>
          <w:p w14:paraId="76D21AFE" w14:textId="580E85D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1,387</w:t>
            </w:r>
          </w:p>
        </w:tc>
        <w:tc>
          <w:tcPr>
            <w:tcW w:w="720" w:type="dxa"/>
            <w:tcBorders>
              <w:left w:val="single" w:sz="12" w:space="0" w:color="auto"/>
              <w:right w:val="single" w:sz="8" w:space="0" w:color="BFBFBF" w:themeColor="background1" w:themeShade="BF"/>
            </w:tcBorders>
            <w:vAlign w:val="bottom"/>
          </w:tcPr>
          <w:p w14:paraId="75628984" w14:textId="159D3FC3"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108,818</w:t>
            </w:r>
          </w:p>
        </w:tc>
        <w:tc>
          <w:tcPr>
            <w:tcW w:w="900" w:type="dxa"/>
            <w:tcBorders>
              <w:left w:val="single" w:sz="8" w:space="0" w:color="BFBFBF" w:themeColor="background1" w:themeShade="BF"/>
            </w:tcBorders>
            <w:vAlign w:val="bottom"/>
          </w:tcPr>
          <w:p w14:paraId="604287E9" w14:textId="46716446"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1,837,643</w:t>
            </w:r>
          </w:p>
        </w:tc>
      </w:tr>
      <w:tr w:rsidR="00506B65" w:rsidRPr="0081769C" w14:paraId="4D156F93" w14:textId="77777777" w:rsidTr="005919BE">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7DE5D4CD"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2044</w:t>
            </w:r>
          </w:p>
        </w:tc>
        <w:tc>
          <w:tcPr>
            <w:tcW w:w="544" w:type="dxa"/>
            <w:tcBorders>
              <w:left w:val="single" w:sz="4" w:space="0" w:color="auto"/>
              <w:right w:val="single" w:sz="8" w:space="0" w:color="BFBFBF" w:themeColor="background1" w:themeShade="BF"/>
            </w:tcBorders>
          </w:tcPr>
          <w:p w14:paraId="7521B913" w14:textId="19A3DE5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782 </w:t>
            </w:r>
          </w:p>
        </w:tc>
        <w:tc>
          <w:tcPr>
            <w:tcW w:w="630" w:type="dxa"/>
            <w:tcBorders>
              <w:left w:val="single" w:sz="8" w:space="0" w:color="BFBFBF" w:themeColor="background1" w:themeShade="BF"/>
              <w:right w:val="single" w:sz="8" w:space="0" w:color="1C1C1C" w:themeColor="text1"/>
            </w:tcBorders>
          </w:tcPr>
          <w:p w14:paraId="29C610CE" w14:textId="5F42A57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17,170 </w:t>
            </w:r>
          </w:p>
        </w:tc>
        <w:tc>
          <w:tcPr>
            <w:tcW w:w="360" w:type="dxa"/>
            <w:tcBorders>
              <w:left w:val="single" w:sz="8" w:space="0" w:color="1C1C1C" w:themeColor="text1"/>
              <w:right w:val="single" w:sz="8" w:space="0" w:color="BFBFBF" w:themeColor="background1" w:themeShade="BF"/>
            </w:tcBorders>
            <w:noWrap/>
            <w:vAlign w:val="bottom"/>
          </w:tcPr>
          <w:p w14:paraId="2E7F6EE7" w14:textId="427D6B2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4F52BC02" w14:textId="60850D6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134</w:t>
            </w:r>
          </w:p>
        </w:tc>
        <w:tc>
          <w:tcPr>
            <w:tcW w:w="630" w:type="dxa"/>
            <w:tcBorders>
              <w:left w:val="single" w:sz="8" w:space="0" w:color="1C1C1C" w:themeColor="text1"/>
              <w:right w:val="single" w:sz="8" w:space="0" w:color="BFBFBF" w:themeColor="background1" w:themeShade="BF"/>
            </w:tcBorders>
            <w:vAlign w:val="bottom"/>
          </w:tcPr>
          <w:p w14:paraId="3403690D" w14:textId="2E88C73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01E1E6C7" w14:textId="504EC01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525F059B" w14:textId="6D591DA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617</w:t>
            </w:r>
          </w:p>
        </w:tc>
        <w:tc>
          <w:tcPr>
            <w:tcW w:w="630" w:type="dxa"/>
            <w:tcBorders>
              <w:left w:val="single" w:sz="8" w:space="0" w:color="BFBFBF" w:themeColor="background1" w:themeShade="BF"/>
              <w:right w:val="single" w:sz="8" w:space="0" w:color="1C1C1C" w:themeColor="text1"/>
            </w:tcBorders>
            <w:vAlign w:val="bottom"/>
          </w:tcPr>
          <w:p w14:paraId="2266F6AF" w14:textId="0ED3349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12,459</w:t>
            </w:r>
          </w:p>
        </w:tc>
        <w:tc>
          <w:tcPr>
            <w:tcW w:w="540" w:type="dxa"/>
            <w:tcBorders>
              <w:left w:val="single" w:sz="8" w:space="0" w:color="1C1C1C" w:themeColor="text1"/>
              <w:right w:val="single" w:sz="8" w:space="0" w:color="BFBFBF" w:themeColor="background1" w:themeShade="BF"/>
            </w:tcBorders>
            <w:vAlign w:val="bottom"/>
          </w:tcPr>
          <w:p w14:paraId="4B51AB45" w14:textId="16D9A47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3,980</w:t>
            </w:r>
          </w:p>
        </w:tc>
        <w:tc>
          <w:tcPr>
            <w:tcW w:w="630" w:type="dxa"/>
            <w:tcBorders>
              <w:left w:val="single" w:sz="8" w:space="0" w:color="BFBFBF" w:themeColor="background1" w:themeShade="BF"/>
              <w:right w:val="single" w:sz="8" w:space="0" w:color="1C1C1C" w:themeColor="text1"/>
            </w:tcBorders>
            <w:vAlign w:val="bottom"/>
          </w:tcPr>
          <w:p w14:paraId="157E05FB" w14:textId="563FC6B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65,898</w:t>
            </w:r>
          </w:p>
        </w:tc>
        <w:tc>
          <w:tcPr>
            <w:tcW w:w="360" w:type="dxa"/>
            <w:tcBorders>
              <w:left w:val="single" w:sz="8" w:space="0" w:color="1C1C1C" w:themeColor="text1"/>
              <w:right w:val="single" w:sz="8" w:space="0" w:color="BFBFBF" w:themeColor="background1" w:themeShade="BF"/>
            </w:tcBorders>
            <w:vAlign w:val="bottom"/>
          </w:tcPr>
          <w:p w14:paraId="51A313EC" w14:textId="29B7768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w:t>
            </w:r>
          </w:p>
        </w:tc>
        <w:tc>
          <w:tcPr>
            <w:tcW w:w="630" w:type="dxa"/>
            <w:tcBorders>
              <w:left w:val="single" w:sz="8" w:space="0" w:color="BFBFBF" w:themeColor="background1" w:themeShade="BF"/>
              <w:right w:val="single" w:sz="8" w:space="0" w:color="1C1C1C" w:themeColor="text1"/>
            </w:tcBorders>
            <w:vAlign w:val="bottom"/>
          </w:tcPr>
          <w:p w14:paraId="78BD7CE2" w14:textId="7E4BC23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553</w:t>
            </w:r>
          </w:p>
        </w:tc>
        <w:tc>
          <w:tcPr>
            <w:tcW w:w="360" w:type="dxa"/>
            <w:tcBorders>
              <w:left w:val="single" w:sz="8" w:space="0" w:color="1C1C1C" w:themeColor="text1"/>
              <w:right w:val="single" w:sz="8" w:space="0" w:color="BFBFBF" w:themeColor="background1" w:themeShade="BF"/>
            </w:tcBorders>
            <w:vAlign w:val="bottom"/>
          </w:tcPr>
          <w:p w14:paraId="63126D37" w14:textId="5D4171F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w:t>
            </w:r>
          </w:p>
        </w:tc>
        <w:tc>
          <w:tcPr>
            <w:tcW w:w="630" w:type="dxa"/>
            <w:tcBorders>
              <w:left w:val="single" w:sz="8" w:space="0" w:color="BFBFBF" w:themeColor="background1" w:themeShade="BF"/>
              <w:right w:val="single" w:sz="12" w:space="0" w:color="auto"/>
            </w:tcBorders>
            <w:vAlign w:val="bottom"/>
          </w:tcPr>
          <w:p w14:paraId="54F4C86C" w14:textId="3608AC5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1,454</w:t>
            </w:r>
          </w:p>
        </w:tc>
        <w:tc>
          <w:tcPr>
            <w:tcW w:w="720" w:type="dxa"/>
            <w:tcBorders>
              <w:left w:val="single" w:sz="12" w:space="0" w:color="auto"/>
              <w:right w:val="single" w:sz="8" w:space="0" w:color="BFBFBF" w:themeColor="background1" w:themeShade="BF"/>
            </w:tcBorders>
            <w:vAlign w:val="bottom"/>
          </w:tcPr>
          <w:p w14:paraId="4DB9B139" w14:textId="0CAD585A"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108,828</w:t>
            </w:r>
          </w:p>
        </w:tc>
        <w:tc>
          <w:tcPr>
            <w:tcW w:w="900" w:type="dxa"/>
            <w:tcBorders>
              <w:left w:val="single" w:sz="8" w:space="0" w:color="BFBFBF" w:themeColor="background1" w:themeShade="BF"/>
            </w:tcBorders>
            <w:vAlign w:val="bottom"/>
          </w:tcPr>
          <w:p w14:paraId="67D0B750" w14:textId="6DF6C413"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1,946,472</w:t>
            </w:r>
          </w:p>
        </w:tc>
      </w:tr>
      <w:tr w:rsidR="00506B65" w:rsidRPr="0081769C" w14:paraId="4ADA5328"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A662960"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2045</w:t>
            </w:r>
          </w:p>
        </w:tc>
        <w:tc>
          <w:tcPr>
            <w:tcW w:w="544" w:type="dxa"/>
            <w:tcBorders>
              <w:left w:val="single" w:sz="4" w:space="0" w:color="auto"/>
              <w:right w:val="single" w:sz="8" w:space="0" w:color="BFBFBF" w:themeColor="background1" w:themeShade="BF"/>
            </w:tcBorders>
          </w:tcPr>
          <w:p w14:paraId="4C4E32F2" w14:textId="3E948F1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744 </w:t>
            </w:r>
          </w:p>
        </w:tc>
        <w:tc>
          <w:tcPr>
            <w:tcW w:w="630" w:type="dxa"/>
            <w:tcBorders>
              <w:left w:val="single" w:sz="8" w:space="0" w:color="BFBFBF" w:themeColor="background1" w:themeShade="BF"/>
              <w:right w:val="single" w:sz="8" w:space="0" w:color="1C1C1C" w:themeColor="text1"/>
            </w:tcBorders>
          </w:tcPr>
          <w:p w14:paraId="6F055D68" w14:textId="1AD2ED9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17,914 </w:t>
            </w:r>
          </w:p>
        </w:tc>
        <w:tc>
          <w:tcPr>
            <w:tcW w:w="360" w:type="dxa"/>
            <w:tcBorders>
              <w:left w:val="single" w:sz="8" w:space="0" w:color="1C1C1C" w:themeColor="text1"/>
              <w:right w:val="single" w:sz="8" w:space="0" w:color="BFBFBF" w:themeColor="background1" w:themeShade="BF"/>
            </w:tcBorders>
            <w:noWrap/>
            <w:vAlign w:val="bottom"/>
          </w:tcPr>
          <w:p w14:paraId="3BDD4369" w14:textId="6B5F74B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651C18EB" w14:textId="480D83F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140</w:t>
            </w:r>
          </w:p>
        </w:tc>
        <w:tc>
          <w:tcPr>
            <w:tcW w:w="630" w:type="dxa"/>
            <w:tcBorders>
              <w:left w:val="single" w:sz="8" w:space="0" w:color="1C1C1C" w:themeColor="text1"/>
              <w:right w:val="single" w:sz="8" w:space="0" w:color="BFBFBF" w:themeColor="background1" w:themeShade="BF"/>
            </w:tcBorders>
            <w:vAlign w:val="bottom"/>
          </w:tcPr>
          <w:p w14:paraId="01F4E889" w14:textId="782B7CD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2B89783B" w14:textId="3761C33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53D64C92" w14:textId="57960D4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605</w:t>
            </w:r>
          </w:p>
        </w:tc>
        <w:tc>
          <w:tcPr>
            <w:tcW w:w="630" w:type="dxa"/>
            <w:tcBorders>
              <w:left w:val="single" w:sz="8" w:space="0" w:color="BFBFBF" w:themeColor="background1" w:themeShade="BF"/>
              <w:right w:val="single" w:sz="8" w:space="0" w:color="1C1C1C" w:themeColor="text1"/>
            </w:tcBorders>
            <w:vAlign w:val="bottom"/>
          </w:tcPr>
          <w:p w14:paraId="5F44656A" w14:textId="3288370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13,064</w:t>
            </w:r>
          </w:p>
        </w:tc>
        <w:tc>
          <w:tcPr>
            <w:tcW w:w="540" w:type="dxa"/>
            <w:tcBorders>
              <w:left w:val="single" w:sz="8" w:space="0" w:color="1C1C1C" w:themeColor="text1"/>
              <w:right w:val="single" w:sz="8" w:space="0" w:color="BFBFBF" w:themeColor="background1" w:themeShade="BF"/>
            </w:tcBorders>
            <w:vAlign w:val="bottom"/>
          </w:tcPr>
          <w:p w14:paraId="0236DCF6" w14:textId="6CE87A85"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3,788</w:t>
            </w:r>
          </w:p>
        </w:tc>
        <w:tc>
          <w:tcPr>
            <w:tcW w:w="630" w:type="dxa"/>
            <w:tcBorders>
              <w:left w:val="single" w:sz="8" w:space="0" w:color="BFBFBF" w:themeColor="background1" w:themeShade="BF"/>
              <w:right w:val="single" w:sz="8" w:space="0" w:color="1C1C1C" w:themeColor="text1"/>
            </w:tcBorders>
            <w:vAlign w:val="bottom"/>
          </w:tcPr>
          <w:p w14:paraId="089BCC5E" w14:textId="02CBAE3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69,686</w:t>
            </w:r>
          </w:p>
        </w:tc>
        <w:tc>
          <w:tcPr>
            <w:tcW w:w="360" w:type="dxa"/>
            <w:tcBorders>
              <w:left w:val="single" w:sz="8" w:space="0" w:color="1C1C1C" w:themeColor="text1"/>
              <w:right w:val="single" w:sz="8" w:space="0" w:color="BFBFBF" w:themeColor="background1" w:themeShade="BF"/>
            </w:tcBorders>
            <w:vAlign w:val="bottom"/>
          </w:tcPr>
          <w:p w14:paraId="2874396A" w14:textId="3B6653E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w:t>
            </w:r>
          </w:p>
        </w:tc>
        <w:tc>
          <w:tcPr>
            <w:tcW w:w="630" w:type="dxa"/>
            <w:tcBorders>
              <w:left w:val="single" w:sz="8" w:space="0" w:color="BFBFBF" w:themeColor="background1" w:themeShade="BF"/>
              <w:right w:val="single" w:sz="8" w:space="0" w:color="1C1C1C" w:themeColor="text1"/>
            </w:tcBorders>
            <w:vAlign w:val="bottom"/>
          </w:tcPr>
          <w:p w14:paraId="0F14C441" w14:textId="5FAEA1D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579</w:t>
            </w:r>
          </w:p>
        </w:tc>
        <w:tc>
          <w:tcPr>
            <w:tcW w:w="360" w:type="dxa"/>
            <w:tcBorders>
              <w:left w:val="single" w:sz="8" w:space="0" w:color="1C1C1C" w:themeColor="text1"/>
              <w:right w:val="single" w:sz="8" w:space="0" w:color="BFBFBF" w:themeColor="background1" w:themeShade="BF"/>
            </w:tcBorders>
            <w:vAlign w:val="bottom"/>
          </w:tcPr>
          <w:p w14:paraId="5DF36E52" w14:textId="574C294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64</w:t>
            </w:r>
          </w:p>
        </w:tc>
        <w:tc>
          <w:tcPr>
            <w:tcW w:w="630" w:type="dxa"/>
            <w:tcBorders>
              <w:left w:val="single" w:sz="8" w:space="0" w:color="BFBFBF" w:themeColor="background1" w:themeShade="BF"/>
              <w:right w:val="single" w:sz="12" w:space="0" w:color="auto"/>
            </w:tcBorders>
            <w:vAlign w:val="bottom"/>
          </w:tcPr>
          <w:p w14:paraId="5EDC1F52" w14:textId="34E8F46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1,518</w:t>
            </w:r>
          </w:p>
        </w:tc>
        <w:tc>
          <w:tcPr>
            <w:tcW w:w="720" w:type="dxa"/>
            <w:tcBorders>
              <w:left w:val="single" w:sz="12" w:space="0" w:color="auto"/>
              <w:right w:val="single" w:sz="8" w:space="0" w:color="BFBFBF" w:themeColor="background1" w:themeShade="BF"/>
            </w:tcBorders>
            <w:vAlign w:val="bottom"/>
          </w:tcPr>
          <w:p w14:paraId="3DAA7D55" w14:textId="09D329B3"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108,581</w:t>
            </w:r>
          </w:p>
        </w:tc>
        <w:tc>
          <w:tcPr>
            <w:tcW w:w="900" w:type="dxa"/>
            <w:tcBorders>
              <w:left w:val="single" w:sz="8" w:space="0" w:color="BFBFBF" w:themeColor="background1" w:themeShade="BF"/>
            </w:tcBorders>
            <w:vAlign w:val="bottom"/>
          </w:tcPr>
          <w:p w14:paraId="5096F8F9" w14:textId="09D4A103"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2,055,052</w:t>
            </w:r>
          </w:p>
        </w:tc>
      </w:tr>
      <w:tr w:rsidR="00506B65" w:rsidRPr="0081769C" w14:paraId="49B91CF7" w14:textId="77777777" w:rsidTr="005919BE">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34B4F22F"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2046</w:t>
            </w:r>
          </w:p>
        </w:tc>
        <w:tc>
          <w:tcPr>
            <w:tcW w:w="544" w:type="dxa"/>
            <w:tcBorders>
              <w:left w:val="single" w:sz="4" w:space="0" w:color="auto"/>
              <w:right w:val="single" w:sz="8" w:space="0" w:color="BFBFBF" w:themeColor="background1" w:themeShade="BF"/>
            </w:tcBorders>
          </w:tcPr>
          <w:p w14:paraId="1CBBC7F3" w14:textId="6442FC2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717 </w:t>
            </w:r>
          </w:p>
        </w:tc>
        <w:tc>
          <w:tcPr>
            <w:tcW w:w="630" w:type="dxa"/>
            <w:tcBorders>
              <w:left w:val="single" w:sz="8" w:space="0" w:color="BFBFBF" w:themeColor="background1" w:themeShade="BF"/>
              <w:right w:val="single" w:sz="8" w:space="0" w:color="1C1C1C" w:themeColor="text1"/>
            </w:tcBorders>
          </w:tcPr>
          <w:p w14:paraId="6AF264B4" w14:textId="28F2BE5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18,631 </w:t>
            </w:r>
          </w:p>
        </w:tc>
        <w:tc>
          <w:tcPr>
            <w:tcW w:w="360" w:type="dxa"/>
            <w:tcBorders>
              <w:left w:val="single" w:sz="8" w:space="0" w:color="1C1C1C" w:themeColor="text1"/>
              <w:right w:val="single" w:sz="8" w:space="0" w:color="BFBFBF" w:themeColor="background1" w:themeShade="BF"/>
            </w:tcBorders>
            <w:noWrap/>
            <w:vAlign w:val="bottom"/>
          </w:tcPr>
          <w:p w14:paraId="700E4CC4" w14:textId="498BB14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5A8B6BDA" w14:textId="0F1DE7BD"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145</w:t>
            </w:r>
          </w:p>
        </w:tc>
        <w:tc>
          <w:tcPr>
            <w:tcW w:w="630" w:type="dxa"/>
            <w:tcBorders>
              <w:left w:val="single" w:sz="8" w:space="0" w:color="1C1C1C" w:themeColor="text1"/>
              <w:right w:val="single" w:sz="8" w:space="0" w:color="BFBFBF" w:themeColor="background1" w:themeShade="BF"/>
            </w:tcBorders>
            <w:vAlign w:val="bottom"/>
          </w:tcPr>
          <w:p w14:paraId="31B56F33" w14:textId="3C8BC15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1877CBAD" w14:textId="5886148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46CD5EA6" w14:textId="2EB315E1"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597</w:t>
            </w:r>
          </w:p>
        </w:tc>
        <w:tc>
          <w:tcPr>
            <w:tcW w:w="630" w:type="dxa"/>
            <w:tcBorders>
              <w:left w:val="single" w:sz="8" w:space="0" w:color="BFBFBF" w:themeColor="background1" w:themeShade="BF"/>
              <w:right w:val="single" w:sz="8" w:space="0" w:color="1C1C1C" w:themeColor="text1"/>
            </w:tcBorders>
            <w:vAlign w:val="bottom"/>
          </w:tcPr>
          <w:p w14:paraId="4FB4E5FD" w14:textId="275B1D8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13,660</w:t>
            </w:r>
          </w:p>
        </w:tc>
        <w:tc>
          <w:tcPr>
            <w:tcW w:w="540" w:type="dxa"/>
            <w:tcBorders>
              <w:left w:val="single" w:sz="8" w:space="0" w:color="1C1C1C" w:themeColor="text1"/>
              <w:right w:val="single" w:sz="8" w:space="0" w:color="BFBFBF" w:themeColor="background1" w:themeShade="BF"/>
            </w:tcBorders>
            <w:vAlign w:val="bottom"/>
          </w:tcPr>
          <w:p w14:paraId="3792E00B" w14:textId="13B913E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3,651</w:t>
            </w:r>
          </w:p>
        </w:tc>
        <w:tc>
          <w:tcPr>
            <w:tcW w:w="630" w:type="dxa"/>
            <w:tcBorders>
              <w:left w:val="single" w:sz="8" w:space="0" w:color="BFBFBF" w:themeColor="background1" w:themeShade="BF"/>
              <w:right w:val="single" w:sz="8" w:space="0" w:color="1C1C1C" w:themeColor="text1"/>
            </w:tcBorders>
            <w:vAlign w:val="bottom"/>
          </w:tcPr>
          <w:p w14:paraId="2A9087E4" w14:textId="3266065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73,337</w:t>
            </w:r>
          </w:p>
        </w:tc>
        <w:tc>
          <w:tcPr>
            <w:tcW w:w="360" w:type="dxa"/>
            <w:tcBorders>
              <w:left w:val="single" w:sz="8" w:space="0" w:color="1C1C1C" w:themeColor="text1"/>
              <w:right w:val="single" w:sz="8" w:space="0" w:color="BFBFBF" w:themeColor="background1" w:themeShade="BF"/>
            </w:tcBorders>
            <w:vAlign w:val="bottom"/>
          </w:tcPr>
          <w:p w14:paraId="45608DB1" w14:textId="49844AF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25</w:t>
            </w:r>
          </w:p>
        </w:tc>
        <w:tc>
          <w:tcPr>
            <w:tcW w:w="630" w:type="dxa"/>
            <w:tcBorders>
              <w:left w:val="single" w:sz="8" w:space="0" w:color="BFBFBF" w:themeColor="background1" w:themeShade="BF"/>
              <w:right w:val="single" w:sz="8" w:space="0" w:color="1C1C1C" w:themeColor="text1"/>
            </w:tcBorders>
            <w:vAlign w:val="bottom"/>
          </w:tcPr>
          <w:p w14:paraId="786B3EDF" w14:textId="733BC71B"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604</w:t>
            </w:r>
          </w:p>
        </w:tc>
        <w:tc>
          <w:tcPr>
            <w:tcW w:w="360" w:type="dxa"/>
            <w:tcBorders>
              <w:left w:val="single" w:sz="8" w:space="0" w:color="1C1C1C" w:themeColor="text1"/>
              <w:right w:val="single" w:sz="8" w:space="0" w:color="BFBFBF" w:themeColor="background1" w:themeShade="BF"/>
            </w:tcBorders>
            <w:vAlign w:val="bottom"/>
          </w:tcPr>
          <w:p w14:paraId="69E7F306" w14:textId="3593047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w:t>
            </w:r>
          </w:p>
        </w:tc>
        <w:tc>
          <w:tcPr>
            <w:tcW w:w="630" w:type="dxa"/>
            <w:tcBorders>
              <w:left w:val="single" w:sz="8" w:space="0" w:color="BFBFBF" w:themeColor="background1" w:themeShade="BF"/>
              <w:right w:val="single" w:sz="12" w:space="0" w:color="auto"/>
            </w:tcBorders>
            <w:vAlign w:val="bottom"/>
          </w:tcPr>
          <w:p w14:paraId="02631E67" w14:textId="00B5198B"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1,580</w:t>
            </w:r>
          </w:p>
        </w:tc>
        <w:tc>
          <w:tcPr>
            <w:tcW w:w="720" w:type="dxa"/>
            <w:tcBorders>
              <w:left w:val="single" w:sz="12" w:space="0" w:color="auto"/>
              <w:right w:val="single" w:sz="8" w:space="0" w:color="BFBFBF" w:themeColor="background1" w:themeShade="BF"/>
            </w:tcBorders>
            <w:vAlign w:val="bottom"/>
          </w:tcPr>
          <w:p w14:paraId="2F91F424" w14:textId="35AD1438"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108,405</w:t>
            </w:r>
          </w:p>
        </w:tc>
        <w:tc>
          <w:tcPr>
            <w:tcW w:w="900" w:type="dxa"/>
            <w:tcBorders>
              <w:left w:val="single" w:sz="8" w:space="0" w:color="BFBFBF" w:themeColor="background1" w:themeShade="BF"/>
            </w:tcBorders>
            <w:vAlign w:val="bottom"/>
          </w:tcPr>
          <w:p w14:paraId="0D4FCEB1" w14:textId="6E525D27"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2,163,457</w:t>
            </w:r>
          </w:p>
        </w:tc>
      </w:tr>
      <w:tr w:rsidR="00506B65" w:rsidRPr="0081769C" w14:paraId="67F25CFF"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D990034"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2047</w:t>
            </w:r>
          </w:p>
        </w:tc>
        <w:tc>
          <w:tcPr>
            <w:tcW w:w="544" w:type="dxa"/>
            <w:tcBorders>
              <w:left w:val="single" w:sz="4" w:space="0" w:color="auto"/>
              <w:right w:val="single" w:sz="8" w:space="0" w:color="BFBFBF" w:themeColor="background1" w:themeShade="BF"/>
            </w:tcBorders>
          </w:tcPr>
          <w:p w14:paraId="51A9A7E0" w14:textId="78D0ACA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721 </w:t>
            </w:r>
          </w:p>
        </w:tc>
        <w:tc>
          <w:tcPr>
            <w:tcW w:w="630" w:type="dxa"/>
            <w:tcBorders>
              <w:left w:val="single" w:sz="8" w:space="0" w:color="BFBFBF" w:themeColor="background1" w:themeShade="BF"/>
              <w:right w:val="single" w:sz="8" w:space="0" w:color="1C1C1C" w:themeColor="text1"/>
            </w:tcBorders>
          </w:tcPr>
          <w:p w14:paraId="749A262C" w14:textId="037DA1D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19,352 </w:t>
            </w:r>
          </w:p>
        </w:tc>
        <w:tc>
          <w:tcPr>
            <w:tcW w:w="360" w:type="dxa"/>
            <w:tcBorders>
              <w:left w:val="single" w:sz="8" w:space="0" w:color="1C1C1C" w:themeColor="text1"/>
              <w:right w:val="single" w:sz="8" w:space="0" w:color="BFBFBF" w:themeColor="background1" w:themeShade="BF"/>
            </w:tcBorders>
            <w:noWrap/>
            <w:vAlign w:val="bottom"/>
          </w:tcPr>
          <w:p w14:paraId="58B7521B" w14:textId="094FEE7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1E601C73" w14:textId="5A7B220B"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151</w:t>
            </w:r>
          </w:p>
        </w:tc>
        <w:tc>
          <w:tcPr>
            <w:tcW w:w="630" w:type="dxa"/>
            <w:tcBorders>
              <w:left w:val="single" w:sz="8" w:space="0" w:color="1C1C1C" w:themeColor="text1"/>
              <w:right w:val="single" w:sz="8" w:space="0" w:color="BFBFBF" w:themeColor="background1" w:themeShade="BF"/>
            </w:tcBorders>
            <w:vAlign w:val="bottom"/>
          </w:tcPr>
          <w:p w14:paraId="6830181B" w14:textId="2ACF6A8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1819A3B8" w14:textId="72364F7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2AAA9081" w14:textId="6D886DC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598</w:t>
            </w:r>
          </w:p>
        </w:tc>
        <w:tc>
          <w:tcPr>
            <w:tcW w:w="630" w:type="dxa"/>
            <w:tcBorders>
              <w:left w:val="single" w:sz="8" w:space="0" w:color="BFBFBF" w:themeColor="background1" w:themeShade="BF"/>
              <w:right w:val="single" w:sz="8" w:space="0" w:color="1C1C1C" w:themeColor="text1"/>
            </w:tcBorders>
            <w:vAlign w:val="bottom"/>
          </w:tcPr>
          <w:p w14:paraId="6C76635A" w14:textId="25E84BCD"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14,258</w:t>
            </w:r>
          </w:p>
        </w:tc>
        <w:tc>
          <w:tcPr>
            <w:tcW w:w="540" w:type="dxa"/>
            <w:tcBorders>
              <w:left w:val="single" w:sz="8" w:space="0" w:color="1C1C1C" w:themeColor="text1"/>
              <w:right w:val="single" w:sz="8" w:space="0" w:color="BFBFBF" w:themeColor="background1" w:themeShade="BF"/>
            </w:tcBorders>
            <w:vAlign w:val="bottom"/>
          </w:tcPr>
          <w:p w14:paraId="5A667003" w14:textId="50E49141"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3,670</w:t>
            </w:r>
          </w:p>
        </w:tc>
        <w:tc>
          <w:tcPr>
            <w:tcW w:w="630" w:type="dxa"/>
            <w:tcBorders>
              <w:left w:val="single" w:sz="8" w:space="0" w:color="BFBFBF" w:themeColor="background1" w:themeShade="BF"/>
              <w:right w:val="single" w:sz="8" w:space="0" w:color="1C1C1C" w:themeColor="text1"/>
            </w:tcBorders>
            <w:vAlign w:val="bottom"/>
          </w:tcPr>
          <w:p w14:paraId="08D9569B" w14:textId="4136C5A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77,007</w:t>
            </w:r>
          </w:p>
        </w:tc>
        <w:tc>
          <w:tcPr>
            <w:tcW w:w="360" w:type="dxa"/>
            <w:tcBorders>
              <w:left w:val="single" w:sz="8" w:space="0" w:color="1C1C1C" w:themeColor="text1"/>
              <w:right w:val="single" w:sz="8" w:space="0" w:color="BFBFBF" w:themeColor="background1" w:themeShade="BF"/>
            </w:tcBorders>
            <w:vAlign w:val="bottom"/>
          </w:tcPr>
          <w:p w14:paraId="5BF59BC6" w14:textId="5752428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25</w:t>
            </w:r>
          </w:p>
        </w:tc>
        <w:tc>
          <w:tcPr>
            <w:tcW w:w="630" w:type="dxa"/>
            <w:tcBorders>
              <w:left w:val="single" w:sz="8" w:space="0" w:color="BFBFBF" w:themeColor="background1" w:themeShade="BF"/>
              <w:right w:val="single" w:sz="8" w:space="0" w:color="1C1C1C" w:themeColor="text1"/>
            </w:tcBorders>
            <w:vAlign w:val="bottom"/>
          </w:tcPr>
          <w:p w14:paraId="74BC9FB1" w14:textId="09D02339"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630</w:t>
            </w:r>
          </w:p>
        </w:tc>
        <w:tc>
          <w:tcPr>
            <w:tcW w:w="360" w:type="dxa"/>
            <w:tcBorders>
              <w:left w:val="single" w:sz="8" w:space="0" w:color="1C1C1C" w:themeColor="text1"/>
              <w:right w:val="single" w:sz="8" w:space="0" w:color="BFBFBF" w:themeColor="background1" w:themeShade="BF"/>
            </w:tcBorders>
            <w:vAlign w:val="bottom"/>
          </w:tcPr>
          <w:p w14:paraId="14CE6045" w14:textId="58075A0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w:t>
            </w:r>
          </w:p>
        </w:tc>
        <w:tc>
          <w:tcPr>
            <w:tcW w:w="630" w:type="dxa"/>
            <w:tcBorders>
              <w:left w:val="single" w:sz="8" w:space="0" w:color="BFBFBF" w:themeColor="background1" w:themeShade="BF"/>
              <w:right w:val="single" w:sz="12" w:space="0" w:color="auto"/>
            </w:tcBorders>
            <w:vAlign w:val="bottom"/>
          </w:tcPr>
          <w:p w14:paraId="4C4FF22F" w14:textId="317DCE0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1,642</w:t>
            </w:r>
          </w:p>
        </w:tc>
        <w:tc>
          <w:tcPr>
            <w:tcW w:w="720" w:type="dxa"/>
            <w:tcBorders>
              <w:left w:val="single" w:sz="12" w:space="0" w:color="auto"/>
              <w:right w:val="single" w:sz="8" w:space="0" w:color="BFBFBF" w:themeColor="background1" w:themeShade="BF"/>
            </w:tcBorders>
            <w:vAlign w:val="bottom"/>
          </w:tcPr>
          <w:p w14:paraId="320ADAFA" w14:textId="0CB9724D"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108,428</w:t>
            </w:r>
          </w:p>
        </w:tc>
        <w:tc>
          <w:tcPr>
            <w:tcW w:w="900" w:type="dxa"/>
            <w:tcBorders>
              <w:left w:val="single" w:sz="8" w:space="0" w:color="BFBFBF" w:themeColor="background1" w:themeShade="BF"/>
            </w:tcBorders>
            <w:vAlign w:val="bottom"/>
          </w:tcPr>
          <w:p w14:paraId="657F83DB" w14:textId="00265F4F"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2,271,885</w:t>
            </w:r>
          </w:p>
        </w:tc>
      </w:tr>
      <w:tr w:rsidR="00506B65" w:rsidRPr="0081769C" w14:paraId="6212AD1F" w14:textId="77777777" w:rsidTr="005919BE">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7E686D1"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2048</w:t>
            </w:r>
          </w:p>
        </w:tc>
        <w:tc>
          <w:tcPr>
            <w:tcW w:w="544" w:type="dxa"/>
            <w:tcBorders>
              <w:left w:val="single" w:sz="4" w:space="0" w:color="auto"/>
              <w:right w:val="single" w:sz="8" w:space="0" w:color="BFBFBF" w:themeColor="background1" w:themeShade="BF"/>
            </w:tcBorders>
          </w:tcPr>
          <w:p w14:paraId="41CED425" w14:textId="787D456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712 </w:t>
            </w:r>
          </w:p>
        </w:tc>
        <w:tc>
          <w:tcPr>
            <w:tcW w:w="630" w:type="dxa"/>
            <w:tcBorders>
              <w:left w:val="single" w:sz="8" w:space="0" w:color="BFBFBF" w:themeColor="background1" w:themeShade="BF"/>
              <w:right w:val="single" w:sz="8" w:space="0" w:color="1C1C1C" w:themeColor="text1"/>
            </w:tcBorders>
          </w:tcPr>
          <w:p w14:paraId="36AD6F93" w14:textId="05B6ADD2"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20,064 </w:t>
            </w:r>
          </w:p>
        </w:tc>
        <w:tc>
          <w:tcPr>
            <w:tcW w:w="360" w:type="dxa"/>
            <w:tcBorders>
              <w:left w:val="single" w:sz="8" w:space="0" w:color="1C1C1C" w:themeColor="text1"/>
              <w:right w:val="single" w:sz="8" w:space="0" w:color="BFBFBF" w:themeColor="background1" w:themeShade="BF"/>
            </w:tcBorders>
            <w:noWrap/>
            <w:vAlign w:val="bottom"/>
          </w:tcPr>
          <w:p w14:paraId="369E35F7" w14:textId="40D5D44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w:t>
            </w:r>
          </w:p>
        </w:tc>
        <w:tc>
          <w:tcPr>
            <w:tcW w:w="630" w:type="dxa"/>
            <w:tcBorders>
              <w:left w:val="single" w:sz="8" w:space="0" w:color="BFBFBF" w:themeColor="background1" w:themeShade="BF"/>
              <w:right w:val="single" w:sz="8" w:space="0" w:color="1C1C1C" w:themeColor="text1"/>
            </w:tcBorders>
            <w:vAlign w:val="bottom"/>
          </w:tcPr>
          <w:p w14:paraId="26CBC5EE" w14:textId="663E01FB"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157</w:t>
            </w:r>
          </w:p>
        </w:tc>
        <w:tc>
          <w:tcPr>
            <w:tcW w:w="630" w:type="dxa"/>
            <w:tcBorders>
              <w:left w:val="single" w:sz="8" w:space="0" w:color="1C1C1C" w:themeColor="text1"/>
              <w:right w:val="single" w:sz="8" w:space="0" w:color="BFBFBF" w:themeColor="background1" w:themeShade="BF"/>
            </w:tcBorders>
            <w:vAlign w:val="bottom"/>
          </w:tcPr>
          <w:p w14:paraId="72750197" w14:textId="2893C90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0DCAFEA9" w14:textId="4893AC9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3F985629" w14:textId="5BB0CF8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595</w:t>
            </w:r>
          </w:p>
        </w:tc>
        <w:tc>
          <w:tcPr>
            <w:tcW w:w="630" w:type="dxa"/>
            <w:tcBorders>
              <w:left w:val="single" w:sz="8" w:space="0" w:color="BFBFBF" w:themeColor="background1" w:themeShade="BF"/>
              <w:right w:val="single" w:sz="8" w:space="0" w:color="1C1C1C" w:themeColor="text1"/>
            </w:tcBorders>
            <w:vAlign w:val="bottom"/>
          </w:tcPr>
          <w:p w14:paraId="522E48A5" w14:textId="2915BED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14,853</w:t>
            </w:r>
          </w:p>
        </w:tc>
        <w:tc>
          <w:tcPr>
            <w:tcW w:w="540" w:type="dxa"/>
            <w:tcBorders>
              <w:left w:val="single" w:sz="8" w:space="0" w:color="1C1C1C" w:themeColor="text1"/>
              <w:right w:val="single" w:sz="8" w:space="0" w:color="BFBFBF" w:themeColor="background1" w:themeShade="BF"/>
            </w:tcBorders>
            <w:vAlign w:val="bottom"/>
          </w:tcPr>
          <w:p w14:paraId="48DD6A1C" w14:textId="5036A72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3,625</w:t>
            </w:r>
          </w:p>
        </w:tc>
        <w:tc>
          <w:tcPr>
            <w:tcW w:w="630" w:type="dxa"/>
            <w:tcBorders>
              <w:left w:val="single" w:sz="8" w:space="0" w:color="BFBFBF" w:themeColor="background1" w:themeShade="BF"/>
              <w:right w:val="single" w:sz="8" w:space="0" w:color="1C1C1C" w:themeColor="text1"/>
            </w:tcBorders>
            <w:vAlign w:val="bottom"/>
          </w:tcPr>
          <w:p w14:paraId="33F1C4AA" w14:textId="0E8CE3D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80,633</w:t>
            </w:r>
          </w:p>
        </w:tc>
        <w:tc>
          <w:tcPr>
            <w:tcW w:w="360" w:type="dxa"/>
            <w:tcBorders>
              <w:left w:val="single" w:sz="8" w:space="0" w:color="1C1C1C" w:themeColor="text1"/>
              <w:right w:val="single" w:sz="8" w:space="0" w:color="BFBFBF" w:themeColor="background1" w:themeShade="BF"/>
            </w:tcBorders>
            <w:vAlign w:val="bottom"/>
          </w:tcPr>
          <w:p w14:paraId="06EFAE5E" w14:textId="10E3E8D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25</w:t>
            </w:r>
          </w:p>
        </w:tc>
        <w:tc>
          <w:tcPr>
            <w:tcW w:w="630" w:type="dxa"/>
            <w:tcBorders>
              <w:left w:val="single" w:sz="8" w:space="0" w:color="BFBFBF" w:themeColor="background1" w:themeShade="BF"/>
              <w:right w:val="single" w:sz="8" w:space="0" w:color="1C1C1C" w:themeColor="text1"/>
            </w:tcBorders>
            <w:vAlign w:val="bottom"/>
          </w:tcPr>
          <w:p w14:paraId="33B86865" w14:textId="1267931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655</w:t>
            </w:r>
          </w:p>
        </w:tc>
        <w:tc>
          <w:tcPr>
            <w:tcW w:w="360" w:type="dxa"/>
            <w:tcBorders>
              <w:left w:val="single" w:sz="8" w:space="0" w:color="1C1C1C" w:themeColor="text1"/>
              <w:right w:val="single" w:sz="8" w:space="0" w:color="BFBFBF" w:themeColor="background1" w:themeShade="BF"/>
            </w:tcBorders>
            <w:vAlign w:val="bottom"/>
          </w:tcPr>
          <w:p w14:paraId="54A5D568" w14:textId="665B072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w:t>
            </w:r>
          </w:p>
        </w:tc>
        <w:tc>
          <w:tcPr>
            <w:tcW w:w="630" w:type="dxa"/>
            <w:tcBorders>
              <w:left w:val="single" w:sz="8" w:space="0" w:color="BFBFBF" w:themeColor="background1" w:themeShade="BF"/>
              <w:right w:val="single" w:sz="12" w:space="0" w:color="auto"/>
            </w:tcBorders>
            <w:vAlign w:val="bottom"/>
          </w:tcPr>
          <w:p w14:paraId="78F8CD18" w14:textId="059EBC98"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1,704</w:t>
            </w:r>
          </w:p>
        </w:tc>
        <w:tc>
          <w:tcPr>
            <w:tcW w:w="720" w:type="dxa"/>
            <w:tcBorders>
              <w:left w:val="single" w:sz="12" w:space="0" w:color="auto"/>
              <w:right w:val="single" w:sz="8" w:space="0" w:color="BFBFBF" w:themeColor="background1" w:themeShade="BF"/>
            </w:tcBorders>
            <w:vAlign w:val="bottom"/>
          </w:tcPr>
          <w:p w14:paraId="7BE11B82" w14:textId="68E8BE19"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108,369</w:t>
            </w:r>
          </w:p>
        </w:tc>
        <w:tc>
          <w:tcPr>
            <w:tcW w:w="900" w:type="dxa"/>
            <w:tcBorders>
              <w:left w:val="single" w:sz="8" w:space="0" w:color="BFBFBF" w:themeColor="background1" w:themeShade="BF"/>
            </w:tcBorders>
            <w:vAlign w:val="bottom"/>
          </w:tcPr>
          <w:p w14:paraId="05E94BEE" w14:textId="60CF7B99"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2,380,254</w:t>
            </w:r>
          </w:p>
        </w:tc>
      </w:tr>
      <w:tr w:rsidR="00506B65" w:rsidRPr="0081769C" w14:paraId="6020D487" w14:textId="77777777" w:rsidTr="005919BE">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18858EE"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2049</w:t>
            </w:r>
          </w:p>
        </w:tc>
        <w:tc>
          <w:tcPr>
            <w:tcW w:w="544" w:type="dxa"/>
            <w:tcBorders>
              <w:left w:val="single" w:sz="4" w:space="0" w:color="auto"/>
              <w:right w:val="single" w:sz="8" w:space="0" w:color="BFBFBF" w:themeColor="background1" w:themeShade="BF"/>
            </w:tcBorders>
          </w:tcPr>
          <w:p w14:paraId="66C84DB1" w14:textId="78DBA707"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703 </w:t>
            </w:r>
          </w:p>
        </w:tc>
        <w:tc>
          <w:tcPr>
            <w:tcW w:w="630" w:type="dxa"/>
            <w:tcBorders>
              <w:left w:val="single" w:sz="8" w:space="0" w:color="BFBFBF" w:themeColor="background1" w:themeShade="BF"/>
              <w:right w:val="single" w:sz="8" w:space="0" w:color="1C1C1C" w:themeColor="text1"/>
            </w:tcBorders>
          </w:tcPr>
          <w:p w14:paraId="2D597816" w14:textId="4C36F64E"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20,767 </w:t>
            </w:r>
          </w:p>
        </w:tc>
        <w:tc>
          <w:tcPr>
            <w:tcW w:w="360" w:type="dxa"/>
            <w:tcBorders>
              <w:left w:val="single" w:sz="8" w:space="0" w:color="1C1C1C" w:themeColor="text1"/>
              <w:right w:val="single" w:sz="8" w:space="0" w:color="BFBFBF" w:themeColor="background1" w:themeShade="BF"/>
            </w:tcBorders>
            <w:noWrap/>
            <w:vAlign w:val="bottom"/>
          </w:tcPr>
          <w:p w14:paraId="5C60C1CD" w14:textId="73DEF7F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w:t>
            </w:r>
          </w:p>
        </w:tc>
        <w:tc>
          <w:tcPr>
            <w:tcW w:w="630" w:type="dxa"/>
            <w:tcBorders>
              <w:left w:val="single" w:sz="8" w:space="0" w:color="BFBFBF" w:themeColor="background1" w:themeShade="BF"/>
              <w:right w:val="single" w:sz="8" w:space="0" w:color="1C1C1C" w:themeColor="text1"/>
            </w:tcBorders>
            <w:vAlign w:val="bottom"/>
          </w:tcPr>
          <w:p w14:paraId="22776A4F" w14:textId="4BDC7DC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162</w:t>
            </w:r>
          </w:p>
        </w:tc>
        <w:tc>
          <w:tcPr>
            <w:tcW w:w="630" w:type="dxa"/>
            <w:tcBorders>
              <w:left w:val="single" w:sz="8" w:space="0" w:color="1C1C1C" w:themeColor="text1"/>
              <w:right w:val="single" w:sz="8" w:space="0" w:color="BFBFBF" w:themeColor="background1" w:themeShade="BF"/>
            </w:tcBorders>
            <w:vAlign w:val="bottom"/>
          </w:tcPr>
          <w:p w14:paraId="5A3627AC" w14:textId="64510CA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6A9CDC8E" w14:textId="145F167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1EC62315" w14:textId="4247075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592</w:t>
            </w:r>
          </w:p>
        </w:tc>
        <w:tc>
          <w:tcPr>
            <w:tcW w:w="630" w:type="dxa"/>
            <w:tcBorders>
              <w:left w:val="single" w:sz="8" w:space="0" w:color="BFBFBF" w:themeColor="background1" w:themeShade="BF"/>
              <w:right w:val="single" w:sz="8" w:space="0" w:color="1C1C1C" w:themeColor="text1"/>
            </w:tcBorders>
            <w:vAlign w:val="bottom"/>
          </w:tcPr>
          <w:p w14:paraId="323C9AE5" w14:textId="39F04D4C"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15,446</w:t>
            </w:r>
          </w:p>
        </w:tc>
        <w:tc>
          <w:tcPr>
            <w:tcW w:w="540" w:type="dxa"/>
            <w:tcBorders>
              <w:left w:val="single" w:sz="8" w:space="0" w:color="1C1C1C" w:themeColor="text1"/>
              <w:right w:val="single" w:sz="8" w:space="0" w:color="BFBFBF" w:themeColor="background1" w:themeShade="BF"/>
            </w:tcBorders>
            <w:vAlign w:val="bottom"/>
          </w:tcPr>
          <w:p w14:paraId="123A8125" w14:textId="7C2E10D6"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3,578</w:t>
            </w:r>
          </w:p>
        </w:tc>
        <w:tc>
          <w:tcPr>
            <w:tcW w:w="630" w:type="dxa"/>
            <w:tcBorders>
              <w:left w:val="single" w:sz="8" w:space="0" w:color="BFBFBF" w:themeColor="background1" w:themeShade="BF"/>
              <w:right w:val="single" w:sz="8" w:space="0" w:color="1C1C1C" w:themeColor="text1"/>
            </w:tcBorders>
            <w:vAlign w:val="bottom"/>
          </w:tcPr>
          <w:p w14:paraId="605C265C" w14:textId="1C085E90"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84,210</w:t>
            </w:r>
          </w:p>
        </w:tc>
        <w:tc>
          <w:tcPr>
            <w:tcW w:w="360" w:type="dxa"/>
            <w:tcBorders>
              <w:left w:val="single" w:sz="8" w:space="0" w:color="1C1C1C" w:themeColor="text1"/>
              <w:right w:val="single" w:sz="8" w:space="0" w:color="BFBFBF" w:themeColor="background1" w:themeShade="BF"/>
            </w:tcBorders>
            <w:vAlign w:val="bottom"/>
          </w:tcPr>
          <w:p w14:paraId="37EFB8DC" w14:textId="2A8281D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25</w:t>
            </w:r>
          </w:p>
        </w:tc>
        <w:tc>
          <w:tcPr>
            <w:tcW w:w="630" w:type="dxa"/>
            <w:tcBorders>
              <w:left w:val="single" w:sz="8" w:space="0" w:color="BFBFBF" w:themeColor="background1" w:themeShade="BF"/>
              <w:right w:val="single" w:sz="8" w:space="0" w:color="1C1C1C" w:themeColor="text1"/>
            </w:tcBorders>
            <w:vAlign w:val="bottom"/>
          </w:tcPr>
          <w:p w14:paraId="32AFD3E1" w14:textId="6BBB0C0F"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680</w:t>
            </w:r>
          </w:p>
        </w:tc>
        <w:tc>
          <w:tcPr>
            <w:tcW w:w="360" w:type="dxa"/>
            <w:tcBorders>
              <w:left w:val="single" w:sz="8" w:space="0" w:color="1C1C1C" w:themeColor="text1"/>
              <w:right w:val="single" w:sz="8" w:space="0" w:color="BFBFBF" w:themeColor="background1" w:themeShade="BF"/>
            </w:tcBorders>
            <w:vAlign w:val="bottom"/>
          </w:tcPr>
          <w:p w14:paraId="5A0F1ADB" w14:textId="1C0FAFC2"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w:t>
            </w:r>
          </w:p>
        </w:tc>
        <w:tc>
          <w:tcPr>
            <w:tcW w:w="630" w:type="dxa"/>
            <w:tcBorders>
              <w:left w:val="single" w:sz="8" w:space="0" w:color="BFBFBF" w:themeColor="background1" w:themeShade="BF"/>
              <w:right w:val="single" w:sz="12" w:space="0" w:color="auto"/>
            </w:tcBorders>
            <w:vAlign w:val="bottom"/>
          </w:tcPr>
          <w:p w14:paraId="10863155" w14:textId="5B8C69E3" w:rsidR="00BA2C08" w:rsidRPr="00F301E5" w:rsidRDefault="00BA2C08"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1,765</w:t>
            </w:r>
          </w:p>
        </w:tc>
        <w:tc>
          <w:tcPr>
            <w:tcW w:w="720" w:type="dxa"/>
            <w:tcBorders>
              <w:left w:val="single" w:sz="12" w:space="0" w:color="auto"/>
              <w:right w:val="single" w:sz="8" w:space="0" w:color="BFBFBF" w:themeColor="background1" w:themeShade="BF"/>
            </w:tcBorders>
            <w:vAlign w:val="bottom"/>
          </w:tcPr>
          <w:p w14:paraId="071F4154" w14:textId="3C31C0D9"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108,307</w:t>
            </w:r>
          </w:p>
        </w:tc>
        <w:tc>
          <w:tcPr>
            <w:tcW w:w="900" w:type="dxa"/>
            <w:tcBorders>
              <w:left w:val="single" w:sz="8" w:space="0" w:color="BFBFBF" w:themeColor="background1" w:themeShade="BF"/>
            </w:tcBorders>
            <w:vAlign w:val="bottom"/>
          </w:tcPr>
          <w:p w14:paraId="5519F6E0" w14:textId="721838AA" w:rsidR="00BA2C08" w:rsidRPr="00F301E5" w:rsidRDefault="003B3BD0" w:rsidP="00BA2C08">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2,488,560</w:t>
            </w:r>
          </w:p>
        </w:tc>
      </w:tr>
      <w:tr w:rsidR="00506B65" w:rsidRPr="0081769C" w14:paraId="73BD7573" w14:textId="77777777" w:rsidTr="005919BE">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446" w:type="dxa"/>
            <w:tcBorders>
              <w:bottom w:val="single" w:sz="4" w:space="0" w:color="000000"/>
              <w:right w:val="single" w:sz="4" w:space="0" w:color="auto"/>
            </w:tcBorders>
            <w:vAlign w:val="center"/>
            <w:hideMark/>
          </w:tcPr>
          <w:p w14:paraId="6686211F" w14:textId="77777777" w:rsidR="00BA2C08" w:rsidRPr="00F301E5" w:rsidRDefault="00BA2C08" w:rsidP="00BA2C08">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2050</w:t>
            </w:r>
          </w:p>
        </w:tc>
        <w:tc>
          <w:tcPr>
            <w:tcW w:w="544" w:type="dxa"/>
            <w:tcBorders>
              <w:left w:val="single" w:sz="4" w:space="0" w:color="auto"/>
              <w:right w:val="single" w:sz="8" w:space="0" w:color="BFBFBF" w:themeColor="background1" w:themeShade="BF"/>
            </w:tcBorders>
          </w:tcPr>
          <w:p w14:paraId="42B1998C" w14:textId="1DA39D13"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667 </w:t>
            </w:r>
          </w:p>
        </w:tc>
        <w:tc>
          <w:tcPr>
            <w:tcW w:w="630" w:type="dxa"/>
            <w:tcBorders>
              <w:left w:val="single" w:sz="8" w:space="0" w:color="BFBFBF" w:themeColor="background1" w:themeShade="BF"/>
              <w:right w:val="single" w:sz="8" w:space="0" w:color="1C1C1C" w:themeColor="text1"/>
            </w:tcBorders>
          </w:tcPr>
          <w:p w14:paraId="325C704B" w14:textId="7393DDD5"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sz w:val="20"/>
                <w:szCs w:val="20"/>
              </w:rPr>
              <w:t xml:space="preserve">21,434 </w:t>
            </w:r>
          </w:p>
        </w:tc>
        <w:tc>
          <w:tcPr>
            <w:tcW w:w="360" w:type="dxa"/>
            <w:tcBorders>
              <w:left w:val="single" w:sz="8" w:space="0" w:color="1C1C1C" w:themeColor="text1"/>
              <w:right w:val="single" w:sz="8" w:space="0" w:color="BFBFBF" w:themeColor="background1" w:themeShade="BF"/>
            </w:tcBorders>
            <w:noWrap/>
            <w:vAlign w:val="bottom"/>
          </w:tcPr>
          <w:p w14:paraId="1F4CBE52" w14:textId="64D1FF4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w:t>
            </w:r>
          </w:p>
        </w:tc>
        <w:tc>
          <w:tcPr>
            <w:tcW w:w="630" w:type="dxa"/>
            <w:tcBorders>
              <w:left w:val="single" w:sz="8" w:space="0" w:color="BFBFBF" w:themeColor="background1" w:themeShade="BF"/>
              <w:right w:val="single" w:sz="8" w:space="0" w:color="1C1C1C" w:themeColor="text1"/>
            </w:tcBorders>
            <w:vAlign w:val="bottom"/>
          </w:tcPr>
          <w:p w14:paraId="52068752" w14:textId="673A30C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167</w:t>
            </w:r>
          </w:p>
        </w:tc>
        <w:tc>
          <w:tcPr>
            <w:tcW w:w="630" w:type="dxa"/>
            <w:tcBorders>
              <w:left w:val="single" w:sz="8" w:space="0" w:color="1C1C1C" w:themeColor="text1"/>
              <w:right w:val="single" w:sz="8" w:space="0" w:color="BFBFBF" w:themeColor="background1" w:themeShade="BF"/>
            </w:tcBorders>
            <w:vAlign w:val="bottom"/>
          </w:tcPr>
          <w:p w14:paraId="5F824435" w14:textId="1EECDA99"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0</w:t>
            </w:r>
          </w:p>
        </w:tc>
        <w:tc>
          <w:tcPr>
            <w:tcW w:w="720" w:type="dxa"/>
            <w:tcBorders>
              <w:left w:val="single" w:sz="8" w:space="0" w:color="BFBFBF" w:themeColor="background1" w:themeShade="BF"/>
              <w:right w:val="single" w:sz="8" w:space="0" w:color="1C1C1C" w:themeColor="text1"/>
            </w:tcBorders>
            <w:vAlign w:val="bottom"/>
          </w:tcPr>
          <w:p w14:paraId="237F82EB" w14:textId="7F8AE87C"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132,598</w:t>
            </w:r>
          </w:p>
        </w:tc>
        <w:tc>
          <w:tcPr>
            <w:tcW w:w="450" w:type="dxa"/>
            <w:tcBorders>
              <w:left w:val="single" w:sz="8" w:space="0" w:color="1C1C1C" w:themeColor="text1"/>
              <w:right w:val="single" w:sz="8" w:space="0" w:color="BFBFBF" w:themeColor="background1" w:themeShade="BF"/>
            </w:tcBorders>
            <w:vAlign w:val="bottom"/>
          </w:tcPr>
          <w:p w14:paraId="6DCE26CB" w14:textId="52D23027"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581</w:t>
            </w:r>
          </w:p>
        </w:tc>
        <w:tc>
          <w:tcPr>
            <w:tcW w:w="630" w:type="dxa"/>
            <w:tcBorders>
              <w:left w:val="single" w:sz="8" w:space="0" w:color="BFBFBF" w:themeColor="background1" w:themeShade="BF"/>
              <w:right w:val="single" w:sz="8" w:space="0" w:color="1C1C1C" w:themeColor="text1"/>
            </w:tcBorders>
            <w:vAlign w:val="bottom"/>
          </w:tcPr>
          <w:p w14:paraId="18B32725" w14:textId="648E365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16,027</w:t>
            </w:r>
          </w:p>
        </w:tc>
        <w:tc>
          <w:tcPr>
            <w:tcW w:w="540" w:type="dxa"/>
            <w:tcBorders>
              <w:left w:val="single" w:sz="8" w:space="0" w:color="1C1C1C" w:themeColor="text1"/>
              <w:right w:val="single" w:sz="8" w:space="0" w:color="BFBFBF" w:themeColor="background1" w:themeShade="BF"/>
            </w:tcBorders>
            <w:vAlign w:val="bottom"/>
          </w:tcPr>
          <w:p w14:paraId="5907AB64" w14:textId="5F6E4C9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3,398</w:t>
            </w:r>
          </w:p>
        </w:tc>
        <w:tc>
          <w:tcPr>
            <w:tcW w:w="630" w:type="dxa"/>
            <w:tcBorders>
              <w:left w:val="single" w:sz="8" w:space="0" w:color="BFBFBF" w:themeColor="background1" w:themeShade="BF"/>
              <w:right w:val="single" w:sz="8" w:space="0" w:color="1C1C1C" w:themeColor="text1"/>
            </w:tcBorders>
            <w:vAlign w:val="bottom"/>
          </w:tcPr>
          <w:p w14:paraId="7AA9121C" w14:textId="231FA606"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87,608</w:t>
            </w:r>
          </w:p>
        </w:tc>
        <w:tc>
          <w:tcPr>
            <w:tcW w:w="360" w:type="dxa"/>
            <w:tcBorders>
              <w:left w:val="single" w:sz="8" w:space="0" w:color="1C1C1C" w:themeColor="text1"/>
              <w:right w:val="single" w:sz="8" w:space="0" w:color="BFBFBF" w:themeColor="background1" w:themeShade="BF"/>
            </w:tcBorders>
            <w:vAlign w:val="bottom"/>
          </w:tcPr>
          <w:p w14:paraId="36722245" w14:textId="01CA9330"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24</w:t>
            </w:r>
          </w:p>
        </w:tc>
        <w:tc>
          <w:tcPr>
            <w:tcW w:w="630" w:type="dxa"/>
            <w:tcBorders>
              <w:left w:val="single" w:sz="8" w:space="0" w:color="BFBFBF" w:themeColor="background1" w:themeShade="BF"/>
              <w:right w:val="single" w:sz="8" w:space="0" w:color="1C1C1C" w:themeColor="text1"/>
            </w:tcBorders>
            <w:vAlign w:val="bottom"/>
          </w:tcPr>
          <w:p w14:paraId="43F45FE5" w14:textId="537D561A"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704</w:t>
            </w:r>
          </w:p>
        </w:tc>
        <w:tc>
          <w:tcPr>
            <w:tcW w:w="360" w:type="dxa"/>
            <w:tcBorders>
              <w:left w:val="single" w:sz="8" w:space="0" w:color="1C1C1C" w:themeColor="text1"/>
              <w:right w:val="single" w:sz="8" w:space="0" w:color="BFBFBF" w:themeColor="background1" w:themeShade="BF"/>
            </w:tcBorders>
            <w:vAlign w:val="bottom"/>
          </w:tcPr>
          <w:p w14:paraId="2BF17169" w14:textId="53D3621E"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58</w:t>
            </w:r>
          </w:p>
        </w:tc>
        <w:tc>
          <w:tcPr>
            <w:tcW w:w="630" w:type="dxa"/>
            <w:tcBorders>
              <w:left w:val="single" w:sz="8" w:space="0" w:color="BFBFBF" w:themeColor="background1" w:themeShade="BF"/>
              <w:right w:val="single" w:sz="12" w:space="0" w:color="auto"/>
            </w:tcBorders>
            <w:vAlign w:val="bottom"/>
          </w:tcPr>
          <w:p w14:paraId="6898A11C" w14:textId="01B2B004" w:rsidR="00BA2C08" w:rsidRPr="00F301E5" w:rsidRDefault="00BA2C08"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1,823</w:t>
            </w:r>
          </w:p>
        </w:tc>
        <w:tc>
          <w:tcPr>
            <w:tcW w:w="720" w:type="dxa"/>
            <w:tcBorders>
              <w:left w:val="single" w:sz="12" w:space="0" w:color="auto"/>
              <w:bottom w:val="single" w:sz="4" w:space="0" w:color="000000"/>
              <w:right w:val="single" w:sz="8" w:space="0" w:color="BFBFBF" w:themeColor="background1" w:themeShade="BF"/>
            </w:tcBorders>
            <w:vAlign w:val="bottom"/>
          </w:tcPr>
          <w:p w14:paraId="42699274" w14:textId="6C8BFB64"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108,075</w:t>
            </w:r>
          </w:p>
        </w:tc>
        <w:tc>
          <w:tcPr>
            <w:tcW w:w="900" w:type="dxa"/>
            <w:tcBorders>
              <w:left w:val="single" w:sz="8" w:space="0" w:color="BFBFBF" w:themeColor="background1" w:themeShade="BF"/>
              <w:bottom w:val="single" w:sz="4" w:space="0" w:color="000000"/>
            </w:tcBorders>
            <w:vAlign w:val="bottom"/>
          </w:tcPr>
          <w:p w14:paraId="67243977" w14:textId="6FC31691" w:rsidR="00BA2C08" w:rsidRPr="00F301E5" w:rsidRDefault="003B3BD0" w:rsidP="00BA2C08">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Pr>
                <w:rFonts w:cs="Calibri"/>
                <w:color w:val="000000"/>
                <w:sz w:val="20"/>
                <w:szCs w:val="20"/>
              </w:rPr>
              <w:t>2,596,636</w:t>
            </w:r>
          </w:p>
        </w:tc>
      </w:tr>
    </w:tbl>
    <w:p w14:paraId="4968A569" w14:textId="578AE333" w:rsidR="0025679A" w:rsidRPr="0025679A" w:rsidRDefault="0025679A" w:rsidP="003A2447">
      <w:pPr>
        <w:pStyle w:val="BodyText"/>
        <w:spacing w:after="0" w:line="160" w:lineRule="exact"/>
        <w:rPr>
          <w:sz w:val="16"/>
          <w:szCs w:val="16"/>
        </w:rPr>
      </w:pPr>
      <w:r w:rsidRPr="00705450">
        <w:rPr>
          <w:sz w:val="16"/>
          <w:szCs w:val="16"/>
        </w:rPr>
        <w:t>Note: negative reductions in above table indicate added emissions.</w:t>
      </w:r>
      <w:r>
        <w:rPr>
          <w:sz w:val="16"/>
          <w:szCs w:val="16"/>
        </w:rPr>
        <w:t xml:space="preserve"> Results of example projects not included </w:t>
      </w:r>
      <w:r w:rsidR="003A2447">
        <w:rPr>
          <w:sz w:val="16"/>
          <w:szCs w:val="16"/>
        </w:rPr>
        <w:t xml:space="preserve">separately </w:t>
      </w:r>
      <w:r>
        <w:rPr>
          <w:sz w:val="16"/>
          <w:szCs w:val="16"/>
        </w:rPr>
        <w:t>in table</w:t>
      </w:r>
      <w:r w:rsidR="003A2447">
        <w:rPr>
          <w:sz w:val="16"/>
          <w:szCs w:val="16"/>
        </w:rPr>
        <w:t xml:space="preserve"> but are embedded in program-level analysis results.</w:t>
      </w:r>
    </w:p>
    <w:p w14:paraId="54133875" w14:textId="2186BF61" w:rsidR="0083654E" w:rsidRDefault="0083654E" w:rsidP="00786CF6">
      <w:pPr>
        <w:pStyle w:val="Heading1"/>
        <w:numPr>
          <w:ilvl w:val="0"/>
          <w:numId w:val="0"/>
        </w:numPr>
        <w:ind w:left="792" w:hanging="792"/>
      </w:pPr>
      <w:r>
        <w:t>#2: Regional Open Space Revitalization and Connectivity Program</w:t>
      </w:r>
    </w:p>
    <w:p w14:paraId="334DF779" w14:textId="0779CDCB" w:rsidR="00850A41" w:rsidRDefault="002E1B0E" w:rsidP="002E1B0E">
      <w:r w:rsidRPr="001118B8">
        <w:t xml:space="preserve">GHG emissions reductions were estimated for each </w:t>
      </w:r>
      <w:r>
        <w:t>project type</w:t>
      </w:r>
      <w:r w:rsidRPr="001118B8">
        <w:t xml:space="preserve"> </w:t>
      </w:r>
      <w:r>
        <w:t xml:space="preserve">supported by the program and summed for </w:t>
      </w:r>
      <w:r w:rsidR="005D1715">
        <w:t xml:space="preserve">the </w:t>
      </w:r>
      <w:r>
        <w:t>program total</w:t>
      </w:r>
      <w:r w:rsidRPr="001118B8">
        <w:t xml:space="preserve">. There are uncertainties </w:t>
      </w:r>
      <w:r w:rsidR="00511C61">
        <w:t>regarding</w:t>
      </w:r>
      <w:r w:rsidR="00511C61" w:rsidRPr="001118B8">
        <w:t xml:space="preserve"> </w:t>
      </w:r>
      <w:r w:rsidRPr="001118B8">
        <w:t xml:space="preserve">the </w:t>
      </w:r>
      <w:r>
        <w:t xml:space="preserve">actual projects </w:t>
      </w:r>
      <w:r w:rsidRPr="001118B8">
        <w:t>that will be implemented</w:t>
      </w:r>
      <w:r>
        <w:t>;</w:t>
      </w:r>
      <w:r w:rsidRPr="001118B8">
        <w:t xml:space="preserve"> therefore, the </w:t>
      </w:r>
      <w:r>
        <w:t xml:space="preserve">split of funds by </w:t>
      </w:r>
      <w:r w:rsidR="00BE28F9">
        <w:t xml:space="preserve">project </w:t>
      </w:r>
      <w:r>
        <w:t xml:space="preserve">type in Table </w:t>
      </w:r>
      <w:r w:rsidR="00F00AD4">
        <w:t>2</w:t>
      </w:r>
      <w:r>
        <w:t xml:space="preserve"> was informed by</w:t>
      </w:r>
      <w:r w:rsidRPr="001118B8">
        <w:t xml:space="preserve"> factors such as</w:t>
      </w:r>
      <w:r w:rsidR="00BE28F9">
        <w:t xml:space="preserve"> the five </w:t>
      </w:r>
      <w:r>
        <w:t xml:space="preserve">known pilot project and </w:t>
      </w:r>
      <w:r w:rsidR="00BE28F9">
        <w:t>the one</w:t>
      </w:r>
      <w:r w:rsidR="00727BBD">
        <w:t xml:space="preserve"> </w:t>
      </w:r>
      <w:r>
        <w:t>example project</w:t>
      </w:r>
      <w:r w:rsidRPr="001118B8">
        <w:t xml:space="preserve"> cost</w:t>
      </w:r>
      <w:r>
        <w:t>s</w:t>
      </w:r>
      <w:r w:rsidRPr="001118B8">
        <w:t xml:space="preserve">, difficulty </w:t>
      </w:r>
      <w:r>
        <w:t xml:space="preserve">and practicality </w:t>
      </w:r>
      <w:r w:rsidRPr="001118B8">
        <w:t xml:space="preserve">of implementation, </w:t>
      </w:r>
      <w:r>
        <w:t xml:space="preserve">and </w:t>
      </w:r>
      <w:r w:rsidRPr="001118B8">
        <w:t>popularity.</w:t>
      </w:r>
      <w:r>
        <w:t xml:space="preserve"> </w:t>
      </w:r>
      <w:r w:rsidR="00BE28F9">
        <w:t>The t</w:t>
      </w:r>
      <w:r>
        <w:t>otal funding requested for the program is $</w:t>
      </w:r>
      <w:r w:rsidR="00F00AD4">
        <w:t>199</w:t>
      </w:r>
      <w:r>
        <w:t xml:space="preserve"> million, including $</w:t>
      </w:r>
      <w:r w:rsidR="001A3322">
        <w:t>25</w:t>
      </w:r>
      <w:r>
        <w:t xml:space="preserve"> million for administration. The remaining $</w:t>
      </w:r>
      <w:r w:rsidR="00F00AD4">
        <w:t>1</w:t>
      </w:r>
      <w:r w:rsidR="001A3322">
        <w:t>74</w:t>
      </w:r>
      <w:r>
        <w:t xml:space="preserve"> million is assumed to be available for emissions reducing projects.</w:t>
      </w:r>
    </w:p>
    <w:p w14:paraId="68AE7F24" w14:textId="7DA09720" w:rsidR="002E1B0E" w:rsidRDefault="002E1B0E" w:rsidP="002E1B0E">
      <w:pPr>
        <w:pStyle w:val="Heading5"/>
      </w:pPr>
      <w:r w:rsidRPr="001118B8">
        <w:t xml:space="preserve">Table </w:t>
      </w:r>
      <w:r w:rsidR="00F00AD4">
        <w:t>2</w:t>
      </w:r>
      <w:r w:rsidR="00811A6F">
        <w:t>.</w:t>
      </w:r>
      <w:r w:rsidRPr="001118B8">
        <w:t xml:space="preserve"> </w:t>
      </w:r>
      <w:r w:rsidR="00A63236">
        <w:t xml:space="preserve">Measure 2 </w:t>
      </w:r>
      <w:r w:rsidRPr="001118B8">
        <w:t>Program</w:t>
      </w:r>
      <w:r>
        <w:t xml:space="preserve"> Fund Allocation by Project Type</w:t>
      </w:r>
    </w:p>
    <w:tbl>
      <w:tblPr>
        <w:tblStyle w:val="ListTable2"/>
        <w:tblW w:w="8824" w:type="dxa"/>
        <w:jc w:val="center"/>
        <w:tblLook w:val="04A0" w:firstRow="1" w:lastRow="0" w:firstColumn="1" w:lastColumn="0" w:noHBand="0" w:noVBand="1"/>
      </w:tblPr>
      <w:tblGrid>
        <w:gridCol w:w="2448"/>
        <w:gridCol w:w="829"/>
        <w:gridCol w:w="1296"/>
        <w:gridCol w:w="1143"/>
        <w:gridCol w:w="1540"/>
        <w:gridCol w:w="1568"/>
      </w:tblGrid>
      <w:tr w:rsidR="002E1B0E" w:rsidRPr="0068673D" w14:paraId="60AAE282" w14:textId="77777777" w:rsidTr="00C3422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48" w:type="dxa"/>
            <w:vAlign w:val="center"/>
          </w:tcPr>
          <w:p w14:paraId="09507B06" w14:textId="77777777" w:rsidR="002E1B0E" w:rsidRPr="00F301E5" w:rsidRDefault="002E1B0E">
            <w:pPr>
              <w:spacing w:after="0"/>
              <w:rPr>
                <w:rFonts w:eastAsia="Times New Roman" w:cs="Calibri"/>
                <w:sz w:val="20"/>
                <w:szCs w:val="20"/>
              </w:rPr>
            </w:pPr>
            <w:r w:rsidRPr="00F301E5">
              <w:rPr>
                <w:rFonts w:eastAsia="Times New Roman" w:cs="Calibri"/>
                <w:sz w:val="20"/>
                <w:szCs w:val="20"/>
              </w:rPr>
              <w:t>Project Type</w:t>
            </w:r>
          </w:p>
        </w:tc>
        <w:tc>
          <w:tcPr>
            <w:tcW w:w="829" w:type="dxa"/>
            <w:vAlign w:val="center"/>
          </w:tcPr>
          <w:p w14:paraId="6F8C3AB7" w14:textId="77777777" w:rsidR="002E1B0E"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Share of Funds</w:t>
            </w:r>
          </w:p>
        </w:tc>
        <w:tc>
          <w:tcPr>
            <w:tcW w:w="1296" w:type="dxa"/>
            <w:vAlign w:val="center"/>
          </w:tcPr>
          <w:p w14:paraId="71B57EC1" w14:textId="77777777" w:rsidR="002E1B0E"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sz w:val="20"/>
                <w:szCs w:val="20"/>
              </w:rPr>
            </w:pPr>
            <w:r w:rsidRPr="00F301E5">
              <w:rPr>
                <w:rFonts w:eastAsia="Times New Roman" w:cs="Calibri"/>
                <w:sz w:val="20"/>
                <w:szCs w:val="20"/>
              </w:rPr>
              <w:t>Total</w:t>
            </w:r>
          </w:p>
          <w:p w14:paraId="5ACCB11E" w14:textId="77777777" w:rsidR="002E1B0E"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Funds</w:t>
            </w:r>
          </w:p>
        </w:tc>
        <w:tc>
          <w:tcPr>
            <w:tcW w:w="1143" w:type="dxa"/>
            <w:vAlign w:val="center"/>
          </w:tcPr>
          <w:p w14:paraId="79B3A13D" w14:textId="77777777" w:rsidR="002E1B0E"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Average Cost per Project</w:t>
            </w:r>
          </w:p>
        </w:tc>
        <w:tc>
          <w:tcPr>
            <w:tcW w:w="1540" w:type="dxa"/>
            <w:vAlign w:val="center"/>
          </w:tcPr>
          <w:p w14:paraId="7B3D9D17" w14:textId="77777777" w:rsidR="002E1B0E"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sz w:val="20"/>
                <w:szCs w:val="20"/>
              </w:rPr>
            </w:pPr>
            <w:r w:rsidRPr="00F301E5">
              <w:rPr>
                <w:rFonts w:eastAsia="Times New Roman" w:cs="Calibri"/>
                <w:sz w:val="20"/>
                <w:szCs w:val="20"/>
              </w:rPr>
              <w:t>Average</w:t>
            </w:r>
          </w:p>
          <w:p w14:paraId="05C065FB" w14:textId="77777777" w:rsidR="002E1B0E"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Ann. GHGs Reduced per Project</w:t>
            </w:r>
          </w:p>
        </w:tc>
        <w:tc>
          <w:tcPr>
            <w:tcW w:w="1568" w:type="dxa"/>
            <w:vAlign w:val="center"/>
          </w:tcPr>
          <w:p w14:paraId="4598FA22" w14:textId="77777777" w:rsidR="00BF3637" w:rsidRPr="00F301E5" w:rsidRDefault="002E1B0E">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b w:val="0"/>
                <w:bCs w:val="0"/>
                <w:sz w:val="20"/>
                <w:szCs w:val="20"/>
              </w:rPr>
            </w:pPr>
            <w:r w:rsidRPr="00F301E5">
              <w:rPr>
                <w:rFonts w:eastAsia="Times New Roman" w:cs="Calibri"/>
                <w:sz w:val="20"/>
                <w:szCs w:val="20"/>
              </w:rPr>
              <w:t>Estimated Counts</w:t>
            </w:r>
          </w:p>
          <w:p w14:paraId="411513F1" w14:textId="3840DBC6" w:rsidR="002E1B0E" w:rsidRPr="00F301E5" w:rsidRDefault="00CC2ABA">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Supported</w:t>
            </w:r>
          </w:p>
        </w:tc>
      </w:tr>
      <w:tr w:rsidR="002E1B0E" w:rsidRPr="0068673D" w14:paraId="5C3FBEA8" w14:textId="77777777" w:rsidTr="00C342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48" w:type="dxa"/>
          </w:tcPr>
          <w:p w14:paraId="16C08CE4" w14:textId="7B9BA979" w:rsidR="002E1B0E" w:rsidRPr="00F301E5" w:rsidRDefault="0000060F">
            <w:pPr>
              <w:spacing w:after="0"/>
              <w:rPr>
                <w:rFonts w:eastAsia="Times New Roman" w:cs="Calibri"/>
                <w:b w:val="0"/>
                <w:sz w:val="20"/>
                <w:szCs w:val="20"/>
              </w:rPr>
            </w:pPr>
            <w:r w:rsidRPr="00F301E5">
              <w:rPr>
                <w:rFonts w:eastAsia="Times New Roman" w:cs="Calibri"/>
                <w:b w:val="0"/>
                <w:sz w:val="20"/>
                <w:szCs w:val="20"/>
              </w:rPr>
              <w:t>Brownfield: Solar</w:t>
            </w:r>
          </w:p>
        </w:tc>
        <w:tc>
          <w:tcPr>
            <w:tcW w:w="829" w:type="dxa"/>
          </w:tcPr>
          <w:p w14:paraId="73E9BD60" w14:textId="6FED9F83" w:rsidR="002E1B0E" w:rsidRPr="00F301E5" w:rsidRDefault="00431D9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20%</w:t>
            </w:r>
          </w:p>
        </w:tc>
        <w:tc>
          <w:tcPr>
            <w:tcW w:w="1296" w:type="dxa"/>
            <w:vAlign w:val="center"/>
          </w:tcPr>
          <w:p w14:paraId="6912EEB4" w14:textId="6312450D" w:rsidR="002E1B0E" w:rsidRPr="00F301E5" w:rsidRDefault="002E1B0E" w:rsidP="00D57A5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$3</w:t>
            </w:r>
            <w:r w:rsidR="004B2E23">
              <w:rPr>
                <w:rFonts w:eastAsia="Times New Roman" w:cs="Calibri"/>
                <w:sz w:val="20"/>
                <w:szCs w:val="20"/>
              </w:rPr>
              <w:t>5</w:t>
            </w:r>
            <w:r w:rsidRPr="00F301E5">
              <w:rPr>
                <w:rFonts w:eastAsia="Times New Roman" w:cs="Calibri"/>
                <w:sz w:val="20"/>
                <w:szCs w:val="20"/>
              </w:rPr>
              <w:t xml:space="preserve"> M</w:t>
            </w:r>
          </w:p>
        </w:tc>
        <w:tc>
          <w:tcPr>
            <w:tcW w:w="1143" w:type="dxa"/>
            <w:vAlign w:val="center"/>
          </w:tcPr>
          <w:p w14:paraId="165C5FB6" w14:textId="00486DD5" w:rsidR="002E1B0E" w:rsidRPr="00F301E5" w:rsidRDefault="002E1B0E">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4B2E23">
              <w:rPr>
                <w:rFonts w:eastAsia="Times New Roman" w:cs="Calibri"/>
                <w:sz w:val="20"/>
                <w:szCs w:val="20"/>
              </w:rPr>
              <w:t>24.5</w:t>
            </w:r>
            <w:r w:rsidRPr="00F301E5">
              <w:rPr>
                <w:rFonts w:eastAsia="Times New Roman" w:cs="Calibri"/>
                <w:sz w:val="20"/>
                <w:szCs w:val="20"/>
              </w:rPr>
              <w:t xml:space="preserve"> M</w:t>
            </w:r>
          </w:p>
        </w:tc>
        <w:tc>
          <w:tcPr>
            <w:tcW w:w="1540" w:type="dxa"/>
            <w:vAlign w:val="center"/>
          </w:tcPr>
          <w:p w14:paraId="70D0874E" w14:textId="329EA2BA" w:rsidR="002E1B0E" w:rsidRPr="00F301E5" w:rsidRDefault="00B87201">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Pr>
                <w:rFonts w:eastAsia="Times New Roman" w:cs="Calibri"/>
                <w:sz w:val="20"/>
                <w:szCs w:val="20"/>
              </w:rPr>
              <w:t>6,575</w:t>
            </w:r>
            <w:r w:rsidR="002E1B0E" w:rsidRPr="00F301E5">
              <w:rPr>
                <w:rFonts w:eastAsia="Times New Roman" w:cs="Calibri"/>
                <w:sz w:val="20"/>
                <w:szCs w:val="20"/>
              </w:rPr>
              <w:t xml:space="preserve"> MT</w:t>
            </w:r>
          </w:p>
        </w:tc>
        <w:tc>
          <w:tcPr>
            <w:tcW w:w="1568" w:type="dxa"/>
          </w:tcPr>
          <w:p w14:paraId="0AE3B267" w14:textId="05F8A9D1" w:rsidR="002E1B0E" w:rsidRPr="00F301E5" w:rsidRDefault="004B2E2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Pr>
                <w:rFonts w:eastAsia="Times New Roman" w:cs="Calibri"/>
                <w:sz w:val="20"/>
                <w:szCs w:val="20"/>
              </w:rPr>
              <w:t>1+</w:t>
            </w:r>
            <w:r w:rsidR="00E3389D" w:rsidRPr="00F301E5">
              <w:rPr>
                <w:rFonts w:eastAsia="Times New Roman" w:cs="Calibri"/>
                <w:sz w:val="20"/>
                <w:szCs w:val="20"/>
              </w:rPr>
              <w:t xml:space="preserve"> projects</w:t>
            </w:r>
          </w:p>
        </w:tc>
      </w:tr>
      <w:tr w:rsidR="002E1B0E" w:rsidRPr="0068673D" w14:paraId="05444FCE" w14:textId="77777777" w:rsidTr="00C34227">
        <w:trPr>
          <w:jc w:val="center"/>
        </w:trPr>
        <w:tc>
          <w:tcPr>
            <w:cnfStyle w:val="001000000000" w:firstRow="0" w:lastRow="0" w:firstColumn="1" w:lastColumn="0" w:oddVBand="0" w:evenVBand="0" w:oddHBand="0" w:evenHBand="0" w:firstRowFirstColumn="0" w:firstRowLastColumn="0" w:lastRowFirstColumn="0" w:lastRowLastColumn="0"/>
            <w:tcW w:w="2448" w:type="dxa"/>
          </w:tcPr>
          <w:p w14:paraId="14821770" w14:textId="77ABA071" w:rsidR="002E1B0E" w:rsidRPr="00F301E5" w:rsidRDefault="0000060F">
            <w:pPr>
              <w:spacing w:after="0"/>
              <w:rPr>
                <w:rFonts w:eastAsia="Times New Roman" w:cs="Calibri"/>
                <w:b w:val="0"/>
                <w:sz w:val="20"/>
                <w:szCs w:val="20"/>
              </w:rPr>
            </w:pPr>
            <w:r w:rsidRPr="00F301E5">
              <w:rPr>
                <w:rFonts w:eastAsia="Times New Roman" w:cs="Calibri"/>
                <w:b w:val="0"/>
                <w:sz w:val="20"/>
                <w:szCs w:val="20"/>
              </w:rPr>
              <w:t>Brownfield: Tree Planting</w:t>
            </w:r>
          </w:p>
        </w:tc>
        <w:tc>
          <w:tcPr>
            <w:tcW w:w="829" w:type="dxa"/>
          </w:tcPr>
          <w:p w14:paraId="5DC9E672" w14:textId="6DF4B69A" w:rsidR="002E1B0E" w:rsidRPr="00F301E5" w:rsidRDefault="00431D9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20%</w:t>
            </w:r>
          </w:p>
        </w:tc>
        <w:tc>
          <w:tcPr>
            <w:tcW w:w="1296" w:type="dxa"/>
            <w:vAlign w:val="center"/>
          </w:tcPr>
          <w:p w14:paraId="259A9D8D" w14:textId="6324EE35" w:rsidR="002E1B0E" w:rsidRPr="00F301E5" w:rsidRDefault="002E1B0E" w:rsidP="00D57A5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D5117A" w:rsidRPr="00F301E5">
              <w:rPr>
                <w:rFonts w:eastAsia="Times New Roman" w:cs="Calibri"/>
                <w:sz w:val="20"/>
                <w:szCs w:val="20"/>
              </w:rPr>
              <w:t>3</w:t>
            </w:r>
            <w:r w:rsidR="004B2E23">
              <w:rPr>
                <w:rFonts w:eastAsia="Times New Roman" w:cs="Calibri"/>
                <w:sz w:val="20"/>
                <w:szCs w:val="20"/>
              </w:rPr>
              <w:t>5</w:t>
            </w:r>
            <w:r w:rsidRPr="00F301E5">
              <w:rPr>
                <w:rFonts w:eastAsia="Times New Roman" w:cs="Calibri"/>
                <w:sz w:val="20"/>
                <w:szCs w:val="20"/>
              </w:rPr>
              <w:t xml:space="preserve"> M</w:t>
            </w:r>
          </w:p>
        </w:tc>
        <w:tc>
          <w:tcPr>
            <w:tcW w:w="1143" w:type="dxa"/>
            <w:vAlign w:val="center"/>
          </w:tcPr>
          <w:p w14:paraId="379AE08C" w14:textId="4306D080" w:rsidR="002E1B0E" w:rsidRPr="00F301E5" w:rsidRDefault="002E1B0E">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0A3724" w:rsidRPr="00F301E5">
              <w:rPr>
                <w:rFonts w:eastAsia="Times New Roman" w:cs="Calibri"/>
                <w:sz w:val="20"/>
                <w:szCs w:val="20"/>
              </w:rPr>
              <w:t>1</w:t>
            </w:r>
            <w:r w:rsidRPr="00F301E5">
              <w:rPr>
                <w:rFonts w:eastAsia="Times New Roman" w:cs="Calibri"/>
                <w:sz w:val="20"/>
                <w:szCs w:val="20"/>
              </w:rPr>
              <w:t xml:space="preserve"> M</w:t>
            </w:r>
          </w:p>
        </w:tc>
        <w:tc>
          <w:tcPr>
            <w:tcW w:w="1540" w:type="dxa"/>
            <w:vAlign w:val="center"/>
          </w:tcPr>
          <w:p w14:paraId="4BA528C9" w14:textId="3E7C9500" w:rsidR="002E1B0E" w:rsidRPr="00F301E5" w:rsidRDefault="000A3724">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54</w:t>
            </w:r>
            <w:r w:rsidR="002E1B0E" w:rsidRPr="00F301E5">
              <w:rPr>
                <w:rFonts w:eastAsia="Times New Roman" w:cs="Calibri"/>
                <w:sz w:val="20"/>
                <w:szCs w:val="20"/>
              </w:rPr>
              <w:t xml:space="preserve"> MT</w:t>
            </w:r>
          </w:p>
        </w:tc>
        <w:tc>
          <w:tcPr>
            <w:tcW w:w="1568" w:type="dxa"/>
          </w:tcPr>
          <w:p w14:paraId="1A1A7D44" w14:textId="4C5FCED1" w:rsidR="002E1B0E" w:rsidRPr="00F301E5" w:rsidRDefault="00772A9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1,5</w:t>
            </w:r>
            <w:r w:rsidR="001E1B47">
              <w:rPr>
                <w:rFonts w:eastAsia="Times New Roman" w:cs="Calibri"/>
                <w:sz w:val="20"/>
                <w:szCs w:val="20"/>
              </w:rPr>
              <w:t>21</w:t>
            </w:r>
            <w:r w:rsidRPr="00F301E5">
              <w:rPr>
                <w:rFonts w:eastAsia="Times New Roman" w:cs="Calibri"/>
                <w:sz w:val="20"/>
                <w:szCs w:val="20"/>
              </w:rPr>
              <w:t xml:space="preserve"> acres</w:t>
            </w:r>
          </w:p>
        </w:tc>
      </w:tr>
      <w:tr w:rsidR="002E1B0E" w:rsidRPr="0068673D" w14:paraId="17CCA8C5" w14:textId="77777777" w:rsidTr="00C342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48" w:type="dxa"/>
          </w:tcPr>
          <w:p w14:paraId="28B64ADC" w14:textId="04756D76" w:rsidR="002E1B0E" w:rsidRPr="00F301E5" w:rsidRDefault="0000060F">
            <w:pPr>
              <w:spacing w:after="0"/>
              <w:rPr>
                <w:rFonts w:eastAsia="Times New Roman" w:cs="Calibri"/>
                <w:b w:val="0"/>
                <w:sz w:val="20"/>
                <w:szCs w:val="20"/>
              </w:rPr>
            </w:pPr>
            <w:r w:rsidRPr="00F301E5">
              <w:rPr>
                <w:rFonts w:eastAsia="Times New Roman" w:cs="Calibri"/>
                <w:b w:val="0"/>
                <w:sz w:val="20"/>
                <w:szCs w:val="20"/>
              </w:rPr>
              <w:t xml:space="preserve">Walking/Biking </w:t>
            </w:r>
            <w:r w:rsidR="00431D9B" w:rsidRPr="00F301E5">
              <w:rPr>
                <w:rFonts w:eastAsia="Times New Roman" w:cs="Calibri"/>
                <w:b w:val="0"/>
                <w:sz w:val="20"/>
                <w:szCs w:val="20"/>
              </w:rPr>
              <w:t>Trails</w:t>
            </w:r>
          </w:p>
        </w:tc>
        <w:tc>
          <w:tcPr>
            <w:tcW w:w="829" w:type="dxa"/>
          </w:tcPr>
          <w:p w14:paraId="74629629" w14:textId="13B5D39D" w:rsidR="002E1B0E" w:rsidRPr="00F301E5" w:rsidRDefault="00431D9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30%</w:t>
            </w:r>
          </w:p>
        </w:tc>
        <w:tc>
          <w:tcPr>
            <w:tcW w:w="1296" w:type="dxa"/>
            <w:vAlign w:val="center"/>
          </w:tcPr>
          <w:p w14:paraId="0527A499" w14:textId="376EF0A1" w:rsidR="002E1B0E" w:rsidRPr="00F301E5" w:rsidRDefault="002E1B0E" w:rsidP="00D57A5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D5117A" w:rsidRPr="00F301E5">
              <w:rPr>
                <w:rFonts w:eastAsia="Times New Roman" w:cs="Calibri"/>
                <w:sz w:val="20"/>
                <w:szCs w:val="20"/>
              </w:rPr>
              <w:t>5</w:t>
            </w:r>
            <w:r w:rsidR="004B2E23">
              <w:rPr>
                <w:rFonts w:eastAsia="Times New Roman" w:cs="Calibri"/>
                <w:sz w:val="20"/>
                <w:szCs w:val="20"/>
              </w:rPr>
              <w:t>2</w:t>
            </w:r>
            <w:r w:rsidRPr="00F301E5">
              <w:rPr>
                <w:rFonts w:eastAsia="Times New Roman" w:cs="Calibri"/>
                <w:sz w:val="20"/>
                <w:szCs w:val="20"/>
              </w:rPr>
              <w:t xml:space="preserve"> M</w:t>
            </w:r>
          </w:p>
        </w:tc>
        <w:tc>
          <w:tcPr>
            <w:tcW w:w="1143" w:type="dxa"/>
            <w:vAlign w:val="center"/>
          </w:tcPr>
          <w:p w14:paraId="5CE2453E" w14:textId="65C3C5C1" w:rsidR="002E1B0E" w:rsidRPr="00F301E5" w:rsidRDefault="002E1B0E">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1E1B47">
              <w:rPr>
                <w:rFonts w:eastAsia="Times New Roman" w:cs="Calibri"/>
                <w:sz w:val="20"/>
                <w:szCs w:val="20"/>
              </w:rPr>
              <w:t>7</w:t>
            </w:r>
            <w:r w:rsidR="000A3724" w:rsidRPr="00F301E5">
              <w:rPr>
                <w:rFonts w:eastAsia="Times New Roman" w:cs="Calibri"/>
                <w:sz w:val="20"/>
                <w:szCs w:val="20"/>
              </w:rPr>
              <w:t>.</w:t>
            </w:r>
            <w:r w:rsidR="001E1B47">
              <w:rPr>
                <w:rFonts w:eastAsia="Times New Roman" w:cs="Calibri"/>
                <w:sz w:val="20"/>
                <w:szCs w:val="20"/>
              </w:rPr>
              <w:t>5</w:t>
            </w:r>
            <w:r w:rsidRPr="00F301E5">
              <w:rPr>
                <w:rFonts w:eastAsia="Times New Roman" w:cs="Calibri"/>
                <w:sz w:val="20"/>
                <w:szCs w:val="20"/>
              </w:rPr>
              <w:t xml:space="preserve"> M</w:t>
            </w:r>
          </w:p>
        </w:tc>
        <w:tc>
          <w:tcPr>
            <w:tcW w:w="1540" w:type="dxa"/>
            <w:vAlign w:val="center"/>
          </w:tcPr>
          <w:p w14:paraId="6F87362F" w14:textId="3F25ED93" w:rsidR="002E1B0E" w:rsidRPr="00F301E5" w:rsidRDefault="000A3724">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1</w:t>
            </w:r>
            <w:r w:rsidR="00B87201">
              <w:rPr>
                <w:rFonts w:eastAsia="Times New Roman" w:cs="Calibri"/>
                <w:sz w:val="20"/>
                <w:szCs w:val="20"/>
              </w:rPr>
              <w:t>7</w:t>
            </w:r>
            <w:r w:rsidR="002E1B0E" w:rsidRPr="00F301E5">
              <w:rPr>
                <w:rFonts w:eastAsia="Times New Roman" w:cs="Calibri"/>
                <w:sz w:val="20"/>
                <w:szCs w:val="20"/>
              </w:rPr>
              <w:t xml:space="preserve"> MT</w:t>
            </w:r>
          </w:p>
        </w:tc>
        <w:tc>
          <w:tcPr>
            <w:tcW w:w="1568" w:type="dxa"/>
          </w:tcPr>
          <w:p w14:paraId="3136A109" w14:textId="1B20CE02" w:rsidR="002E1B0E" w:rsidRPr="00F301E5" w:rsidRDefault="007A79CB">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Pr>
                <w:rFonts w:eastAsia="Times New Roman" w:cs="Calibri"/>
                <w:sz w:val="20"/>
                <w:szCs w:val="20"/>
              </w:rPr>
              <w:t>7</w:t>
            </w:r>
            <w:r w:rsidRPr="00F301E5">
              <w:rPr>
                <w:rFonts w:eastAsia="Times New Roman" w:cs="Calibri"/>
                <w:sz w:val="20"/>
                <w:szCs w:val="20"/>
              </w:rPr>
              <w:t xml:space="preserve"> projects</w:t>
            </w:r>
          </w:p>
        </w:tc>
      </w:tr>
      <w:tr w:rsidR="002E1B0E" w:rsidRPr="0068673D" w14:paraId="4613113D" w14:textId="77777777" w:rsidTr="00C34227">
        <w:trPr>
          <w:jc w:val="center"/>
        </w:trPr>
        <w:tc>
          <w:tcPr>
            <w:cnfStyle w:val="001000000000" w:firstRow="0" w:lastRow="0" w:firstColumn="1" w:lastColumn="0" w:oddVBand="0" w:evenVBand="0" w:oddHBand="0" w:evenHBand="0" w:firstRowFirstColumn="0" w:firstRowLastColumn="0" w:lastRowFirstColumn="0" w:lastRowLastColumn="0"/>
            <w:tcW w:w="2448" w:type="dxa"/>
          </w:tcPr>
          <w:p w14:paraId="21734085" w14:textId="5406399D" w:rsidR="002E1B0E" w:rsidRPr="00F301E5" w:rsidRDefault="00431D9B">
            <w:pPr>
              <w:spacing w:after="0"/>
              <w:rPr>
                <w:rFonts w:eastAsia="Times New Roman" w:cs="Calibri"/>
                <w:b w:val="0"/>
                <w:sz w:val="20"/>
                <w:szCs w:val="20"/>
              </w:rPr>
            </w:pPr>
            <w:r w:rsidRPr="00F301E5">
              <w:rPr>
                <w:rFonts w:eastAsia="Times New Roman" w:cs="Calibri"/>
                <w:b w:val="0"/>
                <w:sz w:val="20"/>
                <w:szCs w:val="20"/>
              </w:rPr>
              <w:t>Wetlands</w:t>
            </w:r>
          </w:p>
        </w:tc>
        <w:tc>
          <w:tcPr>
            <w:tcW w:w="829" w:type="dxa"/>
          </w:tcPr>
          <w:p w14:paraId="5D7EF592" w14:textId="624F63D3" w:rsidR="002E1B0E" w:rsidRPr="00F301E5" w:rsidRDefault="00D5117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20%</w:t>
            </w:r>
          </w:p>
        </w:tc>
        <w:tc>
          <w:tcPr>
            <w:tcW w:w="1296" w:type="dxa"/>
            <w:vAlign w:val="center"/>
          </w:tcPr>
          <w:p w14:paraId="6A9FD846" w14:textId="726764C1" w:rsidR="002E1B0E" w:rsidRPr="00F301E5" w:rsidRDefault="002E1B0E" w:rsidP="00D57A5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D57A56" w:rsidRPr="00F301E5">
              <w:rPr>
                <w:rFonts w:eastAsia="Times New Roman" w:cs="Calibri"/>
                <w:sz w:val="20"/>
                <w:szCs w:val="20"/>
              </w:rPr>
              <w:t>3</w:t>
            </w:r>
            <w:r w:rsidR="004B2E23">
              <w:rPr>
                <w:rFonts w:eastAsia="Times New Roman" w:cs="Calibri"/>
                <w:sz w:val="20"/>
                <w:szCs w:val="20"/>
              </w:rPr>
              <w:t>5</w:t>
            </w:r>
            <w:r w:rsidRPr="00F301E5">
              <w:rPr>
                <w:rFonts w:eastAsia="Times New Roman" w:cs="Calibri"/>
                <w:sz w:val="20"/>
                <w:szCs w:val="20"/>
              </w:rPr>
              <w:t xml:space="preserve"> M</w:t>
            </w:r>
          </w:p>
        </w:tc>
        <w:tc>
          <w:tcPr>
            <w:tcW w:w="1143" w:type="dxa"/>
            <w:vAlign w:val="center"/>
          </w:tcPr>
          <w:p w14:paraId="1138E766" w14:textId="3CE44D56" w:rsidR="002E1B0E" w:rsidRPr="00F301E5" w:rsidRDefault="002E1B0E">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0A3724" w:rsidRPr="00F301E5">
              <w:rPr>
                <w:rFonts w:eastAsia="Times New Roman" w:cs="Calibri"/>
                <w:sz w:val="20"/>
                <w:szCs w:val="20"/>
              </w:rPr>
              <w:t>1.8</w:t>
            </w:r>
            <w:r w:rsidRPr="00F301E5">
              <w:rPr>
                <w:rFonts w:eastAsia="Times New Roman" w:cs="Calibri"/>
                <w:sz w:val="20"/>
                <w:szCs w:val="20"/>
              </w:rPr>
              <w:t xml:space="preserve"> M</w:t>
            </w:r>
          </w:p>
        </w:tc>
        <w:tc>
          <w:tcPr>
            <w:tcW w:w="1540" w:type="dxa"/>
            <w:vAlign w:val="center"/>
          </w:tcPr>
          <w:p w14:paraId="4F11F218" w14:textId="0FC30D0E" w:rsidR="002E1B0E" w:rsidRPr="00F301E5" w:rsidRDefault="000A3724">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22</w:t>
            </w:r>
            <w:r w:rsidR="002E1B0E" w:rsidRPr="00F301E5">
              <w:rPr>
                <w:rFonts w:eastAsia="Times New Roman" w:cs="Calibri"/>
                <w:sz w:val="20"/>
                <w:szCs w:val="20"/>
              </w:rPr>
              <w:t xml:space="preserve"> MT</w:t>
            </w:r>
          </w:p>
        </w:tc>
        <w:tc>
          <w:tcPr>
            <w:tcW w:w="1568" w:type="dxa"/>
          </w:tcPr>
          <w:p w14:paraId="7E816BD7" w14:textId="0CD14F81" w:rsidR="002E1B0E" w:rsidRPr="00F301E5" w:rsidRDefault="00DE55E4">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1,5</w:t>
            </w:r>
            <w:r w:rsidR="001E1B47">
              <w:rPr>
                <w:rFonts w:eastAsia="Times New Roman" w:cs="Calibri"/>
                <w:sz w:val="20"/>
                <w:szCs w:val="20"/>
              </w:rPr>
              <w:t>07</w:t>
            </w:r>
            <w:r w:rsidRPr="00F301E5">
              <w:rPr>
                <w:rFonts w:eastAsia="Times New Roman" w:cs="Calibri"/>
                <w:sz w:val="20"/>
                <w:szCs w:val="20"/>
              </w:rPr>
              <w:t xml:space="preserve"> acres</w:t>
            </w:r>
          </w:p>
        </w:tc>
      </w:tr>
      <w:tr w:rsidR="002E1B0E" w:rsidRPr="0068673D" w14:paraId="05B291A1" w14:textId="77777777" w:rsidTr="00C3422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48" w:type="dxa"/>
          </w:tcPr>
          <w:p w14:paraId="64892DFF" w14:textId="258532C2" w:rsidR="002E1B0E" w:rsidRPr="00F301E5" w:rsidRDefault="00431D9B">
            <w:pPr>
              <w:spacing w:after="0"/>
              <w:rPr>
                <w:rFonts w:eastAsia="Times New Roman" w:cs="Calibri"/>
                <w:b w:val="0"/>
                <w:sz w:val="20"/>
                <w:szCs w:val="20"/>
              </w:rPr>
            </w:pPr>
            <w:r w:rsidRPr="00F301E5">
              <w:rPr>
                <w:rFonts w:eastAsia="Times New Roman" w:cs="Calibri"/>
                <w:b w:val="0"/>
                <w:sz w:val="20"/>
                <w:szCs w:val="20"/>
              </w:rPr>
              <w:t>Reforestation</w:t>
            </w:r>
          </w:p>
        </w:tc>
        <w:tc>
          <w:tcPr>
            <w:tcW w:w="829" w:type="dxa"/>
          </w:tcPr>
          <w:p w14:paraId="7DB66B7F" w14:textId="20E0F9CA" w:rsidR="002E1B0E" w:rsidRPr="00F301E5" w:rsidRDefault="00D5117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10%</w:t>
            </w:r>
          </w:p>
        </w:tc>
        <w:tc>
          <w:tcPr>
            <w:tcW w:w="1296" w:type="dxa"/>
            <w:vAlign w:val="center"/>
          </w:tcPr>
          <w:p w14:paraId="5A46DB80" w14:textId="735AD7D4" w:rsidR="002E1B0E" w:rsidRPr="00F301E5" w:rsidRDefault="002E1B0E" w:rsidP="00D57A5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$1</w:t>
            </w:r>
            <w:r w:rsidR="004B2E23">
              <w:rPr>
                <w:rFonts w:eastAsia="Times New Roman" w:cs="Calibri"/>
                <w:sz w:val="20"/>
                <w:szCs w:val="20"/>
              </w:rPr>
              <w:t>7</w:t>
            </w:r>
            <w:r w:rsidRPr="00F301E5">
              <w:rPr>
                <w:rFonts w:eastAsia="Times New Roman" w:cs="Calibri"/>
                <w:sz w:val="20"/>
                <w:szCs w:val="20"/>
              </w:rPr>
              <w:t xml:space="preserve"> M</w:t>
            </w:r>
          </w:p>
        </w:tc>
        <w:tc>
          <w:tcPr>
            <w:tcW w:w="1143" w:type="dxa"/>
            <w:vAlign w:val="center"/>
          </w:tcPr>
          <w:p w14:paraId="6B5F9AC9" w14:textId="22BB75A5" w:rsidR="002E1B0E" w:rsidRPr="00F301E5" w:rsidRDefault="002E1B0E">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w:t>
            </w:r>
            <w:r w:rsidR="000A3724" w:rsidRPr="00F301E5">
              <w:rPr>
                <w:rFonts w:eastAsia="Times New Roman" w:cs="Calibri"/>
                <w:sz w:val="20"/>
                <w:szCs w:val="20"/>
              </w:rPr>
              <w:t>4.3</w:t>
            </w:r>
            <w:r w:rsidRPr="00F301E5">
              <w:rPr>
                <w:rFonts w:eastAsia="Times New Roman" w:cs="Calibri"/>
                <w:sz w:val="20"/>
                <w:szCs w:val="20"/>
              </w:rPr>
              <w:t xml:space="preserve"> M</w:t>
            </w:r>
          </w:p>
        </w:tc>
        <w:tc>
          <w:tcPr>
            <w:tcW w:w="1540" w:type="dxa"/>
            <w:vAlign w:val="center"/>
          </w:tcPr>
          <w:p w14:paraId="4DC1F054" w14:textId="6E132BF8" w:rsidR="002E1B0E" w:rsidRPr="00F301E5" w:rsidRDefault="000A3724">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13</w:t>
            </w:r>
            <w:r w:rsidR="00B87201">
              <w:rPr>
                <w:rFonts w:eastAsia="Times New Roman" w:cs="Calibri"/>
                <w:sz w:val="20"/>
                <w:szCs w:val="20"/>
              </w:rPr>
              <w:t>2</w:t>
            </w:r>
            <w:r w:rsidR="002E1B0E" w:rsidRPr="00F301E5">
              <w:rPr>
                <w:rFonts w:eastAsia="Times New Roman" w:cs="Calibri"/>
                <w:sz w:val="20"/>
                <w:szCs w:val="20"/>
              </w:rPr>
              <w:t xml:space="preserve"> MT</w:t>
            </w:r>
          </w:p>
        </w:tc>
        <w:tc>
          <w:tcPr>
            <w:tcW w:w="1568" w:type="dxa"/>
          </w:tcPr>
          <w:p w14:paraId="242DA228" w14:textId="796FFFC8" w:rsidR="002E1B0E" w:rsidRPr="00F301E5" w:rsidRDefault="00680B4A">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rPr>
            </w:pPr>
            <w:r w:rsidRPr="00F301E5">
              <w:rPr>
                <w:rFonts w:eastAsia="Times New Roman" w:cs="Calibri"/>
                <w:sz w:val="20"/>
                <w:szCs w:val="20"/>
              </w:rPr>
              <w:t>4</w:t>
            </w:r>
            <w:r w:rsidR="00637B33">
              <w:rPr>
                <w:rFonts w:eastAsia="Times New Roman" w:cs="Calibri"/>
                <w:sz w:val="20"/>
                <w:szCs w:val="20"/>
              </w:rPr>
              <w:t>47</w:t>
            </w:r>
            <w:r w:rsidRPr="00F301E5">
              <w:rPr>
                <w:rFonts w:eastAsia="Times New Roman" w:cs="Calibri"/>
                <w:sz w:val="20"/>
                <w:szCs w:val="20"/>
              </w:rPr>
              <w:t xml:space="preserve"> acres</w:t>
            </w:r>
          </w:p>
        </w:tc>
      </w:tr>
      <w:tr w:rsidR="002E1B0E" w:rsidRPr="0068673D" w14:paraId="55D4C08A" w14:textId="77777777" w:rsidTr="00C34227">
        <w:trPr>
          <w:trHeight w:val="70"/>
          <w:jc w:val="center"/>
        </w:trPr>
        <w:tc>
          <w:tcPr>
            <w:cnfStyle w:val="001000000000" w:firstRow="0" w:lastRow="0" w:firstColumn="1" w:lastColumn="0" w:oddVBand="0" w:evenVBand="0" w:oddHBand="0" w:evenHBand="0" w:firstRowFirstColumn="0" w:firstRowLastColumn="0" w:lastRowFirstColumn="0" w:lastRowLastColumn="0"/>
            <w:tcW w:w="2448" w:type="dxa"/>
            <w:vAlign w:val="center"/>
          </w:tcPr>
          <w:p w14:paraId="2E46B3A5" w14:textId="77777777" w:rsidR="002E1B0E" w:rsidRPr="00F301E5" w:rsidRDefault="002E1B0E">
            <w:pPr>
              <w:spacing w:after="0"/>
              <w:rPr>
                <w:rFonts w:eastAsia="Times New Roman" w:cs="Calibri"/>
                <w:sz w:val="20"/>
                <w:szCs w:val="20"/>
              </w:rPr>
            </w:pPr>
            <w:r w:rsidRPr="00F301E5">
              <w:rPr>
                <w:rFonts w:eastAsia="Times New Roman" w:cs="Calibri"/>
                <w:sz w:val="20"/>
                <w:szCs w:val="20"/>
              </w:rPr>
              <w:t>Program Total</w:t>
            </w:r>
          </w:p>
        </w:tc>
        <w:tc>
          <w:tcPr>
            <w:tcW w:w="829" w:type="dxa"/>
            <w:vAlign w:val="center"/>
          </w:tcPr>
          <w:p w14:paraId="69669010" w14:textId="77777777" w:rsidR="002E1B0E" w:rsidRPr="00F301E5" w:rsidRDefault="002E1B0E">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r w:rsidRPr="00F301E5">
              <w:rPr>
                <w:rFonts w:eastAsia="Times New Roman" w:cs="Calibri"/>
                <w:b/>
                <w:sz w:val="20"/>
                <w:szCs w:val="20"/>
              </w:rPr>
              <w:t>100%</w:t>
            </w:r>
          </w:p>
        </w:tc>
        <w:tc>
          <w:tcPr>
            <w:tcW w:w="1296" w:type="dxa"/>
            <w:vAlign w:val="center"/>
          </w:tcPr>
          <w:p w14:paraId="1EB1AED3" w14:textId="3C0974A9" w:rsidR="002E1B0E" w:rsidRPr="00F301E5" w:rsidRDefault="002E1B0E" w:rsidP="00D57A5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r w:rsidRPr="00F301E5">
              <w:rPr>
                <w:rFonts w:eastAsia="Times New Roman" w:cs="Calibri"/>
                <w:b/>
                <w:sz w:val="20"/>
                <w:szCs w:val="20"/>
              </w:rPr>
              <w:t>$</w:t>
            </w:r>
            <w:r w:rsidR="0000060F" w:rsidRPr="00F301E5">
              <w:rPr>
                <w:rFonts w:eastAsia="Times New Roman" w:cs="Calibri"/>
                <w:b/>
                <w:sz w:val="20"/>
                <w:szCs w:val="20"/>
              </w:rPr>
              <w:t>1</w:t>
            </w:r>
            <w:r w:rsidR="001A3322">
              <w:rPr>
                <w:rFonts w:eastAsia="Times New Roman" w:cs="Calibri"/>
                <w:b/>
                <w:sz w:val="20"/>
                <w:szCs w:val="20"/>
              </w:rPr>
              <w:t>74</w:t>
            </w:r>
            <w:r w:rsidRPr="00F301E5">
              <w:rPr>
                <w:rFonts w:eastAsia="Times New Roman" w:cs="Calibri"/>
                <w:b/>
                <w:sz w:val="20"/>
                <w:szCs w:val="20"/>
              </w:rPr>
              <w:t xml:space="preserve"> M</w:t>
            </w:r>
          </w:p>
        </w:tc>
        <w:tc>
          <w:tcPr>
            <w:tcW w:w="1143" w:type="dxa"/>
            <w:vAlign w:val="center"/>
          </w:tcPr>
          <w:p w14:paraId="218C958B" w14:textId="77777777" w:rsidR="002E1B0E" w:rsidRPr="00F301E5" w:rsidRDefault="002E1B0E">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p>
        </w:tc>
        <w:tc>
          <w:tcPr>
            <w:tcW w:w="1540" w:type="dxa"/>
            <w:vAlign w:val="center"/>
          </w:tcPr>
          <w:p w14:paraId="2951B483" w14:textId="77777777" w:rsidR="002E1B0E" w:rsidRPr="00F301E5" w:rsidRDefault="002E1B0E">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p>
        </w:tc>
        <w:tc>
          <w:tcPr>
            <w:tcW w:w="1568" w:type="dxa"/>
          </w:tcPr>
          <w:p w14:paraId="3E86D637" w14:textId="77777777" w:rsidR="002E1B0E" w:rsidRPr="00F301E5" w:rsidRDefault="002E1B0E">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Calibri"/>
                <w:b/>
                <w:sz w:val="20"/>
                <w:szCs w:val="20"/>
              </w:rPr>
            </w:pPr>
          </w:p>
        </w:tc>
      </w:tr>
    </w:tbl>
    <w:p w14:paraId="2831A692" w14:textId="3AE45BDB" w:rsidR="0083654E" w:rsidRDefault="00112C1F" w:rsidP="00FA0B84">
      <w:pPr>
        <w:spacing w:before="80"/>
      </w:pPr>
      <w:r>
        <w:t>To estimate program</w:t>
      </w:r>
      <w:r w:rsidR="00FA0B84" w:rsidRPr="00FA0B84">
        <w:t>-</w:t>
      </w:r>
      <w:r>
        <w:t xml:space="preserve">wide </w:t>
      </w:r>
      <w:r w:rsidR="00FA0B84" w:rsidRPr="00FA0B84">
        <w:t>impacts</w:t>
      </w:r>
      <w:r>
        <w:t xml:space="preserve">, the </w:t>
      </w:r>
      <w:r w:rsidR="00FA0B84" w:rsidRPr="00FA0B84">
        <w:t xml:space="preserve">pilot projects </w:t>
      </w:r>
      <w:r>
        <w:t xml:space="preserve">were assumed to be implemented </w:t>
      </w:r>
      <w:r w:rsidR="00FA0B84" w:rsidRPr="00FA0B84">
        <w:t xml:space="preserve">with resulting GHG emissions </w:t>
      </w:r>
      <w:r>
        <w:t xml:space="preserve">reductions </w:t>
      </w:r>
      <w:r w:rsidR="00FA0B84" w:rsidRPr="00FA0B84">
        <w:t xml:space="preserve">contributing to program </w:t>
      </w:r>
      <w:r w:rsidR="00A7029B">
        <w:t>total</w:t>
      </w:r>
      <w:r w:rsidR="00FA0B84" w:rsidRPr="00FA0B84">
        <w:t xml:space="preserve">. Then average costs and reductions from pilots of </w:t>
      </w:r>
      <w:r>
        <w:t xml:space="preserve">the </w:t>
      </w:r>
      <w:r w:rsidR="00FA0B84" w:rsidRPr="00FA0B84">
        <w:t xml:space="preserve">same project type were used to inform program-wide reductions, up to the available funds in Table </w:t>
      </w:r>
      <w:r w:rsidR="001A0BCA">
        <w:t>2</w:t>
      </w:r>
      <w:r w:rsidR="00FA0B84" w:rsidRPr="00FA0B84">
        <w:t>. The average cost was used to determine a count of more</w:t>
      </w:r>
      <w:r>
        <w:t xml:space="preserve"> projects that could be implemented </w:t>
      </w:r>
      <w:r w:rsidR="00FA0B84" w:rsidRPr="00FA0B84">
        <w:t>for that project type given</w:t>
      </w:r>
      <w:r>
        <w:t xml:space="preserve"> remaining </w:t>
      </w:r>
      <w:r w:rsidR="00FA0B84" w:rsidRPr="00FA0B84">
        <w:t>available funds. The count was then multiplied by average annual GHG emissions reductions to estimate the benefits.</w:t>
      </w:r>
      <w:r>
        <w:t xml:space="preserve"> </w:t>
      </w:r>
      <w:r w:rsidDel="00B95781">
        <w:t>It was assumed</w:t>
      </w:r>
      <w:r w:rsidR="00463121">
        <w:t xml:space="preserve"> that</w:t>
      </w:r>
      <w:r>
        <w:t xml:space="preserve"> 30% of remaining funds were </w:t>
      </w:r>
      <w:r w:rsidR="00FA0B84" w:rsidRPr="00FA0B84">
        <w:t>disbursed</w:t>
      </w:r>
      <w:r>
        <w:t xml:space="preserve"> for Tranche 2, with new projects online by 2027, and all remaining funds </w:t>
      </w:r>
      <w:r w:rsidR="00FA0B84" w:rsidRPr="00FA0B84">
        <w:t>disbursed</w:t>
      </w:r>
      <w:r>
        <w:t xml:space="preserve"> for Tranche 3, with all projects online by 2029.</w:t>
      </w:r>
      <w:r w:rsidR="00FA0B84" w:rsidRPr="00FA0B84">
        <w:t xml:space="preserve"> </w:t>
      </w:r>
      <w:r w:rsidR="002E1B0E" w:rsidRPr="00A7465C">
        <w:t xml:space="preserve">See </w:t>
      </w:r>
      <w:r w:rsidR="002E1B0E">
        <w:t xml:space="preserve">Table </w:t>
      </w:r>
      <w:r w:rsidR="00FA0B84" w:rsidRPr="00FA0B84">
        <w:t>M</w:t>
      </w:r>
      <w:r w:rsidR="001A0BCA">
        <w:t>2</w:t>
      </w:r>
      <w:r w:rsidR="002E1B0E" w:rsidRPr="00A7465C">
        <w:t xml:space="preserve"> </w:t>
      </w:r>
      <w:r w:rsidR="002E1B0E">
        <w:t>for annual and cumulative GHG emissions reduction results</w:t>
      </w:r>
      <w:r w:rsidR="002E1B0E" w:rsidRPr="00A7465C">
        <w:t>.</w:t>
      </w:r>
      <w:r w:rsidR="002E1B0E">
        <w:t xml:space="preserve"> T</w:t>
      </w:r>
      <w:r w:rsidR="002E1B0E" w:rsidRPr="00E3256D">
        <w:t xml:space="preserve">he </w:t>
      </w:r>
      <w:r w:rsidR="002E1B0E">
        <w:t xml:space="preserve">estimated </w:t>
      </w:r>
      <w:r w:rsidR="002E1B0E" w:rsidRPr="00E3256D">
        <w:t>cost</w:t>
      </w:r>
      <w:r w:rsidR="002E1B0E">
        <w:t>-</w:t>
      </w:r>
      <w:r w:rsidR="002E1B0E" w:rsidRPr="00E3256D">
        <w:t xml:space="preserve">effectiveness </w:t>
      </w:r>
      <w:r w:rsidR="00026A83">
        <w:t>(</w:t>
      </w:r>
      <w:r w:rsidR="002A51C4">
        <w:t xml:space="preserve">in </w:t>
      </w:r>
      <w:r w:rsidR="002E1B0E" w:rsidRPr="00E3256D">
        <w:t>dollar per MT CO2e reduced</w:t>
      </w:r>
      <w:r w:rsidR="00026A83">
        <w:t>) listed</w:t>
      </w:r>
      <w:r w:rsidR="002E1B0E" w:rsidDel="00026A83">
        <w:t xml:space="preserve"> </w:t>
      </w:r>
      <w:r w:rsidR="002E1B0E">
        <w:t xml:space="preserve">in the grant application for </w:t>
      </w:r>
      <w:r w:rsidR="002B470D">
        <w:t>each measure</w:t>
      </w:r>
      <w:r w:rsidR="002E1B0E">
        <w:t xml:space="preserve"> was calculated by dividing the total funds requested by the cumulative GHG emissions</w:t>
      </w:r>
      <w:r w:rsidR="002E1B0E" w:rsidRPr="00E3256D">
        <w:t>.</w:t>
      </w:r>
    </w:p>
    <w:p w14:paraId="0C024CB8" w14:textId="77777777" w:rsidR="00EF78F0" w:rsidRDefault="00EF78F0" w:rsidP="00EF78F0">
      <w:pPr>
        <w:pStyle w:val="Heading2"/>
        <w:numPr>
          <w:ilvl w:val="0"/>
          <w:numId w:val="0"/>
        </w:numPr>
      </w:pPr>
      <w:r>
        <w:t>Project Analyses</w:t>
      </w:r>
    </w:p>
    <w:p w14:paraId="62EA745D" w14:textId="17605F2A" w:rsidR="005C4AE8" w:rsidRPr="00EE6C45" w:rsidRDefault="00EF78F0" w:rsidP="005C4AE8">
      <w:r>
        <w:t>The following subsections describe the methodology for each pilot project and example project for which there is no known pilot proposed at this time but for which the program funds could support</w:t>
      </w:r>
      <w:r w:rsidR="005C4AE8">
        <w:t>. This methodology informs the above analysis by project type to estimate program wide GHG reductions.</w:t>
      </w:r>
    </w:p>
    <w:p w14:paraId="44D4CECF" w14:textId="0C680CF6" w:rsidR="00EF78F0" w:rsidRDefault="00EF78F0" w:rsidP="00EF78F0">
      <w:pPr>
        <w:pStyle w:val="Heading3"/>
        <w:numPr>
          <w:ilvl w:val="0"/>
          <w:numId w:val="0"/>
        </w:numPr>
        <w:ind w:left="737" w:hanging="737"/>
      </w:pPr>
      <w:r>
        <w:t>#</w:t>
      </w:r>
      <w:r w:rsidR="00650B0D">
        <w:t>2</w:t>
      </w:r>
      <w:r>
        <w:t xml:space="preserve">a: City of Indianapolis </w:t>
      </w:r>
      <w:r w:rsidR="00650B0D">
        <w:t>Brownfield Julietta Landfill</w:t>
      </w:r>
    </w:p>
    <w:p w14:paraId="3A726BC6" w14:textId="03F93949" w:rsidR="00650B0D" w:rsidRDefault="001456EA" w:rsidP="00871A1A">
      <w:r>
        <w:t>It was assumed</w:t>
      </w:r>
      <w:r w:rsidR="005B3621">
        <w:t xml:space="preserve"> the </w:t>
      </w:r>
      <w:r w:rsidR="0006729C">
        <w:t xml:space="preserve">project will </w:t>
      </w:r>
      <w:r w:rsidR="0047483E">
        <w:t>be operational</w:t>
      </w:r>
      <w:r w:rsidR="00B6169D">
        <w:t xml:space="preserve"> in 202</w:t>
      </w:r>
      <w:r w:rsidR="0047483E">
        <w:t>7</w:t>
      </w:r>
      <w:r w:rsidR="00B6169D">
        <w:t>,</w:t>
      </w:r>
      <w:r w:rsidR="00AB075B">
        <w:t xml:space="preserve"> and that</w:t>
      </w:r>
      <w:r w:rsidR="00B6169D">
        <w:t xml:space="preserve"> t</w:t>
      </w:r>
      <w:r w:rsidR="00871A1A">
        <w:t xml:space="preserve">he </w:t>
      </w:r>
      <w:r w:rsidR="005F55F3">
        <w:t xml:space="preserve">roughly 10 MW solar array </w:t>
      </w:r>
      <w:r w:rsidR="00D85B57">
        <w:t xml:space="preserve">will </w:t>
      </w:r>
      <w:r w:rsidR="00C44DCF">
        <w:t>have a capacity factor</w:t>
      </w:r>
      <w:r w:rsidR="00EF0B66">
        <w:t xml:space="preserve"> in-line with national averages of</w:t>
      </w:r>
      <w:r w:rsidR="00C44DCF">
        <w:t xml:space="preserve"> around 26%</w:t>
      </w:r>
      <w:r w:rsidR="005F55F3">
        <w:t xml:space="preserve"> </w:t>
      </w:r>
      <w:r w:rsidR="00EF0B66">
        <w:t xml:space="preserve">to </w:t>
      </w:r>
      <w:r w:rsidR="005F55F3">
        <w:t>generat</w:t>
      </w:r>
      <w:r w:rsidR="008328DA">
        <w:t>e</w:t>
      </w:r>
      <w:r w:rsidR="005F55F3">
        <w:t xml:space="preserve"> </w:t>
      </w:r>
      <w:r w:rsidR="00EF0B66">
        <w:t>over</w:t>
      </w:r>
      <w:r w:rsidR="00FA1E50">
        <w:t xml:space="preserve"> 22,</w:t>
      </w:r>
      <w:r w:rsidR="00B6169D">
        <w:t>700</w:t>
      </w:r>
      <w:r w:rsidR="00871A1A">
        <w:t xml:space="preserve"> MWh of zero-emitting </w:t>
      </w:r>
      <w:r w:rsidR="00B81205">
        <w:t>power</w:t>
      </w:r>
      <w:r w:rsidR="00B6169D">
        <w:t xml:space="preserve"> each year</w:t>
      </w:r>
      <w:r w:rsidR="008328DA">
        <w:t>, offsetting</w:t>
      </w:r>
      <w:r w:rsidR="00871A1A">
        <w:t xml:space="preserve"> average state grid emissions. </w:t>
      </w:r>
      <w:r w:rsidR="00616E63" w:rsidRPr="00616E63">
        <w:t>Emissions from construction are assumed to be insignificant</w:t>
      </w:r>
      <w:r w:rsidR="004A7ECA">
        <w:t xml:space="preserve"> and are</w:t>
      </w:r>
      <w:r w:rsidR="00893B05">
        <w:t xml:space="preserve"> </w:t>
      </w:r>
      <w:r w:rsidR="00616E63" w:rsidRPr="00616E63">
        <w:t xml:space="preserve">not included. </w:t>
      </w:r>
      <w:r w:rsidR="00871A1A">
        <w:t>See “Electricity Grid Emissions” section below for how the base grid emission rate was estimated. This pilot was used to inform averages for the “</w:t>
      </w:r>
      <w:r w:rsidR="00B81205">
        <w:t>Brownfield</w:t>
      </w:r>
      <w:r w:rsidR="00871A1A">
        <w:t>: Solar” project type.</w:t>
      </w:r>
    </w:p>
    <w:p w14:paraId="529D684A" w14:textId="1B0161D2" w:rsidR="00650B0D" w:rsidRDefault="00650B0D" w:rsidP="00650B0D">
      <w:pPr>
        <w:pStyle w:val="Heading3"/>
        <w:numPr>
          <w:ilvl w:val="0"/>
          <w:numId w:val="0"/>
        </w:numPr>
        <w:ind w:left="737" w:hanging="737"/>
      </w:pPr>
      <w:r>
        <w:t>#2b: Nickel Plate Pedestrian Bridge</w:t>
      </w:r>
    </w:p>
    <w:p w14:paraId="7F877E39" w14:textId="3662DCF7" w:rsidR="00EF78F0" w:rsidRDefault="00F91D97" w:rsidP="00567643">
      <w:r>
        <w:t xml:space="preserve">There are uncertainties </w:t>
      </w:r>
      <w:r w:rsidR="00A26FEA">
        <w:t xml:space="preserve">on the </w:t>
      </w:r>
      <w:r>
        <w:t xml:space="preserve">impacts, but for this analysis it </w:t>
      </w:r>
      <w:r w:rsidR="00567643">
        <w:t xml:space="preserve">was assumed </w:t>
      </w:r>
      <w:r w:rsidR="00F50F3D">
        <w:t xml:space="preserve">this new </w:t>
      </w:r>
      <w:r w:rsidR="00213577">
        <w:t xml:space="preserve">walking </w:t>
      </w:r>
      <w:r w:rsidR="00C51032">
        <w:t>bridge</w:t>
      </w:r>
      <w:r w:rsidR="00813024">
        <w:t xml:space="preserve"> may avoid 12</w:t>
      </w:r>
      <w:r w:rsidR="00567643">
        <w:t xml:space="preserve"> single occupancy vehicles</w:t>
      </w:r>
      <w:r w:rsidR="00813024">
        <w:t xml:space="preserve"> </w:t>
      </w:r>
      <w:r w:rsidR="00912F4A">
        <w:t xml:space="preserve">that would </w:t>
      </w:r>
      <w:r w:rsidR="00F80B50">
        <w:t>otherwise be driven any given</w:t>
      </w:r>
      <w:r w:rsidR="009869B5">
        <w:t xml:space="preserve"> commute day (</w:t>
      </w:r>
      <w:r w:rsidR="001456EA">
        <w:t>235</w:t>
      </w:r>
      <w:r w:rsidR="009869B5">
        <w:t xml:space="preserve"> days per year assumed</w:t>
      </w:r>
      <w:r w:rsidR="001456EA" w:rsidRPr="001456EA">
        <w:rPr>
          <w:vertAlign w:val="superscript"/>
        </w:rPr>
        <w:fldChar w:fldCharType="begin"/>
      </w:r>
      <w:r w:rsidR="001456EA" w:rsidRPr="001456EA">
        <w:rPr>
          <w:vertAlign w:val="superscript"/>
        </w:rPr>
        <w:instrText xml:space="preserve"> NOTEREF _Ref162345964 \h </w:instrText>
      </w:r>
      <w:r w:rsidR="001456EA">
        <w:rPr>
          <w:vertAlign w:val="superscript"/>
        </w:rPr>
        <w:instrText xml:space="preserve"> \* MERGEFORMAT </w:instrText>
      </w:r>
      <w:r w:rsidR="001456EA" w:rsidRPr="001456EA">
        <w:rPr>
          <w:vertAlign w:val="superscript"/>
        </w:rPr>
      </w:r>
      <w:r w:rsidR="001456EA" w:rsidRPr="001456EA">
        <w:rPr>
          <w:vertAlign w:val="superscript"/>
        </w:rPr>
        <w:fldChar w:fldCharType="separate"/>
      </w:r>
      <w:r w:rsidR="005F0D8D">
        <w:rPr>
          <w:vertAlign w:val="superscript"/>
        </w:rPr>
        <w:t>12</w:t>
      </w:r>
      <w:r w:rsidR="001456EA" w:rsidRPr="001456EA">
        <w:rPr>
          <w:vertAlign w:val="superscript"/>
        </w:rPr>
        <w:fldChar w:fldCharType="end"/>
      </w:r>
      <w:r w:rsidR="009869B5">
        <w:t xml:space="preserve">) </w:t>
      </w:r>
      <w:r w:rsidR="00813024">
        <w:t>due to</w:t>
      </w:r>
      <w:r w:rsidR="00C51032">
        <w:t xml:space="preserve"> streamlined access to parks, schools, and commutes</w:t>
      </w:r>
      <w:r w:rsidR="00FA7915">
        <w:t xml:space="preserve">. </w:t>
      </w:r>
      <w:r w:rsidR="003C5C1C">
        <w:t>A m</w:t>
      </w:r>
      <w:r w:rsidR="00DA38CF">
        <w:t>ean</w:t>
      </w:r>
      <w:r w:rsidR="003C5C1C">
        <w:t xml:space="preserve"> one-way</w:t>
      </w:r>
      <w:r w:rsidR="00DA38CF">
        <w:t xml:space="preserve"> trip distance of 7.52 miles </w:t>
      </w:r>
      <w:r w:rsidR="002C1362">
        <w:t xml:space="preserve">avoided </w:t>
      </w:r>
      <w:r w:rsidR="00DA38CF">
        <w:t>was assumed,</w:t>
      </w:r>
      <w:r w:rsidR="007026FA" w:rsidRPr="007026FA">
        <w:rPr>
          <w:vertAlign w:val="superscript"/>
        </w:rPr>
        <w:fldChar w:fldCharType="begin"/>
      </w:r>
      <w:r w:rsidR="007026FA" w:rsidRPr="007026FA">
        <w:rPr>
          <w:vertAlign w:val="superscript"/>
        </w:rPr>
        <w:instrText xml:space="preserve"> NOTEREF _Ref161738979 \h </w:instrText>
      </w:r>
      <w:r w:rsidR="007026FA">
        <w:rPr>
          <w:vertAlign w:val="superscript"/>
        </w:rPr>
        <w:instrText xml:space="preserve"> \* MERGEFORMAT </w:instrText>
      </w:r>
      <w:r w:rsidR="007026FA" w:rsidRPr="007026FA">
        <w:rPr>
          <w:vertAlign w:val="superscript"/>
        </w:rPr>
      </w:r>
      <w:r w:rsidR="007026FA" w:rsidRPr="007026FA">
        <w:rPr>
          <w:vertAlign w:val="superscript"/>
        </w:rPr>
        <w:fldChar w:fldCharType="separate"/>
      </w:r>
      <w:r w:rsidR="005F0D8D">
        <w:rPr>
          <w:vertAlign w:val="superscript"/>
        </w:rPr>
        <w:t>13</w:t>
      </w:r>
      <w:r w:rsidR="007026FA" w:rsidRPr="007026FA">
        <w:rPr>
          <w:vertAlign w:val="superscript"/>
        </w:rPr>
        <w:fldChar w:fldCharType="end"/>
      </w:r>
      <w:r w:rsidR="00DA38CF">
        <w:t xml:space="preserve"> and doubled to account for a to-and-from commute. The total annual avoided vehicle miles (</w:t>
      </w:r>
      <w:r w:rsidR="001456EA">
        <w:t>3,534.4</w:t>
      </w:r>
      <w:r w:rsidR="00DA38CF">
        <w:t xml:space="preserve"> per vehicle x 12</w:t>
      </w:r>
      <w:r w:rsidR="00401DE0">
        <w:t xml:space="preserve"> </w:t>
      </w:r>
      <w:r w:rsidR="00B536F7">
        <w:t xml:space="preserve">ICE </w:t>
      </w:r>
      <w:r w:rsidR="00401DE0">
        <w:t>vehicles not</w:t>
      </w:r>
      <w:r w:rsidR="00DA38CF">
        <w:t xml:space="preserve"> in use) were multiplied by the Gasoline LDV Fleet average CO</w:t>
      </w:r>
      <w:r w:rsidR="00DA38CF" w:rsidRPr="00053ACB">
        <w:rPr>
          <w:vertAlign w:val="subscript"/>
        </w:rPr>
        <w:t>2</w:t>
      </w:r>
      <w:r w:rsidR="00DA38CF">
        <w:t xml:space="preserve"> emission factor for </w:t>
      </w:r>
      <w:r w:rsidR="00401DE0">
        <w:t>2026</w:t>
      </w:r>
      <w:r w:rsidR="00DA38CF" w:rsidRPr="00C01B72">
        <w:rPr>
          <w:vertAlign w:val="superscript"/>
        </w:rPr>
        <w:fldChar w:fldCharType="begin"/>
      </w:r>
      <w:r w:rsidR="00DA38CF" w:rsidRPr="00C01B72">
        <w:rPr>
          <w:vertAlign w:val="superscript"/>
        </w:rPr>
        <w:instrText xml:space="preserve"> NOTEREF _Ref161668731 \h </w:instrText>
      </w:r>
      <w:r w:rsidR="00DA38CF">
        <w:rPr>
          <w:vertAlign w:val="superscript"/>
        </w:rPr>
        <w:instrText xml:space="preserve"> \* MERGEFORMAT </w:instrText>
      </w:r>
      <w:r w:rsidR="00DA38CF" w:rsidRPr="00C01B72">
        <w:rPr>
          <w:vertAlign w:val="superscript"/>
        </w:rPr>
      </w:r>
      <w:r w:rsidR="00DA38CF" w:rsidRPr="00C01B72">
        <w:rPr>
          <w:vertAlign w:val="superscript"/>
        </w:rPr>
        <w:fldChar w:fldCharType="separate"/>
      </w:r>
      <w:r w:rsidR="0006006E">
        <w:rPr>
          <w:vertAlign w:val="superscript"/>
        </w:rPr>
        <w:t>11</w:t>
      </w:r>
      <w:r w:rsidR="00DA38CF" w:rsidRPr="00C01B72">
        <w:rPr>
          <w:vertAlign w:val="superscript"/>
        </w:rPr>
        <w:fldChar w:fldCharType="end"/>
      </w:r>
      <w:r w:rsidR="00DA38CF">
        <w:t xml:space="preserve"> to estimate avoided emissions.</w:t>
      </w:r>
      <w:r w:rsidR="003873BD">
        <w:t xml:space="preserve"> </w:t>
      </w:r>
      <w:r w:rsidR="00490FA9">
        <w:t xml:space="preserve">There are uncertainties for </w:t>
      </w:r>
      <w:r w:rsidR="00567643">
        <w:t xml:space="preserve">estimating </w:t>
      </w:r>
      <w:r w:rsidR="00490FA9">
        <w:t xml:space="preserve">the details of </w:t>
      </w:r>
      <w:r w:rsidR="00567643">
        <w:t xml:space="preserve">initial construction in 2025, </w:t>
      </w:r>
      <w:r w:rsidR="00490FA9">
        <w:t>but for this analysis</w:t>
      </w:r>
      <w:r w:rsidR="00567643">
        <w:t xml:space="preserve"> it was assumed 4 regular work vehicles would each drive </w:t>
      </w:r>
      <w:r w:rsidR="00F05DDB">
        <w:t>270</w:t>
      </w:r>
      <w:r w:rsidR="00567643">
        <w:t xml:space="preserve"> miles over </w:t>
      </w:r>
      <w:r w:rsidR="00F05DDB">
        <w:t>6 months of construction work</w:t>
      </w:r>
      <w:r w:rsidR="00567643">
        <w:t xml:space="preserve">, consuming total </w:t>
      </w:r>
      <w:r w:rsidR="00F05DDB">
        <w:t>180</w:t>
      </w:r>
      <w:r w:rsidR="00567643">
        <w:t xml:space="preserve"> gallons of diesel,</w:t>
      </w:r>
      <w:r w:rsidR="00F05DDB" w:rsidRPr="00F05DDB">
        <w:rPr>
          <w:vertAlign w:val="superscript"/>
        </w:rPr>
        <w:fldChar w:fldCharType="begin"/>
      </w:r>
      <w:r w:rsidR="00F05DDB" w:rsidRPr="00F05DDB">
        <w:rPr>
          <w:vertAlign w:val="superscript"/>
        </w:rPr>
        <w:instrText xml:space="preserve"> NOTEREF _Ref161743795 \h </w:instrText>
      </w:r>
      <w:r w:rsidR="00F05DDB">
        <w:rPr>
          <w:vertAlign w:val="superscript"/>
        </w:rPr>
        <w:instrText xml:space="preserve"> \* MERGEFORMAT </w:instrText>
      </w:r>
      <w:r w:rsidR="00F05DDB" w:rsidRPr="00F05DDB">
        <w:rPr>
          <w:vertAlign w:val="superscript"/>
        </w:rPr>
      </w:r>
      <w:r w:rsidR="00F05DDB" w:rsidRPr="00F05DDB">
        <w:rPr>
          <w:vertAlign w:val="superscript"/>
        </w:rPr>
        <w:fldChar w:fldCharType="separate"/>
      </w:r>
      <w:r w:rsidR="005F0D8D">
        <w:rPr>
          <w:vertAlign w:val="superscript"/>
        </w:rPr>
        <w:t>15</w:t>
      </w:r>
      <w:r w:rsidR="00F05DDB" w:rsidRPr="00F05DDB">
        <w:rPr>
          <w:vertAlign w:val="superscript"/>
        </w:rPr>
        <w:fldChar w:fldCharType="end"/>
      </w:r>
      <w:r w:rsidR="00567643">
        <w:t xml:space="preserve"> with emissions from fuel combustion estimated using EPA’s diesel fuel and non-road equipment emission factors</w:t>
      </w:r>
      <w:r w:rsidR="00FB4435" w:rsidRPr="00FB4435">
        <w:rPr>
          <w:vertAlign w:val="superscript"/>
        </w:rPr>
        <w:fldChar w:fldCharType="begin"/>
      </w:r>
      <w:r w:rsidR="00FB4435" w:rsidRPr="00FB4435">
        <w:rPr>
          <w:vertAlign w:val="superscript"/>
        </w:rPr>
        <w:instrText xml:space="preserve"> NOTEREF _Ref161666152 \h </w:instrText>
      </w:r>
      <w:r w:rsidR="00FB4435">
        <w:rPr>
          <w:vertAlign w:val="superscript"/>
        </w:rPr>
        <w:instrText xml:space="preserve"> \* MERGEFORMAT </w:instrText>
      </w:r>
      <w:r w:rsidR="00FB4435" w:rsidRPr="00FB4435">
        <w:rPr>
          <w:vertAlign w:val="superscript"/>
        </w:rPr>
      </w:r>
      <w:r w:rsidR="00FB4435" w:rsidRPr="00FB4435">
        <w:rPr>
          <w:vertAlign w:val="superscript"/>
        </w:rPr>
        <w:fldChar w:fldCharType="separate"/>
      </w:r>
      <w:r w:rsidR="0006006E">
        <w:rPr>
          <w:vertAlign w:val="superscript"/>
        </w:rPr>
        <w:t>2</w:t>
      </w:r>
      <w:r w:rsidR="00FB4435" w:rsidRPr="00FB4435">
        <w:rPr>
          <w:vertAlign w:val="superscript"/>
        </w:rPr>
        <w:fldChar w:fldCharType="end"/>
      </w:r>
      <w:r w:rsidR="00567643">
        <w:t xml:space="preserve"> and GWPs</w:t>
      </w:r>
      <w:r w:rsidR="006D4BCA">
        <w:t xml:space="preserve"> from IPCC</w:t>
      </w:r>
      <w:r w:rsidR="00567643" w:rsidRPr="00512E1B">
        <w:t xml:space="preserve"> </w:t>
      </w:r>
      <w:r w:rsidR="00567643">
        <w:t>for pollutant conversions to CO</w:t>
      </w:r>
      <w:r w:rsidR="00567643" w:rsidRPr="00EB79FE">
        <w:rPr>
          <w:vertAlign w:val="subscript"/>
        </w:rPr>
        <w:t>2</w:t>
      </w:r>
      <w:r w:rsidR="00567643">
        <w:t>e.</w:t>
      </w:r>
      <w:r w:rsidR="00495AA6" w:rsidRPr="00495AA6">
        <w:rPr>
          <w:vertAlign w:val="superscript"/>
        </w:rPr>
        <w:fldChar w:fldCharType="begin"/>
      </w:r>
      <w:r w:rsidR="00495AA6" w:rsidRPr="00495AA6">
        <w:rPr>
          <w:vertAlign w:val="superscript"/>
        </w:rPr>
        <w:instrText xml:space="preserve"> NOTEREF _Ref161743543 \h </w:instrText>
      </w:r>
      <w:r w:rsidR="00495AA6">
        <w:rPr>
          <w:vertAlign w:val="superscript"/>
        </w:rPr>
        <w:instrText xml:space="preserve"> \* MERGEFORMAT </w:instrText>
      </w:r>
      <w:r w:rsidR="00495AA6" w:rsidRPr="00495AA6">
        <w:rPr>
          <w:vertAlign w:val="superscript"/>
        </w:rPr>
      </w:r>
      <w:r w:rsidR="00495AA6" w:rsidRPr="00495AA6">
        <w:rPr>
          <w:vertAlign w:val="superscript"/>
        </w:rPr>
        <w:fldChar w:fldCharType="separate"/>
      </w:r>
      <w:r w:rsidR="005F0D8D">
        <w:rPr>
          <w:vertAlign w:val="superscript"/>
        </w:rPr>
        <w:t>16</w:t>
      </w:r>
      <w:r w:rsidR="00495AA6" w:rsidRPr="00495AA6">
        <w:rPr>
          <w:vertAlign w:val="superscript"/>
        </w:rPr>
        <w:fldChar w:fldCharType="end"/>
      </w:r>
      <w:r w:rsidR="003873BD">
        <w:rPr>
          <w:vertAlign w:val="superscript"/>
        </w:rPr>
        <w:t xml:space="preserve"> </w:t>
      </w:r>
      <w:r w:rsidR="00567643">
        <w:t>The annual net of the</w:t>
      </w:r>
      <w:r w:rsidR="003873BD">
        <w:t xml:space="preserve">se </w:t>
      </w:r>
      <w:r w:rsidR="00567643">
        <w:t>calculations result</w:t>
      </w:r>
      <w:r w:rsidR="00626D95">
        <w:t>ed</w:t>
      </w:r>
      <w:r w:rsidR="00567643">
        <w:t xml:space="preserve"> in avoided emissions for the </w:t>
      </w:r>
      <w:r w:rsidR="007436B5">
        <w:t>pilot</w:t>
      </w:r>
      <w:r w:rsidR="008A21C5">
        <w:t xml:space="preserve"> and was used to inform averages for the “Walking/Biking Trails” project type</w:t>
      </w:r>
      <w:r w:rsidR="00567643">
        <w:t>.</w:t>
      </w:r>
    </w:p>
    <w:p w14:paraId="2A643746" w14:textId="26BCCF09" w:rsidR="006A5239" w:rsidRDefault="006A5239" w:rsidP="006A5239">
      <w:pPr>
        <w:pStyle w:val="Heading3"/>
        <w:numPr>
          <w:ilvl w:val="0"/>
          <w:numId w:val="0"/>
        </w:numPr>
        <w:ind w:left="737" w:hanging="737"/>
      </w:pPr>
      <w:r>
        <w:t>#2c: Grassy Creek Trail</w:t>
      </w:r>
    </w:p>
    <w:p w14:paraId="378F29B1" w14:textId="45EC7791" w:rsidR="006244B0" w:rsidRDefault="006244B0" w:rsidP="006244B0">
      <w:r w:rsidDel="002E7FC8">
        <w:t>It was</w:t>
      </w:r>
      <w:r>
        <w:t xml:space="preserve"> assumed </w:t>
      </w:r>
      <w:r w:rsidR="002E7FC8">
        <w:t xml:space="preserve">that </w:t>
      </w:r>
      <w:r>
        <w:t xml:space="preserve">this new </w:t>
      </w:r>
      <w:r w:rsidR="00FB4EE8">
        <w:t xml:space="preserve">prime-location </w:t>
      </w:r>
      <w:r w:rsidR="00206FB8">
        <w:t xml:space="preserve">multi-mile </w:t>
      </w:r>
      <w:r w:rsidR="00FB4EE8">
        <w:t>trail</w:t>
      </w:r>
      <w:r>
        <w:t xml:space="preserve"> </w:t>
      </w:r>
      <w:r w:rsidR="002E7FC8">
        <w:t xml:space="preserve">will </w:t>
      </w:r>
      <w:r>
        <w:t xml:space="preserve">avoid </w:t>
      </w:r>
      <w:r w:rsidR="002E7FC8">
        <w:t xml:space="preserve">twenty </w:t>
      </w:r>
      <w:r>
        <w:t xml:space="preserve">single occupancy vehicles </w:t>
      </w:r>
      <w:r w:rsidR="00F80B50">
        <w:t>that would otherwise be driven any given commute day (</w:t>
      </w:r>
      <w:r w:rsidR="001456EA">
        <w:t>235</w:t>
      </w:r>
      <w:r w:rsidR="00F80B50">
        <w:t xml:space="preserve"> days per year assumed</w:t>
      </w:r>
      <w:r w:rsidR="001456EA" w:rsidRPr="001456EA">
        <w:rPr>
          <w:vertAlign w:val="superscript"/>
        </w:rPr>
        <w:fldChar w:fldCharType="begin"/>
      </w:r>
      <w:r w:rsidR="001456EA" w:rsidRPr="001456EA">
        <w:rPr>
          <w:vertAlign w:val="superscript"/>
        </w:rPr>
        <w:instrText xml:space="preserve"> NOTEREF _Ref162345964 \h </w:instrText>
      </w:r>
      <w:r w:rsidR="001456EA">
        <w:rPr>
          <w:vertAlign w:val="superscript"/>
        </w:rPr>
        <w:instrText xml:space="preserve"> \* MERGEFORMAT </w:instrText>
      </w:r>
      <w:r w:rsidR="001456EA" w:rsidRPr="001456EA">
        <w:rPr>
          <w:vertAlign w:val="superscript"/>
        </w:rPr>
      </w:r>
      <w:r w:rsidR="001456EA" w:rsidRPr="001456EA">
        <w:rPr>
          <w:vertAlign w:val="superscript"/>
        </w:rPr>
        <w:fldChar w:fldCharType="separate"/>
      </w:r>
      <w:r w:rsidR="005F0D8D">
        <w:rPr>
          <w:vertAlign w:val="superscript"/>
        </w:rPr>
        <w:t>12</w:t>
      </w:r>
      <w:r w:rsidR="001456EA" w:rsidRPr="001456EA">
        <w:rPr>
          <w:vertAlign w:val="superscript"/>
        </w:rPr>
        <w:fldChar w:fldCharType="end"/>
      </w:r>
      <w:r w:rsidR="00F80B50">
        <w:t xml:space="preserve">) </w:t>
      </w:r>
      <w:r>
        <w:t xml:space="preserve">due to streamlined access to </w:t>
      </w:r>
      <w:r w:rsidR="00FB4EE8">
        <w:t>transit</w:t>
      </w:r>
      <w:r>
        <w:t>, schools, and commutes.</w:t>
      </w:r>
      <w:r w:rsidRPr="00DA38CF">
        <w:t xml:space="preserve"> </w:t>
      </w:r>
      <w:r w:rsidR="002E7FC8">
        <w:t>A m</w:t>
      </w:r>
      <w:r>
        <w:t xml:space="preserve">ean </w:t>
      </w:r>
      <w:r w:rsidR="002E7FC8">
        <w:t xml:space="preserve">one-way </w:t>
      </w:r>
      <w:r>
        <w:t>trip distance of 7.52 miles avoided was assumed,</w:t>
      </w:r>
      <w:r w:rsidRPr="007026FA">
        <w:rPr>
          <w:vertAlign w:val="superscript"/>
        </w:rPr>
        <w:fldChar w:fldCharType="begin"/>
      </w:r>
      <w:r w:rsidRPr="007026FA">
        <w:rPr>
          <w:vertAlign w:val="superscript"/>
        </w:rPr>
        <w:instrText xml:space="preserve"> NOTEREF _Ref161738979 \h </w:instrText>
      </w:r>
      <w:r>
        <w:rPr>
          <w:vertAlign w:val="superscript"/>
        </w:rPr>
        <w:instrText xml:space="preserve"> \* MERGEFORMAT </w:instrText>
      </w:r>
      <w:r w:rsidRPr="007026FA">
        <w:rPr>
          <w:vertAlign w:val="superscript"/>
        </w:rPr>
      </w:r>
      <w:r w:rsidRPr="007026FA">
        <w:rPr>
          <w:vertAlign w:val="superscript"/>
        </w:rPr>
        <w:fldChar w:fldCharType="separate"/>
      </w:r>
      <w:r w:rsidR="005F0D8D">
        <w:rPr>
          <w:vertAlign w:val="superscript"/>
        </w:rPr>
        <w:t>13</w:t>
      </w:r>
      <w:r w:rsidRPr="007026FA">
        <w:rPr>
          <w:vertAlign w:val="superscript"/>
        </w:rPr>
        <w:fldChar w:fldCharType="end"/>
      </w:r>
      <w:r>
        <w:t xml:space="preserve"> and doubled to account for a to-and-from commute. The total annual avoided vehicle miles (</w:t>
      </w:r>
      <w:r w:rsidR="001456EA">
        <w:t>3,534.4</w:t>
      </w:r>
      <w:r>
        <w:t xml:space="preserve"> per vehicle x </w:t>
      </w:r>
      <w:r w:rsidR="00161D2A">
        <w:t>20</w:t>
      </w:r>
      <w:r>
        <w:t xml:space="preserve"> </w:t>
      </w:r>
      <w:r w:rsidR="00AF63F4">
        <w:t xml:space="preserve">ICE </w:t>
      </w:r>
      <w:r>
        <w:t>vehicles not in use) were multiplied by the Gasoline LDV Fleet average CO</w:t>
      </w:r>
      <w:r w:rsidRPr="00053ACB">
        <w:rPr>
          <w:vertAlign w:val="subscript"/>
        </w:rPr>
        <w:t>2</w:t>
      </w:r>
      <w:r>
        <w:t xml:space="preserve"> emission factor for 2026</w:t>
      </w:r>
      <w:r w:rsidRPr="00C01B72">
        <w:rPr>
          <w:vertAlign w:val="superscript"/>
        </w:rPr>
        <w:fldChar w:fldCharType="begin"/>
      </w:r>
      <w:r w:rsidRPr="00C01B72">
        <w:rPr>
          <w:vertAlign w:val="superscript"/>
        </w:rPr>
        <w:instrText xml:space="preserve"> NOTEREF _Ref161668731 \h </w:instrText>
      </w:r>
      <w:r>
        <w:rPr>
          <w:vertAlign w:val="superscript"/>
        </w:rPr>
        <w:instrText xml:space="preserve"> \* MERGEFORMAT </w:instrText>
      </w:r>
      <w:r w:rsidRPr="00C01B72">
        <w:rPr>
          <w:vertAlign w:val="superscript"/>
        </w:rPr>
      </w:r>
      <w:r w:rsidRPr="00C01B72">
        <w:rPr>
          <w:vertAlign w:val="superscript"/>
        </w:rPr>
        <w:fldChar w:fldCharType="separate"/>
      </w:r>
      <w:r w:rsidR="0006006E">
        <w:rPr>
          <w:vertAlign w:val="superscript"/>
        </w:rPr>
        <w:t>11</w:t>
      </w:r>
      <w:r w:rsidRPr="00C01B72">
        <w:rPr>
          <w:vertAlign w:val="superscript"/>
        </w:rPr>
        <w:fldChar w:fldCharType="end"/>
      </w:r>
      <w:r>
        <w:t xml:space="preserve"> to estimate avoided emissions. </w:t>
      </w:r>
      <w:r w:rsidR="001532B7">
        <w:t xml:space="preserve">There are uncertainties for </w:t>
      </w:r>
      <w:r>
        <w:t xml:space="preserve">estimating </w:t>
      </w:r>
      <w:r w:rsidR="001532B7">
        <w:t xml:space="preserve">the details of </w:t>
      </w:r>
      <w:r>
        <w:t>initial construction in 202</w:t>
      </w:r>
      <w:r w:rsidR="006331F8">
        <w:t>6</w:t>
      </w:r>
      <w:r>
        <w:t xml:space="preserve">, </w:t>
      </w:r>
      <w:r w:rsidR="001532B7">
        <w:t xml:space="preserve">but for this analysis </w:t>
      </w:r>
      <w:r>
        <w:t xml:space="preserve">it was assumed </w:t>
      </w:r>
      <w:r w:rsidR="00161D2A">
        <w:t>10</w:t>
      </w:r>
      <w:r>
        <w:t xml:space="preserve"> regular work vehicles would each drive </w:t>
      </w:r>
      <w:r w:rsidR="000B751E">
        <w:t>3,420</w:t>
      </w:r>
      <w:r>
        <w:t xml:space="preserve"> miles over </w:t>
      </w:r>
      <w:r w:rsidR="000B751E">
        <w:t>10</w:t>
      </w:r>
      <w:r>
        <w:t xml:space="preserve"> months of construction work, consuming total </w:t>
      </w:r>
      <w:r w:rsidR="00A54CE9">
        <w:t>5,70</w:t>
      </w:r>
      <w:r>
        <w:t>0 gallons of diesel,</w:t>
      </w:r>
      <w:r w:rsidRPr="00F05DDB">
        <w:rPr>
          <w:vertAlign w:val="superscript"/>
        </w:rPr>
        <w:fldChar w:fldCharType="begin"/>
      </w:r>
      <w:r w:rsidRPr="00F05DDB">
        <w:rPr>
          <w:vertAlign w:val="superscript"/>
        </w:rPr>
        <w:instrText xml:space="preserve"> NOTEREF _Ref161743795 \h </w:instrText>
      </w:r>
      <w:r>
        <w:rPr>
          <w:vertAlign w:val="superscript"/>
        </w:rPr>
        <w:instrText xml:space="preserve"> \* MERGEFORMAT </w:instrText>
      </w:r>
      <w:r w:rsidRPr="00F05DDB">
        <w:rPr>
          <w:vertAlign w:val="superscript"/>
        </w:rPr>
      </w:r>
      <w:r w:rsidRPr="00F05DDB">
        <w:rPr>
          <w:vertAlign w:val="superscript"/>
        </w:rPr>
        <w:fldChar w:fldCharType="separate"/>
      </w:r>
      <w:r w:rsidR="005F0D8D">
        <w:rPr>
          <w:vertAlign w:val="superscript"/>
        </w:rPr>
        <w:t>15</w:t>
      </w:r>
      <w:r w:rsidRPr="00F05DDB">
        <w:rPr>
          <w:vertAlign w:val="superscript"/>
        </w:rPr>
        <w:fldChar w:fldCharType="end"/>
      </w:r>
      <w:r>
        <w:t xml:space="preserve"> with emissions from fuel combustion estimated using EPA’s diesel fuel and non-road equipment emission factors</w:t>
      </w:r>
      <w:r w:rsidRPr="00FB4435">
        <w:rPr>
          <w:vertAlign w:val="superscript"/>
        </w:rPr>
        <w:fldChar w:fldCharType="begin"/>
      </w:r>
      <w:r w:rsidRPr="00FB4435">
        <w:rPr>
          <w:vertAlign w:val="superscript"/>
        </w:rPr>
        <w:instrText xml:space="preserve"> NOTEREF _Ref161666152 \h </w:instrText>
      </w:r>
      <w:r>
        <w:rPr>
          <w:vertAlign w:val="superscript"/>
        </w:rPr>
        <w:instrText xml:space="preserve"> \* MERGEFORMAT </w:instrText>
      </w:r>
      <w:r w:rsidRPr="00FB4435">
        <w:rPr>
          <w:vertAlign w:val="superscript"/>
        </w:rPr>
      </w:r>
      <w:r w:rsidRPr="00FB4435">
        <w:rPr>
          <w:vertAlign w:val="superscript"/>
        </w:rPr>
        <w:fldChar w:fldCharType="separate"/>
      </w:r>
      <w:r w:rsidR="0006006E">
        <w:rPr>
          <w:vertAlign w:val="superscript"/>
        </w:rPr>
        <w:t>2</w:t>
      </w:r>
      <w:r w:rsidRPr="00FB4435">
        <w:rPr>
          <w:vertAlign w:val="superscript"/>
        </w:rPr>
        <w:fldChar w:fldCharType="end"/>
      </w:r>
      <w:r>
        <w:t xml:space="preserve"> and GWPs from IPCC</w:t>
      </w:r>
      <w:r w:rsidRPr="00512E1B">
        <w:t xml:space="preserve"> </w:t>
      </w:r>
      <w:r>
        <w:t>for pollutant conversions to CO</w:t>
      </w:r>
      <w:r w:rsidRPr="00EB79FE">
        <w:rPr>
          <w:vertAlign w:val="subscript"/>
        </w:rPr>
        <w:t>2</w:t>
      </w:r>
      <w:r>
        <w:t>e.</w:t>
      </w:r>
      <w:r w:rsidRPr="00495AA6">
        <w:rPr>
          <w:vertAlign w:val="superscript"/>
        </w:rPr>
        <w:fldChar w:fldCharType="begin"/>
      </w:r>
      <w:r w:rsidRPr="00495AA6">
        <w:rPr>
          <w:vertAlign w:val="superscript"/>
        </w:rPr>
        <w:instrText xml:space="preserve"> NOTEREF _Ref161743543 \h </w:instrText>
      </w:r>
      <w:r>
        <w:rPr>
          <w:vertAlign w:val="superscript"/>
        </w:rPr>
        <w:instrText xml:space="preserve"> \* MERGEFORMAT </w:instrText>
      </w:r>
      <w:r w:rsidRPr="00495AA6">
        <w:rPr>
          <w:vertAlign w:val="superscript"/>
        </w:rPr>
      </w:r>
      <w:r w:rsidRPr="00495AA6">
        <w:rPr>
          <w:vertAlign w:val="superscript"/>
        </w:rPr>
        <w:fldChar w:fldCharType="separate"/>
      </w:r>
      <w:r w:rsidR="005F0D8D">
        <w:rPr>
          <w:vertAlign w:val="superscript"/>
        </w:rPr>
        <w:t>16</w:t>
      </w:r>
      <w:r w:rsidRPr="00495AA6">
        <w:rPr>
          <w:vertAlign w:val="superscript"/>
        </w:rPr>
        <w:fldChar w:fldCharType="end"/>
      </w:r>
      <w:r>
        <w:rPr>
          <w:vertAlign w:val="superscript"/>
        </w:rPr>
        <w:t xml:space="preserve"> </w:t>
      </w:r>
      <w:r>
        <w:t>The annual net of these calculations resulted in avoided emissions for the pilot and was used to inform averages for the “Walking/Biking Trails” project type.</w:t>
      </w:r>
    </w:p>
    <w:p w14:paraId="61A94ED2" w14:textId="3A9D8B5A" w:rsidR="006A5239" w:rsidRDefault="0081242F" w:rsidP="00570175">
      <w:r>
        <w:t>Another feature of this pilot would result in planting 80 acres of</w:t>
      </w:r>
      <w:r w:rsidR="00F134E6">
        <w:t xml:space="preserve"> trees. Assuming 1.2 MT of CO</w:t>
      </w:r>
      <w:r w:rsidR="00F134E6" w:rsidRPr="00D36830">
        <w:rPr>
          <w:vertAlign w:val="subscript"/>
        </w:rPr>
        <w:t>2</w:t>
      </w:r>
      <w:r w:rsidR="00F134E6">
        <w:t xml:space="preserve"> stored for every acre (described </w:t>
      </w:r>
      <w:r w:rsidR="00DF5F21">
        <w:t xml:space="preserve">below </w:t>
      </w:r>
      <w:r w:rsidR="00F134E6">
        <w:t xml:space="preserve">in subsection #2d), this </w:t>
      </w:r>
      <w:r w:rsidR="002A5A00">
        <w:t>avoid</w:t>
      </w:r>
      <w:r w:rsidR="00DF5F21">
        <w:t>ed</w:t>
      </w:r>
      <w:r w:rsidR="00F134E6">
        <w:t xml:space="preserve"> </w:t>
      </w:r>
      <w:r w:rsidR="002A5A00">
        <w:t>96</w:t>
      </w:r>
      <w:r w:rsidR="00F134E6">
        <w:t xml:space="preserve"> MT </w:t>
      </w:r>
      <w:r w:rsidR="002A5A00">
        <w:t>each year</w:t>
      </w:r>
      <w:r w:rsidR="006057FE">
        <w:t xml:space="preserve"> </w:t>
      </w:r>
      <w:r w:rsidR="009B400E">
        <w:t>since</w:t>
      </w:r>
      <w:r w:rsidR="006057FE">
        <w:t xml:space="preserve"> planting </w:t>
      </w:r>
      <w:r w:rsidR="009B400E">
        <w:t>b</w:t>
      </w:r>
      <w:r w:rsidR="006057FE">
        <w:t xml:space="preserve">y </w:t>
      </w:r>
      <w:proofErr w:type="gramStart"/>
      <w:r w:rsidR="006057FE">
        <w:t>202</w:t>
      </w:r>
      <w:r w:rsidR="00666F8A">
        <w:t>7</w:t>
      </w:r>
      <w:r w:rsidR="006057FE">
        <w:t>, and</w:t>
      </w:r>
      <w:proofErr w:type="gramEnd"/>
      <w:r w:rsidR="002A5A00">
        <w:t xml:space="preserve"> was also</w:t>
      </w:r>
      <w:r w:rsidR="007F30D7">
        <w:t xml:space="preserve"> used to inform averages for the “Reforestation” project type.</w:t>
      </w:r>
    </w:p>
    <w:p w14:paraId="2DE38935" w14:textId="71CB5A8F" w:rsidR="006A5239" w:rsidRDefault="006A5239" w:rsidP="006A5239">
      <w:pPr>
        <w:pStyle w:val="Heading3"/>
        <w:numPr>
          <w:ilvl w:val="0"/>
          <w:numId w:val="0"/>
        </w:numPr>
        <w:ind w:left="737" w:hanging="737"/>
      </w:pPr>
      <w:r>
        <w:t>#2</w:t>
      </w:r>
      <w:r w:rsidR="00CC6BEB">
        <w:t>d</w:t>
      </w:r>
      <w:r>
        <w:t>: Connor Prairie Reforestation</w:t>
      </w:r>
    </w:p>
    <w:p w14:paraId="0D138502" w14:textId="74906633" w:rsidR="006A5239" w:rsidRDefault="006A5239" w:rsidP="00570175">
      <w:r>
        <w:t>T</w:t>
      </w:r>
      <w:r w:rsidR="00E45D16">
        <w:t>he project</w:t>
      </w:r>
      <w:r w:rsidR="001A4DA1">
        <w:t xml:space="preserve"> </w:t>
      </w:r>
      <w:r w:rsidR="003959C9">
        <w:t xml:space="preserve">conservatively </w:t>
      </w:r>
      <w:r w:rsidR="001A4DA1">
        <w:t>estimates</w:t>
      </w:r>
      <w:r w:rsidR="003959C9">
        <w:t xml:space="preserve"> that</w:t>
      </w:r>
      <w:r w:rsidR="001A4DA1">
        <w:t xml:space="preserve"> 1.2 metric tons of CO</w:t>
      </w:r>
      <w:r w:rsidR="001A4DA1" w:rsidRPr="002C5DF4">
        <w:rPr>
          <w:vertAlign w:val="subscript"/>
        </w:rPr>
        <w:t>2</w:t>
      </w:r>
      <w:r w:rsidR="001A4DA1">
        <w:t xml:space="preserve"> may be stored </w:t>
      </w:r>
      <w:r w:rsidR="002C5DF4">
        <w:t xml:space="preserve">each year </w:t>
      </w:r>
      <w:r w:rsidR="001A4DA1">
        <w:t xml:space="preserve">for </w:t>
      </w:r>
      <w:r w:rsidR="002C5DF4">
        <w:t>every acre of trees.</w:t>
      </w:r>
      <w:r w:rsidR="00FB44B6">
        <w:rPr>
          <w:rStyle w:val="FootnoteReference"/>
        </w:rPr>
        <w:footnoteReference w:id="19"/>
      </w:r>
      <w:r w:rsidR="00751AD0">
        <w:t xml:space="preserve"> The pilot would support</w:t>
      </w:r>
      <w:r w:rsidR="00570175">
        <w:t xml:space="preserve"> 140 </w:t>
      </w:r>
      <w:r w:rsidR="00833EE5">
        <w:t xml:space="preserve">new </w:t>
      </w:r>
      <w:r w:rsidR="00570175">
        <w:t xml:space="preserve">acres, assumed to be planted </w:t>
      </w:r>
      <w:r w:rsidR="00833EE5">
        <w:t>by</w:t>
      </w:r>
      <w:r w:rsidR="00C16611">
        <w:t xml:space="preserve"> 2026 and</w:t>
      </w:r>
      <w:r w:rsidR="00917010">
        <w:t xml:space="preserve"> capable of storing </w:t>
      </w:r>
      <w:r w:rsidR="00270149">
        <w:t>the resulting 168 MT of CO</w:t>
      </w:r>
      <w:r w:rsidR="00270149" w:rsidRPr="00270149">
        <w:rPr>
          <w:vertAlign w:val="subscript"/>
        </w:rPr>
        <w:t>2</w:t>
      </w:r>
      <w:r w:rsidR="00917010">
        <w:t xml:space="preserve"> for each successive year.</w:t>
      </w:r>
      <w:r w:rsidR="00917010" w:rsidRPr="00917010">
        <w:t xml:space="preserve"> </w:t>
      </w:r>
      <w:r w:rsidR="00917010">
        <w:t>This pilot was used to inform averages for the “Reforestation” project type.</w:t>
      </w:r>
    </w:p>
    <w:p w14:paraId="264A17AF" w14:textId="2460CA52" w:rsidR="006A5239" w:rsidRDefault="006A5239" w:rsidP="006A5239">
      <w:pPr>
        <w:pStyle w:val="Heading3"/>
        <w:numPr>
          <w:ilvl w:val="0"/>
          <w:numId w:val="0"/>
        </w:numPr>
        <w:ind w:left="737" w:hanging="737"/>
      </w:pPr>
      <w:r>
        <w:t>#2e: Connor Prairie Wetland Enhancement and Fertilizer Education Program</w:t>
      </w:r>
    </w:p>
    <w:p w14:paraId="037B4D13" w14:textId="147D15F0" w:rsidR="006A5239" w:rsidRDefault="00895DBC" w:rsidP="00570175">
      <w:r>
        <w:t>This pilot would</w:t>
      </w:r>
      <w:r w:rsidR="00E35424">
        <w:t xml:space="preserve"> </w:t>
      </w:r>
      <w:r w:rsidR="003D0DC9">
        <w:t>enhance</w:t>
      </w:r>
      <w:r w:rsidR="00E35424">
        <w:t xml:space="preserve"> 80 acres of wetlands on currently unused land. The </w:t>
      </w:r>
      <w:r w:rsidR="001E7E9A">
        <w:t>S</w:t>
      </w:r>
      <w:r w:rsidR="000338C8">
        <w:t>econd State of the Carbon Cycle Report</w:t>
      </w:r>
      <w:r w:rsidR="001E7E9A">
        <w:t xml:space="preserve"> finds a mid</w:t>
      </w:r>
      <w:r w:rsidR="00877076">
        <w:t>-</w:t>
      </w:r>
      <w:r w:rsidR="001E7E9A">
        <w:t>estimate of 66.99 grams of CO</w:t>
      </w:r>
      <w:r w:rsidR="001E7E9A" w:rsidRPr="00877076">
        <w:rPr>
          <w:vertAlign w:val="subscript"/>
        </w:rPr>
        <w:t>2</w:t>
      </w:r>
      <w:r w:rsidR="007B6D46">
        <w:t xml:space="preserve"> stored per</w:t>
      </w:r>
      <w:r w:rsidR="00C04436">
        <w:t xml:space="preserve"> square meter </w:t>
      </w:r>
      <w:r w:rsidR="00DB6365">
        <w:t>(</w:t>
      </w:r>
      <w:r w:rsidR="000338C8">
        <w:t xml:space="preserve">or </w:t>
      </w:r>
      <w:r w:rsidR="00F721F6">
        <w:t>0.27 MT</w:t>
      </w:r>
      <w:r w:rsidR="00030D02">
        <w:t xml:space="preserve"> stored </w:t>
      </w:r>
      <w:r w:rsidR="000338C8">
        <w:t xml:space="preserve">per </w:t>
      </w:r>
      <w:r w:rsidR="00030D02">
        <w:t>acre</w:t>
      </w:r>
      <w:r w:rsidR="008D2FE5">
        <w:t xml:space="preserve">) of </w:t>
      </w:r>
      <w:r w:rsidR="00C04436">
        <w:t>forested wetlands per year.</w:t>
      </w:r>
      <w:r w:rsidR="00C04436">
        <w:rPr>
          <w:rStyle w:val="FootnoteReference"/>
        </w:rPr>
        <w:footnoteReference w:id="20"/>
      </w:r>
      <w:r w:rsidR="00877076">
        <w:t xml:space="preserve"> </w:t>
      </w:r>
      <w:r w:rsidR="00ED5A33">
        <w:t>T</w:t>
      </w:r>
      <w:r w:rsidR="00DE5833">
        <w:t xml:space="preserve">he pilot’s new wetlands </w:t>
      </w:r>
      <w:r w:rsidR="003D0DC9">
        <w:t>therefore estimated</w:t>
      </w:r>
      <w:r w:rsidR="00DE5833">
        <w:t xml:space="preserve"> to store nearly 22 MT each year</w:t>
      </w:r>
      <w:r w:rsidR="003D0DC9">
        <w:t xml:space="preserve"> </w:t>
      </w:r>
      <w:r w:rsidR="00DE5833">
        <w:t>by 2026.</w:t>
      </w:r>
      <w:r w:rsidR="00871F6A">
        <w:t xml:space="preserve"> Ther</w:t>
      </w:r>
      <w:r w:rsidR="005C5798">
        <w:t>e</w:t>
      </w:r>
      <w:r w:rsidR="00871F6A">
        <w:t xml:space="preserve"> are significant uncertainties regarding carbon storage in wetlands, but it is believed this may be a conservative estimate of avoided emissions.</w:t>
      </w:r>
      <w:r w:rsidR="000338C8">
        <w:rPr>
          <w:rStyle w:val="FootnoteReference"/>
        </w:rPr>
        <w:footnoteReference w:id="21"/>
      </w:r>
    </w:p>
    <w:p w14:paraId="0E2FBA1D" w14:textId="1FB33E81" w:rsidR="006A5239" w:rsidRDefault="006A5239" w:rsidP="006A5239">
      <w:pPr>
        <w:pStyle w:val="Heading3"/>
        <w:numPr>
          <w:ilvl w:val="0"/>
          <w:numId w:val="0"/>
        </w:numPr>
        <w:ind w:left="737" w:hanging="737"/>
      </w:pPr>
      <w:r>
        <w:t>Example: Brownfield Site Revitalization</w:t>
      </w:r>
    </w:p>
    <w:p w14:paraId="5D26890A" w14:textId="2F73A3CE" w:rsidR="006A5239" w:rsidRDefault="00DA67C4" w:rsidP="00570175">
      <w:r w:rsidRPr="00DA67C4">
        <w:t xml:space="preserve">Informed by draft projects considered in the CIRDA region, an estimated average cost </w:t>
      </w:r>
      <w:r w:rsidR="001E2E55">
        <w:t>of just over</w:t>
      </w:r>
      <w:r w:rsidRPr="00DA67C4">
        <w:t xml:space="preserve"> $1 million </w:t>
      </w:r>
      <w:r w:rsidR="001E2E55">
        <w:t xml:space="preserve">could support tree planting on </w:t>
      </w:r>
      <w:r w:rsidR="008962A8">
        <w:t xml:space="preserve">roughly </w:t>
      </w:r>
      <w:r w:rsidR="001E2E55">
        <w:t>45 acres of unused brownfield. Assuming the 1.2 MT of CO</w:t>
      </w:r>
      <w:r w:rsidR="001E2E55" w:rsidRPr="00D36830">
        <w:rPr>
          <w:vertAlign w:val="subscript"/>
        </w:rPr>
        <w:t>2</w:t>
      </w:r>
      <w:r w:rsidR="001E2E55">
        <w:t xml:space="preserve"> stored for every acre</w:t>
      </w:r>
      <w:r w:rsidR="00D36830">
        <w:t xml:space="preserve"> of trees</w:t>
      </w:r>
      <w:r w:rsidR="00793D4D">
        <w:t xml:space="preserve"> planted (described </w:t>
      </w:r>
      <w:r w:rsidR="00E8211D">
        <w:t xml:space="preserve">above </w:t>
      </w:r>
      <w:r w:rsidR="00793D4D">
        <w:t>in subsection #2d)</w:t>
      </w:r>
      <w:r w:rsidR="00D36830">
        <w:t xml:space="preserve">, this example project </w:t>
      </w:r>
      <w:r w:rsidR="00A20079">
        <w:t xml:space="preserve">avoiding </w:t>
      </w:r>
      <w:r w:rsidR="00192C8B">
        <w:t xml:space="preserve">54 MT each year </w:t>
      </w:r>
      <w:r w:rsidR="005A57DC">
        <w:t xml:space="preserve">and </w:t>
      </w:r>
      <w:r w:rsidR="00D36830">
        <w:t xml:space="preserve">was used to inform the </w:t>
      </w:r>
      <w:r w:rsidRPr="00DA67C4">
        <w:t>“</w:t>
      </w:r>
      <w:r w:rsidR="00D36830">
        <w:t>Brownfield: Tree Planting</w:t>
      </w:r>
      <w:r w:rsidRPr="00DA67C4">
        <w:t>” project type analysis.</w:t>
      </w:r>
    </w:p>
    <w:p w14:paraId="112DEAEC" w14:textId="70AD20E1" w:rsidR="009E1A76" w:rsidRDefault="009E1A76" w:rsidP="009E1A76">
      <w:pPr>
        <w:pStyle w:val="Heading2"/>
        <w:numPr>
          <w:ilvl w:val="0"/>
          <w:numId w:val="0"/>
        </w:numPr>
        <w:ind w:left="792" w:hanging="792"/>
      </w:pPr>
      <w:r>
        <w:t>Table M2</w:t>
      </w:r>
      <w:r w:rsidR="00811A6F">
        <w:t>.</w:t>
      </w:r>
      <w:r>
        <w:t xml:space="preserve"> Measure #2 GHG Emissions Reductions (MT CO</w:t>
      </w:r>
      <w:r w:rsidRPr="008C43A7">
        <w:rPr>
          <w:vertAlign w:val="subscript"/>
        </w:rPr>
        <w:t>2</w:t>
      </w:r>
      <w:r>
        <w:t>e)</w:t>
      </w:r>
    </w:p>
    <w:tbl>
      <w:tblPr>
        <w:tblStyle w:val="ListTable6Colorful"/>
        <w:tblW w:w="7920" w:type="dxa"/>
        <w:jc w:val="center"/>
        <w:tblLayout w:type="fixed"/>
        <w:tblCellMar>
          <w:left w:w="0" w:type="dxa"/>
          <w:right w:w="0" w:type="dxa"/>
        </w:tblCellMar>
        <w:tblLook w:val="04A0" w:firstRow="1" w:lastRow="0" w:firstColumn="1" w:lastColumn="0" w:noHBand="0" w:noVBand="1"/>
      </w:tblPr>
      <w:tblGrid>
        <w:gridCol w:w="446"/>
        <w:gridCol w:w="603"/>
        <w:gridCol w:w="751"/>
        <w:gridCol w:w="360"/>
        <w:gridCol w:w="630"/>
        <w:gridCol w:w="450"/>
        <w:gridCol w:w="630"/>
        <w:gridCol w:w="540"/>
        <w:gridCol w:w="630"/>
        <w:gridCol w:w="630"/>
        <w:gridCol w:w="720"/>
        <w:gridCol w:w="810"/>
        <w:gridCol w:w="720"/>
      </w:tblGrid>
      <w:tr w:rsidR="00712169" w:rsidRPr="0081769C" w14:paraId="691E330C" w14:textId="77777777" w:rsidTr="00F301E5">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vMerge w:val="restart"/>
            <w:tcBorders>
              <w:top w:val="single" w:sz="4" w:space="0" w:color="000000"/>
              <w:right w:val="single" w:sz="4" w:space="0" w:color="auto"/>
            </w:tcBorders>
            <w:vAlign w:val="center"/>
          </w:tcPr>
          <w:p w14:paraId="299A1862" w14:textId="77777777" w:rsidR="00EA6903" w:rsidRPr="00F301E5" w:rsidRDefault="00EA6903">
            <w:pPr>
              <w:spacing w:after="0"/>
              <w:jc w:val="center"/>
              <w:rPr>
                <w:rFonts w:eastAsia="Times New Roman" w:cs="Calibri"/>
                <w:sz w:val="20"/>
                <w:szCs w:val="20"/>
                <w:lang w:eastAsia="en-US"/>
              </w:rPr>
            </w:pPr>
          </w:p>
        </w:tc>
        <w:tc>
          <w:tcPr>
            <w:tcW w:w="1354" w:type="dxa"/>
            <w:gridSpan w:val="2"/>
            <w:tcBorders>
              <w:left w:val="single" w:sz="4" w:space="0" w:color="auto"/>
              <w:bottom w:val="single" w:sz="4" w:space="0" w:color="A6A6A6" w:themeColor="background1" w:themeShade="A6"/>
              <w:right w:val="single" w:sz="8" w:space="0" w:color="1C1C1C" w:themeColor="text1"/>
            </w:tcBorders>
            <w:shd w:val="clear" w:color="auto" w:fill="auto"/>
            <w:vAlign w:val="center"/>
          </w:tcPr>
          <w:p w14:paraId="17A6275E" w14:textId="67EAED39" w:rsidR="00EA6903" w:rsidRPr="00F301E5" w:rsidRDefault="00EA690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2a</w:t>
            </w:r>
          </w:p>
        </w:tc>
        <w:tc>
          <w:tcPr>
            <w:tcW w:w="99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5C410ABA" w14:textId="7E736441" w:rsidR="00EA6903" w:rsidRPr="00F301E5" w:rsidRDefault="00EA690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2b</w:t>
            </w:r>
          </w:p>
        </w:tc>
        <w:tc>
          <w:tcPr>
            <w:tcW w:w="108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464569A5" w14:textId="68436CBC" w:rsidR="00EA6903" w:rsidRPr="00F301E5" w:rsidRDefault="00EA690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2c</w:t>
            </w:r>
          </w:p>
        </w:tc>
        <w:tc>
          <w:tcPr>
            <w:tcW w:w="1170" w:type="dxa"/>
            <w:gridSpan w:val="2"/>
            <w:tcBorders>
              <w:left w:val="single" w:sz="8" w:space="0" w:color="1C1C1C" w:themeColor="text1"/>
              <w:bottom w:val="single" w:sz="8" w:space="0" w:color="BFBFBF" w:themeColor="background1" w:themeShade="BF"/>
              <w:right w:val="single" w:sz="8" w:space="0" w:color="1C1C1C" w:themeColor="text1"/>
            </w:tcBorders>
            <w:shd w:val="clear" w:color="auto" w:fill="auto"/>
            <w:vAlign w:val="center"/>
          </w:tcPr>
          <w:p w14:paraId="6FF2C43E" w14:textId="4D6866C0" w:rsidR="00EA6903" w:rsidRPr="00F301E5" w:rsidRDefault="00EA690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2d</w:t>
            </w:r>
          </w:p>
        </w:tc>
        <w:tc>
          <w:tcPr>
            <w:tcW w:w="1350" w:type="dxa"/>
            <w:gridSpan w:val="2"/>
            <w:tcBorders>
              <w:left w:val="single" w:sz="8" w:space="0" w:color="1C1C1C" w:themeColor="text1"/>
              <w:bottom w:val="single" w:sz="8" w:space="0" w:color="BFBFBF" w:themeColor="background1" w:themeShade="BF"/>
              <w:right w:val="single" w:sz="12" w:space="0" w:color="auto"/>
            </w:tcBorders>
            <w:shd w:val="clear" w:color="auto" w:fill="auto"/>
            <w:vAlign w:val="center"/>
          </w:tcPr>
          <w:p w14:paraId="4BBDE666" w14:textId="04A973D9" w:rsidR="00EA6903" w:rsidRPr="00F301E5" w:rsidRDefault="00EA690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2e</w:t>
            </w:r>
          </w:p>
        </w:tc>
        <w:tc>
          <w:tcPr>
            <w:tcW w:w="1530" w:type="dxa"/>
            <w:gridSpan w:val="2"/>
            <w:tcBorders>
              <w:top w:val="single" w:sz="4" w:space="0" w:color="000000"/>
              <w:left w:val="single" w:sz="12" w:space="0" w:color="auto"/>
              <w:bottom w:val="single" w:sz="4" w:space="0" w:color="A6A6A6" w:themeColor="background1" w:themeShade="A6"/>
            </w:tcBorders>
            <w:shd w:val="clear" w:color="auto" w:fill="auto"/>
            <w:vAlign w:val="center"/>
          </w:tcPr>
          <w:p w14:paraId="4F3CC353" w14:textId="35DFC5A0" w:rsidR="00EA6903" w:rsidRPr="00F301E5" w:rsidRDefault="00EA6903">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Measure #2</w:t>
            </w:r>
          </w:p>
        </w:tc>
      </w:tr>
      <w:tr w:rsidR="00506B65" w:rsidRPr="0081769C" w14:paraId="091A0FC5" w14:textId="77777777" w:rsidTr="00F301E5">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446" w:type="dxa"/>
            <w:vMerge/>
            <w:tcBorders>
              <w:bottom w:val="single" w:sz="4" w:space="0" w:color="auto"/>
              <w:right w:val="single" w:sz="4" w:space="0" w:color="auto"/>
            </w:tcBorders>
            <w:shd w:val="clear" w:color="auto" w:fill="auto"/>
            <w:vAlign w:val="center"/>
            <w:hideMark/>
          </w:tcPr>
          <w:p w14:paraId="469942C7" w14:textId="77777777" w:rsidR="00EA6903" w:rsidRPr="00F301E5" w:rsidRDefault="00EA6903">
            <w:pPr>
              <w:spacing w:after="0"/>
              <w:jc w:val="center"/>
              <w:rPr>
                <w:rFonts w:eastAsia="Times New Roman" w:cs="Calibri"/>
                <w:sz w:val="20"/>
                <w:szCs w:val="20"/>
                <w:lang w:eastAsia="en-US"/>
              </w:rPr>
            </w:pPr>
          </w:p>
        </w:tc>
        <w:tc>
          <w:tcPr>
            <w:tcW w:w="603" w:type="dxa"/>
            <w:tcBorders>
              <w:top w:val="single" w:sz="8" w:space="0" w:color="BFBFBF" w:themeColor="background1" w:themeShade="BF"/>
              <w:left w:val="single" w:sz="4" w:space="0" w:color="auto"/>
              <w:bottom w:val="single" w:sz="4" w:space="0" w:color="auto"/>
              <w:right w:val="single" w:sz="8" w:space="0" w:color="BFBFBF" w:themeColor="background1" w:themeShade="BF"/>
            </w:tcBorders>
            <w:shd w:val="clear" w:color="auto" w:fill="auto"/>
            <w:vAlign w:val="center"/>
          </w:tcPr>
          <w:p w14:paraId="00A3A9F5"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751"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21BBD16E"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360" w:type="dxa"/>
            <w:tcBorders>
              <w:top w:val="single" w:sz="8" w:space="0" w:color="BFBFBF" w:themeColor="background1" w:themeShade="BF"/>
              <w:left w:val="single" w:sz="8" w:space="0" w:color="1C1C1C" w:themeColor="text1"/>
              <w:bottom w:val="single" w:sz="4" w:space="0" w:color="auto"/>
              <w:right w:val="single" w:sz="8" w:space="0" w:color="BFBFBF" w:themeColor="background1" w:themeShade="BF"/>
            </w:tcBorders>
            <w:shd w:val="clear" w:color="auto" w:fill="auto"/>
            <w:vAlign w:val="center"/>
          </w:tcPr>
          <w:p w14:paraId="3D5E2FFF"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6164101B"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450" w:type="dxa"/>
            <w:tcBorders>
              <w:top w:val="single" w:sz="8" w:space="0" w:color="BFBFBF" w:themeColor="background1" w:themeShade="BF"/>
              <w:left w:val="single" w:sz="8" w:space="0" w:color="1C1C1C" w:themeColor="text1"/>
              <w:bottom w:val="single" w:sz="4" w:space="0" w:color="auto"/>
              <w:right w:val="single" w:sz="8" w:space="0" w:color="BFBFBF" w:themeColor="background1" w:themeShade="BF"/>
            </w:tcBorders>
            <w:shd w:val="clear" w:color="auto" w:fill="auto"/>
            <w:vAlign w:val="center"/>
          </w:tcPr>
          <w:p w14:paraId="56CAC276"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3B92FCDD"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540" w:type="dxa"/>
            <w:tcBorders>
              <w:top w:val="single" w:sz="8" w:space="0" w:color="BFBFBF" w:themeColor="background1" w:themeShade="BF"/>
              <w:left w:val="single" w:sz="8" w:space="0" w:color="1C1C1C" w:themeColor="text1"/>
              <w:bottom w:val="single" w:sz="4" w:space="0" w:color="auto"/>
              <w:right w:val="single" w:sz="8" w:space="0" w:color="BFBFBF" w:themeColor="background1" w:themeShade="BF"/>
            </w:tcBorders>
            <w:shd w:val="clear" w:color="auto" w:fill="auto"/>
            <w:vAlign w:val="center"/>
          </w:tcPr>
          <w:p w14:paraId="10FB7584"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630" w:type="dxa"/>
            <w:tcBorders>
              <w:top w:val="single" w:sz="8" w:space="0" w:color="BFBFBF" w:themeColor="background1" w:themeShade="BF"/>
              <w:left w:val="single" w:sz="8" w:space="0" w:color="BFBFBF" w:themeColor="background1" w:themeShade="BF"/>
              <w:bottom w:val="single" w:sz="4" w:space="0" w:color="auto"/>
              <w:right w:val="single" w:sz="8" w:space="0" w:color="1C1C1C" w:themeColor="text1"/>
            </w:tcBorders>
            <w:shd w:val="clear" w:color="auto" w:fill="auto"/>
            <w:vAlign w:val="center"/>
          </w:tcPr>
          <w:p w14:paraId="19D80A85"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630" w:type="dxa"/>
            <w:tcBorders>
              <w:top w:val="single" w:sz="4" w:space="0" w:color="A6A6A6" w:themeColor="background1" w:themeShade="A6"/>
              <w:left w:val="single" w:sz="8" w:space="0" w:color="1C1C1C" w:themeColor="text1"/>
              <w:bottom w:val="single" w:sz="4" w:space="0" w:color="auto"/>
              <w:right w:val="single" w:sz="8" w:space="0" w:color="BFBFBF" w:themeColor="background1" w:themeShade="BF"/>
            </w:tcBorders>
            <w:shd w:val="clear" w:color="auto" w:fill="auto"/>
            <w:vAlign w:val="center"/>
          </w:tcPr>
          <w:p w14:paraId="138E9141"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Ann</w:t>
            </w:r>
          </w:p>
        </w:tc>
        <w:tc>
          <w:tcPr>
            <w:tcW w:w="720" w:type="dxa"/>
            <w:tcBorders>
              <w:top w:val="single" w:sz="4" w:space="0" w:color="A6A6A6" w:themeColor="background1" w:themeShade="A6"/>
              <w:left w:val="single" w:sz="8" w:space="0" w:color="BFBFBF" w:themeColor="background1" w:themeShade="BF"/>
              <w:bottom w:val="single" w:sz="4" w:space="0" w:color="auto"/>
              <w:right w:val="single" w:sz="12" w:space="0" w:color="auto"/>
            </w:tcBorders>
            <w:shd w:val="clear" w:color="auto" w:fill="auto"/>
            <w:vAlign w:val="center"/>
          </w:tcPr>
          <w:p w14:paraId="5F672C06"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p>
        </w:tc>
        <w:tc>
          <w:tcPr>
            <w:tcW w:w="810" w:type="dxa"/>
            <w:tcBorders>
              <w:top w:val="single" w:sz="4" w:space="0" w:color="A6A6A6" w:themeColor="background1" w:themeShade="A6"/>
              <w:left w:val="single" w:sz="12" w:space="0" w:color="auto"/>
              <w:bottom w:val="single" w:sz="4" w:space="0" w:color="auto"/>
              <w:right w:val="single" w:sz="8" w:space="0" w:color="BFBFBF" w:themeColor="background1" w:themeShade="BF"/>
            </w:tcBorders>
            <w:shd w:val="clear" w:color="auto" w:fill="auto"/>
            <w:vAlign w:val="center"/>
          </w:tcPr>
          <w:p w14:paraId="1410D1FA"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 xml:space="preserve">Ann </w:t>
            </w:r>
          </w:p>
        </w:tc>
        <w:tc>
          <w:tcPr>
            <w:tcW w:w="720" w:type="dxa"/>
            <w:tcBorders>
              <w:top w:val="single" w:sz="4" w:space="0" w:color="A6A6A6" w:themeColor="background1" w:themeShade="A6"/>
              <w:left w:val="single" w:sz="8" w:space="0" w:color="BFBFBF" w:themeColor="background1" w:themeShade="BF"/>
              <w:bottom w:val="single" w:sz="4" w:space="0" w:color="auto"/>
            </w:tcBorders>
            <w:shd w:val="clear" w:color="auto" w:fill="auto"/>
            <w:vAlign w:val="center"/>
          </w:tcPr>
          <w:p w14:paraId="64541798" w14:textId="77777777" w:rsidR="00EA6903" w:rsidRPr="00F301E5" w:rsidRDefault="00EA6903">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F301E5">
              <w:rPr>
                <w:rFonts w:eastAsia="Times New Roman" w:cs="Calibri"/>
                <w:sz w:val="20"/>
                <w:szCs w:val="20"/>
                <w:lang w:eastAsia="en-US"/>
              </w:rPr>
              <w:t>Cumul</w:t>
            </w:r>
            <w:proofErr w:type="spellEnd"/>
            <w:r w:rsidRPr="00F301E5">
              <w:rPr>
                <w:rFonts w:eastAsia="Times New Roman" w:cs="Calibri"/>
                <w:sz w:val="20"/>
                <w:szCs w:val="20"/>
                <w:lang w:eastAsia="en-US"/>
              </w:rPr>
              <w:t xml:space="preserve"> </w:t>
            </w:r>
          </w:p>
        </w:tc>
      </w:tr>
      <w:tr w:rsidR="003430AC" w:rsidRPr="0081769C" w14:paraId="421A39D8" w14:textId="77777777" w:rsidTr="00F301E5">
        <w:trPr>
          <w:trHeight w:val="179"/>
          <w:jc w:val="center"/>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auto"/>
              <w:right w:val="single" w:sz="4" w:space="0" w:color="auto"/>
            </w:tcBorders>
            <w:vAlign w:val="center"/>
            <w:hideMark/>
          </w:tcPr>
          <w:p w14:paraId="47DB9B1C" w14:textId="77777777" w:rsidR="003430AC" w:rsidRPr="00F301E5" w:rsidRDefault="003430AC" w:rsidP="003430AC">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2025</w:t>
            </w:r>
          </w:p>
        </w:tc>
        <w:tc>
          <w:tcPr>
            <w:tcW w:w="603" w:type="dxa"/>
            <w:tcBorders>
              <w:top w:val="single" w:sz="4" w:space="0" w:color="auto"/>
              <w:left w:val="single" w:sz="4" w:space="0" w:color="auto"/>
              <w:right w:val="single" w:sz="8" w:space="0" w:color="BFBFBF" w:themeColor="background1" w:themeShade="BF"/>
            </w:tcBorders>
            <w:vAlign w:val="bottom"/>
          </w:tcPr>
          <w:p w14:paraId="4EDA50E5" w14:textId="0483C652"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751" w:type="dxa"/>
            <w:tcBorders>
              <w:top w:val="single" w:sz="4" w:space="0" w:color="auto"/>
              <w:left w:val="single" w:sz="8" w:space="0" w:color="BFBFBF" w:themeColor="background1" w:themeShade="BF"/>
              <w:right w:val="single" w:sz="8" w:space="0" w:color="1C1C1C" w:themeColor="text1"/>
            </w:tcBorders>
            <w:vAlign w:val="bottom"/>
          </w:tcPr>
          <w:p w14:paraId="285E4539" w14:textId="3A71ADC0"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360" w:type="dxa"/>
            <w:tcBorders>
              <w:top w:val="single" w:sz="4" w:space="0" w:color="auto"/>
              <w:left w:val="single" w:sz="8" w:space="0" w:color="1C1C1C" w:themeColor="text1"/>
              <w:right w:val="single" w:sz="8" w:space="0" w:color="BFBFBF" w:themeColor="background1" w:themeShade="BF"/>
            </w:tcBorders>
            <w:noWrap/>
            <w:vAlign w:val="bottom"/>
          </w:tcPr>
          <w:p w14:paraId="439261FD" w14:textId="6E9C7517"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p>
        </w:tc>
        <w:tc>
          <w:tcPr>
            <w:tcW w:w="630" w:type="dxa"/>
            <w:tcBorders>
              <w:top w:val="single" w:sz="4" w:space="0" w:color="auto"/>
              <w:left w:val="single" w:sz="8" w:space="0" w:color="BFBFBF" w:themeColor="background1" w:themeShade="BF"/>
              <w:right w:val="single" w:sz="8" w:space="0" w:color="1C1C1C" w:themeColor="text1"/>
            </w:tcBorders>
            <w:vAlign w:val="bottom"/>
          </w:tcPr>
          <w:p w14:paraId="61C60F49" w14:textId="032A35C6"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p>
        </w:tc>
        <w:tc>
          <w:tcPr>
            <w:tcW w:w="450" w:type="dxa"/>
            <w:tcBorders>
              <w:top w:val="single" w:sz="4" w:space="0" w:color="auto"/>
              <w:left w:val="single" w:sz="8" w:space="0" w:color="1C1C1C" w:themeColor="text1"/>
              <w:right w:val="single" w:sz="8" w:space="0" w:color="BFBFBF" w:themeColor="background1" w:themeShade="BF"/>
            </w:tcBorders>
            <w:vAlign w:val="bottom"/>
          </w:tcPr>
          <w:p w14:paraId="06453E56" w14:textId="7B141E44"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630" w:type="dxa"/>
            <w:tcBorders>
              <w:top w:val="single" w:sz="4" w:space="0" w:color="auto"/>
              <w:left w:val="single" w:sz="8" w:space="0" w:color="BFBFBF" w:themeColor="background1" w:themeShade="BF"/>
              <w:right w:val="single" w:sz="8" w:space="0" w:color="1C1C1C" w:themeColor="text1"/>
            </w:tcBorders>
            <w:vAlign w:val="bottom"/>
          </w:tcPr>
          <w:p w14:paraId="2975226A" w14:textId="43264E99"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540" w:type="dxa"/>
            <w:tcBorders>
              <w:top w:val="single" w:sz="4" w:space="0" w:color="auto"/>
              <w:left w:val="single" w:sz="8" w:space="0" w:color="1C1C1C" w:themeColor="text1"/>
              <w:right w:val="single" w:sz="8" w:space="0" w:color="BFBFBF" w:themeColor="background1" w:themeShade="BF"/>
            </w:tcBorders>
            <w:vAlign w:val="center"/>
          </w:tcPr>
          <w:p w14:paraId="0DB606B1" w14:textId="7F0ED747"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BFBFBF" w:themeColor="background1" w:themeShade="BF"/>
              <w:right w:val="single" w:sz="8" w:space="0" w:color="1C1C1C" w:themeColor="text1"/>
            </w:tcBorders>
            <w:vAlign w:val="center"/>
          </w:tcPr>
          <w:p w14:paraId="1B2B6109" w14:textId="7765BC25"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630" w:type="dxa"/>
            <w:tcBorders>
              <w:top w:val="single" w:sz="4" w:space="0" w:color="auto"/>
              <w:left w:val="single" w:sz="8" w:space="0" w:color="1C1C1C" w:themeColor="text1"/>
              <w:right w:val="single" w:sz="8" w:space="0" w:color="BFBFBF" w:themeColor="background1" w:themeShade="BF"/>
            </w:tcBorders>
            <w:vAlign w:val="bottom"/>
          </w:tcPr>
          <w:p w14:paraId="010FA6BC" w14:textId="413FDA1C"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720" w:type="dxa"/>
            <w:tcBorders>
              <w:top w:val="single" w:sz="4" w:space="0" w:color="auto"/>
              <w:left w:val="single" w:sz="8" w:space="0" w:color="BFBFBF" w:themeColor="background1" w:themeShade="BF"/>
              <w:right w:val="single" w:sz="12" w:space="0" w:color="auto"/>
            </w:tcBorders>
            <w:vAlign w:val="bottom"/>
          </w:tcPr>
          <w:p w14:paraId="507C2CB9" w14:textId="7B26A143" w:rsidR="003430AC" w:rsidRPr="00F301E5" w:rsidRDefault="003430AC"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w:t>
            </w:r>
          </w:p>
        </w:tc>
        <w:tc>
          <w:tcPr>
            <w:tcW w:w="810" w:type="dxa"/>
            <w:tcBorders>
              <w:top w:val="single" w:sz="4" w:space="0" w:color="auto"/>
              <w:left w:val="single" w:sz="12" w:space="0" w:color="auto"/>
              <w:right w:val="single" w:sz="8" w:space="0" w:color="BFBFBF" w:themeColor="background1" w:themeShade="BF"/>
            </w:tcBorders>
            <w:vAlign w:val="bottom"/>
          </w:tcPr>
          <w:p w14:paraId="46CC986A" w14:textId="7063924B" w:rsidR="003430AC" w:rsidRPr="00F301E5" w:rsidRDefault="003C1095"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w:t>
            </w:r>
          </w:p>
        </w:tc>
        <w:tc>
          <w:tcPr>
            <w:tcW w:w="720" w:type="dxa"/>
            <w:tcBorders>
              <w:top w:val="single" w:sz="4" w:space="0" w:color="auto"/>
              <w:left w:val="single" w:sz="8" w:space="0" w:color="BFBFBF" w:themeColor="background1" w:themeShade="BF"/>
            </w:tcBorders>
            <w:vAlign w:val="bottom"/>
          </w:tcPr>
          <w:p w14:paraId="31FFEC55" w14:textId="3B7052D6" w:rsidR="003430AC" w:rsidRPr="00F301E5" w:rsidRDefault="003C1095" w:rsidP="003430AC">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w:t>
            </w:r>
          </w:p>
        </w:tc>
      </w:tr>
      <w:tr w:rsidR="00506B65" w:rsidRPr="0081769C" w14:paraId="142CDFE1" w14:textId="77777777" w:rsidTr="00F301E5">
        <w:trPr>
          <w:cnfStyle w:val="000000100000" w:firstRow="0" w:lastRow="0" w:firstColumn="0" w:lastColumn="0" w:oddVBand="0" w:evenVBand="0" w:oddHBand="1" w:evenHBand="0"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329D975"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2026</w:t>
            </w:r>
          </w:p>
        </w:tc>
        <w:tc>
          <w:tcPr>
            <w:tcW w:w="603" w:type="dxa"/>
            <w:tcBorders>
              <w:left w:val="single" w:sz="4" w:space="0" w:color="auto"/>
              <w:right w:val="single" w:sz="8" w:space="0" w:color="BFBFBF" w:themeColor="background1" w:themeShade="BF"/>
            </w:tcBorders>
            <w:vAlign w:val="bottom"/>
          </w:tcPr>
          <w:p w14:paraId="778803A4" w14:textId="4E5BFA6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751" w:type="dxa"/>
            <w:tcBorders>
              <w:left w:val="single" w:sz="8" w:space="0" w:color="BFBFBF" w:themeColor="background1" w:themeShade="BF"/>
              <w:right w:val="single" w:sz="8" w:space="0" w:color="1C1C1C" w:themeColor="text1"/>
            </w:tcBorders>
            <w:vAlign w:val="bottom"/>
          </w:tcPr>
          <w:p w14:paraId="380095E1" w14:textId="39A20740"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eastAsia="Times New Roman" w:cs="Calibri"/>
                <w:sz w:val="20"/>
                <w:szCs w:val="20"/>
                <w:lang w:eastAsia="en-US"/>
              </w:rPr>
              <w:t>-</w:t>
            </w:r>
          </w:p>
        </w:tc>
        <w:tc>
          <w:tcPr>
            <w:tcW w:w="360" w:type="dxa"/>
            <w:tcBorders>
              <w:left w:val="single" w:sz="8" w:space="0" w:color="1C1C1C" w:themeColor="text1"/>
              <w:right w:val="single" w:sz="8" w:space="0" w:color="BFBFBF" w:themeColor="background1" w:themeShade="BF"/>
            </w:tcBorders>
            <w:noWrap/>
            <w:vAlign w:val="bottom"/>
          </w:tcPr>
          <w:p w14:paraId="0982A77E" w14:textId="756F2C79"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74603C93" w14:textId="2E06BFC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w:t>
            </w:r>
          </w:p>
        </w:tc>
        <w:tc>
          <w:tcPr>
            <w:tcW w:w="450" w:type="dxa"/>
            <w:tcBorders>
              <w:left w:val="single" w:sz="8" w:space="0" w:color="1C1C1C" w:themeColor="text1"/>
              <w:right w:val="single" w:sz="8" w:space="0" w:color="BFBFBF" w:themeColor="background1" w:themeShade="BF"/>
            </w:tcBorders>
            <w:vAlign w:val="bottom"/>
          </w:tcPr>
          <w:p w14:paraId="2B00CF43" w14:textId="3E98DBBD"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-60</w:t>
            </w:r>
          </w:p>
        </w:tc>
        <w:tc>
          <w:tcPr>
            <w:tcW w:w="630" w:type="dxa"/>
            <w:tcBorders>
              <w:left w:val="single" w:sz="8" w:space="0" w:color="BFBFBF" w:themeColor="background1" w:themeShade="BF"/>
              <w:right w:val="single" w:sz="8" w:space="0" w:color="1C1C1C" w:themeColor="text1"/>
            </w:tcBorders>
            <w:vAlign w:val="bottom"/>
          </w:tcPr>
          <w:p w14:paraId="591BFA8E" w14:textId="79BA75E5"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-60</w:t>
            </w:r>
          </w:p>
        </w:tc>
        <w:tc>
          <w:tcPr>
            <w:tcW w:w="540" w:type="dxa"/>
            <w:tcBorders>
              <w:left w:val="single" w:sz="8" w:space="0" w:color="1C1C1C" w:themeColor="text1"/>
              <w:right w:val="single" w:sz="8" w:space="0" w:color="BFBFBF" w:themeColor="background1" w:themeShade="BF"/>
            </w:tcBorders>
            <w:vAlign w:val="bottom"/>
          </w:tcPr>
          <w:p w14:paraId="216802CA" w14:textId="01DAD42A"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2E3FB3C2" w14:textId="4309F9F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1C1C1C" w:themeColor="text1"/>
              <w:right w:val="single" w:sz="8" w:space="0" w:color="BFBFBF" w:themeColor="background1" w:themeShade="BF"/>
            </w:tcBorders>
            <w:vAlign w:val="bottom"/>
          </w:tcPr>
          <w:p w14:paraId="48013D8E" w14:textId="0B5E8B3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72A34195" w14:textId="3EF6E04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810" w:type="dxa"/>
            <w:tcBorders>
              <w:left w:val="single" w:sz="12" w:space="0" w:color="auto"/>
              <w:right w:val="single" w:sz="8" w:space="0" w:color="BFBFBF" w:themeColor="background1" w:themeShade="BF"/>
            </w:tcBorders>
            <w:vAlign w:val="bottom"/>
          </w:tcPr>
          <w:p w14:paraId="7C17D887" w14:textId="67DDABA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198</w:t>
            </w:r>
          </w:p>
        </w:tc>
        <w:tc>
          <w:tcPr>
            <w:tcW w:w="720" w:type="dxa"/>
            <w:tcBorders>
              <w:left w:val="single" w:sz="8" w:space="0" w:color="BFBFBF" w:themeColor="background1" w:themeShade="BF"/>
            </w:tcBorders>
            <w:vAlign w:val="bottom"/>
          </w:tcPr>
          <w:p w14:paraId="39DAA65C" w14:textId="69A4E5B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196</w:t>
            </w:r>
          </w:p>
        </w:tc>
      </w:tr>
      <w:tr w:rsidR="007559FF" w:rsidRPr="0081769C" w14:paraId="61F14BB5" w14:textId="77777777" w:rsidTr="00F301E5">
        <w:trPr>
          <w:trHeight w:val="135"/>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8958705"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2027</w:t>
            </w:r>
          </w:p>
        </w:tc>
        <w:tc>
          <w:tcPr>
            <w:tcW w:w="603" w:type="dxa"/>
            <w:tcBorders>
              <w:left w:val="single" w:sz="4" w:space="0" w:color="auto"/>
              <w:right w:val="single" w:sz="8" w:space="0" w:color="BFBFBF" w:themeColor="background1" w:themeShade="BF"/>
            </w:tcBorders>
            <w:vAlign w:val="bottom"/>
          </w:tcPr>
          <w:p w14:paraId="3B697AD9" w14:textId="3C07B8F5"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10,726</w:t>
            </w:r>
          </w:p>
        </w:tc>
        <w:tc>
          <w:tcPr>
            <w:tcW w:w="751" w:type="dxa"/>
            <w:tcBorders>
              <w:left w:val="single" w:sz="8" w:space="0" w:color="BFBFBF" w:themeColor="background1" w:themeShade="BF"/>
              <w:right w:val="single" w:sz="8" w:space="0" w:color="1C1C1C" w:themeColor="text1"/>
            </w:tcBorders>
            <w:vAlign w:val="bottom"/>
          </w:tcPr>
          <w:p w14:paraId="589A9ADE" w14:textId="71511C59"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10,726</w:t>
            </w:r>
          </w:p>
        </w:tc>
        <w:tc>
          <w:tcPr>
            <w:tcW w:w="360" w:type="dxa"/>
            <w:tcBorders>
              <w:left w:val="single" w:sz="8" w:space="0" w:color="1C1C1C" w:themeColor="text1"/>
              <w:right w:val="single" w:sz="8" w:space="0" w:color="BFBFBF" w:themeColor="background1" w:themeShade="BF"/>
            </w:tcBorders>
            <w:noWrap/>
            <w:vAlign w:val="bottom"/>
          </w:tcPr>
          <w:p w14:paraId="3E340DCA" w14:textId="43D2678E"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6E01E1BC" w14:textId="792DC62B"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w:t>
            </w:r>
          </w:p>
        </w:tc>
        <w:tc>
          <w:tcPr>
            <w:tcW w:w="450" w:type="dxa"/>
            <w:tcBorders>
              <w:left w:val="single" w:sz="8" w:space="0" w:color="1C1C1C" w:themeColor="text1"/>
              <w:right w:val="single" w:sz="8" w:space="0" w:color="BFBFBF" w:themeColor="background1" w:themeShade="BF"/>
            </w:tcBorders>
            <w:vAlign w:val="bottom"/>
          </w:tcPr>
          <w:p w14:paraId="593DE3F4" w14:textId="05A69AA3"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365EEED1" w14:textId="4D8668C2"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w:t>
            </w:r>
          </w:p>
        </w:tc>
        <w:tc>
          <w:tcPr>
            <w:tcW w:w="540" w:type="dxa"/>
            <w:tcBorders>
              <w:left w:val="single" w:sz="8" w:space="0" w:color="1C1C1C" w:themeColor="text1"/>
              <w:right w:val="single" w:sz="8" w:space="0" w:color="BFBFBF" w:themeColor="background1" w:themeShade="BF"/>
            </w:tcBorders>
            <w:vAlign w:val="bottom"/>
          </w:tcPr>
          <w:p w14:paraId="72FCA655" w14:textId="70C76719"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618605FC" w14:textId="2CCB304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336</w:t>
            </w:r>
          </w:p>
        </w:tc>
        <w:tc>
          <w:tcPr>
            <w:tcW w:w="630" w:type="dxa"/>
            <w:tcBorders>
              <w:left w:val="single" w:sz="8" w:space="0" w:color="1C1C1C" w:themeColor="text1"/>
              <w:right w:val="single" w:sz="8" w:space="0" w:color="BFBFBF" w:themeColor="background1" w:themeShade="BF"/>
            </w:tcBorders>
            <w:vAlign w:val="bottom"/>
          </w:tcPr>
          <w:p w14:paraId="1BE188F6" w14:textId="591DE000"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3650061B" w14:textId="26175F13"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43</w:t>
            </w:r>
          </w:p>
        </w:tc>
        <w:tc>
          <w:tcPr>
            <w:tcW w:w="810" w:type="dxa"/>
            <w:tcBorders>
              <w:left w:val="single" w:sz="12" w:space="0" w:color="auto"/>
              <w:right w:val="single" w:sz="8" w:space="0" w:color="BFBFBF" w:themeColor="background1" w:themeShade="BF"/>
            </w:tcBorders>
            <w:vAlign w:val="bottom"/>
          </w:tcPr>
          <w:p w14:paraId="37071140" w14:textId="07F8FF9D"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12,699</w:t>
            </w:r>
          </w:p>
        </w:tc>
        <w:tc>
          <w:tcPr>
            <w:tcW w:w="720" w:type="dxa"/>
            <w:tcBorders>
              <w:left w:val="single" w:sz="8" w:space="0" w:color="BFBFBF" w:themeColor="background1" w:themeShade="BF"/>
            </w:tcBorders>
            <w:vAlign w:val="bottom"/>
          </w:tcPr>
          <w:p w14:paraId="252D9D1E" w14:textId="31356A6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12,895</w:t>
            </w:r>
          </w:p>
        </w:tc>
      </w:tr>
      <w:tr w:rsidR="00506B65" w:rsidRPr="0081769C" w14:paraId="6AF5C433" w14:textId="77777777" w:rsidTr="00F301E5">
        <w:trPr>
          <w:cnfStyle w:val="000000100000" w:firstRow="0" w:lastRow="0" w:firstColumn="0" w:lastColumn="0" w:oddVBand="0" w:evenVBand="0" w:oddHBand="1" w:evenHBand="0" w:firstRowFirstColumn="0" w:firstRowLastColumn="0" w:lastRowFirstColumn="0" w:lastRowLastColumn="0"/>
          <w:trHeight w:val="81"/>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0F2475C"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2028</w:t>
            </w:r>
          </w:p>
        </w:tc>
        <w:tc>
          <w:tcPr>
            <w:tcW w:w="603" w:type="dxa"/>
            <w:tcBorders>
              <w:left w:val="single" w:sz="4" w:space="0" w:color="auto"/>
              <w:right w:val="single" w:sz="8" w:space="0" w:color="BFBFBF" w:themeColor="background1" w:themeShade="BF"/>
            </w:tcBorders>
            <w:vAlign w:val="bottom"/>
          </w:tcPr>
          <w:p w14:paraId="69A83769" w14:textId="1B334F1F"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9,789</w:t>
            </w:r>
          </w:p>
        </w:tc>
        <w:tc>
          <w:tcPr>
            <w:tcW w:w="751" w:type="dxa"/>
            <w:tcBorders>
              <w:left w:val="single" w:sz="8" w:space="0" w:color="BFBFBF" w:themeColor="background1" w:themeShade="BF"/>
              <w:right w:val="single" w:sz="8" w:space="0" w:color="1C1C1C" w:themeColor="text1"/>
            </w:tcBorders>
            <w:vAlign w:val="bottom"/>
          </w:tcPr>
          <w:p w14:paraId="7562B0AD" w14:textId="341BE110"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20,515</w:t>
            </w:r>
          </w:p>
        </w:tc>
        <w:tc>
          <w:tcPr>
            <w:tcW w:w="360" w:type="dxa"/>
            <w:tcBorders>
              <w:left w:val="single" w:sz="8" w:space="0" w:color="1C1C1C" w:themeColor="text1"/>
              <w:right w:val="single" w:sz="8" w:space="0" w:color="BFBFBF" w:themeColor="background1" w:themeShade="BF"/>
            </w:tcBorders>
            <w:noWrap/>
            <w:vAlign w:val="bottom"/>
          </w:tcPr>
          <w:p w14:paraId="6620D9FA" w14:textId="7D187F4B"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155732DA" w14:textId="1B4969E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40</w:t>
            </w:r>
          </w:p>
        </w:tc>
        <w:tc>
          <w:tcPr>
            <w:tcW w:w="450" w:type="dxa"/>
            <w:tcBorders>
              <w:left w:val="single" w:sz="8" w:space="0" w:color="1C1C1C" w:themeColor="text1"/>
              <w:right w:val="single" w:sz="8" w:space="0" w:color="BFBFBF" w:themeColor="background1" w:themeShade="BF"/>
            </w:tcBorders>
            <w:vAlign w:val="bottom"/>
          </w:tcPr>
          <w:p w14:paraId="4D467F4E" w14:textId="62BCC3D4"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248EB053" w14:textId="7E360859"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179</w:t>
            </w:r>
          </w:p>
        </w:tc>
        <w:tc>
          <w:tcPr>
            <w:tcW w:w="540" w:type="dxa"/>
            <w:tcBorders>
              <w:left w:val="single" w:sz="8" w:space="0" w:color="1C1C1C" w:themeColor="text1"/>
              <w:right w:val="single" w:sz="8" w:space="0" w:color="BFBFBF" w:themeColor="background1" w:themeShade="BF"/>
            </w:tcBorders>
            <w:vAlign w:val="bottom"/>
          </w:tcPr>
          <w:p w14:paraId="110F2397" w14:textId="0A07F9ED"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0CD51D9E" w14:textId="6F0B9C50"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504</w:t>
            </w:r>
          </w:p>
        </w:tc>
        <w:tc>
          <w:tcPr>
            <w:tcW w:w="630" w:type="dxa"/>
            <w:tcBorders>
              <w:left w:val="single" w:sz="8" w:space="0" w:color="1C1C1C" w:themeColor="text1"/>
              <w:right w:val="single" w:sz="8" w:space="0" w:color="BFBFBF" w:themeColor="background1" w:themeShade="BF"/>
            </w:tcBorders>
            <w:vAlign w:val="bottom"/>
          </w:tcPr>
          <w:p w14:paraId="7D27A3F0" w14:textId="7E55B99A"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74C9391A" w14:textId="4EBA0C3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65</w:t>
            </w:r>
          </w:p>
        </w:tc>
        <w:tc>
          <w:tcPr>
            <w:tcW w:w="810" w:type="dxa"/>
            <w:tcBorders>
              <w:left w:val="single" w:sz="12" w:space="0" w:color="auto"/>
              <w:right w:val="single" w:sz="8" w:space="0" w:color="BFBFBF" w:themeColor="background1" w:themeShade="BF"/>
            </w:tcBorders>
            <w:vAlign w:val="bottom"/>
          </w:tcPr>
          <w:p w14:paraId="66A091A7" w14:textId="61962324"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11,762</w:t>
            </w:r>
          </w:p>
        </w:tc>
        <w:tc>
          <w:tcPr>
            <w:tcW w:w="720" w:type="dxa"/>
            <w:tcBorders>
              <w:left w:val="single" w:sz="8" w:space="0" w:color="BFBFBF" w:themeColor="background1" w:themeShade="BF"/>
            </w:tcBorders>
            <w:vAlign w:val="bottom"/>
          </w:tcPr>
          <w:p w14:paraId="3900B392" w14:textId="39894C5F"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24,657</w:t>
            </w:r>
          </w:p>
        </w:tc>
      </w:tr>
      <w:tr w:rsidR="007559FF" w:rsidRPr="0081769C" w14:paraId="7FD66BD1"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7174C266"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2029</w:t>
            </w:r>
          </w:p>
        </w:tc>
        <w:tc>
          <w:tcPr>
            <w:tcW w:w="603" w:type="dxa"/>
            <w:tcBorders>
              <w:left w:val="single" w:sz="4" w:space="0" w:color="auto"/>
              <w:right w:val="single" w:sz="8" w:space="0" w:color="BFBFBF" w:themeColor="background1" w:themeShade="BF"/>
            </w:tcBorders>
            <w:vAlign w:val="bottom"/>
          </w:tcPr>
          <w:p w14:paraId="2752B639" w14:textId="0E4A240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8,510</w:t>
            </w:r>
          </w:p>
        </w:tc>
        <w:tc>
          <w:tcPr>
            <w:tcW w:w="751" w:type="dxa"/>
            <w:tcBorders>
              <w:left w:val="single" w:sz="8" w:space="0" w:color="BFBFBF" w:themeColor="background1" w:themeShade="BF"/>
              <w:right w:val="single" w:sz="8" w:space="0" w:color="1C1C1C" w:themeColor="text1"/>
            </w:tcBorders>
            <w:vAlign w:val="bottom"/>
          </w:tcPr>
          <w:p w14:paraId="2B25633A" w14:textId="4C19E12F"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29,025</w:t>
            </w:r>
          </w:p>
        </w:tc>
        <w:tc>
          <w:tcPr>
            <w:tcW w:w="360" w:type="dxa"/>
            <w:tcBorders>
              <w:left w:val="single" w:sz="8" w:space="0" w:color="1C1C1C" w:themeColor="text1"/>
              <w:right w:val="single" w:sz="8" w:space="0" w:color="BFBFBF" w:themeColor="background1" w:themeShade="BF"/>
            </w:tcBorders>
            <w:noWrap/>
            <w:vAlign w:val="bottom"/>
          </w:tcPr>
          <w:p w14:paraId="545C7C97" w14:textId="7E292569"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7B24827F" w14:textId="427BDC38"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54</w:t>
            </w:r>
          </w:p>
        </w:tc>
        <w:tc>
          <w:tcPr>
            <w:tcW w:w="450" w:type="dxa"/>
            <w:tcBorders>
              <w:left w:val="single" w:sz="8" w:space="0" w:color="1C1C1C" w:themeColor="text1"/>
              <w:right w:val="single" w:sz="8" w:space="0" w:color="BFBFBF" w:themeColor="background1" w:themeShade="BF"/>
            </w:tcBorders>
            <w:vAlign w:val="bottom"/>
          </w:tcPr>
          <w:p w14:paraId="42AF3394" w14:textId="52408EB4"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565A8EE7" w14:textId="12958066"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298</w:t>
            </w:r>
          </w:p>
        </w:tc>
        <w:tc>
          <w:tcPr>
            <w:tcW w:w="540" w:type="dxa"/>
            <w:tcBorders>
              <w:left w:val="single" w:sz="8" w:space="0" w:color="1C1C1C" w:themeColor="text1"/>
              <w:right w:val="single" w:sz="8" w:space="0" w:color="BFBFBF" w:themeColor="background1" w:themeShade="BF"/>
            </w:tcBorders>
            <w:vAlign w:val="bottom"/>
          </w:tcPr>
          <w:p w14:paraId="6B292176" w14:textId="2B789124"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23F59B23" w14:textId="4B64D11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672</w:t>
            </w:r>
          </w:p>
        </w:tc>
        <w:tc>
          <w:tcPr>
            <w:tcW w:w="630" w:type="dxa"/>
            <w:tcBorders>
              <w:left w:val="single" w:sz="8" w:space="0" w:color="1C1C1C" w:themeColor="text1"/>
              <w:right w:val="single" w:sz="8" w:space="0" w:color="BFBFBF" w:themeColor="background1" w:themeShade="BF"/>
            </w:tcBorders>
            <w:vAlign w:val="bottom"/>
          </w:tcPr>
          <w:p w14:paraId="34BF402F" w14:textId="5242DCFC"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280E1601" w14:textId="2ED67780"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87</w:t>
            </w:r>
          </w:p>
        </w:tc>
        <w:tc>
          <w:tcPr>
            <w:tcW w:w="810" w:type="dxa"/>
            <w:tcBorders>
              <w:left w:val="single" w:sz="12" w:space="0" w:color="auto"/>
              <w:right w:val="single" w:sz="8" w:space="0" w:color="BFBFBF" w:themeColor="background1" w:themeShade="BF"/>
            </w:tcBorders>
            <w:vAlign w:val="bottom"/>
          </w:tcPr>
          <w:p w14:paraId="3F6EF06A" w14:textId="36AAFD8B"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14,208</w:t>
            </w:r>
          </w:p>
        </w:tc>
        <w:tc>
          <w:tcPr>
            <w:tcW w:w="720" w:type="dxa"/>
            <w:tcBorders>
              <w:left w:val="single" w:sz="8" w:space="0" w:color="BFBFBF" w:themeColor="background1" w:themeShade="BF"/>
            </w:tcBorders>
            <w:vAlign w:val="bottom"/>
          </w:tcPr>
          <w:p w14:paraId="1E09FA5C" w14:textId="5E177F3F"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38,865</w:t>
            </w:r>
          </w:p>
        </w:tc>
      </w:tr>
      <w:tr w:rsidR="00506B65" w:rsidRPr="0081769C" w14:paraId="304F2CFB" w14:textId="77777777" w:rsidTr="00F301E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FF32D4E"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2030</w:t>
            </w:r>
          </w:p>
        </w:tc>
        <w:tc>
          <w:tcPr>
            <w:tcW w:w="603" w:type="dxa"/>
            <w:tcBorders>
              <w:left w:val="single" w:sz="4" w:space="0" w:color="auto"/>
              <w:right w:val="single" w:sz="8" w:space="0" w:color="BFBFBF" w:themeColor="background1" w:themeShade="BF"/>
            </w:tcBorders>
            <w:vAlign w:val="bottom"/>
          </w:tcPr>
          <w:p w14:paraId="0F1DF742" w14:textId="20657789"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7,114</w:t>
            </w:r>
          </w:p>
        </w:tc>
        <w:tc>
          <w:tcPr>
            <w:tcW w:w="751" w:type="dxa"/>
            <w:tcBorders>
              <w:left w:val="single" w:sz="8" w:space="0" w:color="BFBFBF" w:themeColor="background1" w:themeShade="BF"/>
              <w:right w:val="single" w:sz="8" w:space="0" w:color="1C1C1C" w:themeColor="text1"/>
            </w:tcBorders>
            <w:vAlign w:val="bottom"/>
          </w:tcPr>
          <w:p w14:paraId="0BA3645D" w14:textId="07B4F1F3"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36,139</w:t>
            </w:r>
          </w:p>
        </w:tc>
        <w:tc>
          <w:tcPr>
            <w:tcW w:w="360" w:type="dxa"/>
            <w:tcBorders>
              <w:left w:val="single" w:sz="8" w:space="0" w:color="1C1C1C" w:themeColor="text1"/>
              <w:right w:val="single" w:sz="8" w:space="0" w:color="BFBFBF" w:themeColor="background1" w:themeShade="BF"/>
            </w:tcBorders>
            <w:noWrap/>
            <w:vAlign w:val="bottom"/>
          </w:tcPr>
          <w:p w14:paraId="164DFEE8" w14:textId="61BF3DD7"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4938C9D2" w14:textId="1EA1F7F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68</w:t>
            </w:r>
          </w:p>
        </w:tc>
        <w:tc>
          <w:tcPr>
            <w:tcW w:w="450" w:type="dxa"/>
            <w:tcBorders>
              <w:left w:val="single" w:sz="8" w:space="0" w:color="1C1C1C" w:themeColor="text1"/>
              <w:right w:val="single" w:sz="8" w:space="0" w:color="BFBFBF" w:themeColor="background1" w:themeShade="BF"/>
            </w:tcBorders>
            <w:vAlign w:val="bottom"/>
          </w:tcPr>
          <w:p w14:paraId="22A35854" w14:textId="160A974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6F805C97" w14:textId="097968B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417</w:t>
            </w:r>
          </w:p>
        </w:tc>
        <w:tc>
          <w:tcPr>
            <w:tcW w:w="540" w:type="dxa"/>
            <w:tcBorders>
              <w:left w:val="single" w:sz="8" w:space="0" w:color="1C1C1C" w:themeColor="text1"/>
              <w:right w:val="single" w:sz="8" w:space="0" w:color="BFBFBF" w:themeColor="background1" w:themeShade="BF"/>
            </w:tcBorders>
            <w:vAlign w:val="bottom"/>
          </w:tcPr>
          <w:p w14:paraId="2A6CF109" w14:textId="75B65657"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3067BA91" w14:textId="6F1B3287"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840</w:t>
            </w:r>
          </w:p>
        </w:tc>
        <w:tc>
          <w:tcPr>
            <w:tcW w:w="630" w:type="dxa"/>
            <w:tcBorders>
              <w:left w:val="single" w:sz="8" w:space="0" w:color="1C1C1C" w:themeColor="text1"/>
              <w:right w:val="single" w:sz="8" w:space="0" w:color="BFBFBF" w:themeColor="background1" w:themeShade="BF"/>
            </w:tcBorders>
            <w:vAlign w:val="bottom"/>
          </w:tcPr>
          <w:p w14:paraId="1FFBC798" w14:textId="17894333"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1924D356" w14:textId="1C2B324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108</w:t>
            </w:r>
          </w:p>
        </w:tc>
        <w:tc>
          <w:tcPr>
            <w:tcW w:w="810" w:type="dxa"/>
            <w:tcBorders>
              <w:left w:val="single" w:sz="12" w:space="0" w:color="auto"/>
              <w:right w:val="single" w:sz="8" w:space="0" w:color="BFBFBF" w:themeColor="background1" w:themeShade="BF"/>
            </w:tcBorders>
            <w:vAlign w:val="bottom"/>
          </w:tcPr>
          <w:p w14:paraId="34CC37CD" w14:textId="3D33B61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Pr>
                <w:rFonts w:cs="Calibri"/>
                <w:color w:val="000000"/>
                <w:sz w:val="20"/>
                <w:szCs w:val="20"/>
              </w:rPr>
              <w:t>12,811</w:t>
            </w:r>
          </w:p>
        </w:tc>
        <w:tc>
          <w:tcPr>
            <w:tcW w:w="720" w:type="dxa"/>
            <w:tcBorders>
              <w:left w:val="single" w:sz="8" w:space="0" w:color="BFBFBF" w:themeColor="background1" w:themeShade="BF"/>
            </w:tcBorders>
            <w:vAlign w:val="bottom"/>
          </w:tcPr>
          <w:p w14:paraId="198577BC" w14:textId="3F148FDD"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Pr>
                <w:rFonts w:cs="Calibri"/>
                <w:color w:val="000000"/>
                <w:sz w:val="20"/>
                <w:szCs w:val="20"/>
              </w:rPr>
              <w:t>51,676</w:t>
            </w:r>
          </w:p>
        </w:tc>
      </w:tr>
      <w:tr w:rsidR="007559FF" w:rsidRPr="0081769C" w14:paraId="49702C6B"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87D702C"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2031</w:t>
            </w:r>
          </w:p>
        </w:tc>
        <w:tc>
          <w:tcPr>
            <w:tcW w:w="603" w:type="dxa"/>
            <w:tcBorders>
              <w:left w:val="single" w:sz="4" w:space="0" w:color="auto"/>
              <w:right w:val="single" w:sz="8" w:space="0" w:color="BFBFBF" w:themeColor="background1" w:themeShade="BF"/>
            </w:tcBorders>
            <w:vAlign w:val="bottom"/>
          </w:tcPr>
          <w:p w14:paraId="2F4543C4" w14:textId="3773099D"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6,835</w:t>
            </w:r>
          </w:p>
        </w:tc>
        <w:tc>
          <w:tcPr>
            <w:tcW w:w="751" w:type="dxa"/>
            <w:tcBorders>
              <w:left w:val="single" w:sz="8" w:space="0" w:color="BFBFBF" w:themeColor="background1" w:themeShade="BF"/>
              <w:right w:val="single" w:sz="8" w:space="0" w:color="1C1C1C" w:themeColor="text1"/>
            </w:tcBorders>
            <w:vAlign w:val="bottom"/>
          </w:tcPr>
          <w:p w14:paraId="0F4592BE" w14:textId="0C7C89F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42,974</w:t>
            </w:r>
          </w:p>
        </w:tc>
        <w:tc>
          <w:tcPr>
            <w:tcW w:w="360" w:type="dxa"/>
            <w:tcBorders>
              <w:left w:val="single" w:sz="8" w:space="0" w:color="1C1C1C" w:themeColor="text1"/>
              <w:right w:val="single" w:sz="8" w:space="0" w:color="BFBFBF" w:themeColor="background1" w:themeShade="BF"/>
            </w:tcBorders>
            <w:noWrap/>
            <w:vAlign w:val="bottom"/>
          </w:tcPr>
          <w:p w14:paraId="7B1B4302" w14:textId="2447665D"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5FE6A893" w14:textId="398BCCE0"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82</w:t>
            </w:r>
          </w:p>
        </w:tc>
        <w:tc>
          <w:tcPr>
            <w:tcW w:w="450" w:type="dxa"/>
            <w:tcBorders>
              <w:left w:val="single" w:sz="8" w:space="0" w:color="1C1C1C" w:themeColor="text1"/>
              <w:right w:val="single" w:sz="8" w:space="0" w:color="BFBFBF" w:themeColor="background1" w:themeShade="BF"/>
            </w:tcBorders>
            <w:vAlign w:val="bottom"/>
          </w:tcPr>
          <w:p w14:paraId="2EDDEB31" w14:textId="13CA9E19"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2947DD6" w14:textId="650B68E0"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536</w:t>
            </w:r>
          </w:p>
        </w:tc>
        <w:tc>
          <w:tcPr>
            <w:tcW w:w="540" w:type="dxa"/>
            <w:tcBorders>
              <w:left w:val="single" w:sz="8" w:space="0" w:color="1C1C1C" w:themeColor="text1"/>
              <w:right w:val="single" w:sz="8" w:space="0" w:color="BFBFBF" w:themeColor="background1" w:themeShade="BF"/>
            </w:tcBorders>
            <w:vAlign w:val="bottom"/>
          </w:tcPr>
          <w:p w14:paraId="65AC35B5" w14:textId="016E46AE"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1A955F16" w14:textId="7E9A2865"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1,008</w:t>
            </w:r>
          </w:p>
        </w:tc>
        <w:tc>
          <w:tcPr>
            <w:tcW w:w="630" w:type="dxa"/>
            <w:tcBorders>
              <w:left w:val="single" w:sz="8" w:space="0" w:color="1C1C1C" w:themeColor="text1"/>
              <w:right w:val="single" w:sz="8" w:space="0" w:color="BFBFBF" w:themeColor="background1" w:themeShade="BF"/>
            </w:tcBorders>
            <w:vAlign w:val="bottom"/>
          </w:tcPr>
          <w:p w14:paraId="36641B29" w14:textId="4595215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3972CC50" w14:textId="3F04440B"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130</w:t>
            </w:r>
          </w:p>
        </w:tc>
        <w:tc>
          <w:tcPr>
            <w:tcW w:w="810" w:type="dxa"/>
            <w:tcBorders>
              <w:left w:val="single" w:sz="12" w:space="0" w:color="auto"/>
              <w:right w:val="single" w:sz="8" w:space="0" w:color="BFBFBF" w:themeColor="background1" w:themeShade="BF"/>
            </w:tcBorders>
            <w:vAlign w:val="bottom"/>
          </w:tcPr>
          <w:p w14:paraId="0414D96E" w14:textId="3517E79B"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12,533</w:t>
            </w:r>
          </w:p>
        </w:tc>
        <w:tc>
          <w:tcPr>
            <w:tcW w:w="720" w:type="dxa"/>
            <w:tcBorders>
              <w:left w:val="single" w:sz="8" w:space="0" w:color="BFBFBF" w:themeColor="background1" w:themeShade="BF"/>
            </w:tcBorders>
            <w:vAlign w:val="bottom"/>
          </w:tcPr>
          <w:p w14:paraId="2EE60590" w14:textId="7F4FF3A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64,210</w:t>
            </w:r>
          </w:p>
        </w:tc>
      </w:tr>
      <w:tr w:rsidR="00506B65" w:rsidRPr="0081769C" w14:paraId="61D76ECE" w14:textId="77777777" w:rsidTr="00F301E5">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F64ED2B"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2032</w:t>
            </w:r>
          </w:p>
        </w:tc>
        <w:tc>
          <w:tcPr>
            <w:tcW w:w="603" w:type="dxa"/>
            <w:tcBorders>
              <w:left w:val="single" w:sz="4" w:space="0" w:color="auto"/>
              <w:right w:val="single" w:sz="8" w:space="0" w:color="BFBFBF" w:themeColor="background1" w:themeShade="BF"/>
            </w:tcBorders>
            <w:vAlign w:val="bottom"/>
          </w:tcPr>
          <w:p w14:paraId="0DEB84D5" w14:textId="50FBE8CA"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6,409</w:t>
            </w:r>
          </w:p>
        </w:tc>
        <w:tc>
          <w:tcPr>
            <w:tcW w:w="751" w:type="dxa"/>
            <w:tcBorders>
              <w:left w:val="single" w:sz="8" w:space="0" w:color="BFBFBF" w:themeColor="background1" w:themeShade="BF"/>
              <w:right w:val="single" w:sz="8" w:space="0" w:color="1C1C1C" w:themeColor="text1"/>
            </w:tcBorders>
            <w:vAlign w:val="bottom"/>
          </w:tcPr>
          <w:p w14:paraId="1F539CBF" w14:textId="0B22681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49,383</w:t>
            </w:r>
          </w:p>
        </w:tc>
        <w:tc>
          <w:tcPr>
            <w:tcW w:w="360" w:type="dxa"/>
            <w:tcBorders>
              <w:left w:val="single" w:sz="8" w:space="0" w:color="1C1C1C" w:themeColor="text1"/>
              <w:right w:val="single" w:sz="8" w:space="0" w:color="BFBFBF" w:themeColor="background1" w:themeShade="BF"/>
            </w:tcBorders>
            <w:noWrap/>
            <w:vAlign w:val="bottom"/>
          </w:tcPr>
          <w:p w14:paraId="65B11C28" w14:textId="7769B83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56922364" w14:textId="0D0CCB8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96</w:t>
            </w:r>
          </w:p>
        </w:tc>
        <w:tc>
          <w:tcPr>
            <w:tcW w:w="450" w:type="dxa"/>
            <w:tcBorders>
              <w:left w:val="single" w:sz="8" w:space="0" w:color="1C1C1C" w:themeColor="text1"/>
              <w:right w:val="single" w:sz="8" w:space="0" w:color="BFBFBF" w:themeColor="background1" w:themeShade="BF"/>
            </w:tcBorders>
            <w:vAlign w:val="bottom"/>
          </w:tcPr>
          <w:p w14:paraId="3F648CA5" w14:textId="3CD4E582"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0F745D34" w14:textId="0E9C57BB"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656</w:t>
            </w:r>
          </w:p>
        </w:tc>
        <w:tc>
          <w:tcPr>
            <w:tcW w:w="540" w:type="dxa"/>
            <w:tcBorders>
              <w:left w:val="single" w:sz="8" w:space="0" w:color="1C1C1C" w:themeColor="text1"/>
              <w:right w:val="single" w:sz="8" w:space="0" w:color="BFBFBF" w:themeColor="background1" w:themeShade="BF"/>
            </w:tcBorders>
            <w:vAlign w:val="bottom"/>
          </w:tcPr>
          <w:p w14:paraId="7E283D66" w14:textId="7B0CAAD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68C86405" w14:textId="3002108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1,176</w:t>
            </w:r>
          </w:p>
        </w:tc>
        <w:tc>
          <w:tcPr>
            <w:tcW w:w="630" w:type="dxa"/>
            <w:tcBorders>
              <w:left w:val="single" w:sz="8" w:space="0" w:color="1C1C1C" w:themeColor="text1"/>
              <w:right w:val="single" w:sz="8" w:space="0" w:color="BFBFBF" w:themeColor="background1" w:themeShade="BF"/>
            </w:tcBorders>
            <w:vAlign w:val="bottom"/>
          </w:tcPr>
          <w:p w14:paraId="486D6340" w14:textId="1F86EDD4"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27857641" w14:textId="6F7FD0F3"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152</w:t>
            </w:r>
          </w:p>
        </w:tc>
        <w:tc>
          <w:tcPr>
            <w:tcW w:w="810" w:type="dxa"/>
            <w:tcBorders>
              <w:left w:val="single" w:sz="12" w:space="0" w:color="auto"/>
              <w:right w:val="single" w:sz="8" w:space="0" w:color="BFBFBF" w:themeColor="background1" w:themeShade="BF"/>
            </w:tcBorders>
            <w:vAlign w:val="bottom"/>
          </w:tcPr>
          <w:p w14:paraId="46166A96" w14:textId="76FDF2BB"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12,106</w:t>
            </w:r>
          </w:p>
        </w:tc>
        <w:tc>
          <w:tcPr>
            <w:tcW w:w="720" w:type="dxa"/>
            <w:tcBorders>
              <w:left w:val="single" w:sz="8" w:space="0" w:color="BFBFBF" w:themeColor="background1" w:themeShade="BF"/>
            </w:tcBorders>
            <w:vAlign w:val="bottom"/>
          </w:tcPr>
          <w:p w14:paraId="6503E790" w14:textId="07EFD4C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76,316</w:t>
            </w:r>
          </w:p>
        </w:tc>
      </w:tr>
      <w:tr w:rsidR="007559FF" w:rsidRPr="0081769C" w14:paraId="1688FA6A" w14:textId="77777777" w:rsidTr="00F301E5">
        <w:trPr>
          <w:trHeight w:val="117"/>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20C2B978"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2033</w:t>
            </w:r>
          </w:p>
        </w:tc>
        <w:tc>
          <w:tcPr>
            <w:tcW w:w="603" w:type="dxa"/>
            <w:tcBorders>
              <w:left w:val="single" w:sz="4" w:space="0" w:color="auto"/>
              <w:right w:val="single" w:sz="8" w:space="0" w:color="BFBFBF" w:themeColor="background1" w:themeShade="BF"/>
            </w:tcBorders>
            <w:vAlign w:val="bottom"/>
          </w:tcPr>
          <w:p w14:paraId="6951E1E5" w14:textId="0C8898C9"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6,270</w:t>
            </w:r>
          </w:p>
        </w:tc>
        <w:tc>
          <w:tcPr>
            <w:tcW w:w="751" w:type="dxa"/>
            <w:tcBorders>
              <w:left w:val="single" w:sz="8" w:space="0" w:color="BFBFBF" w:themeColor="background1" w:themeShade="BF"/>
              <w:right w:val="single" w:sz="8" w:space="0" w:color="1C1C1C" w:themeColor="text1"/>
            </w:tcBorders>
            <w:vAlign w:val="bottom"/>
          </w:tcPr>
          <w:p w14:paraId="0553FBF7" w14:textId="6EB8A02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55,652</w:t>
            </w:r>
          </w:p>
        </w:tc>
        <w:tc>
          <w:tcPr>
            <w:tcW w:w="360" w:type="dxa"/>
            <w:tcBorders>
              <w:left w:val="single" w:sz="8" w:space="0" w:color="1C1C1C" w:themeColor="text1"/>
              <w:right w:val="single" w:sz="8" w:space="0" w:color="BFBFBF" w:themeColor="background1" w:themeShade="BF"/>
            </w:tcBorders>
            <w:noWrap/>
            <w:vAlign w:val="bottom"/>
          </w:tcPr>
          <w:p w14:paraId="01F5EA2E" w14:textId="04717E26"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5225AA12" w14:textId="758A1374"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110</w:t>
            </w:r>
          </w:p>
        </w:tc>
        <w:tc>
          <w:tcPr>
            <w:tcW w:w="450" w:type="dxa"/>
            <w:tcBorders>
              <w:left w:val="single" w:sz="8" w:space="0" w:color="1C1C1C" w:themeColor="text1"/>
              <w:right w:val="single" w:sz="8" w:space="0" w:color="BFBFBF" w:themeColor="background1" w:themeShade="BF"/>
            </w:tcBorders>
            <w:vAlign w:val="bottom"/>
          </w:tcPr>
          <w:p w14:paraId="09FA59B3" w14:textId="554D0FCD"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644FD462" w14:textId="04684EFC"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775</w:t>
            </w:r>
          </w:p>
        </w:tc>
        <w:tc>
          <w:tcPr>
            <w:tcW w:w="540" w:type="dxa"/>
            <w:tcBorders>
              <w:left w:val="single" w:sz="8" w:space="0" w:color="1C1C1C" w:themeColor="text1"/>
              <w:right w:val="single" w:sz="8" w:space="0" w:color="BFBFBF" w:themeColor="background1" w:themeShade="BF"/>
            </w:tcBorders>
            <w:vAlign w:val="bottom"/>
          </w:tcPr>
          <w:p w14:paraId="6593A1D2" w14:textId="5A410DF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6BB3D68B" w14:textId="0CC0BCE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1,344</w:t>
            </w:r>
          </w:p>
        </w:tc>
        <w:tc>
          <w:tcPr>
            <w:tcW w:w="630" w:type="dxa"/>
            <w:tcBorders>
              <w:left w:val="single" w:sz="8" w:space="0" w:color="1C1C1C" w:themeColor="text1"/>
              <w:right w:val="single" w:sz="8" w:space="0" w:color="BFBFBF" w:themeColor="background1" w:themeShade="BF"/>
            </w:tcBorders>
            <w:vAlign w:val="bottom"/>
          </w:tcPr>
          <w:p w14:paraId="397E6C55" w14:textId="494D4EEA"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420ED32B" w14:textId="69B9126E"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174</w:t>
            </w:r>
          </w:p>
        </w:tc>
        <w:tc>
          <w:tcPr>
            <w:tcW w:w="810" w:type="dxa"/>
            <w:tcBorders>
              <w:left w:val="single" w:sz="12" w:space="0" w:color="auto"/>
              <w:right w:val="single" w:sz="8" w:space="0" w:color="BFBFBF" w:themeColor="background1" w:themeShade="BF"/>
            </w:tcBorders>
            <w:vAlign w:val="bottom"/>
          </w:tcPr>
          <w:p w14:paraId="4DC7EDBD" w14:textId="37FC9A85"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11,968</w:t>
            </w:r>
          </w:p>
        </w:tc>
        <w:tc>
          <w:tcPr>
            <w:tcW w:w="720" w:type="dxa"/>
            <w:tcBorders>
              <w:left w:val="single" w:sz="8" w:space="0" w:color="BFBFBF" w:themeColor="background1" w:themeShade="BF"/>
            </w:tcBorders>
            <w:vAlign w:val="bottom"/>
          </w:tcPr>
          <w:p w14:paraId="09F852B1" w14:textId="28AA70A2"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88,284</w:t>
            </w:r>
          </w:p>
        </w:tc>
      </w:tr>
      <w:tr w:rsidR="00506B65" w:rsidRPr="0081769C" w14:paraId="04845511" w14:textId="77777777" w:rsidTr="00F301E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FFB6B22"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2034</w:t>
            </w:r>
          </w:p>
        </w:tc>
        <w:tc>
          <w:tcPr>
            <w:tcW w:w="603" w:type="dxa"/>
            <w:tcBorders>
              <w:left w:val="single" w:sz="4" w:space="0" w:color="auto"/>
              <w:right w:val="single" w:sz="8" w:space="0" w:color="BFBFBF" w:themeColor="background1" w:themeShade="BF"/>
            </w:tcBorders>
            <w:vAlign w:val="bottom"/>
          </w:tcPr>
          <w:p w14:paraId="0B49BACA" w14:textId="379AB38C"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5,921</w:t>
            </w:r>
          </w:p>
        </w:tc>
        <w:tc>
          <w:tcPr>
            <w:tcW w:w="751" w:type="dxa"/>
            <w:tcBorders>
              <w:left w:val="single" w:sz="8" w:space="0" w:color="BFBFBF" w:themeColor="background1" w:themeShade="BF"/>
              <w:right w:val="single" w:sz="8" w:space="0" w:color="1C1C1C" w:themeColor="text1"/>
            </w:tcBorders>
            <w:vAlign w:val="bottom"/>
          </w:tcPr>
          <w:p w14:paraId="268F9D25" w14:textId="6881487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61,573</w:t>
            </w:r>
          </w:p>
        </w:tc>
        <w:tc>
          <w:tcPr>
            <w:tcW w:w="360" w:type="dxa"/>
            <w:tcBorders>
              <w:left w:val="single" w:sz="8" w:space="0" w:color="1C1C1C" w:themeColor="text1"/>
              <w:right w:val="single" w:sz="8" w:space="0" w:color="BFBFBF" w:themeColor="background1" w:themeShade="BF"/>
            </w:tcBorders>
            <w:noWrap/>
            <w:vAlign w:val="bottom"/>
          </w:tcPr>
          <w:p w14:paraId="6E8C4C09" w14:textId="5D592FB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174DECEF" w14:textId="257BA01C"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124</w:t>
            </w:r>
          </w:p>
        </w:tc>
        <w:tc>
          <w:tcPr>
            <w:tcW w:w="450" w:type="dxa"/>
            <w:tcBorders>
              <w:left w:val="single" w:sz="8" w:space="0" w:color="1C1C1C" w:themeColor="text1"/>
              <w:right w:val="single" w:sz="8" w:space="0" w:color="BFBFBF" w:themeColor="background1" w:themeShade="BF"/>
            </w:tcBorders>
            <w:vAlign w:val="bottom"/>
          </w:tcPr>
          <w:p w14:paraId="23874373" w14:textId="2099F29C"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7335637" w14:textId="20D427CC"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894</w:t>
            </w:r>
          </w:p>
        </w:tc>
        <w:tc>
          <w:tcPr>
            <w:tcW w:w="540" w:type="dxa"/>
            <w:tcBorders>
              <w:left w:val="single" w:sz="8" w:space="0" w:color="1C1C1C" w:themeColor="text1"/>
              <w:right w:val="single" w:sz="8" w:space="0" w:color="BFBFBF" w:themeColor="background1" w:themeShade="BF"/>
            </w:tcBorders>
            <w:vAlign w:val="bottom"/>
          </w:tcPr>
          <w:p w14:paraId="277F41BE" w14:textId="591BC867"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5809CD9E" w14:textId="19E3F32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1,512</w:t>
            </w:r>
          </w:p>
        </w:tc>
        <w:tc>
          <w:tcPr>
            <w:tcW w:w="630" w:type="dxa"/>
            <w:tcBorders>
              <w:left w:val="single" w:sz="8" w:space="0" w:color="1C1C1C" w:themeColor="text1"/>
              <w:right w:val="single" w:sz="8" w:space="0" w:color="BFBFBF" w:themeColor="background1" w:themeShade="BF"/>
            </w:tcBorders>
            <w:vAlign w:val="bottom"/>
          </w:tcPr>
          <w:p w14:paraId="115DE083" w14:textId="69B680B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597ABDFB" w14:textId="6304A1E4"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195</w:t>
            </w:r>
          </w:p>
        </w:tc>
        <w:tc>
          <w:tcPr>
            <w:tcW w:w="810" w:type="dxa"/>
            <w:tcBorders>
              <w:left w:val="single" w:sz="12" w:space="0" w:color="auto"/>
              <w:right w:val="single" w:sz="8" w:space="0" w:color="BFBFBF" w:themeColor="background1" w:themeShade="BF"/>
            </w:tcBorders>
            <w:vAlign w:val="bottom"/>
          </w:tcPr>
          <w:p w14:paraId="54D72F75" w14:textId="4A56857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11,618</w:t>
            </w:r>
          </w:p>
        </w:tc>
        <w:tc>
          <w:tcPr>
            <w:tcW w:w="720" w:type="dxa"/>
            <w:tcBorders>
              <w:left w:val="single" w:sz="8" w:space="0" w:color="BFBFBF" w:themeColor="background1" w:themeShade="BF"/>
            </w:tcBorders>
            <w:vAlign w:val="bottom"/>
          </w:tcPr>
          <w:p w14:paraId="5E447D35" w14:textId="739228D3"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99,902</w:t>
            </w:r>
          </w:p>
        </w:tc>
      </w:tr>
      <w:tr w:rsidR="007559FF" w:rsidRPr="0081769C" w14:paraId="6ED8D7E3" w14:textId="77777777" w:rsidTr="00F301E5">
        <w:trPr>
          <w:trHeight w:val="72"/>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3C0157C"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2035</w:t>
            </w:r>
          </w:p>
        </w:tc>
        <w:tc>
          <w:tcPr>
            <w:tcW w:w="603" w:type="dxa"/>
            <w:tcBorders>
              <w:left w:val="single" w:sz="4" w:space="0" w:color="auto"/>
              <w:right w:val="single" w:sz="8" w:space="0" w:color="BFBFBF" w:themeColor="background1" w:themeShade="BF"/>
            </w:tcBorders>
            <w:vAlign w:val="bottom"/>
          </w:tcPr>
          <w:p w14:paraId="5B052B9C" w14:textId="21CB9FBD"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5,858</w:t>
            </w:r>
          </w:p>
        </w:tc>
        <w:tc>
          <w:tcPr>
            <w:tcW w:w="751" w:type="dxa"/>
            <w:tcBorders>
              <w:left w:val="single" w:sz="8" w:space="0" w:color="BFBFBF" w:themeColor="background1" w:themeShade="BF"/>
              <w:right w:val="single" w:sz="8" w:space="0" w:color="1C1C1C" w:themeColor="text1"/>
            </w:tcBorders>
            <w:vAlign w:val="bottom"/>
          </w:tcPr>
          <w:p w14:paraId="7066D949" w14:textId="11D78A95"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67,431</w:t>
            </w:r>
          </w:p>
        </w:tc>
        <w:tc>
          <w:tcPr>
            <w:tcW w:w="360" w:type="dxa"/>
            <w:tcBorders>
              <w:left w:val="single" w:sz="8" w:space="0" w:color="1C1C1C" w:themeColor="text1"/>
              <w:right w:val="single" w:sz="8" w:space="0" w:color="BFBFBF" w:themeColor="background1" w:themeShade="BF"/>
            </w:tcBorders>
            <w:noWrap/>
            <w:vAlign w:val="bottom"/>
          </w:tcPr>
          <w:p w14:paraId="34AAA8A7" w14:textId="0B2321AC"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1214CE23" w14:textId="79953E3C"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138</w:t>
            </w:r>
          </w:p>
        </w:tc>
        <w:tc>
          <w:tcPr>
            <w:tcW w:w="450" w:type="dxa"/>
            <w:tcBorders>
              <w:left w:val="single" w:sz="8" w:space="0" w:color="1C1C1C" w:themeColor="text1"/>
              <w:right w:val="single" w:sz="8" w:space="0" w:color="BFBFBF" w:themeColor="background1" w:themeShade="BF"/>
            </w:tcBorders>
            <w:vAlign w:val="bottom"/>
          </w:tcPr>
          <w:p w14:paraId="4334C26C" w14:textId="69DDF4F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5A137B6E" w14:textId="7F3C8BF7"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1,013</w:t>
            </w:r>
          </w:p>
        </w:tc>
        <w:tc>
          <w:tcPr>
            <w:tcW w:w="540" w:type="dxa"/>
            <w:tcBorders>
              <w:left w:val="single" w:sz="8" w:space="0" w:color="1C1C1C" w:themeColor="text1"/>
              <w:right w:val="single" w:sz="8" w:space="0" w:color="BFBFBF" w:themeColor="background1" w:themeShade="BF"/>
            </w:tcBorders>
            <w:vAlign w:val="bottom"/>
          </w:tcPr>
          <w:p w14:paraId="38730EC4" w14:textId="58F31F6A"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310A4CF2" w14:textId="02090AF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1,680</w:t>
            </w:r>
          </w:p>
        </w:tc>
        <w:tc>
          <w:tcPr>
            <w:tcW w:w="630" w:type="dxa"/>
            <w:tcBorders>
              <w:left w:val="single" w:sz="8" w:space="0" w:color="1C1C1C" w:themeColor="text1"/>
              <w:right w:val="single" w:sz="8" w:space="0" w:color="BFBFBF" w:themeColor="background1" w:themeShade="BF"/>
            </w:tcBorders>
            <w:vAlign w:val="bottom"/>
          </w:tcPr>
          <w:p w14:paraId="5D844EB2" w14:textId="386347D2"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37CBFC33" w14:textId="4206E41E"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217</w:t>
            </w:r>
          </w:p>
        </w:tc>
        <w:tc>
          <w:tcPr>
            <w:tcW w:w="810" w:type="dxa"/>
            <w:tcBorders>
              <w:left w:val="single" w:sz="12" w:space="0" w:color="auto"/>
              <w:right w:val="single" w:sz="8" w:space="0" w:color="BFBFBF" w:themeColor="background1" w:themeShade="BF"/>
            </w:tcBorders>
            <w:vAlign w:val="bottom"/>
          </w:tcPr>
          <w:p w14:paraId="2796FBD5" w14:textId="149C8E47"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11,556</w:t>
            </w:r>
          </w:p>
        </w:tc>
        <w:tc>
          <w:tcPr>
            <w:tcW w:w="720" w:type="dxa"/>
            <w:tcBorders>
              <w:left w:val="single" w:sz="8" w:space="0" w:color="BFBFBF" w:themeColor="background1" w:themeShade="BF"/>
            </w:tcBorders>
            <w:vAlign w:val="bottom"/>
          </w:tcPr>
          <w:p w14:paraId="6647E2E8" w14:textId="2093525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111,458</w:t>
            </w:r>
          </w:p>
        </w:tc>
      </w:tr>
      <w:tr w:rsidR="00506B65" w:rsidRPr="0081769C" w14:paraId="25E4F115" w14:textId="77777777" w:rsidTr="00F301E5">
        <w:trPr>
          <w:cnfStyle w:val="000000100000" w:firstRow="0" w:lastRow="0" w:firstColumn="0" w:lastColumn="0" w:oddVBand="0" w:evenVBand="0" w:oddHBand="1" w:evenHBand="0" w:firstRowFirstColumn="0" w:firstRowLastColumn="0" w:lastRowFirstColumn="0" w:lastRowLastColumn="0"/>
          <w:trHeight w:val="108"/>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FDF181A"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2036</w:t>
            </w:r>
          </w:p>
        </w:tc>
        <w:tc>
          <w:tcPr>
            <w:tcW w:w="603" w:type="dxa"/>
            <w:tcBorders>
              <w:left w:val="single" w:sz="4" w:space="0" w:color="auto"/>
              <w:right w:val="single" w:sz="8" w:space="0" w:color="BFBFBF" w:themeColor="background1" w:themeShade="BF"/>
            </w:tcBorders>
            <w:vAlign w:val="bottom"/>
          </w:tcPr>
          <w:p w14:paraId="7CAC6200" w14:textId="4580346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6,170</w:t>
            </w:r>
          </w:p>
        </w:tc>
        <w:tc>
          <w:tcPr>
            <w:tcW w:w="751" w:type="dxa"/>
            <w:tcBorders>
              <w:left w:val="single" w:sz="8" w:space="0" w:color="BFBFBF" w:themeColor="background1" w:themeShade="BF"/>
              <w:right w:val="single" w:sz="8" w:space="0" w:color="1C1C1C" w:themeColor="text1"/>
            </w:tcBorders>
            <w:vAlign w:val="bottom"/>
          </w:tcPr>
          <w:p w14:paraId="7C38A1EB" w14:textId="26ED607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73,601</w:t>
            </w:r>
          </w:p>
        </w:tc>
        <w:tc>
          <w:tcPr>
            <w:tcW w:w="360" w:type="dxa"/>
            <w:tcBorders>
              <w:left w:val="single" w:sz="8" w:space="0" w:color="1C1C1C" w:themeColor="text1"/>
              <w:right w:val="single" w:sz="8" w:space="0" w:color="BFBFBF" w:themeColor="background1" w:themeShade="BF"/>
            </w:tcBorders>
            <w:noWrap/>
            <w:vAlign w:val="bottom"/>
          </w:tcPr>
          <w:p w14:paraId="23A8A165" w14:textId="1E47137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17445E42" w14:textId="45DFDC1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152</w:t>
            </w:r>
          </w:p>
        </w:tc>
        <w:tc>
          <w:tcPr>
            <w:tcW w:w="450" w:type="dxa"/>
            <w:tcBorders>
              <w:left w:val="single" w:sz="8" w:space="0" w:color="1C1C1C" w:themeColor="text1"/>
              <w:right w:val="single" w:sz="8" w:space="0" w:color="BFBFBF" w:themeColor="background1" w:themeShade="BF"/>
            </w:tcBorders>
            <w:vAlign w:val="bottom"/>
          </w:tcPr>
          <w:p w14:paraId="34E0D727" w14:textId="35EA9F9A"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30AAD074" w14:textId="798FC5B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133</w:t>
            </w:r>
          </w:p>
        </w:tc>
        <w:tc>
          <w:tcPr>
            <w:tcW w:w="540" w:type="dxa"/>
            <w:tcBorders>
              <w:left w:val="single" w:sz="8" w:space="0" w:color="1C1C1C" w:themeColor="text1"/>
              <w:right w:val="single" w:sz="8" w:space="0" w:color="BFBFBF" w:themeColor="background1" w:themeShade="BF"/>
            </w:tcBorders>
            <w:vAlign w:val="bottom"/>
          </w:tcPr>
          <w:p w14:paraId="240BD174" w14:textId="2FF656F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746F0469" w14:textId="1872DBD0"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1,848</w:t>
            </w:r>
          </w:p>
        </w:tc>
        <w:tc>
          <w:tcPr>
            <w:tcW w:w="630" w:type="dxa"/>
            <w:tcBorders>
              <w:left w:val="single" w:sz="8" w:space="0" w:color="1C1C1C" w:themeColor="text1"/>
              <w:right w:val="single" w:sz="8" w:space="0" w:color="BFBFBF" w:themeColor="background1" w:themeShade="BF"/>
            </w:tcBorders>
            <w:vAlign w:val="bottom"/>
          </w:tcPr>
          <w:p w14:paraId="63A04F70" w14:textId="180BB44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18145C1F" w14:textId="0A9CBED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239</w:t>
            </w:r>
          </w:p>
        </w:tc>
        <w:tc>
          <w:tcPr>
            <w:tcW w:w="810" w:type="dxa"/>
            <w:tcBorders>
              <w:left w:val="single" w:sz="12" w:space="0" w:color="auto"/>
              <w:right w:val="single" w:sz="8" w:space="0" w:color="BFBFBF" w:themeColor="background1" w:themeShade="BF"/>
            </w:tcBorders>
            <w:vAlign w:val="bottom"/>
          </w:tcPr>
          <w:p w14:paraId="601EE255" w14:textId="5D1A0E13"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11,868</w:t>
            </w:r>
          </w:p>
        </w:tc>
        <w:tc>
          <w:tcPr>
            <w:tcW w:w="720" w:type="dxa"/>
            <w:tcBorders>
              <w:left w:val="single" w:sz="8" w:space="0" w:color="BFBFBF" w:themeColor="background1" w:themeShade="BF"/>
            </w:tcBorders>
            <w:vAlign w:val="bottom"/>
          </w:tcPr>
          <w:p w14:paraId="1BDDC540" w14:textId="102763C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123,326</w:t>
            </w:r>
          </w:p>
        </w:tc>
      </w:tr>
      <w:tr w:rsidR="007559FF" w:rsidRPr="0081769C" w14:paraId="4D52B399" w14:textId="77777777" w:rsidTr="00F301E5">
        <w:trPr>
          <w:trHeight w:val="126"/>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B017B62"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2037</w:t>
            </w:r>
          </w:p>
        </w:tc>
        <w:tc>
          <w:tcPr>
            <w:tcW w:w="603" w:type="dxa"/>
            <w:tcBorders>
              <w:left w:val="single" w:sz="4" w:space="0" w:color="auto"/>
              <w:right w:val="single" w:sz="8" w:space="0" w:color="BFBFBF" w:themeColor="background1" w:themeShade="BF"/>
            </w:tcBorders>
            <w:vAlign w:val="bottom"/>
          </w:tcPr>
          <w:p w14:paraId="62E746C0" w14:textId="4D2E0FD3"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6,332</w:t>
            </w:r>
          </w:p>
        </w:tc>
        <w:tc>
          <w:tcPr>
            <w:tcW w:w="751" w:type="dxa"/>
            <w:tcBorders>
              <w:left w:val="single" w:sz="8" w:space="0" w:color="BFBFBF" w:themeColor="background1" w:themeShade="BF"/>
              <w:right w:val="single" w:sz="8" w:space="0" w:color="1C1C1C" w:themeColor="text1"/>
            </w:tcBorders>
            <w:vAlign w:val="bottom"/>
          </w:tcPr>
          <w:p w14:paraId="5D922005" w14:textId="5F3193FF"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79,933</w:t>
            </w:r>
          </w:p>
        </w:tc>
        <w:tc>
          <w:tcPr>
            <w:tcW w:w="360" w:type="dxa"/>
            <w:tcBorders>
              <w:left w:val="single" w:sz="8" w:space="0" w:color="1C1C1C" w:themeColor="text1"/>
              <w:right w:val="single" w:sz="8" w:space="0" w:color="BFBFBF" w:themeColor="background1" w:themeShade="BF"/>
            </w:tcBorders>
            <w:noWrap/>
            <w:vAlign w:val="bottom"/>
          </w:tcPr>
          <w:p w14:paraId="49E34BB6" w14:textId="76D25303"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2FDC7489" w14:textId="6D54828B"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166</w:t>
            </w:r>
          </w:p>
        </w:tc>
        <w:tc>
          <w:tcPr>
            <w:tcW w:w="450" w:type="dxa"/>
            <w:tcBorders>
              <w:left w:val="single" w:sz="8" w:space="0" w:color="1C1C1C" w:themeColor="text1"/>
              <w:right w:val="single" w:sz="8" w:space="0" w:color="BFBFBF" w:themeColor="background1" w:themeShade="BF"/>
            </w:tcBorders>
            <w:vAlign w:val="bottom"/>
          </w:tcPr>
          <w:p w14:paraId="376F896E" w14:textId="22357FC5"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4CF81CBF" w14:textId="5CEEDD84"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252</w:t>
            </w:r>
          </w:p>
        </w:tc>
        <w:tc>
          <w:tcPr>
            <w:tcW w:w="540" w:type="dxa"/>
            <w:tcBorders>
              <w:left w:val="single" w:sz="8" w:space="0" w:color="1C1C1C" w:themeColor="text1"/>
              <w:right w:val="single" w:sz="8" w:space="0" w:color="BFBFBF" w:themeColor="background1" w:themeShade="BF"/>
            </w:tcBorders>
            <w:vAlign w:val="bottom"/>
          </w:tcPr>
          <w:p w14:paraId="6573B8C8" w14:textId="096766C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2384B1FD" w14:textId="5EDE73D9"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2,016</w:t>
            </w:r>
          </w:p>
        </w:tc>
        <w:tc>
          <w:tcPr>
            <w:tcW w:w="630" w:type="dxa"/>
            <w:tcBorders>
              <w:left w:val="single" w:sz="8" w:space="0" w:color="1C1C1C" w:themeColor="text1"/>
              <w:right w:val="single" w:sz="8" w:space="0" w:color="BFBFBF" w:themeColor="background1" w:themeShade="BF"/>
            </w:tcBorders>
            <w:vAlign w:val="bottom"/>
          </w:tcPr>
          <w:p w14:paraId="15A7334D" w14:textId="536F194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4A67CDF7" w14:textId="0DA0D37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260</w:t>
            </w:r>
          </w:p>
        </w:tc>
        <w:tc>
          <w:tcPr>
            <w:tcW w:w="810" w:type="dxa"/>
            <w:tcBorders>
              <w:left w:val="single" w:sz="12" w:space="0" w:color="auto"/>
              <w:right w:val="single" w:sz="8" w:space="0" w:color="BFBFBF" w:themeColor="background1" w:themeShade="BF"/>
            </w:tcBorders>
            <w:vAlign w:val="bottom"/>
          </w:tcPr>
          <w:p w14:paraId="0B555107" w14:textId="46D750E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12,030</w:t>
            </w:r>
          </w:p>
        </w:tc>
        <w:tc>
          <w:tcPr>
            <w:tcW w:w="720" w:type="dxa"/>
            <w:tcBorders>
              <w:left w:val="single" w:sz="8" w:space="0" w:color="BFBFBF" w:themeColor="background1" w:themeShade="BF"/>
            </w:tcBorders>
            <w:vAlign w:val="bottom"/>
          </w:tcPr>
          <w:p w14:paraId="63123A47" w14:textId="5F3833F1"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135,355</w:t>
            </w:r>
          </w:p>
        </w:tc>
      </w:tr>
      <w:tr w:rsidR="00506B65" w:rsidRPr="0081769C" w14:paraId="033ACD8F" w14:textId="77777777" w:rsidTr="00F301E5">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78C0CD72"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2038</w:t>
            </w:r>
          </w:p>
        </w:tc>
        <w:tc>
          <w:tcPr>
            <w:tcW w:w="603" w:type="dxa"/>
            <w:tcBorders>
              <w:left w:val="single" w:sz="4" w:space="0" w:color="auto"/>
              <w:right w:val="single" w:sz="8" w:space="0" w:color="BFBFBF" w:themeColor="background1" w:themeShade="BF"/>
            </w:tcBorders>
            <w:vAlign w:val="bottom"/>
          </w:tcPr>
          <w:p w14:paraId="17967897" w14:textId="171D425F"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6,437</w:t>
            </w:r>
          </w:p>
        </w:tc>
        <w:tc>
          <w:tcPr>
            <w:tcW w:w="751" w:type="dxa"/>
            <w:tcBorders>
              <w:left w:val="single" w:sz="8" w:space="0" w:color="BFBFBF" w:themeColor="background1" w:themeShade="BF"/>
              <w:right w:val="single" w:sz="8" w:space="0" w:color="1C1C1C" w:themeColor="text1"/>
            </w:tcBorders>
            <w:vAlign w:val="bottom"/>
          </w:tcPr>
          <w:p w14:paraId="029CFB2C" w14:textId="7424FE2E"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86,370</w:t>
            </w:r>
          </w:p>
        </w:tc>
        <w:tc>
          <w:tcPr>
            <w:tcW w:w="360" w:type="dxa"/>
            <w:tcBorders>
              <w:left w:val="single" w:sz="8" w:space="0" w:color="1C1C1C" w:themeColor="text1"/>
              <w:right w:val="single" w:sz="8" w:space="0" w:color="BFBFBF" w:themeColor="background1" w:themeShade="BF"/>
            </w:tcBorders>
            <w:noWrap/>
            <w:vAlign w:val="bottom"/>
          </w:tcPr>
          <w:p w14:paraId="5B5C70F1" w14:textId="32245E7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0465C2F8" w14:textId="61D74F0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180</w:t>
            </w:r>
          </w:p>
        </w:tc>
        <w:tc>
          <w:tcPr>
            <w:tcW w:w="450" w:type="dxa"/>
            <w:tcBorders>
              <w:left w:val="single" w:sz="8" w:space="0" w:color="1C1C1C" w:themeColor="text1"/>
              <w:right w:val="single" w:sz="8" w:space="0" w:color="BFBFBF" w:themeColor="background1" w:themeShade="BF"/>
            </w:tcBorders>
            <w:vAlign w:val="bottom"/>
          </w:tcPr>
          <w:p w14:paraId="4EF56069" w14:textId="035AEB8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36807E74" w14:textId="505DA8CA"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371</w:t>
            </w:r>
          </w:p>
        </w:tc>
        <w:tc>
          <w:tcPr>
            <w:tcW w:w="540" w:type="dxa"/>
            <w:tcBorders>
              <w:left w:val="single" w:sz="8" w:space="0" w:color="1C1C1C" w:themeColor="text1"/>
              <w:right w:val="single" w:sz="8" w:space="0" w:color="BFBFBF" w:themeColor="background1" w:themeShade="BF"/>
            </w:tcBorders>
            <w:vAlign w:val="bottom"/>
          </w:tcPr>
          <w:p w14:paraId="7A7FE79A" w14:textId="170F3555"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17E4F962" w14:textId="3D7DCE2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2,184</w:t>
            </w:r>
          </w:p>
        </w:tc>
        <w:tc>
          <w:tcPr>
            <w:tcW w:w="630" w:type="dxa"/>
            <w:tcBorders>
              <w:left w:val="single" w:sz="8" w:space="0" w:color="1C1C1C" w:themeColor="text1"/>
              <w:right w:val="single" w:sz="8" w:space="0" w:color="BFBFBF" w:themeColor="background1" w:themeShade="BF"/>
            </w:tcBorders>
            <w:vAlign w:val="bottom"/>
          </w:tcPr>
          <w:p w14:paraId="000FA221" w14:textId="23F2BD14"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72CB8CE0" w14:textId="38B27E0F"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282</w:t>
            </w:r>
          </w:p>
        </w:tc>
        <w:tc>
          <w:tcPr>
            <w:tcW w:w="810" w:type="dxa"/>
            <w:tcBorders>
              <w:left w:val="single" w:sz="12" w:space="0" w:color="auto"/>
              <w:right w:val="single" w:sz="8" w:space="0" w:color="BFBFBF" w:themeColor="background1" w:themeShade="BF"/>
            </w:tcBorders>
            <w:vAlign w:val="bottom"/>
          </w:tcPr>
          <w:p w14:paraId="05E852C2" w14:textId="0DCF7A1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12,135</w:t>
            </w:r>
          </w:p>
        </w:tc>
        <w:tc>
          <w:tcPr>
            <w:tcW w:w="720" w:type="dxa"/>
            <w:tcBorders>
              <w:left w:val="single" w:sz="8" w:space="0" w:color="BFBFBF" w:themeColor="background1" w:themeShade="BF"/>
            </w:tcBorders>
            <w:vAlign w:val="bottom"/>
          </w:tcPr>
          <w:p w14:paraId="3CBB9473" w14:textId="55381A0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147,490</w:t>
            </w:r>
          </w:p>
        </w:tc>
      </w:tr>
      <w:tr w:rsidR="007559FF" w:rsidRPr="0081769C" w14:paraId="2B1A34FA"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1EC88E5"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2039</w:t>
            </w:r>
          </w:p>
        </w:tc>
        <w:tc>
          <w:tcPr>
            <w:tcW w:w="603" w:type="dxa"/>
            <w:tcBorders>
              <w:left w:val="single" w:sz="4" w:space="0" w:color="auto"/>
              <w:right w:val="single" w:sz="8" w:space="0" w:color="BFBFBF" w:themeColor="background1" w:themeShade="BF"/>
            </w:tcBorders>
            <w:vAlign w:val="bottom"/>
          </w:tcPr>
          <w:p w14:paraId="6A4C7788" w14:textId="6474CB8D"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6,251</w:t>
            </w:r>
          </w:p>
        </w:tc>
        <w:tc>
          <w:tcPr>
            <w:tcW w:w="751" w:type="dxa"/>
            <w:tcBorders>
              <w:left w:val="single" w:sz="8" w:space="0" w:color="BFBFBF" w:themeColor="background1" w:themeShade="BF"/>
              <w:right w:val="single" w:sz="8" w:space="0" w:color="1C1C1C" w:themeColor="text1"/>
            </w:tcBorders>
            <w:vAlign w:val="bottom"/>
          </w:tcPr>
          <w:p w14:paraId="1292920B" w14:textId="12834F3C"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92,621</w:t>
            </w:r>
          </w:p>
        </w:tc>
        <w:tc>
          <w:tcPr>
            <w:tcW w:w="360" w:type="dxa"/>
            <w:tcBorders>
              <w:left w:val="single" w:sz="8" w:space="0" w:color="1C1C1C" w:themeColor="text1"/>
              <w:right w:val="single" w:sz="8" w:space="0" w:color="BFBFBF" w:themeColor="background1" w:themeShade="BF"/>
            </w:tcBorders>
            <w:noWrap/>
            <w:vAlign w:val="bottom"/>
          </w:tcPr>
          <w:p w14:paraId="1BF96293" w14:textId="31CCB9E9"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49476C2E" w14:textId="58DDF077"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193</w:t>
            </w:r>
          </w:p>
        </w:tc>
        <w:tc>
          <w:tcPr>
            <w:tcW w:w="450" w:type="dxa"/>
            <w:tcBorders>
              <w:left w:val="single" w:sz="8" w:space="0" w:color="1C1C1C" w:themeColor="text1"/>
              <w:right w:val="single" w:sz="8" w:space="0" w:color="BFBFBF" w:themeColor="background1" w:themeShade="BF"/>
            </w:tcBorders>
            <w:vAlign w:val="bottom"/>
          </w:tcPr>
          <w:p w14:paraId="540E0530" w14:textId="79C4A687"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38E9F288" w14:textId="072A1B4B"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490</w:t>
            </w:r>
          </w:p>
        </w:tc>
        <w:tc>
          <w:tcPr>
            <w:tcW w:w="540" w:type="dxa"/>
            <w:tcBorders>
              <w:left w:val="single" w:sz="8" w:space="0" w:color="1C1C1C" w:themeColor="text1"/>
              <w:right w:val="single" w:sz="8" w:space="0" w:color="BFBFBF" w:themeColor="background1" w:themeShade="BF"/>
            </w:tcBorders>
            <w:vAlign w:val="bottom"/>
          </w:tcPr>
          <w:p w14:paraId="020A1B0F" w14:textId="1E599012"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58BCC525" w14:textId="6CF8D25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2,352</w:t>
            </w:r>
          </w:p>
        </w:tc>
        <w:tc>
          <w:tcPr>
            <w:tcW w:w="630" w:type="dxa"/>
            <w:tcBorders>
              <w:left w:val="single" w:sz="8" w:space="0" w:color="1C1C1C" w:themeColor="text1"/>
              <w:right w:val="single" w:sz="8" w:space="0" w:color="BFBFBF" w:themeColor="background1" w:themeShade="BF"/>
            </w:tcBorders>
            <w:vAlign w:val="bottom"/>
          </w:tcPr>
          <w:p w14:paraId="3C4CF4A4" w14:textId="3825E5A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6F521550" w14:textId="788681CC"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304</w:t>
            </w:r>
          </w:p>
        </w:tc>
        <w:tc>
          <w:tcPr>
            <w:tcW w:w="810" w:type="dxa"/>
            <w:tcBorders>
              <w:left w:val="single" w:sz="12" w:space="0" w:color="auto"/>
              <w:right w:val="single" w:sz="8" w:space="0" w:color="BFBFBF" w:themeColor="background1" w:themeShade="BF"/>
            </w:tcBorders>
            <w:vAlign w:val="bottom"/>
          </w:tcPr>
          <w:p w14:paraId="3B0880D2" w14:textId="337FFED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11,949</w:t>
            </w:r>
          </w:p>
        </w:tc>
        <w:tc>
          <w:tcPr>
            <w:tcW w:w="720" w:type="dxa"/>
            <w:tcBorders>
              <w:left w:val="single" w:sz="8" w:space="0" w:color="BFBFBF" w:themeColor="background1" w:themeShade="BF"/>
            </w:tcBorders>
            <w:vAlign w:val="bottom"/>
          </w:tcPr>
          <w:p w14:paraId="5042BB59" w14:textId="2B17F86D"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159,439</w:t>
            </w:r>
          </w:p>
        </w:tc>
      </w:tr>
      <w:tr w:rsidR="00506B65" w:rsidRPr="0081769C" w14:paraId="018ADFB0" w14:textId="77777777" w:rsidTr="00F301E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276F2706"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2040</w:t>
            </w:r>
          </w:p>
        </w:tc>
        <w:tc>
          <w:tcPr>
            <w:tcW w:w="603" w:type="dxa"/>
            <w:tcBorders>
              <w:left w:val="single" w:sz="4" w:space="0" w:color="auto"/>
              <w:right w:val="single" w:sz="8" w:space="0" w:color="BFBFBF" w:themeColor="background1" w:themeShade="BF"/>
            </w:tcBorders>
            <w:vAlign w:val="bottom"/>
          </w:tcPr>
          <w:p w14:paraId="6E38E09A" w14:textId="16B8D6F3"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6,175</w:t>
            </w:r>
          </w:p>
        </w:tc>
        <w:tc>
          <w:tcPr>
            <w:tcW w:w="751" w:type="dxa"/>
            <w:tcBorders>
              <w:left w:val="single" w:sz="8" w:space="0" w:color="BFBFBF" w:themeColor="background1" w:themeShade="BF"/>
              <w:right w:val="single" w:sz="8" w:space="0" w:color="1C1C1C" w:themeColor="text1"/>
            </w:tcBorders>
            <w:vAlign w:val="bottom"/>
          </w:tcPr>
          <w:p w14:paraId="170D6278" w14:textId="3CCC5407"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98,796</w:t>
            </w:r>
          </w:p>
        </w:tc>
        <w:tc>
          <w:tcPr>
            <w:tcW w:w="360" w:type="dxa"/>
            <w:tcBorders>
              <w:left w:val="single" w:sz="8" w:space="0" w:color="1C1C1C" w:themeColor="text1"/>
              <w:right w:val="single" w:sz="8" w:space="0" w:color="BFBFBF" w:themeColor="background1" w:themeShade="BF"/>
            </w:tcBorders>
            <w:noWrap/>
            <w:vAlign w:val="bottom"/>
          </w:tcPr>
          <w:p w14:paraId="77874612" w14:textId="37523CAA"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1B980E63" w14:textId="1036B9AA"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207</w:t>
            </w:r>
          </w:p>
        </w:tc>
        <w:tc>
          <w:tcPr>
            <w:tcW w:w="450" w:type="dxa"/>
            <w:tcBorders>
              <w:left w:val="single" w:sz="8" w:space="0" w:color="1C1C1C" w:themeColor="text1"/>
              <w:right w:val="single" w:sz="8" w:space="0" w:color="BFBFBF" w:themeColor="background1" w:themeShade="BF"/>
            </w:tcBorders>
            <w:vAlign w:val="bottom"/>
          </w:tcPr>
          <w:p w14:paraId="336CAA88" w14:textId="5E55ECE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6AD6F095" w14:textId="197445C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610</w:t>
            </w:r>
          </w:p>
        </w:tc>
        <w:tc>
          <w:tcPr>
            <w:tcW w:w="540" w:type="dxa"/>
            <w:tcBorders>
              <w:left w:val="single" w:sz="8" w:space="0" w:color="1C1C1C" w:themeColor="text1"/>
              <w:right w:val="single" w:sz="8" w:space="0" w:color="BFBFBF" w:themeColor="background1" w:themeShade="BF"/>
            </w:tcBorders>
            <w:vAlign w:val="bottom"/>
          </w:tcPr>
          <w:p w14:paraId="52D8616A" w14:textId="20AA183E"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521DFEE4" w14:textId="3870C4B0"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2,520</w:t>
            </w:r>
          </w:p>
        </w:tc>
        <w:tc>
          <w:tcPr>
            <w:tcW w:w="630" w:type="dxa"/>
            <w:tcBorders>
              <w:left w:val="single" w:sz="8" w:space="0" w:color="1C1C1C" w:themeColor="text1"/>
              <w:right w:val="single" w:sz="8" w:space="0" w:color="BFBFBF" w:themeColor="background1" w:themeShade="BF"/>
            </w:tcBorders>
            <w:vAlign w:val="bottom"/>
          </w:tcPr>
          <w:p w14:paraId="67467F8C" w14:textId="7E2605BD"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16981D3E" w14:textId="1C5D853F"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325</w:t>
            </w:r>
          </w:p>
        </w:tc>
        <w:tc>
          <w:tcPr>
            <w:tcW w:w="810" w:type="dxa"/>
            <w:tcBorders>
              <w:left w:val="single" w:sz="12" w:space="0" w:color="auto"/>
              <w:right w:val="single" w:sz="8" w:space="0" w:color="BFBFBF" w:themeColor="background1" w:themeShade="BF"/>
            </w:tcBorders>
            <w:vAlign w:val="bottom"/>
          </w:tcPr>
          <w:p w14:paraId="64A67EE8" w14:textId="59B8241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11,873</w:t>
            </w:r>
          </w:p>
        </w:tc>
        <w:tc>
          <w:tcPr>
            <w:tcW w:w="720" w:type="dxa"/>
            <w:tcBorders>
              <w:left w:val="single" w:sz="8" w:space="0" w:color="BFBFBF" w:themeColor="background1" w:themeShade="BF"/>
            </w:tcBorders>
            <w:vAlign w:val="bottom"/>
          </w:tcPr>
          <w:p w14:paraId="625F6AA3" w14:textId="787342D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171,312</w:t>
            </w:r>
          </w:p>
        </w:tc>
      </w:tr>
      <w:tr w:rsidR="007559FF" w:rsidRPr="0081769C" w14:paraId="7C9B1F17"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7B408B4"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2041</w:t>
            </w:r>
          </w:p>
        </w:tc>
        <w:tc>
          <w:tcPr>
            <w:tcW w:w="603" w:type="dxa"/>
            <w:tcBorders>
              <w:left w:val="single" w:sz="4" w:space="0" w:color="auto"/>
              <w:right w:val="single" w:sz="8" w:space="0" w:color="BFBFBF" w:themeColor="background1" w:themeShade="BF"/>
            </w:tcBorders>
            <w:vAlign w:val="bottom"/>
          </w:tcPr>
          <w:p w14:paraId="60BEA9D9" w14:textId="41C3C304"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6,256</w:t>
            </w:r>
          </w:p>
        </w:tc>
        <w:tc>
          <w:tcPr>
            <w:tcW w:w="751" w:type="dxa"/>
            <w:tcBorders>
              <w:left w:val="single" w:sz="8" w:space="0" w:color="BFBFBF" w:themeColor="background1" w:themeShade="BF"/>
              <w:right w:val="single" w:sz="8" w:space="0" w:color="1C1C1C" w:themeColor="text1"/>
            </w:tcBorders>
            <w:vAlign w:val="bottom"/>
          </w:tcPr>
          <w:p w14:paraId="0D86C194" w14:textId="136A7FEC"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105,052</w:t>
            </w:r>
          </w:p>
        </w:tc>
        <w:tc>
          <w:tcPr>
            <w:tcW w:w="360" w:type="dxa"/>
            <w:tcBorders>
              <w:left w:val="single" w:sz="8" w:space="0" w:color="1C1C1C" w:themeColor="text1"/>
              <w:right w:val="single" w:sz="8" w:space="0" w:color="BFBFBF" w:themeColor="background1" w:themeShade="BF"/>
            </w:tcBorders>
            <w:noWrap/>
            <w:vAlign w:val="bottom"/>
          </w:tcPr>
          <w:p w14:paraId="05BCF2C8" w14:textId="4DA9ACE3"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3CBA95FC" w14:textId="03B44396"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221</w:t>
            </w:r>
          </w:p>
        </w:tc>
        <w:tc>
          <w:tcPr>
            <w:tcW w:w="450" w:type="dxa"/>
            <w:tcBorders>
              <w:left w:val="single" w:sz="8" w:space="0" w:color="1C1C1C" w:themeColor="text1"/>
              <w:right w:val="single" w:sz="8" w:space="0" w:color="BFBFBF" w:themeColor="background1" w:themeShade="BF"/>
            </w:tcBorders>
            <w:vAlign w:val="bottom"/>
          </w:tcPr>
          <w:p w14:paraId="5D18A848" w14:textId="2F41449F"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5FCB3CA" w14:textId="6BF680E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729</w:t>
            </w:r>
          </w:p>
        </w:tc>
        <w:tc>
          <w:tcPr>
            <w:tcW w:w="540" w:type="dxa"/>
            <w:tcBorders>
              <w:left w:val="single" w:sz="8" w:space="0" w:color="1C1C1C" w:themeColor="text1"/>
              <w:right w:val="single" w:sz="8" w:space="0" w:color="BFBFBF" w:themeColor="background1" w:themeShade="BF"/>
            </w:tcBorders>
            <w:vAlign w:val="bottom"/>
          </w:tcPr>
          <w:p w14:paraId="1A8A19DC" w14:textId="59365653"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3F0EDFB8" w14:textId="149A8572"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2,688</w:t>
            </w:r>
          </w:p>
        </w:tc>
        <w:tc>
          <w:tcPr>
            <w:tcW w:w="630" w:type="dxa"/>
            <w:tcBorders>
              <w:left w:val="single" w:sz="8" w:space="0" w:color="1C1C1C" w:themeColor="text1"/>
              <w:right w:val="single" w:sz="8" w:space="0" w:color="BFBFBF" w:themeColor="background1" w:themeShade="BF"/>
            </w:tcBorders>
            <w:vAlign w:val="bottom"/>
          </w:tcPr>
          <w:p w14:paraId="759C3A53" w14:textId="707AEE8C"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057672C6" w14:textId="4A947A7F"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347</w:t>
            </w:r>
          </w:p>
        </w:tc>
        <w:tc>
          <w:tcPr>
            <w:tcW w:w="810" w:type="dxa"/>
            <w:tcBorders>
              <w:left w:val="single" w:sz="12" w:space="0" w:color="auto"/>
              <w:right w:val="single" w:sz="8" w:space="0" w:color="BFBFBF" w:themeColor="background1" w:themeShade="BF"/>
            </w:tcBorders>
            <w:vAlign w:val="bottom"/>
          </w:tcPr>
          <w:p w14:paraId="2C1DC9B5" w14:textId="6F2CF4D4"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11,954</w:t>
            </w:r>
          </w:p>
        </w:tc>
        <w:tc>
          <w:tcPr>
            <w:tcW w:w="720" w:type="dxa"/>
            <w:tcBorders>
              <w:left w:val="single" w:sz="8" w:space="0" w:color="BFBFBF" w:themeColor="background1" w:themeShade="BF"/>
            </w:tcBorders>
            <w:vAlign w:val="bottom"/>
          </w:tcPr>
          <w:p w14:paraId="0DCFEBF0" w14:textId="2531A4AA"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183,266</w:t>
            </w:r>
          </w:p>
        </w:tc>
      </w:tr>
      <w:tr w:rsidR="00506B65" w:rsidRPr="0081769C" w14:paraId="61B37FD1" w14:textId="77777777" w:rsidTr="00F301E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604AB71"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2042</w:t>
            </w:r>
          </w:p>
        </w:tc>
        <w:tc>
          <w:tcPr>
            <w:tcW w:w="603" w:type="dxa"/>
            <w:tcBorders>
              <w:left w:val="single" w:sz="4" w:space="0" w:color="auto"/>
              <w:right w:val="single" w:sz="8" w:space="0" w:color="BFBFBF" w:themeColor="background1" w:themeShade="BF"/>
            </w:tcBorders>
            <w:vAlign w:val="bottom"/>
          </w:tcPr>
          <w:p w14:paraId="5C31F214" w14:textId="4006EF8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6,274</w:t>
            </w:r>
          </w:p>
        </w:tc>
        <w:tc>
          <w:tcPr>
            <w:tcW w:w="751" w:type="dxa"/>
            <w:tcBorders>
              <w:left w:val="single" w:sz="8" w:space="0" w:color="BFBFBF" w:themeColor="background1" w:themeShade="BF"/>
              <w:right w:val="single" w:sz="8" w:space="0" w:color="1C1C1C" w:themeColor="text1"/>
            </w:tcBorders>
            <w:vAlign w:val="bottom"/>
          </w:tcPr>
          <w:p w14:paraId="0320D5EA" w14:textId="2CAC7F4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111,326</w:t>
            </w:r>
          </w:p>
        </w:tc>
        <w:tc>
          <w:tcPr>
            <w:tcW w:w="360" w:type="dxa"/>
            <w:tcBorders>
              <w:left w:val="single" w:sz="8" w:space="0" w:color="1C1C1C" w:themeColor="text1"/>
              <w:right w:val="single" w:sz="8" w:space="0" w:color="BFBFBF" w:themeColor="background1" w:themeShade="BF"/>
            </w:tcBorders>
            <w:noWrap/>
            <w:vAlign w:val="bottom"/>
          </w:tcPr>
          <w:p w14:paraId="1DBB3406" w14:textId="2CA3C46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31C77EA2" w14:textId="2A6705E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235</w:t>
            </w:r>
          </w:p>
        </w:tc>
        <w:tc>
          <w:tcPr>
            <w:tcW w:w="450" w:type="dxa"/>
            <w:tcBorders>
              <w:left w:val="single" w:sz="8" w:space="0" w:color="1C1C1C" w:themeColor="text1"/>
              <w:right w:val="single" w:sz="8" w:space="0" w:color="BFBFBF" w:themeColor="background1" w:themeShade="BF"/>
            </w:tcBorders>
            <w:vAlign w:val="bottom"/>
          </w:tcPr>
          <w:p w14:paraId="4D51DD06" w14:textId="2656243D"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589916A8" w14:textId="3FE6AA5C"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848</w:t>
            </w:r>
          </w:p>
        </w:tc>
        <w:tc>
          <w:tcPr>
            <w:tcW w:w="540" w:type="dxa"/>
            <w:tcBorders>
              <w:left w:val="single" w:sz="8" w:space="0" w:color="1C1C1C" w:themeColor="text1"/>
              <w:right w:val="single" w:sz="8" w:space="0" w:color="BFBFBF" w:themeColor="background1" w:themeShade="BF"/>
            </w:tcBorders>
            <w:vAlign w:val="bottom"/>
          </w:tcPr>
          <w:p w14:paraId="0406FEF4" w14:textId="06FE3159"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1B6F9AE7" w14:textId="60B7C905"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2,856</w:t>
            </w:r>
          </w:p>
        </w:tc>
        <w:tc>
          <w:tcPr>
            <w:tcW w:w="630" w:type="dxa"/>
            <w:tcBorders>
              <w:left w:val="single" w:sz="8" w:space="0" w:color="1C1C1C" w:themeColor="text1"/>
              <w:right w:val="single" w:sz="8" w:space="0" w:color="BFBFBF" w:themeColor="background1" w:themeShade="BF"/>
            </w:tcBorders>
            <w:vAlign w:val="bottom"/>
          </w:tcPr>
          <w:p w14:paraId="04EB65D3" w14:textId="268DDD0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55AE07C6" w14:textId="62A4FD1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369</w:t>
            </w:r>
          </w:p>
        </w:tc>
        <w:tc>
          <w:tcPr>
            <w:tcW w:w="810" w:type="dxa"/>
            <w:tcBorders>
              <w:left w:val="single" w:sz="12" w:space="0" w:color="auto"/>
              <w:right w:val="single" w:sz="8" w:space="0" w:color="BFBFBF" w:themeColor="background1" w:themeShade="BF"/>
            </w:tcBorders>
            <w:vAlign w:val="bottom"/>
          </w:tcPr>
          <w:p w14:paraId="106D12A5" w14:textId="595F4494"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11,972</w:t>
            </w:r>
          </w:p>
        </w:tc>
        <w:tc>
          <w:tcPr>
            <w:tcW w:w="720" w:type="dxa"/>
            <w:tcBorders>
              <w:left w:val="single" w:sz="8" w:space="0" w:color="BFBFBF" w:themeColor="background1" w:themeShade="BF"/>
            </w:tcBorders>
            <w:vAlign w:val="bottom"/>
          </w:tcPr>
          <w:p w14:paraId="43710401" w14:textId="696BDE02"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195,238</w:t>
            </w:r>
          </w:p>
        </w:tc>
      </w:tr>
      <w:tr w:rsidR="007559FF" w:rsidRPr="0081769C" w14:paraId="556D1575" w14:textId="77777777" w:rsidTr="00F301E5">
        <w:trPr>
          <w:trHeight w:val="99"/>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3E3B4C84"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2043</w:t>
            </w:r>
          </w:p>
        </w:tc>
        <w:tc>
          <w:tcPr>
            <w:tcW w:w="603" w:type="dxa"/>
            <w:tcBorders>
              <w:left w:val="single" w:sz="4" w:space="0" w:color="auto"/>
              <w:right w:val="single" w:sz="8" w:space="0" w:color="BFBFBF" w:themeColor="background1" w:themeShade="BF"/>
            </w:tcBorders>
            <w:vAlign w:val="bottom"/>
          </w:tcPr>
          <w:p w14:paraId="03F34AC2" w14:textId="31AA0F7B"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6,223</w:t>
            </w:r>
          </w:p>
        </w:tc>
        <w:tc>
          <w:tcPr>
            <w:tcW w:w="751" w:type="dxa"/>
            <w:tcBorders>
              <w:left w:val="single" w:sz="8" w:space="0" w:color="BFBFBF" w:themeColor="background1" w:themeShade="BF"/>
              <w:right w:val="single" w:sz="8" w:space="0" w:color="1C1C1C" w:themeColor="text1"/>
            </w:tcBorders>
            <w:vAlign w:val="bottom"/>
          </w:tcPr>
          <w:p w14:paraId="2787B00C" w14:textId="53687C2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117,549</w:t>
            </w:r>
          </w:p>
        </w:tc>
        <w:tc>
          <w:tcPr>
            <w:tcW w:w="360" w:type="dxa"/>
            <w:tcBorders>
              <w:left w:val="single" w:sz="8" w:space="0" w:color="1C1C1C" w:themeColor="text1"/>
              <w:right w:val="single" w:sz="8" w:space="0" w:color="BFBFBF" w:themeColor="background1" w:themeShade="BF"/>
            </w:tcBorders>
            <w:noWrap/>
            <w:vAlign w:val="bottom"/>
          </w:tcPr>
          <w:p w14:paraId="1B797F59" w14:textId="0C0D5FC9"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1F173BA5" w14:textId="0C9F0DC0"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249</w:t>
            </w:r>
          </w:p>
        </w:tc>
        <w:tc>
          <w:tcPr>
            <w:tcW w:w="450" w:type="dxa"/>
            <w:tcBorders>
              <w:left w:val="single" w:sz="8" w:space="0" w:color="1C1C1C" w:themeColor="text1"/>
              <w:right w:val="single" w:sz="8" w:space="0" w:color="BFBFBF" w:themeColor="background1" w:themeShade="BF"/>
            </w:tcBorders>
            <w:vAlign w:val="bottom"/>
          </w:tcPr>
          <w:p w14:paraId="5957F943" w14:textId="343D7C67"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F0274C1" w14:textId="12B545C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w:t>
            </w:r>
            <w:r w:rsidR="003C1095" w:rsidRPr="00F301E5">
              <w:rPr>
                <w:rFonts w:cs="Calibri"/>
                <w:color w:val="000000"/>
                <w:sz w:val="20"/>
                <w:szCs w:val="20"/>
              </w:rPr>
              <w:t>967</w:t>
            </w:r>
          </w:p>
        </w:tc>
        <w:tc>
          <w:tcPr>
            <w:tcW w:w="540" w:type="dxa"/>
            <w:tcBorders>
              <w:left w:val="single" w:sz="8" w:space="0" w:color="1C1C1C" w:themeColor="text1"/>
              <w:right w:val="single" w:sz="8" w:space="0" w:color="BFBFBF" w:themeColor="background1" w:themeShade="BF"/>
            </w:tcBorders>
            <w:vAlign w:val="bottom"/>
          </w:tcPr>
          <w:p w14:paraId="3C45DBCB" w14:textId="05A7ACAC"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5F0DBFC1" w14:textId="0C97EC8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3,024</w:t>
            </w:r>
          </w:p>
        </w:tc>
        <w:tc>
          <w:tcPr>
            <w:tcW w:w="630" w:type="dxa"/>
            <w:tcBorders>
              <w:left w:val="single" w:sz="8" w:space="0" w:color="1C1C1C" w:themeColor="text1"/>
              <w:right w:val="single" w:sz="8" w:space="0" w:color="BFBFBF" w:themeColor="background1" w:themeShade="BF"/>
            </w:tcBorders>
            <w:vAlign w:val="bottom"/>
          </w:tcPr>
          <w:p w14:paraId="7A35039F" w14:textId="416D40A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5ED8D3BC" w14:textId="4566AA3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390</w:t>
            </w:r>
          </w:p>
        </w:tc>
        <w:tc>
          <w:tcPr>
            <w:tcW w:w="810" w:type="dxa"/>
            <w:tcBorders>
              <w:left w:val="single" w:sz="12" w:space="0" w:color="auto"/>
              <w:right w:val="single" w:sz="8" w:space="0" w:color="BFBFBF" w:themeColor="background1" w:themeShade="BF"/>
            </w:tcBorders>
            <w:vAlign w:val="bottom"/>
          </w:tcPr>
          <w:p w14:paraId="3F3FBF92" w14:textId="72772B0B"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11,921</w:t>
            </w:r>
          </w:p>
        </w:tc>
        <w:tc>
          <w:tcPr>
            <w:tcW w:w="720" w:type="dxa"/>
            <w:tcBorders>
              <w:left w:val="single" w:sz="8" w:space="0" w:color="BFBFBF" w:themeColor="background1" w:themeShade="BF"/>
            </w:tcBorders>
            <w:vAlign w:val="bottom"/>
          </w:tcPr>
          <w:p w14:paraId="0BA50993" w14:textId="0BC2029F"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207,159</w:t>
            </w:r>
          </w:p>
        </w:tc>
      </w:tr>
      <w:tr w:rsidR="00506B65" w:rsidRPr="0081769C" w14:paraId="128E4237" w14:textId="77777777" w:rsidTr="00F301E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4DD072A"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2044</w:t>
            </w:r>
          </w:p>
        </w:tc>
        <w:tc>
          <w:tcPr>
            <w:tcW w:w="603" w:type="dxa"/>
            <w:tcBorders>
              <w:left w:val="single" w:sz="4" w:space="0" w:color="auto"/>
              <w:right w:val="single" w:sz="8" w:space="0" w:color="BFBFBF" w:themeColor="background1" w:themeShade="BF"/>
            </w:tcBorders>
            <w:vAlign w:val="bottom"/>
          </w:tcPr>
          <w:p w14:paraId="3E68B20C" w14:textId="57559863"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6,237</w:t>
            </w:r>
          </w:p>
        </w:tc>
        <w:tc>
          <w:tcPr>
            <w:tcW w:w="751" w:type="dxa"/>
            <w:tcBorders>
              <w:left w:val="single" w:sz="8" w:space="0" w:color="BFBFBF" w:themeColor="background1" w:themeShade="BF"/>
              <w:right w:val="single" w:sz="8" w:space="0" w:color="1C1C1C" w:themeColor="text1"/>
            </w:tcBorders>
            <w:vAlign w:val="bottom"/>
          </w:tcPr>
          <w:p w14:paraId="51833D64" w14:textId="3C9D902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123,787</w:t>
            </w:r>
          </w:p>
        </w:tc>
        <w:tc>
          <w:tcPr>
            <w:tcW w:w="360" w:type="dxa"/>
            <w:tcBorders>
              <w:left w:val="single" w:sz="8" w:space="0" w:color="1C1C1C" w:themeColor="text1"/>
              <w:right w:val="single" w:sz="8" w:space="0" w:color="BFBFBF" w:themeColor="background1" w:themeShade="BF"/>
            </w:tcBorders>
            <w:noWrap/>
            <w:vAlign w:val="bottom"/>
          </w:tcPr>
          <w:p w14:paraId="32D706A9" w14:textId="2A65A36F"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7E27595B" w14:textId="410B155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263</w:t>
            </w:r>
          </w:p>
        </w:tc>
        <w:tc>
          <w:tcPr>
            <w:tcW w:w="450" w:type="dxa"/>
            <w:tcBorders>
              <w:left w:val="single" w:sz="8" w:space="0" w:color="1C1C1C" w:themeColor="text1"/>
              <w:right w:val="single" w:sz="8" w:space="0" w:color="BFBFBF" w:themeColor="background1" w:themeShade="BF"/>
            </w:tcBorders>
            <w:vAlign w:val="bottom"/>
          </w:tcPr>
          <w:p w14:paraId="469C01B4" w14:textId="5191CE2A"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69FA23CA" w14:textId="2D38C70E"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087</w:t>
            </w:r>
          </w:p>
        </w:tc>
        <w:tc>
          <w:tcPr>
            <w:tcW w:w="540" w:type="dxa"/>
            <w:tcBorders>
              <w:left w:val="single" w:sz="8" w:space="0" w:color="1C1C1C" w:themeColor="text1"/>
              <w:right w:val="single" w:sz="8" w:space="0" w:color="BFBFBF" w:themeColor="background1" w:themeShade="BF"/>
            </w:tcBorders>
            <w:vAlign w:val="bottom"/>
          </w:tcPr>
          <w:p w14:paraId="3C3BEE93" w14:textId="3B59805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623C5059" w14:textId="739D2ACC"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3,192</w:t>
            </w:r>
          </w:p>
        </w:tc>
        <w:tc>
          <w:tcPr>
            <w:tcW w:w="630" w:type="dxa"/>
            <w:tcBorders>
              <w:left w:val="single" w:sz="8" w:space="0" w:color="1C1C1C" w:themeColor="text1"/>
              <w:right w:val="single" w:sz="8" w:space="0" w:color="BFBFBF" w:themeColor="background1" w:themeShade="BF"/>
            </w:tcBorders>
            <w:vAlign w:val="bottom"/>
          </w:tcPr>
          <w:p w14:paraId="24AE3603" w14:textId="65457B0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4A5ADF17" w14:textId="11711A2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412</w:t>
            </w:r>
          </w:p>
        </w:tc>
        <w:tc>
          <w:tcPr>
            <w:tcW w:w="810" w:type="dxa"/>
            <w:tcBorders>
              <w:left w:val="single" w:sz="12" w:space="0" w:color="auto"/>
              <w:right w:val="single" w:sz="8" w:space="0" w:color="BFBFBF" w:themeColor="background1" w:themeShade="BF"/>
            </w:tcBorders>
            <w:vAlign w:val="bottom"/>
          </w:tcPr>
          <w:p w14:paraId="1B2D5292" w14:textId="59F01EC9"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11,935</w:t>
            </w:r>
          </w:p>
        </w:tc>
        <w:tc>
          <w:tcPr>
            <w:tcW w:w="720" w:type="dxa"/>
            <w:tcBorders>
              <w:left w:val="single" w:sz="8" w:space="0" w:color="BFBFBF" w:themeColor="background1" w:themeShade="BF"/>
            </w:tcBorders>
            <w:vAlign w:val="bottom"/>
          </w:tcPr>
          <w:p w14:paraId="34C55D04" w14:textId="2238B939"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219,094</w:t>
            </w:r>
          </w:p>
        </w:tc>
      </w:tr>
      <w:tr w:rsidR="007559FF" w:rsidRPr="0081769C" w14:paraId="4CADF275"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768EF0B3"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2045</w:t>
            </w:r>
          </w:p>
        </w:tc>
        <w:tc>
          <w:tcPr>
            <w:tcW w:w="603" w:type="dxa"/>
            <w:tcBorders>
              <w:left w:val="single" w:sz="4" w:space="0" w:color="auto"/>
              <w:right w:val="single" w:sz="8" w:space="0" w:color="BFBFBF" w:themeColor="background1" w:themeShade="BF"/>
            </w:tcBorders>
            <w:vAlign w:val="bottom"/>
          </w:tcPr>
          <w:p w14:paraId="64B4F01F" w14:textId="6D1F447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5,936</w:t>
            </w:r>
          </w:p>
        </w:tc>
        <w:tc>
          <w:tcPr>
            <w:tcW w:w="751" w:type="dxa"/>
            <w:tcBorders>
              <w:left w:val="single" w:sz="8" w:space="0" w:color="BFBFBF" w:themeColor="background1" w:themeShade="BF"/>
              <w:right w:val="single" w:sz="8" w:space="0" w:color="1C1C1C" w:themeColor="text1"/>
            </w:tcBorders>
            <w:vAlign w:val="bottom"/>
          </w:tcPr>
          <w:p w14:paraId="0C6CC116" w14:textId="051FD690"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129,722</w:t>
            </w:r>
          </w:p>
        </w:tc>
        <w:tc>
          <w:tcPr>
            <w:tcW w:w="360" w:type="dxa"/>
            <w:tcBorders>
              <w:left w:val="single" w:sz="8" w:space="0" w:color="1C1C1C" w:themeColor="text1"/>
              <w:right w:val="single" w:sz="8" w:space="0" w:color="BFBFBF" w:themeColor="background1" w:themeShade="BF"/>
            </w:tcBorders>
            <w:noWrap/>
            <w:vAlign w:val="bottom"/>
          </w:tcPr>
          <w:p w14:paraId="43382B14" w14:textId="2B0EDDF7"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5CD9800C" w14:textId="0C27D4A1"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277</w:t>
            </w:r>
          </w:p>
        </w:tc>
        <w:tc>
          <w:tcPr>
            <w:tcW w:w="450" w:type="dxa"/>
            <w:tcBorders>
              <w:left w:val="single" w:sz="8" w:space="0" w:color="1C1C1C" w:themeColor="text1"/>
              <w:right w:val="single" w:sz="8" w:space="0" w:color="BFBFBF" w:themeColor="background1" w:themeShade="BF"/>
            </w:tcBorders>
            <w:vAlign w:val="bottom"/>
          </w:tcPr>
          <w:p w14:paraId="1F1227C6" w14:textId="09FE81D2"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68CA17C" w14:textId="063D922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206</w:t>
            </w:r>
          </w:p>
        </w:tc>
        <w:tc>
          <w:tcPr>
            <w:tcW w:w="540" w:type="dxa"/>
            <w:tcBorders>
              <w:left w:val="single" w:sz="8" w:space="0" w:color="1C1C1C" w:themeColor="text1"/>
              <w:right w:val="single" w:sz="8" w:space="0" w:color="BFBFBF" w:themeColor="background1" w:themeShade="BF"/>
            </w:tcBorders>
            <w:vAlign w:val="bottom"/>
          </w:tcPr>
          <w:p w14:paraId="2C1BE19F" w14:textId="6F7FBFDB"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44AB66DB" w14:textId="12F0163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3,360</w:t>
            </w:r>
          </w:p>
        </w:tc>
        <w:tc>
          <w:tcPr>
            <w:tcW w:w="630" w:type="dxa"/>
            <w:tcBorders>
              <w:left w:val="single" w:sz="8" w:space="0" w:color="1C1C1C" w:themeColor="text1"/>
              <w:right w:val="single" w:sz="8" w:space="0" w:color="BFBFBF" w:themeColor="background1" w:themeShade="BF"/>
            </w:tcBorders>
            <w:vAlign w:val="bottom"/>
          </w:tcPr>
          <w:p w14:paraId="2B501625" w14:textId="1F19BE7E"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3A6E59D7" w14:textId="4378FA31"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434</w:t>
            </w:r>
          </w:p>
        </w:tc>
        <w:tc>
          <w:tcPr>
            <w:tcW w:w="810" w:type="dxa"/>
            <w:tcBorders>
              <w:left w:val="single" w:sz="12" w:space="0" w:color="auto"/>
              <w:right w:val="single" w:sz="8" w:space="0" w:color="BFBFBF" w:themeColor="background1" w:themeShade="BF"/>
            </w:tcBorders>
            <w:vAlign w:val="bottom"/>
          </w:tcPr>
          <w:p w14:paraId="36796320" w14:textId="617388D8"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11,633</w:t>
            </w:r>
          </w:p>
        </w:tc>
        <w:tc>
          <w:tcPr>
            <w:tcW w:w="720" w:type="dxa"/>
            <w:tcBorders>
              <w:left w:val="single" w:sz="8" w:space="0" w:color="BFBFBF" w:themeColor="background1" w:themeShade="BF"/>
            </w:tcBorders>
            <w:vAlign w:val="bottom"/>
          </w:tcPr>
          <w:p w14:paraId="69DC8A2E" w14:textId="7BAE1D6E"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230,727</w:t>
            </w:r>
          </w:p>
        </w:tc>
      </w:tr>
      <w:tr w:rsidR="00506B65" w:rsidRPr="0081769C" w14:paraId="2A9B18FE" w14:textId="77777777" w:rsidTr="00F301E5">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83B53FC"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2046</w:t>
            </w:r>
          </w:p>
        </w:tc>
        <w:tc>
          <w:tcPr>
            <w:tcW w:w="603" w:type="dxa"/>
            <w:tcBorders>
              <w:left w:val="single" w:sz="4" w:space="0" w:color="auto"/>
              <w:right w:val="single" w:sz="8" w:space="0" w:color="BFBFBF" w:themeColor="background1" w:themeShade="BF"/>
            </w:tcBorders>
            <w:vAlign w:val="bottom"/>
          </w:tcPr>
          <w:p w14:paraId="2711D074" w14:textId="3C349E6E"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5,722</w:t>
            </w:r>
          </w:p>
        </w:tc>
        <w:tc>
          <w:tcPr>
            <w:tcW w:w="751" w:type="dxa"/>
            <w:tcBorders>
              <w:left w:val="single" w:sz="8" w:space="0" w:color="BFBFBF" w:themeColor="background1" w:themeShade="BF"/>
              <w:right w:val="single" w:sz="8" w:space="0" w:color="1C1C1C" w:themeColor="text1"/>
            </w:tcBorders>
            <w:vAlign w:val="bottom"/>
          </w:tcPr>
          <w:p w14:paraId="7176A6D0" w14:textId="4CF1F577"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135,444</w:t>
            </w:r>
          </w:p>
        </w:tc>
        <w:tc>
          <w:tcPr>
            <w:tcW w:w="360" w:type="dxa"/>
            <w:tcBorders>
              <w:left w:val="single" w:sz="8" w:space="0" w:color="1C1C1C" w:themeColor="text1"/>
              <w:right w:val="single" w:sz="8" w:space="0" w:color="BFBFBF" w:themeColor="background1" w:themeShade="BF"/>
            </w:tcBorders>
            <w:noWrap/>
            <w:vAlign w:val="bottom"/>
          </w:tcPr>
          <w:p w14:paraId="6FEA6E00" w14:textId="10BBCD3B"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0F8ADA55" w14:textId="5FFE625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291</w:t>
            </w:r>
          </w:p>
        </w:tc>
        <w:tc>
          <w:tcPr>
            <w:tcW w:w="450" w:type="dxa"/>
            <w:tcBorders>
              <w:left w:val="single" w:sz="8" w:space="0" w:color="1C1C1C" w:themeColor="text1"/>
              <w:right w:val="single" w:sz="8" w:space="0" w:color="BFBFBF" w:themeColor="background1" w:themeShade="BF"/>
            </w:tcBorders>
            <w:vAlign w:val="bottom"/>
          </w:tcPr>
          <w:p w14:paraId="5CE6AABF" w14:textId="7CF5D1F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8314040" w14:textId="750CB09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325</w:t>
            </w:r>
          </w:p>
        </w:tc>
        <w:tc>
          <w:tcPr>
            <w:tcW w:w="540" w:type="dxa"/>
            <w:tcBorders>
              <w:left w:val="single" w:sz="8" w:space="0" w:color="1C1C1C" w:themeColor="text1"/>
              <w:right w:val="single" w:sz="8" w:space="0" w:color="BFBFBF" w:themeColor="background1" w:themeShade="BF"/>
            </w:tcBorders>
            <w:vAlign w:val="bottom"/>
          </w:tcPr>
          <w:p w14:paraId="347A8914" w14:textId="1F90235B"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5BE99616" w14:textId="77A90D75"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3,528</w:t>
            </w:r>
          </w:p>
        </w:tc>
        <w:tc>
          <w:tcPr>
            <w:tcW w:w="630" w:type="dxa"/>
            <w:tcBorders>
              <w:left w:val="single" w:sz="8" w:space="0" w:color="1C1C1C" w:themeColor="text1"/>
              <w:right w:val="single" w:sz="8" w:space="0" w:color="BFBFBF" w:themeColor="background1" w:themeShade="BF"/>
            </w:tcBorders>
            <w:vAlign w:val="bottom"/>
          </w:tcPr>
          <w:p w14:paraId="135B3104" w14:textId="572EF52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2C74185B" w14:textId="400D8ABC"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455</w:t>
            </w:r>
          </w:p>
        </w:tc>
        <w:tc>
          <w:tcPr>
            <w:tcW w:w="810" w:type="dxa"/>
            <w:tcBorders>
              <w:left w:val="single" w:sz="12" w:space="0" w:color="auto"/>
              <w:right w:val="single" w:sz="8" w:space="0" w:color="BFBFBF" w:themeColor="background1" w:themeShade="BF"/>
            </w:tcBorders>
            <w:vAlign w:val="bottom"/>
          </w:tcPr>
          <w:p w14:paraId="7CD733D8" w14:textId="212C188A"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11,420</w:t>
            </w:r>
          </w:p>
        </w:tc>
        <w:tc>
          <w:tcPr>
            <w:tcW w:w="720" w:type="dxa"/>
            <w:tcBorders>
              <w:left w:val="single" w:sz="8" w:space="0" w:color="BFBFBF" w:themeColor="background1" w:themeShade="BF"/>
            </w:tcBorders>
            <w:vAlign w:val="bottom"/>
          </w:tcPr>
          <w:p w14:paraId="66ECEF09" w14:textId="6DF290F8"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242,147</w:t>
            </w:r>
          </w:p>
        </w:tc>
      </w:tr>
      <w:tr w:rsidR="007559FF" w:rsidRPr="0081769C" w14:paraId="280BBF71"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B1A9142"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2047</w:t>
            </w:r>
          </w:p>
        </w:tc>
        <w:tc>
          <w:tcPr>
            <w:tcW w:w="603" w:type="dxa"/>
            <w:tcBorders>
              <w:left w:val="single" w:sz="4" w:space="0" w:color="auto"/>
              <w:right w:val="single" w:sz="8" w:space="0" w:color="BFBFBF" w:themeColor="background1" w:themeShade="BF"/>
            </w:tcBorders>
            <w:vAlign w:val="bottom"/>
          </w:tcPr>
          <w:p w14:paraId="6543414E" w14:textId="5CFD7232"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5,752</w:t>
            </w:r>
          </w:p>
        </w:tc>
        <w:tc>
          <w:tcPr>
            <w:tcW w:w="751" w:type="dxa"/>
            <w:tcBorders>
              <w:left w:val="single" w:sz="8" w:space="0" w:color="BFBFBF" w:themeColor="background1" w:themeShade="BF"/>
              <w:right w:val="single" w:sz="8" w:space="0" w:color="1C1C1C" w:themeColor="text1"/>
            </w:tcBorders>
            <w:vAlign w:val="bottom"/>
          </w:tcPr>
          <w:p w14:paraId="602D2D3E" w14:textId="28E8012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141,196</w:t>
            </w:r>
          </w:p>
        </w:tc>
        <w:tc>
          <w:tcPr>
            <w:tcW w:w="360" w:type="dxa"/>
            <w:tcBorders>
              <w:left w:val="single" w:sz="8" w:space="0" w:color="1C1C1C" w:themeColor="text1"/>
              <w:right w:val="single" w:sz="8" w:space="0" w:color="BFBFBF" w:themeColor="background1" w:themeShade="BF"/>
            </w:tcBorders>
            <w:noWrap/>
            <w:vAlign w:val="bottom"/>
          </w:tcPr>
          <w:p w14:paraId="402D908B" w14:textId="7662FFA1"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2F0F095A" w14:textId="413F5EA4"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305</w:t>
            </w:r>
          </w:p>
        </w:tc>
        <w:tc>
          <w:tcPr>
            <w:tcW w:w="450" w:type="dxa"/>
            <w:tcBorders>
              <w:left w:val="single" w:sz="8" w:space="0" w:color="1C1C1C" w:themeColor="text1"/>
              <w:right w:val="single" w:sz="8" w:space="0" w:color="BFBFBF" w:themeColor="background1" w:themeShade="BF"/>
            </w:tcBorders>
            <w:vAlign w:val="bottom"/>
          </w:tcPr>
          <w:p w14:paraId="6EE687E7" w14:textId="589B5DDD"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CF88A54" w14:textId="78089C7A"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445</w:t>
            </w:r>
          </w:p>
        </w:tc>
        <w:tc>
          <w:tcPr>
            <w:tcW w:w="540" w:type="dxa"/>
            <w:tcBorders>
              <w:left w:val="single" w:sz="8" w:space="0" w:color="1C1C1C" w:themeColor="text1"/>
              <w:right w:val="single" w:sz="8" w:space="0" w:color="BFBFBF" w:themeColor="background1" w:themeShade="BF"/>
            </w:tcBorders>
            <w:vAlign w:val="bottom"/>
          </w:tcPr>
          <w:p w14:paraId="05DF7117" w14:textId="2B763293"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68023826" w14:textId="707EE89F"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3,696</w:t>
            </w:r>
          </w:p>
        </w:tc>
        <w:tc>
          <w:tcPr>
            <w:tcW w:w="630" w:type="dxa"/>
            <w:tcBorders>
              <w:left w:val="single" w:sz="8" w:space="0" w:color="1C1C1C" w:themeColor="text1"/>
              <w:right w:val="single" w:sz="8" w:space="0" w:color="BFBFBF" w:themeColor="background1" w:themeShade="BF"/>
            </w:tcBorders>
            <w:vAlign w:val="bottom"/>
          </w:tcPr>
          <w:p w14:paraId="7ADBFE8D" w14:textId="04CB8A6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64C15A03" w14:textId="4F7D571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477</w:t>
            </w:r>
          </w:p>
        </w:tc>
        <w:tc>
          <w:tcPr>
            <w:tcW w:w="810" w:type="dxa"/>
            <w:tcBorders>
              <w:left w:val="single" w:sz="12" w:space="0" w:color="auto"/>
              <w:right w:val="single" w:sz="8" w:space="0" w:color="BFBFBF" w:themeColor="background1" w:themeShade="BF"/>
            </w:tcBorders>
            <w:vAlign w:val="bottom"/>
          </w:tcPr>
          <w:p w14:paraId="68A717CE" w14:textId="42E3CEE0"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11,449</w:t>
            </w:r>
          </w:p>
        </w:tc>
        <w:tc>
          <w:tcPr>
            <w:tcW w:w="720" w:type="dxa"/>
            <w:tcBorders>
              <w:left w:val="single" w:sz="8" w:space="0" w:color="BFBFBF" w:themeColor="background1" w:themeShade="BF"/>
            </w:tcBorders>
            <w:vAlign w:val="bottom"/>
          </w:tcPr>
          <w:p w14:paraId="6D491732" w14:textId="45704506"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253,597</w:t>
            </w:r>
          </w:p>
        </w:tc>
      </w:tr>
      <w:tr w:rsidR="00506B65" w:rsidRPr="0081769C" w14:paraId="283098F0" w14:textId="77777777" w:rsidTr="00F301E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5BC29A4"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2048</w:t>
            </w:r>
          </w:p>
        </w:tc>
        <w:tc>
          <w:tcPr>
            <w:tcW w:w="603" w:type="dxa"/>
            <w:tcBorders>
              <w:left w:val="single" w:sz="4" w:space="0" w:color="auto"/>
              <w:right w:val="single" w:sz="8" w:space="0" w:color="BFBFBF" w:themeColor="background1" w:themeShade="BF"/>
            </w:tcBorders>
            <w:vAlign w:val="bottom"/>
          </w:tcPr>
          <w:p w14:paraId="7E965F60" w14:textId="599D5144"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5,682</w:t>
            </w:r>
          </w:p>
        </w:tc>
        <w:tc>
          <w:tcPr>
            <w:tcW w:w="751" w:type="dxa"/>
            <w:tcBorders>
              <w:left w:val="single" w:sz="8" w:space="0" w:color="BFBFBF" w:themeColor="background1" w:themeShade="BF"/>
              <w:right w:val="single" w:sz="8" w:space="0" w:color="1C1C1C" w:themeColor="text1"/>
            </w:tcBorders>
            <w:vAlign w:val="bottom"/>
          </w:tcPr>
          <w:p w14:paraId="69D5EE2B" w14:textId="525012FF"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146,878</w:t>
            </w:r>
          </w:p>
        </w:tc>
        <w:tc>
          <w:tcPr>
            <w:tcW w:w="360" w:type="dxa"/>
            <w:tcBorders>
              <w:left w:val="single" w:sz="8" w:space="0" w:color="1C1C1C" w:themeColor="text1"/>
              <w:right w:val="single" w:sz="8" w:space="0" w:color="BFBFBF" w:themeColor="background1" w:themeShade="BF"/>
            </w:tcBorders>
            <w:noWrap/>
            <w:vAlign w:val="bottom"/>
          </w:tcPr>
          <w:p w14:paraId="4F1ED10B" w14:textId="2952755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6C4682A3" w14:textId="5986C5AA"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319</w:t>
            </w:r>
          </w:p>
        </w:tc>
        <w:tc>
          <w:tcPr>
            <w:tcW w:w="450" w:type="dxa"/>
            <w:tcBorders>
              <w:left w:val="single" w:sz="8" w:space="0" w:color="1C1C1C" w:themeColor="text1"/>
              <w:right w:val="single" w:sz="8" w:space="0" w:color="BFBFBF" w:themeColor="background1" w:themeShade="BF"/>
            </w:tcBorders>
            <w:vAlign w:val="bottom"/>
          </w:tcPr>
          <w:p w14:paraId="680E99C7" w14:textId="14FD6E62"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132E5D29" w14:textId="2C19E39C"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564</w:t>
            </w:r>
          </w:p>
        </w:tc>
        <w:tc>
          <w:tcPr>
            <w:tcW w:w="540" w:type="dxa"/>
            <w:tcBorders>
              <w:left w:val="single" w:sz="8" w:space="0" w:color="1C1C1C" w:themeColor="text1"/>
              <w:right w:val="single" w:sz="8" w:space="0" w:color="BFBFBF" w:themeColor="background1" w:themeShade="BF"/>
            </w:tcBorders>
            <w:vAlign w:val="bottom"/>
          </w:tcPr>
          <w:p w14:paraId="74B896A7" w14:textId="4FAF16F1"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68787DAD" w14:textId="0B100D1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3,864</w:t>
            </w:r>
          </w:p>
        </w:tc>
        <w:tc>
          <w:tcPr>
            <w:tcW w:w="630" w:type="dxa"/>
            <w:tcBorders>
              <w:left w:val="single" w:sz="8" w:space="0" w:color="1C1C1C" w:themeColor="text1"/>
              <w:right w:val="single" w:sz="8" w:space="0" w:color="BFBFBF" w:themeColor="background1" w:themeShade="BF"/>
            </w:tcBorders>
            <w:vAlign w:val="bottom"/>
          </w:tcPr>
          <w:p w14:paraId="41EC2F75" w14:textId="1A0BFD17"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1CE57066" w14:textId="3C2D7E50"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499</w:t>
            </w:r>
          </w:p>
        </w:tc>
        <w:tc>
          <w:tcPr>
            <w:tcW w:w="810" w:type="dxa"/>
            <w:tcBorders>
              <w:left w:val="single" w:sz="12" w:space="0" w:color="auto"/>
              <w:right w:val="single" w:sz="8" w:space="0" w:color="BFBFBF" w:themeColor="background1" w:themeShade="BF"/>
            </w:tcBorders>
            <w:vAlign w:val="bottom"/>
          </w:tcPr>
          <w:p w14:paraId="2915CB2E" w14:textId="5AA0F5A3"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11,379</w:t>
            </w:r>
          </w:p>
        </w:tc>
        <w:tc>
          <w:tcPr>
            <w:tcW w:w="720" w:type="dxa"/>
            <w:tcBorders>
              <w:left w:val="single" w:sz="8" w:space="0" w:color="BFBFBF" w:themeColor="background1" w:themeShade="BF"/>
            </w:tcBorders>
            <w:vAlign w:val="bottom"/>
          </w:tcPr>
          <w:p w14:paraId="44205A2F" w14:textId="49A70446"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264,976</w:t>
            </w:r>
          </w:p>
        </w:tc>
      </w:tr>
      <w:tr w:rsidR="007559FF" w:rsidRPr="0081769C" w14:paraId="5B2A28A7" w14:textId="77777777" w:rsidTr="00F301E5">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B67FD2F"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2049</w:t>
            </w:r>
          </w:p>
        </w:tc>
        <w:tc>
          <w:tcPr>
            <w:tcW w:w="603" w:type="dxa"/>
            <w:tcBorders>
              <w:left w:val="single" w:sz="4" w:space="0" w:color="auto"/>
              <w:right w:val="single" w:sz="8" w:space="0" w:color="BFBFBF" w:themeColor="background1" w:themeShade="BF"/>
            </w:tcBorders>
            <w:vAlign w:val="bottom"/>
          </w:tcPr>
          <w:p w14:paraId="0F68F7A7" w14:textId="40E018B5"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5,607</w:t>
            </w:r>
          </w:p>
        </w:tc>
        <w:tc>
          <w:tcPr>
            <w:tcW w:w="751" w:type="dxa"/>
            <w:tcBorders>
              <w:left w:val="single" w:sz="8" w:space="0" w:color="BFBFBF" w:themeColor="background1" w:themeShade="BF"/>
              <w:right w:val="single" w:sz="8" w:space="0" w:color="1C1C1C" w:themeColor="text1"/>
            </w:tcBorders>
            <w:vAlign w:val="bottom"/>
          </w:tcPr>
          <w:p w14:paraId="48F173A5" w14:textId="2F21FEB9"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152,484</w:t>
            </w:r>
          </w:p>
        </w:tc>
        <w:tc>
          <w:tcPr>
            <w:tcW w:w="360" w:type="dxa"/>
            <w:tcBorders>
              <w:left w:val="single" w:sz="8" w:space="0" w:color="1C1C1C" w:themeColor="text1"/>
              <w:right w:val="single" w:sz="8" w:space="0" w:color="BFBFBF" w:themeColor="background1" w:themeShade="BF"/>
            </w:tcBorders>
            <w:noWrap/>
            <w:vAlign w:val="bottom"/>
          </w:tcPr>
          <w:p w14:paraId="71EE60B2" w14:textId="71890660"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6100921C" w14:textId="4B11F0F3"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333</w:t>
            </w:r>
          </w:p>
        </w:tc>
        <w:tc>
          <w:tcPr>
            <w:tcW w:w="450" w:type="dxa"/>
            <w:tcBorders>
              <w:left w:val="single" w:sz="8" w:space="0" w:color="1C1C1C" w:themeColor="text1"/>
              <w:right w:val="single" w:sz="8" w:space="0" w:color="BFBFBF" w:themeColor="background1" w:themeShade="BF"/>
            </w:tcBorders>
            <w:vAlign w:val="bottom"/>
          </w:tcPr>
          <w:p w14:paraId="6DF22957" w14:textId="72203CA3"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7E28E164" w14:textId="316790A7"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683</w:t>
            </w:r>
          </w:p>
        </w:tc>
        <w:tc>
          <w:tcPr>
            <w:tcW w:w="540" w:type="dxa"/>
            <w:tcBorders>
              <w:left w:val="single" w:sz="8" w:space="0" w:color="1C1C1C" w:themeColor="text1"/>
              <w:right w:val="single" w:sz="8" w:space="0" w:color="BFBFBF" w:themeColor="background1" w:themeShade="BF"/>
            </w:tcBorders>
            <w:vAlign w:val="bottom"/>
          </w:tcPr>
          <w:p w14:paraId="015BC406" w14:textId="01D22623"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387BD60C" w14:textId="760DC1D6"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4,032</w:t>
            </w:r>
          </w:p>
        </w:tc>
        <w:tc>
          <w:tcPr>
            <w:tcW w:w="630" w:type="dxa"/>
            <w:tcBorders>
              <w:left w:val="single" w:sz="8" w:space="0" w:color="1C1C1C" w:themeColor="text1"/>
              <w:right w:val="single" w:sz="8" w:space="0" w:color="BFBFBF" w:themeColor="background1" w:themeShade="BF"/>
            </w:tcBorders>
            <w:vAlign w:val="bottom"/>
          </w:tcPr>
          <w:p w14:paraId="2BFC0A71" w14:textId="678F5DF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7F296185" w14:textId="79136E78" w:rsidR="007559FF" w:rsidRPr="00F301E5" w:rsidRDefault="007559FF"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521</w:t>
            </w:r>
          </w:p>
        </w:tc>
        <w:tc>
          <w:tcPr>
            <w:tcW w:w="810" w:type="dxa"/>
            <w:tcBorders>
              <w:left w:val="single" w:sz="12" w:space="0" w:color="auto"/>
              <w:right w:val="single" w:sz="8" w:space="0" w:color="BFBFBF" w:themeColor="background1" w:themeShade="BF"/>
            </w:tcBorders>
            <w:vAlign w:val="bottom"/>
          </w:tcPr>
          <w:p w14:paraId="718F2EAA" w14:textId="07586A54"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11,304</w:t>
            </w:r>
          </w:p>
        </w:tc>
        <w:tc>
          <w:tcPr>
            <w:tcW w:w="720" w:type="dxa"/>
            <w:tcBorders>
              <w:left w:val="single" w:sz="8" w:space="0" w:color="BFBFBF" w:themeColor="background1" w:themeShade="BF"/>
            </w:tcBorders>
            <w:vAlign w:val="bottom"/>
          </w:tcPr>
          <w:p w14:paraId="1CFE19A2" w14:textId="55AED7E4" w:rsidR="007559FF" w:rsidRPr="00F301E5" w:rsidRDefault="003C1095" w:rsidP="007559FF">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Pr>
                <w:rFonts w:cs="Calibri"/>
                <w:color w:val="000000"/>
                <w:sz w:val="20"/>
                <w:szCs w:val="20"/>
              </w:rPr>
              <w:t>276,281</w:t>
            </w:r>
          </w:p>
        </w:tc>
      </w:tr>
      <w:tr w:rsidR="00506B65" w:rsidRPr="0081769C" w14:paraId="47CF6E1F" w14:textId="77777777" w:rsidTr="00F301E5">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446" w:type="dxa"/>
            <w:tcBorders>
              <w:bottom w:val="single" w:sz="4" w:space="0" w:color="000000"/>
              <w:right w:val="single" w:sz="4" w:space="0" w:color="auto"/>
            </w:tcBorders>
            <w:vAlign w:val="center"/>
            <w:hideMark/>
          </w:tcPr>
          <w:p w14:paraId="7B666F79" w14:textId="77777777" w:rsidR="007559FF" w:rsidRPr="00F301E5" w:rsidRDefault="007559FF" w:rsidP="007559FF">
            <w:pPr>
              <w:spacing w:after="0"/>
              <w:jc w:val="center"/>
              <w:rPr>
                <w:rFonts w:eastAsia="Times New Roman" w:cs="Calibri"/>
                <w:b w:val="0"/>
                <w:bCs w:val="0"/>
                <w:sz w:val="20"/>
                <w:szCs w:val="20"/>
                <w:lang w:eastAsia="en-US"/>
              </w:rPr>
            </w:pPr>
            <w:r w:rsidRPr="00F301E5">
              <w:rPr>
                <w:rFonts w:eastAsia="Times New Roman" w:cs="Calibri"/>
                <w:b w:val="0"/>
                <w:bCs w:val="0"/>
                <w:sz w:val="20"/>
                <w:szCs w:val="20"/>
                <w:lang w:eastAsia="en-US"/>
              </w:rPr>
              <w:t>2050</w:t>
            </w:r>
          </w:p>
        </w:tc>
        <w:tc>
          <w:tcPr>
            <w:tcW w:w="603" w:type="dxa"/>
            <w:tcBorders>
              <w:left w:val="single" w:sz="4" w:space="0" w:color="auto"/>
              <w:right w:val="single" w:sz="8" w:space="0" w:color="BFBFBF" w:themeColor="background1" w:themeShade="BF"/>
            </w:tcBorders>
            <w:vAlign w:val="bottom"/>
          </w:tcPr>
          <w:p w14:paraId="23CF68E0" w14:textId="18A10C6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5,325</w:t>
            </w:r>
          </w:p>
        </w:tc>
        <w:tc>
          <w:tcPr>
            <w:tcW w:w="751" w:type="dxa"/>
            <w:tcBorders>
              <w:left w:val="single" w:sz="8" w:space="0" w:color="BFBFBF" w:themeColor="background1" w:themeShade="BF"/>
              <w:right w:val="single" w:sz="8" w:space="0" w:color="1C1C1C" w:themeColor="text1"/>
            </w:tcBorders>
            <w:vAlign w:val="bottom"/>
          </w:tcPr>
          <w:p w14:paraId="66F70CD9" w14:textId="35427118"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157,809</w:t>
            </w:r>
          </w:p>
        </w:tc>
        <w:tc>
          <w:tcPr>
            <w:tcW w:w="360" w:type="dxa"/>
            <w:tcBorders>
              <w:left w:val="single" w:sz="8" w:space="0" w:color="1C1C1C" w:themeColor="text1"/>
              <w:right w:val="single" w:sz="8" w:space="0" w:color="BFBFBF" w:themeColor="background1" w:themeShade="BF"/>
            </w:tcBorders>
            <w:noWrap/>
            <w:vAlign w:val="bottom"/>
          </w:tcPr>
          <w:p w14:paraId="2EB4D8DE" w14:textId="0A0FA330"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14</w:t>
            </w:r>
          </w:p>
        </w:tc>
        <w:tc>
          <w:tcPr>
            <w:tcW w:w="630" w:type="dxa"/>
            <w:tcBorders>
              <w:left w:val="single" w:sz="8" w:space="0" w:color="BFBFBF" w:themeColor="background1" w:themeShade="BF"/>
              <w:right w:val="single" w:sz="8" w:space="0" w:color="1C1C1C" w:themeColor="text1"/>
            </w:tcBorders>
            <w:vAlign w:val="bottom"/>
          </w:tcPr>
          <w:p w14:paraId="6AF09609" w14:textId="749A894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347</w:t>
            </w:r>
          </w:p>
        </w:tc>
        <w:tc>
          <w:tcPr>
            <w:tcW w:w="450" w:type="dxa"/>
            <w:tcBorders>
              <w:left w:val="single" w:sz="8" w:space="0" w:color="1C1C1C" w:themeColor="text1"/>
              <w:right w:val="single" w:sz="8" w:space="0" w:color="BFBFBF" w:themeColor="background1" w:themeShade="BF"/>
            </w:tcBorders>
            <w:vAlign w:val="bottom"/>
          </w:tcPr>
          <w:p w14:paraId="2AB8CBDC" w14:textId="46EDDAF5"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119</w:t>
            </w:r>
          </w:p>
        </w:tc>
        <w:tc>
          <w:tcPr>
            <w:tcW w:w="630" w:type="dxa"/>
            <w:tcBorders>
              <w:left w:val="single" w:sz="8" w:space="0" w:color="BFBFBF" w:themeColor="background1" w:themeShade="BF"/>
              <w:right w:val="single" w:sz="8" w:space="0" w:color="1C1C1C" w:themeColor="text1"/>
            </w:tcBorders>
            <w:vAlign w:val="bottom"/>
          </w:tcPr>
          <w:p w14:paraId="0E7182AD" w14:textId="4A6E510D"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w:t>
            </w:r>
            <w:r w:rsidR="003C1095" w:rsidRPr="00F301E5">
              <w:rPr>
                <w:rFonts w:cs="Calibri"/>
                <w:color w:val="000000"/>
                <w:sz w:val="20"/>
                <w:szCs w:val="20"/>
              </w:rPr>
              <w:t>802</w:t>
            </w:r>
          </w:p>
        </w:tc>
        <w:tc>
          <w:tcPr>
            <w:tcW w:w="540" w:type="dxa"/>
            <w:tcBorders>
              <w:left w:val="single" w:sz="8" w:space="0" w:color="1C1C1C" w:themeColor="text1"/>
              <w:right w:val="single" w:sz="8" w:space="0" w:color="BFBFBF" w:themeColor="background1" w:themeShade="BF"/>
            </w:tcBorders>
            <w:vAlign w:val="bottom"/>
          </w:tcPr>
          <w:p w14:paraId="33AEF2D3" w14:textId="08D226A2"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168</w:t>
            </w:r>
          </w:p>
        </w:tc>
        <w:tc>
          <w:tcPr>
            <w:tcW w:w="630" w:type="dxa"/>
            <w:tcBorders>
              <w:left w:val="single" w:sz="8" w:space="0" w:color="BFBFBF" w:themeColor="background1" w:themeShade="BF"/>
              <w:right w:val="single" w:sz="8" w:space="0" w:color="1C1C1C" w:themeColor="text1"/>
            </w:tcBorders>
            <w:vAlign w:val="bottom"/>
          </w:tcPr>
          <w:p w14:paraId="59A66989" w14:textId="0120D10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4,200</w:t>
            </w:r>
          </w:p>
        </w:tc>
        <w:tc>
          <w:tcPr>
            <w:tcW w:w="630" w:type="dxa"/>
            <w:tcBorders>
              <w:left w:val="single" w:sz="8" w:space="0" w:color="1C1C1C" w:themeColor="text1"/>
              <w:right w:val="single" w:sz="8" w:space="0" w:color="BFBFBF" w:themeColor="background1" w:themeShade="BF"/>
            </w:tcBorders>
            <w:vAlign w:val="bottom"/>
          </w:tcPr>
          <w:p w14:paraId="11EA4A80" w14:textId="75C6FECF"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22</w:t>
            </w:r>
          </w:p>
        </w:tc>
        <w:tc>
          <w:tcPr>
            <w:tcW w:w="720" w:type="dxa"/>
            <w:tcBorders>
              <w:left w:val="single" w:sz="8" w:space="0" w:color="BFBFBF" w:themeColor="background1" w:themeShade="BF"/>
              <w:right w:val="single" w:sz="12" w:space="0" w:color="auto"/>
            </w:tcBorders>
            <w:vAlign w:val="bottom"/>
          </w:tcPr>
          <w:p w14:paraId="6438BD88" w14:textId="07430696" w:rsidR="007559FF" w:rsidRPr="00F301E5" w:rsidRDefault="007559FF"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F301E5">
              <w:rPr>
                <w:rFonts w:cs="Calibri"/>
                <w:color w:val="000000"/>
                <w:sz w:val="20"/>
                <w:szCs w:val="20"/>
              </w:rPr>
              <w:t>542</w:t>
            </w:r>
          </w:p>
        </w:tc>
        <w:tc>
          <w:tcPr>
            <w:tcW w:w="810" w:type="dxa"/>
            <w:tcBorders>
              <w:left w:val="single" w:sz="12" w:space="0" w:color="auto"/>
              <w:bottom w:val="single" w:sz="4" w:space="0" w:color="000000"/>
              <w:right w:val="single" w:sz="8" w:space="0" w:color="BFBFBF" w:themeColor="background1" w:themeShade="BF"/>
            </w:tcBorders>
            <w:vAlign w:val="bottom"/>
          </w:tcPr>
          <w:p w14:paraId="6FCBEA9D" w14:textId="3C8695C1"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Pr>
                <w:rFonts w:cs="Calibri"/>
                <w:color w:val="000000"/>
                <w:sz w:val="20"/>
                <w:szCs w:val="20"/>
              </w:rPr>
              <w:t>11,023</w:t>
            </w:r>
          </w:p>
        </w:tc>
        <w:tc>
          <w:tcPr>
            <w:tcW w:w="720" w:type="dxa"/>
            <w:tcBorders>
              <w:left w:val="single" w:sz="8" w:space="0" w:color="BFBFBF" w:themeColor="background1" w:themeShade="BF"/>
              <w:bottom w:val="single" w:sz="4" w:space="0" w:color="000000"/>
            </w:tcBorders>
            <w:vAlign w:val="bottom"/>
          </w:tcPr>
          <w:p w14:paraId="7CF46B90" w14:textId="3A78A29B" w:rsidR="007559FF" w:rsidRPr="00F301E5" w:rsidRDefault="003C1095" w:rsidP="007559FF">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Pr>
                <w:rFonts w:cs="Calibri"/>
                <w:color w:val="000000"/>
                <w:sz w:val="20"/>
                <w:szCs w:val="20"/>
              </w:rPr>
              <w:t>287,304</w:t>
            </w:r>
          </w:p>
        </w:tc>
      </w:tr>
    </w:tbl>
    <w:p w14:paraId="76CE9E07" w14:textId="77777777" w:rsidR="003A2447" w:rsidRPr="0025679A" w:rsidRDefault="003A2447" w:rsidP="003A2447">
      <w:pPr>
        <w:pStyle w:val="BodyText"/>
        <w:spacing w:after="0" w:line="160" w:lineRule="exact"/>
        <w:rPr>
          <w:sz w:val="16"/>
          <w:szCs w:val="16"/>
        </w:rPr>
      </w:pPr>
      <w:r w:rsidRPr="00705450">
        <w:rPr>
          <w:sz w:val="16"/>
          <w:szCs w:val="16"/>
        </w:rPr>
        <w:t>Note: negative reductions in above table indicate added emissions.</w:t>
      </w:r>
      <w:r>
        <w:rPr>
          <w:sz w:val="16"/>
          <w:szCs w:val="16"/>
        </w:rPr>
        <w:t xml:space="preserve"> Results of example projects not included separately in table but are embedded in program-level analysis results.</w:t>
      </w:r>
    </w:p>
    <w:p w14:paraId="06CEE195" w14:textId="24AEE7EA" w:rsidR="0083654E" w:rsidRDefault="0083654E" w:rsidP="0083654E">
      <w:pPr>
        <w:pStyle w:val="Heading1"/>
        <w:numPr>
          <w:ilvl w:val="0"/>
          <w:numId w:val="0"/>
        </w:numPr>
        <w:ind w:left="792" w:hanging="792"/>
      </w:pPr>
      <w:r>
        <w:t>#3: Indianapolis Area Renewable Energy and Waste Reduction</w:t>
      </w:r>
    </w:p>
    <w:p w14:paraId="5A8C9C0C" w14:textId="3E49B9A0" w:rsidR="00F341A2" w:rsidRDefault="005611AC" w:rsidP="005F0D8D">
      <w:r>
        <w:t>The Indianapolis Motor Speedway</w:t>
      </w:r>
      <w:r w:rsidR="00ED11CA">
        <w:t xml:space="preserve"> (IMS)</w:t>
      </w:r>
      <w:r>
        <w:t xml:space="preserve">, in partnership with the American Dairy Association, </w:t>
      </w:r>
      <w:r w:rsidR="002F2448">
        <w:t xml:space="preserve">would implement a food waste collection </w:t>
      </w:r>
      <w:r w:rsidR="00A27E44">
        <w:t xml:space="preserve">program around the </w:t>
      </w:r>
      <w:r w:rsidR="00126544">
        <w:t>City of Indianapolis</w:t>
      </w:r>
      <w:r w:rsidR="002B32AB">
        <w:t xml:space="preserve"> to support the production of renewable natural gas (RNG)</w:t>
      </w:r>
      <w:r w:rsidR="00C56063">
        <w:t xml:space="preserve">. </w:t>
      </w:r>
      <w:r w:rsidR="00EE31EE">
        <w:t>The</w:t>
      </w:r>
      <w:r w:rsidR="00DB52CA">
        <w:t xml:space="preserve"> Renewable Energy and Waste Reduction</w:t>
      </w:r>
      <w:r w:rsidR="00EE31EE">
        <w:t xml:space="preserve"> </w:t>
      </w:r>
      <w:r w:rsidR="0058121A">
        <w:t>O</w:t>
      </w:r>
      <w:r w:rsidR="0068253E">
        <w:t>peration</w:t>
      </w:r>
      <w:r w:rsidR="002C2E77">
        <w:t xml:space="preserve"> would collect food waste </w:t>
      </w:r>
      <w:r w:rsidR="00766EFF">
        <w:t xml:space="preserve">from </w:t>
      </w:r>
      <w:r w:rsidR="00ED11CA">
        <w:t>IMS</w:t>
      </w:r>
      <w:r w:rsidR="007023D5">
        <w:t xml:space="preserve"> </w:t>
      </w:r>
      <w:r w:rsidR="00C63A69">
        <w:t>events</w:t>
      </w:r>
      <w:r w:rsidR="004A605F">
        <w:t>, grocery stores,</w:t>
      </w:r>
      <w:r w:rsidR="00C63A69">
        <w:t xml:space="preserve"> </w:t>
      </w:r>
      <w:r w:rsidR="00766EFF">
        <w:t>and restaurants i</w:t>
      </w:r>
      <w:r w:rsidR="00EA28F3">
        <w:t>n Marion County</w:t>
      </w:r>
      <w:r w:rsidR="00351483">
        <w:t>, as well as collect</w:t>
      </w:r>
      <w:r w:rsidR="00B60F25">
        <w:t xml:space="preserve"> </w:t>
      </w:r>
      <w:r w:rsidR="00A7069A">
        <w:t>farm animal</w:t>
      </w:r>
      <w:r w:rsidR="00B60F25">
        <w:t xml:space="preserve"> waste </w:t>
      </w:r>
      <w:r w:rsidR="00A8353F">
        <w:t xml:space="preserve">to </w:t>
      </w:r>
      <w:r w:rsidR="008B39CC">
        <w:t xml:space="preserve">be transported to an anaerobic digester </w:t>
      </w:r>
      <w:r w:rsidR="00A8353F">
        <w:t>on</w:t>
      </w:r>
      <w:r w:rsidR="00EA28F3">
        <w:t xml:space="preserve"> a </w:t>
      </w:r>
      <w:r w:rsidR="003B4F1B">
        <w:t xml:space="preserve">local dairy </w:t>
      </w:r>
      <w:r w:rsidR="00EA28F3">
        <w:t xml:space="preserve">farm </w:t>
      </w:r>
      <w:r w:rsidR="00457E50">
        <w:t>that</w:t>
      </w:r>
      <w:r w:rsidR="003B4F1B">
        <w:t xml:space="preserve"> </w:t>
      </w:r>
      <w:r w:rsidR="00A8353F">
        <w:t>produce</w:t>
      </w:r>
      <w:r w:rsidR="003F53E0">
        <w:t>s</w:t>
      </w:r>
      <w:r w:rsidR="00A8353F">
        <w:t xml:space="preserve"> </w:t>
      </w:r>
      <w:r w:rsidR="002B32AB">
        <w:t>RNG</w:t>
      </w:r>
      <w:r w:rsidR="00A8353F">
        <w:t>.</w:t>
      </w:r>
      <w:r w:rsidR="00CD46B7">
        <w:t xml:space="preserve"> </w:t>
      </w:r>
      <w:r w:rsidR="006B1295" w:rsidRPr="006B1295">
        <w:t xml:space="preserve">There </w:t>
      </w:r>
      <w:r w:rsidR="008C35EC">
        <w:t>were</w:t>
      </w:r>
      <w:r w:rsidR="006B1295" w:rsidRPr="006B1295">
        <w:t xml:space="preserve"> uncertainties around </w:t>
      </w:r>
      <w:r w:rsidR="00F222E9">
        <w:t xml:space="preserve">the </w:t>
      </w:r>
      <w:r w:rsidR="00FF3373">
        <w:t xml:space="preserve">anticipated </w:t>
      </w:r>
      <w:r w:rsidR="007F451D">
        <w:t>digester</w:t>
      </w:r>
      <w:r w:rsidR="0004683B">
        <w:t xml:space="preserve"> </w:t>
      </w:r>
      <w:r w:rsidR="00A8353F">
        <w:t>location</w:t>
      </w:r>
      <w:r w:rsidR="0004683B">
        <w:t xml:space="preserve">, </w:t>
      </w:r>
      <w:r w:rsidR="004F565D">
        <w:t xml:space="preserve">the </w:t>
      </w:r>
      <w:r w:rsidR="007261BC">
        <w:t xml:space="preserve">amount of </w:t>
      </w:r>
      <w:r w:rsidR="00B106A1">
        <w:t xml:space="preserve">animal </w:t>
      </w:r>
      <w:r w:rsidR="00170A2A">
        <w:t xml:space="preserve">food waste collected, </w:t>
      </w:r>
      <w:r w:rsidR="0004683B">
        <w:t xml:space="preserve">and </w:t>
      </w:r>
      <w:r w:rsidR="004F565D">
        <w:t xml:space="preserve">the </w:t>
      </w:r>
      <w:r w:rsidR="00170A2A">
        <w:t>digester</w:t>
      </w:r>
      <w:r w:rsidR="0004683B">
        <w:t xml:space="preserve"> </w:t>
      </w:r>
      <w:r w:rsidR="001D6B64">
        <w:t xml:space="preserve">RNG </w:t>
      </w:r>
      <w:r w:rsidR="0004683B">
        <w:t>production potentia</w:t>
      </w:r>
      <w:r w:rsidR="00A54319">
        <w:t>l</w:t>
      </w:r>
      <w:r w:rsidR="00972FE9">
        <w:t>. Therefore, for this</w:t>
      </w:r>
      <w:r w:rsidR="006B1295" w:rsidRPr="006B1295">
        <w:t xml:space="preserve"> </w:t>
      </w:r>
      <w:r w:rsidR="00366F88" w:rsidRPr="00366F88">
        <w:t xml:space="preserve">GHG emissions reduction </w:t>
      </w:r>
      <w:r w:rsidR="00972FE9">
        <w:t>analysis, estimates</w:t>
      </w:r>
      <w:r w:rsidR="00366F88" w:rsidRPr="00366F88">
        <w:t xml:space="preserve"> for two different farm options </w:t>
      </w:r>
      <w:r w:rsidR="00972FE9">
        <w:t xml:space="preserve">were calculated </w:t>
      </w:r>
      <w:r w:rsidR="00366F88" w:rsidRPr="00366F88">
        <w:t xml:space="preserve">and </w:t>
      </w:r>
      <w:r w:rsidR="00972FE9">
        <w:t>then</w:t>
      </w:r>
      <w:r w:rsidR="00366F88" w:rsidRPr="00366F88">
        <w:t xml:space="preserve"> averaged.</w:t>
      </w:r>
      <w:r w:rsidR="00B106A1">
        <w:t xml:space="preserve"> There </w:t>
      </w:r>
      <w:r w:rsidR="00376EA7">
        <w:t>were</w:t>
      </w:r>
      <w:r w:rsidR="00B106A1">
        <w:t xml:space="preserve"> also uncertainties around the </w:t>
      </w:r>
      <w:r w:rsidR="00887C62">
        <w:t>location of participating</w:t>
      </w:r>
      <w:r w:rsidR="00B106A1">
        <w:t xml:space="preserve"> </w:t>
      </w:r>
      <w:r w:rsidR="003F53E0">
        <w:t>grocery stores and restaurants</w:t>
      </w:r>
      <w:r w:rsidR="00E1321A">
        <w:t xml:space="preserve"> and</w:t>
      </w:r>
      <w:r w:rsidR="00B106A1">
        <w:t xml:space="preserve"> the </w:t>
      </w:r>
      <w:r w:rsidR="003F53E0">
        <w:t>amount of food waste collected</w:t>
      </w:r>
      <w:r w:rsidR="00FA69EA">
        <w:t xml:space="preserve"> in these locations</w:t>
      </w:r>
      <w:r w:rsidR="003F53E0">
        <w:t xml:space="preserve">, therefore, this analysis </w:t>
      </w:r>
      <w:r w:rsidR="007D211E">
        <w:t xml:space="preserve">conservatively </w:t>
      </w:r>
      <w:r w:rsidR="003F53E0">
        <w:t>assume</w:t>
      </w:r>
      <w:r w:rsidR="005C6374">
        <w:t>d</w:t>
      </w:r>
      <w:r w:rsidR="003F53E0">
        <w:t xml:space="preserve"> the minimum amount of food waste collected will </w:t>
      </w:r>
      <w:r w:rsidR="00887C62">
        <w:t xml:space="preserve">be </w:t>
      </w:r>
      <w:r w:rsidR="008F44FA">
        <w:t xml:space="preserve">the amount </w:t>
      </w:r>
      <w:r w:rsidR="007D211E">
        <w:t xml:space="preserve">produced </w:t>
      </w:r>
      <w:r w:rsidR="00887C62">
        <w:t>from IMS events.</w:t>
      </w:r>
      <w:r w:rsidR="001A1B06">
        <w:t xml:space="preserve"> This analysis account</w:t>
      </w:r>
      <w:r w:rsidR="005C6374">
        <w:t>ed</w:t>
      </w:r>
      <w:r w:rsidR="001A1B06">
        <w:t xml:space="preserve"> for </w:t>
      </w:r>
      <w:r w:rsidR="00993840">
        <w:t xml:space="preserve">emissions reductions from </w:t>
      </w:r>
      <w:r w:rsidR="00D92CEC">
        <w:t xml:space="preserve">RNG production and </w:t>
      </w:r>
      <w:r w:rsidR="00D61D3E">
        <w:t>avoided</w:t>
      </w:r>
      <w:r w:rsidR="001A11EC">
        <w:t xml:space="preserve"> fertilizer use</w:t>
      </w:r>
      <w:r w:rsidR="0057040A">
        <w:t xml:space="preserve">, as well as emissions sources from </w:t>
      </w:r>
      <w:r w:rsidR="00791C9C">
        <w:t xml:space="preserve">waste </w:t>
      </w:r>
      <w:r w:rsidR="00E7725E">
        <w:t xml:space="preserve">transportation and </w:t>
      </w:r>
      <w:r w:rsidR="00CC265A">
        <w:t>reduced composting.</w:t>
      </w:r>
      <w:r w:rsidR="002A7050" w:rsidRPr="002A7050">
        <w:t xml:space="preserve"> </w:t>
      </w:r>
      <w:r w:rsidR="002A7050">
        <w:t>Data on the potential energy consumption of the digester itself was not available, therefore, GHG emissions were not estimated for this. Further, e</w:t>
      </w:r>
      <w:r w:rsidR="002A7050" w:rsidRPr="001102ED">
        <w:t>missions from construction are assumed to be insignificant</w:t>
      </w:r>
      <w:r w:rsidR="002A7050">
        <w:t xml:space="preserve"> and are n</w:t>
      </w:r>
      <w:r w:rsidR="002A7050" w:rsidRPr="001102ED">
        <w:t>ot included.</w:t>
      </w:r>
    </w:p>
    <w:p w14:paraId="1EFDE9EB" w14:textId="6B9C3B71" w:rsidR="008D2787" w:rsidRPr="008D2787" w:rsidRDefault="008D2787" w:rsidP="008D2787">
      <w:pPr>
        <w:pStyle w:val="Heading3"/>
        <w:numPr>
          <w:ilvl w:val="0"/>
          <w:numId w:val="0"/>
        </w:numPr>
        <w:ind w:left="734" w:hanging="734"/>
      </w:pPr>
      <w:r w:rsidRPr="008D2787">
        <w:t>GHG</w:t>
      </w:r>
      <w:r>
        <w:t xml:space="preserve"> Emissions Reductions</w:t>
      </w:r>
    </w:p>
    <w:p w14:paraId="0BBC2B93" w14:textId="2BDF23BA" w:rsidR="00E47E20" w:rsidRDefault="001F6C10" w:rsidP="005F0D8D">
      <w:r>
        <w:t xml:space="preserve">GHG emissions </w:t>
      </w:r>
      <w:r w:rsidR="00341146">
        <w:t xml:space="preserve">reductions </w:t>
      </w:r>
      <w:r>
        <w:t xml:space="preserve">were estimated for </w:t>
      </w:r>
      <w:r w:rsidR="00CF5367">
        <w:t xml:space="preserve">digester </w:t>
      </w:r>
      <w:r w:rsidR="00986E50">
        <w:t xml:space="preserve">RNG </w:t>
      </w:r>
      <w:r w:rsidR="00E4183B">
        <w:t>production</w:t>
      </w:r>
      <w:r w:rsidR="00436E9F">
        <w:t>, assuming this fuel</w:t>
      </w:r>
      <w:r w:rsidR="00986E50">
        <w:t xml:space="preserve"> would </w:t>
      </w:r>
      <w:r w:rsidR="00867B9C">
        <w:t>offset</w:t>
      </w:r>
      <w:r w:rsidR="00420AE3">
        <w:t xml:space="preserve"> conventional natural gas</w:t>
      </w:r>
      <w:r w:rsidR="00A92A35">
        <w:t xml:space="preserve"> consumption</w:t>
      </w:r>
      <w:r w:rsidR="00436E9F">
        <w:t>,</w:t>
      </w:r>
      <w:r w:rsidR="00527AC5">
        <w:t xml:space="preserve"> by multiplying the </w:t>
      </w:r>
      <w:r w:rsidR="00EC0571">
        <w:t>anticipated</w:t>
      </w:r>
      <w:r w:rsidR="00527AC5">
        <w:t xml:space="preserve"> production </w:t>
      </w:r>
      <w:r w:rsidR="005276D6">
        <w:t xml:space="preserve">estimated by IMS </w:t>
      </w:r>
      <w:r w:rsidR="004C314D">
        <w:t>(</w:t>
      </w:r>
      <w:r w:rsidR="00EC0571">
        <w:t xml:space="preserve">average of </w:t>
      </w:r>
      <w:r w:rsidR="004C314D">
        <w:t xml:space="preserve">45,600 </w:t>
      </w:r>
      <w:r w:rsidR="00EC0571">
        <w:t>and</w:t>
      </w:r>
      <w:r w:rsidR="004C314D">
        <w:t xml:space="preserve"> 137,000 MMBtu) </w:t>
      </w:r>
      <w:r w:rsidR="00EC0571">
        <w:t>by</w:t>
      </w:r>
      <w:r w:rsidR="00A92A35">
        <w:t xml:space="preserve"> </w:t>
      </w:r>
      <w:r w:rsidR="006D2753">
        <w:t>EPA’s natural gas emissions factor.</w:t>
      </w:r>
      <w:r w:rsidR="00A670F6">
        <w:rPr>
          <w:rStyle w:val="FootnoteReference"/>
        </w:rPr>
        <w:footnoteReference w:id="22"/>
      </w:r>
      <w:r w:rsidR="00986E50">
        <w:t xml:space="preserve"> </w:t>
      </w:r>
      <w:r w:rsidR="009F4F6D">
        <w:t xml:space="preserve">Currently, </w:t>
      </w:r>
      <w:r w:rsidR="00BA08C5">
        <w:t xml:space="preserve">all </w:t>
      </w:r>
      <w:r w:rsidR="00B510A3">
        <w:t xml:space="preserve">farm </w:t>
      </w:r>
      <w:r w:rsidR="00BA08C5">
        <w:t xml:space="preserve">animal waste </w:t>
      </w:r>
      <w:r w:rsidR="0044353D">
        <w:t xml:space="preserve">produced on the farm </w:t>
      </w:r>
      <w:r w:rsidR="00BA08C5">
        <w:t xml:space="preserve">is </w:t>
      </w:r>
      <w:r w:rsidR="0069269F">
        <w:t>applied as fertilizer</w:t>
      </w:r>
      <w:r w:rsidR="00C81D27">
        <w:t>; therefore,</w:t>
      </w:r>
      <w:r w:rsidR="00112102">
        <w:t xml:space="preserve"> </w:t>
      </w:r>
      <w:r w:rsidR="00E47E20">
        <w:t xml:space="preserve">GHG emissions reductions were estimated for </w:t>
      </w:r>
      <w:r w:rsidR="00B22538">
        <w:t xml:space="preserve">the amount of </w:t>
      </w:r>
      <w:r w:rsidR="00E47E20">
        <w:t xml:space="preserve">farm animal waste that will </w:t>
      </w:r>
      <w:r w:rsidR="009804B9">
        <w:t>no longer be used as fertilizer</w:t>
      </w:r>
      <w:r w:rsidR="00E47E20">
        <w:t xml:space="preserve">. </w:t>
      </w:r>
      <w:r w:rsidR="00E47E20" w:rsidRPr="002C2753">
        <w:t>Animal farm waste estimated by IMS (</w:t>
      </w:r>
      <w:r w:rsidR="00D06D92">
        <w:t xml:space="preserve">average of </w:t>
      </w:r>
      <w:r w:rsidR="00E47E20" w:rsidRPr="002C2753">
        <w:t xml:space="preserve">4,139 and 12,417 metric tons) was </w:t>
      </w:r>
      <w:r w:rsidR="00A740D3">
        <w:t>input</w:t>
      </w:r>
      <w:r w:rsidR="00E47E20" w:rsidRPr="002C2753">
        <w:t xml:space="preserve"> into EPA’s Local GHG Inventory Tool,</w:t>
      </w:r>
      <w:r w:rsidR="00E47E20" w:rsidRPr="002C2753">
        <w:rPr>
          <w:rStyle w:val="FootnoteReference"/>
        </w:rPr>
        <w:footnoteReference w:id="23"/>
      </w:r>
      <w:r w:rsidR="00E47E20" w:rsidRPr="002C2753">
        <w:t xml:space="preserve"> which calculated GHG emission reductions from avoided fertilizer use.</w:t>
      </w:r>
    </w:p>
    <w:p w14:paraId="16A41880" w14:textId="3111E5B7" w:rsidR="00376EA7" w:rsidRPr="008D2787" w:rsidRDefault="00B72BD6" w:rsidP="008D2787">
      <w:pPr>
        <w:pStyle w:val="Heading3"/>
        <w:numPr>
          <w:ilvl w:val="0"/>
          <w:numId w:val="0"/>
        </w:numPr>
        <w:ind w:left="734" w:hanging="734"/>
      </w:pPr>
      <w:r w:rsidRPr="008D2787">
        <w:t>G</w:t>
      </w:r>
      <w:r w:rsidR="00162094" w:rsidRPr="008D2787">
        <w:t>HG</w:t>
      </w:r>
      <w:r w:rsidR="008D2787">
        <w:t xml:space="preserve"> Emissions Sour</w:t>
      </w:r>
      <w:r w:rsidR="00376EA7" w:rsidRPr="008D2787">
        <w:t>ces</w:t>
      </w:r>
    </w:p>
    <w:p w14:paraId="3C38D011" w14:textId="634DEECC" w:rsidR="00362D23" w:rsidRDefault="005E7FE7" w:rsidP="005F0D8D">
      <w:r>
        <w:t>Currently, all food waste from IMS events is sent to a composting facility</w:t>
      </w:r>
      <w:r w:rsidR="00EB24AC">
        <w:t xml:space="preserve">, </w:t>
      </w:r>
      <w:proofErr w:type="spellStart"/>
      <w:r w:rsidR="00EB24AC">
        <w:t>GreenCycle</w:t>
      </w:r>
      <w:proofErr w:type="spellEnd"/>
      <w:r>
        <w:t xml:space="preserve">. </w:t>
      </w:r>
      <w:r w:rsidR="0031588B">
        <w:t xml:space="preserve">GHG emissions </w:t>
      </w:r>
      <w:r w:rsidR="00201B6F">
        <w:t xml:space="preserve">from transporting waste </w:t>
      </w:r>
      <w:r w:rsidR="0031588B">
        <w:t xml:space="preserve">were </w:t>
      </w:r>
      <w:r w:rsidR="00EC25B0">
        <w:t>estimated</w:t>
      </w:r>
      <w:r w:rsidR="00890EDB">
        <w:t xml:space="preserve"> </w:t>
      </w:r>
      <w:r w:rsidR="002D13B6">
        <w:t xml:space="preserve">by </w:t>
      </w:r>
      <w:r w:rsidR="00EC25B0">
        <w:t>calculating</w:t>
      </w:r>
      <w:r w:rsidR="002D13B6">
        <w:t xml:space="preserve"> the</w:t>
      </w:r>
      <w:r w:rsidR="00890EDB">
        <w:t xml:space="preserve"> difference between</w:t>
      </w:r>
      <w:r w:rsidR="0031588B">
        <w:t xml:space="preserve"> </w:t>
      </w:r>
      <w:r w:rsidR="009A625D">
        <w:t>t</w:t>
      </w:r>
      <w:r w:rsidR="00355E85">
        <w:t xml:space="preserve">he </w:t>
      </w:r>
      <w:r w:rsidR="009A625D">
        <w:t>delivery of</w:t>
      </w:r>
      <w:r w:rsidR="00DD4753">
        <w:t xml:space="preserve"> food waste</w:t>
      </w:r>
      <w:r w:rsidR="007023D5">
        <w:t xml:space="preserve"> from IMS</w:t>
      </w:r>
      <w:r w:rsidR="00DD4753">
        <w:t xml:space="preserve"> to the </w:t>
      </w:r>
      <w:r w:rsidR="00984FE9">
        <w:t xml:space="preserve">anticipated </w:t>
      </w:r>
      <w:r w:rsidR="007023D5">
        <w:t xml:space="preserve">digester </w:t>
      </w:r>
      <w:r w:rsidR="00DD4753">
        <w:t>farm</w:t>
      </w:r>
      <w:r w:rsidR="009D5BF6">
        <w:t xml:space="preserve"> and</w:t>
      </w:r>
      <w:r w:rsidR="00887B9C">
        <w:t xml:space="preserve"> </w:t>
      </w:r>
      <w:r w:rsidR="00A21D8A">
        <w:t>the</w:t>
      </w:r>
      <w:r w:rsidR="009A625D">
        <w:t xml:space="preserve"> </w:t>
      </w:r>
      <w:r w:rsidR="00797B28">
        <w:t xml:space="preserve">baseline </w:t>
      </w:r>
      <w:r w:rsidR="00887B9C">
        <w:t xml:space="preserve">delivery of food waste to </w:t>
      </w:r>
      <w:r w:rsidR="000D3CF4">
        <w:t xml:space="preserve">the </w:t>
      </w:r>
      <w:r w:rsidR="0051441D">
        <w:t xml:space="preserve">closer </w:t>
      </w:r>
      <w:proofErr w:type="spellStart"/>
      <w:r w:rsidR="003D0FA1">
        <w:t>GreenCycle</w:t>
      </w:r>
      <w:proofErr w:type="spellEnd"/>
      <w:r w:rsidR="000D3CF4">
        <w:t xml:space="preserve"> composting facility</w:t>
      </w:r>
      <w:r w:rsidR="006133E6">
        <w:t>.</w:t>
      </w:r>
      <w:r w:rsidR="00547474">
        <w:t xml:space="preserve"> </w:t>
      </w:r>
      <w:r w:rsidR="00876581">
        <w:t>This analysis assume</w:t>
      </w:r>
      <w:r w:rsidR="00CA372A">
        <w:t xml:space="preserve">d </w:t>
      </w:r>
      <w:r w:rsidR="00027965">
        <w:t xml:space="preserve">a refuse truck </w:t>
      </w:r>
      <w:r w:rsidR="00C71AB7">
        <w:t xml:space="preserve">delivers </w:t>
      </w:r>
      <w:r w:rsidR="002B199D">
        <w:t xml:space="preserve">food waste </w:t>
      </w:r>
      <w:r w:rsidR="00C71AB7">
        <w:t>to</w:t>
      </w:r>
      <w:r w:rsidR="00487DF9">
        <w:t xml:space="preserve"> </w:t>
      </w:r>
      <w:proofErr w:type="spellStart"/>
      <w:r w:rsidR="00487DF9">
        <w:t>GreenCycle</w:t>
      </w:r>
      <w:proofErr w:type="spellEnd"/>
      <w:r w:rsidR="00487DF9">
        <w:t xml:space="preserve"> </w:t>
      </w:r>
      <w:r w:rsidR="00EF5E1B">
        <w:t>operating at</w:t>
      </w:r>
      <w:r w:rsidR="006D38C3">
        <w:t xml:space="preserve"> 2.53 miles per gallon</w:t>
      </w:r>
      <w:r w:rsidR="00304E60">
        <w:rPr>
          <w:rStyle w:val="FootnoteReference"/>
        </w:rPr>
        <w:footnoteReference w:id="24"/>
      </w:r>
      <w:r w:rsidR="006D38C3">
        <w:t xml:space="preserve"> </w:t>
      </w:r>
      <w:r w:rsidR="00B87B91">
        <w:t xml:space="preserve">(MPG) </w:t>
      </w:r>
      <w:r w:rsidR="006D38C3">
        <w:t xml:space="preserve">of gasoline and a Class 4-6 Vehicle </w:t>
      </w:r>
      <w:r w:rsidR="00C71AB7">
        <w:t>delivers</w:t>
      </w:r>
      <w:r w:rsidR="006D38C3">
        <w:t xml:space="preserve"> food waste to the </w:t>
      </w:r>
      <w:r w:rsidR="00033C5C">
        <w:t>digester</w:t>
      </w:r>
      <w:r w:rsidR="006D38C3">
        <w:t xml:space="preserve"> </w:t>
      </w:r>
      <w:r w:rsidR="00FD7137">
        <w:t xml:space="preserve">farm </w:t>
      </w:r>
      <w:r w:rsidR="00EF5E1B">
        <w:t>operating at</w:t>
      </w:r>
      <w:r w:rsidR="006D38C3">
        <w:t xml:space="preserve"> 8 </w:t>
      </w:r>
      <w:r w:rsidR="00B87B91">
        <w:t>MPG</w:t>
      </w:r>
      <w:r w:rsidR="006D38C3">
        <w:t xml:space="preserve"> of gasoline.</w:t>
      </w:r>
      <w:r w:rsidR="00CF0AF6">
        <w:rPr>
          <w:rStyle w:val="FootnoteReference"/>
        </w:rPr>
        <w:footnoteReference w:id="25"/>
      </w:r>
      <w:r w:rsidR="0054395A">
        <w:t xml:space="preserve"> </w:t>
      </w:r>
      <w:r w:rsidR="00A51F46">
        <w:t>This analysis</w:t>
      </w:r>
      <w:r w:rsidR="0054395A">
        <w:t xml:space="preserve"> </w:t>
      </w:r>
      <w:r w:rsidR="00353E82">
        <w:t xml:space="preserve">conservatively </w:t>
      </w:r>
      <w:r w:rsidR="0054395A">
        <w:t xml:space="preserve">assumed </w:t>
      </w:r>
      <w:r w:rsidR="00353E82">
        <w:t>52 deliveries of food waste per year (</w:t>
      </w:r>
      <w:r w:rsidR="002B6F6A">
        <w:t xml:space="preserve">one per </w:t>
      </w:r>
      <w:r w:rsidR="00353E82">
        <w:t>week).</w:t>
      </w:r>
      <w:r w:rsidR="004115A7">
        <w:t xml:space="preserve"> </w:t>
      </w:r>
      <w:r w:rsidR="002B6F6A">
        <w:t>To estimate emissions, the resulting a</w:t>
      </w:r>
      <w:r w:rsidR="000B01A6">
        <w:t xml:space="preserve">nnual vehicle miles traveled were multiplied </w:t>
      </w:r>
      <w:r w:rsidR="00B87B91">
        <w:t>by the</w:t>
      </w:r>
      <w:r w:rsidR="00D16C54">
        <w:t xml:space="preserve"> assumed</w:t>
      </w:r>
      <w:r w:rsidR="00B87B91">
        <w:t xml:space="preserve"> MPG values</w:t>
      </w:r>
      <w:r w:rsidR="00270184">
        <w:t xml:space="preserve">, </w:t>
      </w:r>
      <w:r w:rsidR="00D16C54">
        <w:t xml:space="preserve">EPA’s emission factors for </w:t>
      </w:r>
      <w:r w:rsidR="00460593">
        <w:t>heavy duty gasoline vehicles</w:t>
      </w:r>
      <w:r w:rsidR="00270184" w:rsidRPr="002C2753">
        <w:t>,</w:t>
      </w:r>
      <w:r w:rsidR="00687C51" w:rsidRPr="00687C51">
        <w:rPr>
          <w:vertAlign w:val="superscript"/>
        </w:rPr>
        <w:fldChar w:fldCharType="begin"/>
      </w:r>
      <w:r w:rsidR="00687C51" w:rsidRPr="00687C51">
        <w:rPr>
          <w:vertAlign w:val="superscript"/>
        </w:rPr>
        <w:instrText xml:space="preserve"> NOTEREF _Ref161666152 \h </w:instrText>
      </w:r>
      <w:r w:rsidR="00687C51">
        <w:rPr>
          <w:vertAlign w:val="superscript"/>
        </w:rPr>
        <w:instrText xml:space="preserve"> \* MERGEFORMAT </w:instrText>
      </w:r>
      <w:r w:rsidR="00687C51" w:rsidRPr="00687C51">
        <w:rPr>
          <w:vertAlign w:val="superscript"/>
        </w:rPr>
      </w:r>
      <w:r w:rsidR="00687C51" w:rsidRPr="00687C51">
        <w:rPr>
          <w:vertAlign w:val="superscript"/>
        </w:rPr>
        <w:fldChar w:fldCharType="separate"/>
      </w:r>
      <w:r w:rsidR="00687C51" w:rsidRPr="00687C51">
        <w:rPr>
          <w:vertAlign w:val="superscript"/>
        </w:rPr>
        <w:t>2</w:t>
      </w:r>
      <w:r w:rsidR="00687C51" w:rsidRPr="00687C51">
        <w:rPr>
          <w:vertAlign w:val="superscript"/>
        </w:rPr>
        <w:fldChar w:fldCharType="end"/>
      </w:r>
      <w:r w:rsidR="00270184">
        <w:t xml:space="preserve"> and </w:t>
      </w:r>
      <w:r w:rsidR="00A208FC">
        <w:t xml:space="preserve">global warming potentials from </w:t>
      </w:r>
      <w:r w:rsidR="00270184">
        <w:t>I</w:t>
      </w:r>
      <w:r w:rsidR="00A208FC">
        <w:t>PCC 5</w:t>
      </w:r>
      <w:r w:rsidR="00A208FC" w:rsidRPr="00A208FC">
        <w:rPr>
          <w:vertAlign w:val="superscript"/>
        </w:rPr>
        <w:t>th</w:t>
      </w:r>
      <w:r w:rsidR="00A208FC">
        <w:t xml:space="preserve"> AR</w:t>
      </w:r>
      <w:r w:rsidR="00A208FC" w:rsidRPr="002C2753">
        <w:t>.</w:t>
      </w:r>
      <w:r w:rsidR="00687C51" w:rsidRPr="00687C51">
        <w:rPr>
          <w:vertAlign w:val="superscript"/>
        </w:rPr>
        <w:fldChar w:fldCharType="begin"/>
      </w:r>
      <w:r w:rsidR="00687C51" w:rsidRPr="00687C51">
        <w:rPr>
          <w:vertAlign w:val="superscript"/>
        </w:rPr>
        <w:instrText xml:space="preserve"> NOTEREF _Ref161743543 \h </w:instrText>
      </w:r>
      <w:r w:rsidR="00687C51">
        <w:rPr>
          <w:vertAlign w:val="superscript"/>
        </w:rPr>
        <w:instrText xml:space="preserve"> \* MERGEFORMAT </w:instrText>
      </w:r>
      <w:r w:rsidR="00687C51" w:rsidRPr="00687C51">
        <w:rPr>
          <w:vertAlign w:val="superscript"/>
        </w:rPr>
      </w:r>
      <w:r w:rsidR="00687C51" w:rsidRPr="00687C51">
        <w:rPr>
          <w:vertAlign w:val="superscript"/>
        </w:rPr>
        <w:fldChar w:fldCharType="separate"/>
      </w:r>
      <w:r w:rsidR="005F0D8D">
        <w:rPr>
          <w:vertAlign w:val="superscript"/>
        </w:rPr>
        <w:t>16</w:t>
      </w:r>
      <w:r w:rsidR="00687C51" w:rsidRPr="00687C51">
        <w:rPr>
          <w:vertAlign w:val="superscript"/>
        </w:rPr>
        <w:fldChar w:fldCharType="end"/>
      </w:r>
      <w:r w:rsidR="00A208FC" w:rsidRPr="002C2753">
        <w:t xml:space="preserve"> </w:t>
      </w:r>
      <w:r w:rsidR="00B115AF" w:rsidRPr="002C2753">
        <w:t>GHG e</w:t>
      </w:r>
      <w:r w:rsidR="006C7ED2" w:rsidRPr="002C2753">
        <w:t>missions</w:t>
      </w:r>
      <w:r w:rsidR="009E6E45" w:rsidRPr="002C2753">
        <w:t xml:space="preserve"> were </w:t>
      </w:r>
      <w:r w:rsidR="00506ED9" w:rsidRPr="002C2753">
        <w:t xml:space="preserve">also </w:t>
      </w:r>
      <w:r w:rsidR="009E6E45" w:rsidRPr="002C2753">
        <w:t xml:space="preserve">calculated </w:t>
      </w:r>
      <w:r w:rsidR="000A3407" w:rsidRPr="002C2753">
        <w:t>for</w:t>
      </w:r>
      <w:r w:rsidR="00D052EE" w:rsidRPr="002C2753">
        <w:t xml:space="preserve"> food waste</w:t>
      </w:r>
      <w:r w:rsidR="008B7EDD" w:rsidRPr="002C2753">
        <w:t xml:space="preserve"> </w:t>
      </w:r>
      <w:r w:rsidR="007A3E60">
        <w:t>from IMS events</w:t>
      </w:r>
      <w:r w:rsidR="008B7EDD" w:rsidRPr="002C2753">
        <w:t xml:space="preserve"> that would be</w:t>
      </w:r>
      <w:r w:rsidR="00D052EE" w:rsidRPr="002C2753">
        <w:t xml:space="preserve"> </w:t>
      </w:r>
      <w:r w:rsidR="003A75F1" w:rsidRPr="002C2753">
        <w:t>diverted from the composting facility</w:t>
      </w:r>
      <w:r w:rsidR="00D052EE" w:rsidRPr="002C2753">
        <w:t xml:space="preserve"> by multiplying </w:t>
      </w:r>
      <w:r w:rsidR="007D0546" w:rsidRPr="002C2753">
        <w:t xml:space="preserve">the </w:t>
      </w:r>
      <w:r w:rsidR="00346476" w:rsidRPr="002C2753">
        <w:t xml:space="preserve">minimum </w:t>
      </w:r>
      <w:r w:rsidR="007D0546" w:rsidRPr="002C2753">
        <w:t>amount of</w:t>
      </w:r>
      <w:r w:rsidR="00D052EE" w:rsidRPr="002C2753">
        <w:t xml:space="preserve"> food waste </w:t>
      </w:r>
      <w:r w:rsidR="00522A83" w:rsidRPr="002C2753">
        <w:t xml:space="preserve">produced from IMS events, as </w:t>
      </w:r>
      <w:r w:rsidR="005E227C" w:rsidRPr="002C2753">
        <w:t>estimated by IMS</w:t>
      </w:r>
      <w:r w:rsidR="00346476" w:rsidRPr="002C2753">
        <w:t xml:space="preserve"> (200 tons)</w:t>
      </w:r>
      <w:r w:rsidR="00606E56" w:rsidRPr="002C2753">
        <w:t>,</w:t>
      </w:r>
      <w:r w:rsidR="005E227C" w:rsidRPr="002C2753">
        <w:t xml:space="preserve"> </w:t>
      </w:r>
      <w:r w:rsidR="008A65C2" w:rsidRPr="002C2753">
        <w:t>and the EPA emission factor for food waste composting.</w:t>
      </w:r>
      <w:r w:rsidR="00B11770" w:rsidRPr="002C2753">
        <w:rPr>
          <w:rStyle w:val="FootnoteReference"/>
        </w:rPr>
        <w:footnoteReference w:id="26"/>
      </w:r>
      <w:r w:rsidR="00BA5A2B">
        <w:t xml:space="preserve"> </w:t>
      </w:r>
    </w:p>
    <w:p w14:paraId="10BBE002" w14:textId="6CE49556" w:rsidR="00A80454" w:rsidRDefault="00A80454" w:rsidP="00A80454">
      <w:pPr>
        <w:pStyle w:val="Heading3"/>
        <w:numPr>
          <w:ilvl w:val="0"/>
          <w:numId w:val="0"/>
        </w:numPr>
        <w:ind w:left="734" w:hanging="734"/>
      </w:pPr>
      <w:r>
        <w:t>Net GHG Emissions Reductions</w:t>
      </w:r>
    </w:p>
    <w:p w14:paraId="70579C0F" w14:textId="2C45F7AC" w:rsidR="0083654E" w:rsidRDefault="00364F6B" w:rsidP="005F0D8D">
      <w:r>
        <w:t>The</w:t>
      </w:r>
      <w:r w:rsidR="006A165A">
        <w:t xml:space="preserve"> reductions and sources</w:t>
      </w:r>
      <w:r w:rsidR="004E50EF">
        <w:t xml:space="preserve"> were </w:t>
      </w:r>
      <w:r w:rsidR="00130807">
        <w:t>summed</w:t>
      </w:r>
      <w:r w:rsidR="004E50EF">
        <w:t xml:space="preserve"> to </w:t>
      </w:r>
      <w:r w:rsidR="00130807">
        <w:t>estimate resulting</w:t>
      </w:r>
      <w:r w:rsidR="004E50EF">
        <w:t xml:space="preserve"> </w:t>
      </w:r>
      <w:r w:rsidR="007028F7">
        <w:t>net</w:t>
      </w:r>
      <w:r w:rsidR="006A165A">
        <w:t xml:space="preserve"> reductions included in Table M3</w:t>
      </w:r>
      <w:r w:rsidR="004E50EF">
        <w:t xml:space="preserve">. </w:t>
      </w:r>
    </w:p>
    <w:p w14:paraId="2A0B39EE" w14:textId="20CC3BA8" w:rsidR="00713536" w:rsidRDefault="00713536" w:rsidP="00713536">
      <w:pPr>
        <w:pStyle w:val="Heading2"/>
        <w:numPr>
          <w:ilvl w:val="0"/>
          <w:numId w:val="0"/>
        </w:numPr>
        <w:ind w:left="792" w:hanging="792"/>
      </w:pPr>
      <w:r>
        <w:t>Table M3: Measure #3 GHG Emissions Reductions (MT CO</w:t>
      </w:r>
      <w:r w:rsidRPr="008C43A7">
        <w:rPr>
          <w:vertAlign w:val="subscript"/>
        </w:rPr>
        <w:t>2</w:t>
      </w:r>
      <w:r>
        <w:t>e)</w:t>
      </w:r>
    </w:p>
    <w:tbl>
      <w:tblPr>
        <w:tblStyle w:val="ListTable6Colorful"/>
        <w:tblW w:w="2066" w:type="dxa"/>
        <w:jc w:val="center"/>
        <w:tblLayout w:type="fixed"/>
        <w:tblCellMar>
          <w:left w:w="0" w:type="dxa"/>
          <w:right w:w="0" w:type="dxa"/>
        </w:tblCellMar>
        <w:tblLook w:val="04A0" w:firstRow="1" w:lastRow="0" w:firstColumn="1" w:lastColumn="0" w:noHBand="0" w:noVBand="1"/>
      </w:tblPr>
      <w:tblGrid>
        <w:gridCol w:w="446"/>
        <w:gridCol w:w="720"/>
        <w:gridCol w:w="900"/>
      </w:tblGrid>
      <w:tr w:rsidR="00713536" w:rsidRPr="0081769C" w14:paraId="4C406805" w14:textId="77777777" w:rsidTr="00713536">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vMerge w:val="restart"/>
            <w:tcBorders>
              <w:top w:val="single" w:sz="4" w:space="0" w:color="000000"/>
              <w:right w:val="single" w:sz="4" w:space="0" w:color="auto"/>
            </w:tcBorders>
            <w:vAlign w:val="center"/>
          </w:tcPr>
          <w:p w14:paraId="0BBA20A7" w14:textId="77777777" w:rsidR="00713536" w:rsidRPr="00790EFA" w:rsidRDefault="00713536">
            <w:pPr>
              <w:spacing w:after="0"/>
              <w:jc w:val="center"/>
              <w:rPr>
                <w:rFonts w:eastAsia="Times New Roman" w:cs="Calibri"/>
                <w:sz w:val="20"/>
                <w:szCs w:val="20"/>
                <w:lang w:eastAsia="en-US"/>
              </w:rPr>
            </w:pPr>
          </w:p>
        </w:tc>
        <w:tc>
          <w:tcPr>
            <w:tcW w:w="1620" w:type="dxa"/>
            <w:gridSpan w:val="2"/>
            <w:tcBorders>
              <w:top w:val="single" w:sz="4" w:space="0" w:color="000000"/>
              <w:left w:val="single" w:sz="12" w:space="0" w:color="auto"/>
              <w:bottom w:val="single" w:sz="4" w:space="0" w:color="A6A6A6" w:themeColor="background1" w:themeShade="A6"/>
            </w:tcBorders>
            <w:shd w:val="clear" w:color="auto" w:fill="auto"/>
            <w:vAlign w:val="center"/>
          </w:tcPr>
          <w:p w14:paraId="12E73DF4" w14:textId="2487A8BA" w:rsidR="00713536" w:rsidRPr="00790EFA" w:rsidRDefault="00713536">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eastAsia="Times New Roman" w:cs="Calibri"/>
                <w:sz w:val="20"/>
                <w:szCs w:val="20"/>
                <w:lang w:eastAsia="en-US"/>
              </w:rPr>
              <w:t>Measure #3</w:t>
            </w:r>
          </w:p>
        </w:tc>
      </w:tr>
      <w:tr w:rsidR="00713536" w:rsidRPr="0081769C" w14:paraId="2C0FF451" w14:textId="77777777" w:rsidTr="00713536">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446" w:type="dxa"/>
            <w:vMerge/>
            <w:tcBorders>
              <w:bottom w:val="single" w:sz="4" w:space="0" w:color="auto"/>
              <w:right w:val="single" w:sz="4" w:space="0" w:color="auto"/>
            </w:tcBorders>
            <w:shd w:val="clear" w:color="auto" w:fill="auto"/>
            <w:vAlign w:val="center"/>
            <w:hideMark/>
          </w:tcPr>
          <w:p w14:paraId="5DE3725D" w14:textId="77777777" w:rsidR="00713536" w:rsidRPr="00790EFA" w:rsidRDefault="00713536">
            <w:pPr>
              <w:spacing w:after="0"/>
              <w:jc w:val="center"/>
              <w:rPr>
                <w:rFonts w:eastAsia="Times New Roman" w:cs="Calibri"/>
                <w:sz w:val="20"/>
                <w:szCs w:val="20"/>
                <w:lang w:eastAsia="en-US"/>
              </w:rPr>
            </w:pPr>
          </w:p>
        </w:tc>
        <w:tc>
          <w:tcPr>
            <w:tcW w:w="720" w:type="dxa"/>
            <w:tcBorders>
              <w:top w:val="single" w:sz="4" w:space="0" w:color="A6A6A6" w:themeColor="background1" w:themeShade="A6"/>
              <w:left w:val="single" w:sz="12" w:space="0" w:color="auto"/>
              <w:bottom w:val="single" w:sz="4" w:space="0" w:color="auto"/>
              <w:right w:val="single" w:sz="8" w:space="0" w:color="BFBFBF" w:themeColor="background1" w:themeShade="BF"/>
            </w:tcBorders>
            <w:shd w:val="clear" w:color="auto" w:fill="auto"/>
            <w:vAlign w:val="center"/>
          </w:tcPr>
          <w:p w14:paraId="774E7E61" w14:textId="77777777" w:rsidR="00713536" w:rsidRPr="00790EFA" w:rsidRDefault="0071353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eastAsia="Times New Roman" w:cs="Calibri"/>
                <w:sz w:val="20"/>
                <w:szCs w:val="20"/>
                <w:lang w:eastAsia="en-US"/>
              </w:rPr>
              <w:t xml:space="preserve">Ann </w:t>
            </w:r>
          </w:p>
        </w:tc>
        <w:tc>
          <w:tcPr>
            <w:tcW w:w="900" w:type="dxa"/>
            <w:tcBorders>
              <w:top w:val="single" w:sz="4" w:space="0" w:color="A6A6A6" w:themeColor="background1" w:themeShade="A6"/>
              <w:left w:val="single" w:sz="8" w:space="0" w:color="BFBFBF" w:themeColor="background1" w:themeShade="BF"/>
              <w:bottom w:val="single" w:sz="4" w:space="0" w:color="auto"/>
            </w:tcBorders>
            <w:shd w:val="clear" w:color="auto" w:fill="auto"/>
            <w:vAlign w:val="center"/>
          </w:tcPr>
          <w:p w14:paraId="19534F25" w14:textId="77777777" w:rsidR="00713536" w:rsidRPr="00790EFA" w:rsidRDefault="0071353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proofErr w:type="spellStart"/>
            <w:r w:rsidRPr="00790EFA">
              <w:rPr>
                <w:rFonts w:eastAsia="Times New Roman" w:cs="Calibri"/>
                <w:sz w:val="20"/>
                <w:szCs w:val="20"/>
                <w:lang w:eastAsia="en-US"/>
              </w:rPr>
              <w:t>Cumul</w:t>
            </w:r>
            <w:proofErr w:type="spellEnd"/>
            <w:r w:rsidRPr="00790EFA">
              <w:rPr>
                <w:rFonts w:eastAsia="Times New Roman" w:cs="Calibri"/>
                <w:sz w:val="20"/>
                <w:szCs w:val="20"/>
                <w:lang w:eastAsia="en-US"/>
              </w:rPr>
              <w:t xml:space="preserve"> </w:t>
            </w:r>
          </w:p>
        </w:tc>
      </w:tr>
      <w:tr w:rsidR="00713536" w:rsidRPr="0081769C" w14:paraId="07EAA0BF" w14:textId="77777777" w:rsidTr="00713536">
        <w:trPr>
          <w:trHeight w:val="179"/>
          <w:jc w:val="center"/>
        </w:trPr>
        <w:tc>
          <w:tcPr>
            <w:cnfStyle w:val="001000000000" w:firstRow="0" w:lastRow="0" w:firstColumn="1" w:lastColumn="0" w:oddVBand="0" w:evenVBand="0" w:oddHBand="0" w:evenHBand="0" w:firstRowFirstColumn="0" w:firstRowLastColumn="0" w:lastRowFirstColumn="0" w:lastRowLastColumn="0"/>
            <w:tcW w:w="446" w:type="dxa"/>
            <w:tcBorders>
              <w:top w:val="single" w:sz="4" w:space="0" w:color="auto"/>
              <w:right w:val="single" w:sz="4" w:space="0" w:color="auto"/>
            </w:tcBorders>
            <w:vAlign w:val="center"/>
            <w:hideMark/>
          </w:tcPr>
          <w:p w14:paraId="7B1C91E7" w14:textId="77777777" w:rsidR="00713536" w:rsidRPr="00790EFA" w:rsidRDefault="00713536">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2025</w:t>
            </w:r>
          </w:p>
        </w:tc>
        <w:tc>
          <w:tcPr>
            <w:tcW w:w="720" w:type="dxa"/>
            <w:tcBorders>
              <w:top w:val="single" w:sz="4" w:space="0" w:color="auto"/>
              <w:left w:val="single" w:sz="12" w:space="0" w:color="auto"/>
              <w:right w:val="single" w:sz="8" w:space="0" w:color="BFBFBF" w:themeColor="background1" w:themeShade="BF"/>
            </w:tcBorders>
            <w:vAlign w:val="bottom"/>
          </w:tcPr>
          <w:p w14:paraId="1F4B4C52" w14:textId="7617EA40" w:rsidR="00713536" w:rsidRPr="00790EFA" w:rsidRDefault="0097572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eastAsia="Times New Roman" w:cs="Calibri"/>
                <w:sz w:val="20"/>
                <w:szCs w:val="20"/>
                <w:lang w:eastAsia="en-US"/>
              </w:rPr>
              <w:t>-</w:t>
            </w:r>
          </w:p>
        </w:tc>
        <w:tc>
          <w:tcPr>
            <w:tcW w:w="900" w:type="dxa"/>
            <w:tcBorders>
              <w:top w:val="single" w:sz="4" w:space="0" w:color="auto"/>
              <w:left w:val="single" w:sz="8" w:space="0" w:color="BFBFBF" w:themeColor="background1" w:themeShade="BF"/>
            </w:tcBorders>
            <w:vAlign w:val="bottom"/>
          </w:tcPr>
          <w:p w14:paraId="26BBA661" w14:textId="0E8289CC" w:rsidR="00713536" w:rsidRPr="00790EFA" w:rsidRDefault="0097572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eastAsia="Times New Roman" w:cs="Calibri"/>
                <w:sz w:val="20"/>
                <w:szCs w:val="20"/>
                <w:lang w:eastAsia="en-US"/>
              </w:rPr>
              <w:t>-</w:t>
            </w:r>
          </w:p>
        </w:tc>
      </w:tr>
      <w:tr w:rsidR="00975729" w:rsidRPr="0081769C" w14:paraId="2D3AE562" w14:textId="77777777" w:rsidTr="00713536">
        <w:trPr>
          <w:cnfStyle w:val="000000100000" w:firstRow="0" w:lastRow="0" w:firstColumn="0" w:lastColumn="0" w:oddVBand="0" w:evenVBand="0" w:oddHBand="1" w:evenHBand="0"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F257A21" w14:textId="77777777" w:rsidR="00975729" w:rsidRPr="00790EFA" w:rsidRDefault="00975729" w:rsidP="0097572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2026</w:t>
            </w:r>
          </w:p>
        </w:tc>
        <w:tc>
          <w:tcPr>
            <w:tcW w:w="720" w:type="dxa"/>
            <w:tcBorders>
              <w:left w:val="single" w:sz="12" w:space="0" w:color="auto"/>
              <w:right w:val="single" w:sz="8" w:space="0" w:color="BFBFBF" w:themeColor="background1" w:themeShade="BF"/>
            </w:tcBorders>
            <w:vAlign w:val="bottom"/>
          </w:tcPr>
          <w:p w14:paraId="72B94CBD" w14:textId="42F39C0D" w:rsidR="00975729" w:rsidRPr="00790EFA" w:rsidRDefault="00B83039" w:rsidP="0097572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w:t>
            </w:r>
          </w:p>
        </w:tc>
        <w:tc>
          <w:tcPr>
            <w:tcW w:w="900" w:type="dxa"/>
            <w:tcBorders>
              <w:left w:val="single" w:sz="8" w:space="0" w:color="BFBFBF" w:themeColor="background1" w:themeShade="BF"/>
            </w:tcBorders>
            <w:vAlign w:val="bottom"/>
          </w:tcPr>
          <w:p w14:paraId="49C1DCA8" w14:textId="7FC376FC" w:rsidR="00975729" w:rsidRPr="00790EFA" w:rsidRDefault="00B83039" w:rsidP="0097572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w:t>
            </w:r>
          </w:p>
        </w:tc>
      </w:tr>
      <w:tr w:rsidR="00975729" w:rsidRPr="0081769C" w14:paraId="2DE01CF1" w14:textId="77777777" w:rsidTr="00713536">
        <w:trPr>
          <w:trHeight w:val="135"/>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77EBDF6" w14:textId="77777777" w:rsidR="00975729" w:rsidRPr="00790EFA" w:rsidRDefault="00975729" w:rsidP="0097572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2027</w:t>
            </w:r>
          </w:p>
        </w:tc>
        <w:tc>
          <w:tcPr>
            <w:tcW w:w="720" w:type="dxa"/>
            <w:tcBorders>
              <w:left w:val="single" w:sz="12" w:space="0" w:color="auto"/>
              <w:right w:val="single" w:sz="8" w:space="0" w:color="BFBFBF" w:themeColor="background1" w:themeShade="BF"/>
            </w:tcBorders>
            <w:vAlign w:val="bottom"/>
          </w:tcPr>
          <w:p w14:paraId="62C79A86" w14:textId="7224D382" w:rsidR="00975729" w:rsidRPr="00790EFA" w:rsidRDefault="00B83039" w:rsidP="0097572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w:t>
            </w:r>
          </w:p>
        </w:tc>
        <w:tc>
          <w:tcPr>
            <w:tcW w:w="900" w:type="dxa"/>
            <w:tcBorders>
              <w:left w:val="single" w:sz="8" w:space="0" w:color="BFBFBF" w:themeColor="background1" w:themeShade="BF"/>
            </w:tcBorders>
            <w:vAlign w:val="bottom"/>
          </w:tcPr>
          <w:p w14:paraId="1E7FF4D4" w14:textId="2B9B51AC" w:rsidR="00975729" w:rsidRPr="00790EFA" w:rsidRDefault="00B83039" w:rsidP="0097572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w:t>
            </w:r>
          </w:p>
        </w:tc>
      </w:tr>
      <w:tr w:rsidR="00B83039" w:rsidRPr="0081769C" w14:paraId="36184C47" w14:textId="77777777" w:rsidTr="00713536">
        <w:trPr>
          <w:cnfStyle w:val="000000100000" w:firstRow="0" w:lastRow="0" w:firstColumn="0" w:lastColumn="0" w:oddVBand="0" w:evenVBand="0" w:oddHBand="1" w:evenHBand="0" w:firstRowFirstColumn="0" w:firstRowLastColumn="0" w:lastRowFirstColumn="0" w:lastRowLastColumn="0"/>
          <w:trHeight w:val="81"/>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9C31EAC"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2028</w:t>
            </w:r>
          </w:p>
        </w:tc>
        <w:tc>
          <w:tcPr>
            <w:tcW w:w="720" w:type="dxa"/>
            <w:tcBorders>
              <w:left w:val="single" w:sz="12" w:space="0" w:color="auto"/>
              <w:right w:val="single" w:sz="8" w:space="0" w:color="BFBFBF" w:themeColor="background1" w:themeShade="BF"/>
            </w:tcBorders>
            <w:vAlign w:val="bottom"/>
          </w:tcPr>
          <w:p w14:paraId="1A193D21" w14:textId="1BEF59E0"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554AEAA3" w14:textId="66ACEFB9"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r>
      <w:tr w:rsidR="00B83039" w:rsidRPr="0081769C" w14:paraId="46390160"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D330A32"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2029</w:t>
            </w:r>
          </w:p>
        </w:tc>
        <w:tc>
          <w:tcPr>
            <w:tcW w:w="720" w:type="dxa"/>
            <w:tcBorders>
              <w:left w:val="single" w:sz="12" w:space="0" w:color="auto"/>
              <w:right w:val="single" w:sz="8" w:space="0" w:color="BFBFBF" w:themeColor="background1" w:themeShade="BF"/>
            </w:tcBorders>
            <w:vAlign w:val="bottom"/>
          </w:tcPr>
          <w:p w14:paraId="3C2455C7" w14:textId="1D764264"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58FB92BB" w14:textId="41127B20"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10,176 </w:t>
            </w:r>
          </w:p>
        </w:tc>
      </w:tr>
      <w:tr w:rsidR="00B83039" w:rsidRPr="0081769C" w14:paraId="1247C2A3" w14:textId="77777777" w:rsidTr="0071353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3F699DE"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2030</w:t>
            </w:r>
          </w:p>
        </w:tc>
        <w:tc>
          <w:tcPr>
            <w:tcW w:w="720" w:type="dxa"/>
            <w:tcBorders>
              <w:left w:val="single" w:sz="12" w:space="0" w:color="auto"/>
              <w:right w:val="single" w:sz="8" w:space="0" w:color="BFBFBF" w:themeColor="background1" w:themeShade="BF"/>
            </w:tcBorders>
            <w:vAlign w:val="bottom"/>
          </w:tcPr>
          <w:p w14:paraId="2BA87B24" w14:textId="10C465FE"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7988DB08" w14:textId="08C6C1A2"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sidRPr="00790EFA">
              <w:rPr>
                <w:rFonts w:cs="Calibri"/>
                <w:color w:val="000000"/>
                <w:sz w:val="20"/>
                <w:szCs w:val="20"/>
              </w:rPr>
              <w:t xml:space="preserve">15,264 </w:t>
            </w:r>
          </w:p>
        </w:tc>
      </w:tr>
      <w:tr w:rsidR="00B83039" w:rsidRPr="0081769C" w14:paraId="6382690C"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6029D16"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2031</w:t>
            </w:r>
          </w:p>
        </w:tc>
        <w:tc>
          <w:tcPr>
            <w:tcW w:w="720" w:type="dxa"/>
            <w:tcBorders>
              <w:left w:val="single" w:sz="12" w:space="0" w:color="auto"/>
              <w:right w:val="single" w:sz="8" w:space="0" w:color="BFBFBF" w:themeColor="background1" w:themeShade="BF"/>
            </w:tcBorders>
            <w:vAlign w:val="bottom"/>
          </w:tcPr>
          <w:p w14:paraId="1054BB61" w14:textId="1503799F"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1DA524D3" w14:textId="3AAD7F3F"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20,352 </w:t>
            </w:r>
          </w:p>
        </w:tc>
      </w:tr>
      <w:tr w:rsidR="00B83039" w:rsidRPr="0081769C" w14:paraId="5E66092E" w14:textId="77777777" w:rsidTr="00713536">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D04EC9E"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2032</w:t>
            </w:r>
          </w:p>
        </w:tc>
        <w:tc>
          <w:tcPr>
            <w:tcW w:w="720" w:type="dxa"/>
            <w:tcBorders>
              <w:left w:val="single" w:sz="12" w:space="0" w:color="auto"/>
              <w:right w:val="single" w:sz="8" w:space="0" w:color="BFBFBF" w:themeColor="background1" w:themeShade="BF"/>
            </w:tcBorders>
            <w:vAlign w:val="bottom"/>
          </w:tcPr>
          <w:p w14:paraId="2BAAAD77" w14:textId="2A4D94D9"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4DCD7749" w14:textId="1E97FF9C"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25,440 </w:t>
            </w:r>
          </w:p>
        </w:tc>
      </w:tr>
      <w:tr w:rsidR="00B83039" w:rsidRPr="0081769C" w14:paraId="4F72CFFF" w14:textId="77777777" w:rsidTr="00713536">
        <w:trPr>
          <w:trHeight w:val="117"/>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B7B0580"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2033</w:t>
            </w:r>
          </w:p>
        </w:tc>
        <w:tc>
          <w:tcPr>
            <w:tcW w:w="720" w:type="dxa"/>
            <w:tcBorders>
              <w:left w:val="single" w:sz="12" w:space="0" w:color="auto"/>
              <w:right w:val="single" w:sz="8" w:space="0" w:color="BFBFBF" w:themeColor="background1" w:themeShade="BF"/>
            </w:tcBorders>
            <w:vAlign w:val="bottom"/>
          </w:tcPr>
          <w:p w14:paraId="34706063" w14:textId="50B1739D"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562E7607" w14:textId="07ABD061"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30,528 </w:t>
            </w:r>
          </w:p>
        </w:tc>
      </w:tr>
      <w:tr w:rsidR="00B83039" w:rsidRPr="0081769C" w14:paraId="0931F471" w14:textId="77777777" w:rsidTr="0071353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2A2413B"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2034</w:t>
            </w:r>
          </w:p>
        </w:tc>
        <w:tc>
          <w:tcPr>
            <w:tcW w:w="720" w:type="dxa"/>
            <w:tcBorders>
              <w:left w:val="single" w:sz="12" w:space="0" w:color="auto"/>
              <w:right w:val="single" w:sz="8" w:space="0" w:color="BFBFBF" w:themeColor="background1" w:themeShade="BF"/>
            </w:tcBorders>
            <w:vAlign w:val="bottom"/>
          </w:tcPr>
          <w:p w14:paraId="1521E790" w14:textId="0CF85F54"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50BD4CA3" w14:textId="2401AB11"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35,616 </w:t>
            </w:r>
          </w:p>
        </w:tc>
      </w:tr>
      <w:tr w:rsidR="00B83039" w:rsidRPr="0081769C" w14:paraId="6840961F" w14:textId="77777777" w:rsidTr="00713536">
        <w:trPr>
          <w:trHeight w:val="72"/>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C7B43C1"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2035</w:t>
            </w:r>
          </w:p>
        </w:tc>
        <w:tc>
          <w:tcPr>
            <w:tcW w:w="720" w:type="dxa"/>
            <w:tcBorders>
              <w:left w:val="single" w:sz="12" w:space="0" w:color="auto"/>
              <w:right w:val="single" w:sz="8" w:space="0" w:color="BFBFBF" w:themeColor="background1" w:themeShade="BF"/>
            </w:tcBorders>
            <w:vAlign w:val="bottom"/>
          </w:tcPr>
          <w:p w14:paraId="2341D0E4" w14:textId="4A586A2A"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2EF781F0" w14:textId="05892C3D"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40,704 </w:t>
            </w:r>
          </w:p>
        </w:tc>
      </w:tr>
      <w:tr w:rsidR="00B83039" w:rsidRPr="0081769C" w14:paraId="6317263B" w14:textId="77777777" w:rsidTr="00713536">
        <w:trPr>
          <w:cnfStyle w:val="000000100000" w:firstRow="0" w:lastRow="0" w:firstColumn="0" w:lastColumn="0" w:oddVBand="0" w:evenVBand="0" w:oddHBand="1" w:evenHBand="0" w:firstRowFirstColumn="0" w:firstRowLastColumn="0" w:lastRowFirstColumn="0" w:lastRowLastColumn="0"/>
          <w:trHeight w:val="108"/>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0CC1D79"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2036</w:t>
            </w:r>
          </w:p>
        </w:tc>
        <w:tc>
          <w:tcPr>
            <w:tcW w:w="720" w:type="dxa"/>
            <w:tcBorders>
              <w:left w:val="single" w:sz="12" w:space="0" w:color="auto"/>
              <w:right w:val="single" w:sz="8" w:space="0" w:color="BFBFBF" w:themeColor="background1" w:themeShade="BF"/>
            </w:tcBorders>
            <w:vAlign w:val="bottom"/>
          </w:tcPr>
          <w:p w14:paraId="596C3F3F" w14:textId="22BD9F6C"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28C3300D" w14:textId="28035FED"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45,792 </w:t>
            </w:r>
          </w:p>
        </w:tc>
      </w:tr>
      <w:tr w:rsidR="00B83039" w:rsidRPr="0081769C" w14:paraId="627B47F2" w14:textId="77777777" w:rsidTr="00713536">
        <w:trPr>
          <w:trHeight w:val="126"/>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A229887"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2037</w:t>
            </w:r>
          </w:p>
        </w:tc>
        <w:tc>
          <w:tcPr>
            <w:tcW w:w="720" w:type="dxa"/>
            <w:tcBorders>
              <w:left w:val="single" w:sz="12" w:space="0" w:color="auto"/>
              <w:right w:val="single" w:sz="8" w:space="0" w:color="BFBFBF" w:themeColor="background1" w:themeShade="BF"/>
            </w:tcBorders>
            <w:vAlign w:val="bottom"/>
          </w:tcPr>
          <w:p w14:paraId="03A95E44" w14:textId="6CD8A83A"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1391FBF3" w14:textId="6A3A9D01"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50,879 </w:t>
            </w:r>
          </w:p>
        </w:tc>
      </w:tr>
      <w:tr w:rsidR="00B83039" w:rsidRPr="0081769C" w14:paraId="6040DBFC" w14:textId="77777777" w:rsidTr="00713536">
        <w:trPr>
          <w:cnfStyle w:val="000000100000" w:firstRow="0" w:lastRow="0" w:firstColumn="0" w:lastColumn="0" w:oddVBand="0" w:evenVBand="0" w:oddHBand="1" w:evenHBand="0" w:firstRowFirstColumn="0" w:firstRowLastColumn="0" w:lastRowFirstColumn="0" w:lastRowLastColumn="0"/>
          <w:trHeight w:val="72"/>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2E840617"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2038</w:t>
            </w:r>
          </w:p>
        </w:tc>
        <w:tc>
          <w:tcPr>
            <w:tcW w:w="720" w:type="dxa"/>
            <w:tcBorders>
              <w:left w:val="single" w:sz="12" w:space="0" w:color="auto"/>
              <w:right w:val="single" w:sz="8" w:space="0" w:color="BFBFBF" w:themeColor="background1" w:themeShade="BF"/>
            </w:tcBorders>
            <w:vAlign w:val="bottom"/>
          </w:tcPr>
          <w:p w14:paraId="4DCB0CA0" w14:textId="324DCCEE"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01B03729" w14:textId="4DCB8C24"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55,967 </w:t>
            </w:r>
          </w:p>
        </w:tc>
      </w:tr>
      <w:tr w:rsidR="00B83039" w:rsidRPr="0081769C" w14:paraId="34B2B83D"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33444651"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2039</w:t>
            </w:r>
          </w:p>
        </w:tc>
        <w:tc>
          <w:tcPr>
            <w:tcW w:w="720" w:type="dxa"/>
            <w:tcBorders>
              <w:left w:val="single" w:sz="12" w:space="0" w:color="auto"/>
              <w:right w:val="single" w:sz="8" w:space="0" w:color="BFBFBF" w:themeColor="background1" w:themeShade="BF"/>
            </w:tcBorders>
            <w:vAlign w:val="bottom"/>
          </w:tcPr>
          <w:p w14:paraId="16FC3A0F" w14:textId="76C3E8EF"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654C219F" w14:textId="349E36A7"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61,055 </w:t>
            </w:r>
          </w:p>
        </w:tc>
      </w:tr>
      <w:tr w:rsidR="00B83039" w:rsidRPr="0081769C" w14:paraId="306537B9" w14:textId="77777777" w:rsidTr="0071353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752D014"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2040</w:t>
            </w:r>
          </w:p>
        </w:tc>
        <w:tc>
          <w:tcPr>
            <w:tcW w:w="720" w:type="dxa"/>
            <w:tcBorders>
              <w:left w:val="single" w:sz="12" w:space="0" w:color="auto"/>
              <w:right w:val="single" w:sz="8" w:space="0" w:color="BFBFBF" w:themeColor="background1" w:themeShade="BF"/>
            </w:tcBorders>
            <w:vAlign w:val="bottom"/>
          </w:tcPr>
          <w:p w14:paraId="6A95E949" w14:textId="7F02755A"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14237C53" w14:textId="36B05070"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66,143 </w:t>
            </w:r>
          </w:p>
        </w:tc>
      </w:tr>
      <w:tr w:rsidR="00B83039" w:rsidRPr="0081769C" w14:paraId="6066CB37"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36177732"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2041</w:t>
            </w:r>
          </w:p>
        </w:tc>
        <w:tc>
          <w:tcPr>
            <w:tcW w:w="720" w:type="dxa"/>
            <w:tcBorders>
              <w:left w:val="single" w:sz="12" w:space="0" w:color="auto"/>
              <w:right w:val="single" w:sz="8" w:space="0" w:color="BFBFBF" w:themeColor="background1" w:themeShade="BF"/>
            </w:tcBorders>
            <w:vAlign w:val="bottom"/>
          </w:tcPr>
          <w:p w14:paraId="45085A01" w14:textId="24F167EB"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6C71AF81" w14:textId="2D7B8545"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71,231 </w:t>
            </w:r>
          </w:p>
        </w:tc>
      </w:tr>
      <w:tr w:rsidR="00B83039" w:rsidRPr="0081769C" w14:paraId="2A4579ED" w14:textId="77777777" w:rsidTr="0071353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628EF7C9"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2042</w:t>
            </w:r>
          </w:p>
        </w:tc>
        <w:tc>
          <w:tcPr>
            <w:tcW w:w="720" w:type="dxa"/>
            <w:tcBorders>
              <w:left w:val="single" w:sz="12" w:space="0" w:color="auto"/>
              <w:right w:val="single" w:sz="8" w:space="0" w:color="BFBFBF" w:themeColor="background1" w:themeShade="BF"/>
            </w:tcBorders>
            <w:vAlign w:val="bottom"/>
          </w:tcPr>
          <w:p w14:paraId="0EB9A080" w14:textId="04FF9D6F"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024EF624" w14:textId="14468495"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76,319 </w:t>
            </w:r>
          </w:p>
        </w:tc>
      </w:tr>
      <w:tr w:rsidR="00B83039" w:rsidRPr="0081769C" w14:paraId="4422F12D" w14:textId="77777777" w:rsidTr="00713536">
        <w:trPr>
          <w:trHeight w:val="99"/>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46635171"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2043</w:t>
            </w:r>
          </w:p>
        </w:tc>
        <w:tc>
          <w:tcPr>
            <w:tcW w:w="720" w:type="dxa"/>
            <w:tcBorders>
              <w:left w:val="single" w:sz="12" w:space="0" w:color="auto"/>
              <w:right w:val="single" w:sz="8" w:space="0" w:color="BFBFBF" w:themeColor="background1" w:themeShade="BF"/>
            </w:tcBorders>
            <w:vAlign w:val="bottom"/>
          </w:tcPr>
          <w:p w14:paraId="3E7FED5D" w14:textId="207FBD92"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4CC1DC08" w14:textId="6F4BB950"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81,407 </w:t>
            </w:r>
          </w:p>
        </w:tc>
      </w:tr>
      <w:tr w:rsidR="00B83039" w:rsidRPr="0081769C" w14:paraId="0631281C" w14:textId="77777777" w:rsidTr="0071353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B8B3620"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2044</w:t>
            </w:r>
          </w:p>
        </w:tc>
        <w:tc>
          <w:tcPr>
            <w:tcW w:w="720" w:type="dxa"/>
            <w:tcBorders>
              <w:left w:val="single" w:sz="12" w:space="0" w:color="auto"/>
              <w:right w:val="single" w:sz="8" w:space="0" w:color="BFBFBF" w:themeColor="background1" w:themeShade="BF"/>
            </w:tcBorders>
            <w:vAlign w:val="bottom"/>
          </w:tcPr>
          <w:p w14:paraId="5B5DF2CA" w14:textId="75781DD9"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3E380553" w14:textId="493B135D"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86,495 </w:t>
            </w:r>
          </w:p>
        </w:tc>
      </w:tr>
      <w:tr w:rsidR="00B83039" w:rsidRPr="0081769C" w14:paraId="720A329B"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26DC5D51"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2045</w:t>
            </w:r>
          </w:p>
        </w:tc>
        <w:tc>
          <w:tcPr>
            <w:tcW w:w="720" w:type="dxa"/>
            <w:tcBorders>
              <w:left w:val="single" w:sz="12" w:space="0" w:color="auto"/>
              <w:right w:val="single" w:sz="8" w:space="0" w:color="BFBFBF" w:themeColor="background1" w:themeShade="BF"/>
            </w:tcBorders>
            <w:vAlign w:val="bottom"/>
          </w:tcPr>
          <w:p w14:paraId="1E920452" w14:textId="35726F11"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62BC6F64" w14:textId="7C8FE061"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91,583 </w:t>
            </w:r>
          </w:p>
        </w:tc>
      </w:tr>
      <w:tr w:rsidR="00B83039" w:rsidRPr="0081769C" w14:paraId="0E6A15B9" w14:textId="77777777" w:rsidTr="00713536">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0C445800"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2046</w:t>
            </w:r>
          </w:p>
        </w:tc>
        <w:tc>
          <w:tcPr>
            <w:tcW w:w="720" w:type="dxa"/>
            <w:tcBorders>
              <w:left w:val="single" w:sz="12" w:space="0" w:color="auto"/>
              <w:right w:val="single" w:sz="8" w:space="0" w:color="BFBFBF" w:themeColor="background1" w:themeShade="BF"/>
            </w:tcBorders>
            <w:vAlign w:val="bottom"/>
          </w:tcPr>
          <w:p w14:paraId="5B7D5A35" w14:textId="30F66F47"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72FA7BBE" w14:textId="1F41A455"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96,671 </w:t>
            </w:r>
          </w:p>
        </w:tc>
      </w:tr>
      <w:tr w:rsidR="00B83039" w:rsidRPr="0081769C" w14:paraId="4031F375"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6D00AB0"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2047</w:t>
            </w:r>
          </w:p>
        </w:tc>
        <w:tc>
          <w:tcPr>
            <w:tcW w:w="720" w:type="dxa"/>
            <w:tcBorders>
              <w:left w:val="single" w:sz="12" w:space="0" w:color="auto"/>
              <w:right w:val="single" w:sz="8" w:space="0" w:color="BFBFBF" w:themeColor="background1" w:themeShade="BF"/>
            </w:tcBorders>
            <w:vAlign w:val="bottom"/>
          </w:tcPr>
          <w:p w14:paraId="76CAE5B1" w14:textId="1714630B"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60DAAD29" w14:textId="1B25324D"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101,759 </w:t>
            </w:r>
          </w:p>
        </w:tc>
      </w:tr>
      <w:tr w:rsidR="00B83039" w:rsidRPr="0081769C" w14:paraId="0ED17433" w14:textId="77777777" w:rsidTr="00713536">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5755A91E"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2048</w:t>
            </w:r>
          </w:p>
        </w:tc>
        <w:tc>
          <w:tcPr>
            <w:tcW w:w="720" w:type="dxa"/>
            <w:tcBorders>
              <w:left w:val="single" w:sz="12" w:space="0" w:color="auto"/>
              <w:right w:val="single" w:sz="8" w:space="0" w:color="BFBFBF" w:themeColor="background1" w:themeShade="BF"/>
            </w:tcBorders>
            <w:vAlign w:val="bottom"/>
          </w:tcPr>
          <w:p w14:paraId="237F4E1E" w14:textId="23825123"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65E49FC0" w14:textId="2292163B"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106,847 </w:t>
            </w:r>
          </w:p>
        </w:tc>
      </w:tr>
      <w:tr w:rsidR="00B83039" w:rsidRPr="0081769C" w14:paraId="02DDE096" w14:textId="77777777" w:rsidTr="00713536">
        <w:trPr>
          <w:trHeight w:val="70"/>
          <w:jc w:val="center"/>
        </w:trPr>
        <w:tc>
          <w:tcPr>
            <w:cnfStyle w:val="001000000000" w:firstRow="0" w:lastRow="0" w:firstColumn="1" w:lastColumn="0" w:oddVBand="0" w:evenVBand="0" w:oddHBand="0" w:evenHBand="0" w:firstRowFirstColumn="0" w:firstRowLastColumn="0" w:lastRowFirstColumn="0" w:lastRowLastColumn="0"/>
            <w:tcW w:w="446" w:type="dxa"/>
            <w:tcBorders>
              <w:right w:val="single" w:sz="4" w:space="0" w:color="auto"/>
            </w:tcBorders>
            <w:vAlign w:val="center"/>
            <w:hideMark/>
          </w:tcPr>
          <w:p w14:paraId="14638E24"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2049</w:t>
            </w:r>
          </w:p>
        </w:tc>
        <w:tc>
          <w:tcPr>
            <w:tcW w:w="720" w:type="dxa"/>
            <w:tcBorders>
              <w:left w:val="single" w:sz="12" w:space="0" w:color="auto"/>
              <w:right w:val="single" w:sz="8" w:space="0" w:color="BFBFBF" w:themeColor="background1" w:themeShade="BF"/>
            </w:tcBorders>
            <w:vAlign w:val="bottom"/>
          </w:tcPr>
          <w:p w14:paraId="04752147" w14:textId="10614270"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tcBorders>
            <w:vAlign w:val="bottom"/>
          </w:tcPr>
          <w:p w14:paraId="1C8A5B51" w14:textId="3C620547" w:rsidR="00B83039" w:rsidRPr="00790EFA" w:rsidRDefault="00B83039" w:rsidP="00B83039">
            <w:pPr>
              <w:spacing w:after="0"/>
              <w:jc w:val="right"/>
              <w:cnfStyle w:val="000000000000" w:firstRow="0" w:lastRow="0" w:firstColumn="0" w:lastColumn="0" w:oddVBand="0" w:evenVBand="0" w:oddHBand="0"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111,935 </w:t>
            </w:r>
          </w:p>
        </w:tc>
      </w:tr>
      <w:tr w:rsidR="00B83039" w:rsidRPr="0081769C" w14:paraId="2D637EDD" w14:textId="77777777" w:rsidTr="00713536">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446" w:type="dxa"/>
            <w:tcBorders>
              <w:bottom w:val="single" w:sz="4" w:space="0" w:color="000000"/>
              <w:right w:val="single" w:sz="4" w:space="0" w:color="auto"/>
            </w:tcBorders>
            <w:vAlign w:val="center"/>
            <w:hideMark/>
          </w:tcPr>
          <w:p w14:paraId="14FD89C6" w14:textId="77777777" w:rsidR="00B83039" w:rsidRPr="00790EFA" w:rsidRDefault="00B83039" w:rsidP="00B83039">
            <w:pPr>
              <w:spacing w:after="0"/>
              <w:jc w:val="center"/>
              <w:rPr>
                <w:rFonts w:eastAsia="Times New Roman" w:cs="Calibri"/>
                <w:b w:val="0"/>
                <w:bCs w:val="0"/>
                <w:sz w:val="20"/>
                <w:szCs w:val="20"/>
                <w:lang w:eastAsia="en-US"/>
              </w:rPr>
            </w:pPr>
            <w:r w:rsidRPr="00790EFA">
              <w:rPr>
                <w:rFonts w:eastAsia="Times New Roman" w:cs="Calibri"/>
                <w:b w:val="0"/>
                <w:bCs w:val="0"/>
                <w:sz w:val="20"/>
                <w:szCs w:val="20"/>
                <w:lang w:eastAsia="en-US"/>
              </w:rPr>
              <w:t>2050</w:t>
            </w:r>
          </w:p>
        </w:tc>
        <w:tc>
          <w:tcPr>
            <w:tcW w:w="720" w:type="dxa"/>
            <w:tcBorders>
              <w:left w:val="single" w:sz="12" w:space="0" w:color="auto"/>
              <w:bottom w:val="single" w:sz="4" w:space="0" w:color="000000"/>
              <w:right w:val="single" w:sz="8" w:space="0" w:color="BFBFBF" w:themeColor="background1" w:themeShade="BF"/>
            </w:tcBorders>
            <w:vAlign w:val="bottom"/>
          </w:tcPr>
          <w:p w14:paraId="13E58050" w14:textId="6E8109F0"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sz w:val="20"/>
                <w:szCs w:val="20"/>
                <w:lang w:eastAsia="en-US"/>
              </w:rPr>
            </w:pPr>
            <w:r w:rsidRPr="00790EFA">
              <w:rPr>
                <w:rFonts w:cs="Calibri"/>
                <w:color w:val="000000"/>
                <w:sz w:val="20"/>
                <w:szCs w:val="20"/>
              </w:rPr>
              <w:t xml:space="preserve">5,088 </w:t>
            </w:r>
          </w:p>
        </w:tc>
        <w:tc>
          <w:tcPr>
            <w:tcW w:w="900" w:type="dxa"/>
            <w:tcBorders>
              <w:left w:val="single" w:sz="8" w:space="0" w:color="BFBFBF" w:themeColor="background1" w:themeShade="BF"/>
              <w:bottom w:val="single" w:sz="4" w:space="0" w:color="000000"/>
            </w:tcBorders>
            <w:vAlign w:val="bottom"/>
          </w:tcPr>
          <w:p w14:paraId="66783A5A" w14:textId="7D25E9D9" w:rsidR="00B83039" w:rsidRPr="00790EFA" w:rsidRDefault="00B83039" w:rsidP="00B83039">
            <w:pPr>
              <w:spacing w:after="0"/>
              <w:jc w:val="right"/>
              <w:cnfStyle w:val="000000100000" w:firstRow="0" w:lastRow="0" w:firstColumn="0" w:lastColumn="0" w:oddVBand="0" w:evenVBand="0" w:oddHBand="1" w:evenHBand="0" w:firstRowFirstColumn="0" w:firstRowLastColumn="0" w:lastRowFirstColumn="0" w:lastRowLastColumn="0"/>
              <w:rPr>
                <w:rFonts w:eastAsia="Times New Roman" w:cs="Calibri"/>
                <w:bCs/>
                <w:sz w:val="20"/>
                <w:szCs w:val="20"/>
                <w:lang w:eastAsia="en-US"/>
              </w:rPr>
            </w:pPr>
            <w:r w:rsidRPr="00790EFA">
              <w:rPr>
                <w:rFonts w:cs="Calibri"/>
                <w:color w:val="000000"/>
                <w:sz w:val="20"/>
                <w:szCs w:val="20"/>
              </w:rPr>
              <w:t xml:space="preserve">117,023 </w:t>
            </w:r>
          </w:p>
        </w:tc>
      </w:tr>
    </w:tbl>
    <w:p w14:paraId="121ED2F8" w14:textId="5519A672" w:rsidR="00786CF6" w:rsidRDefault="00786CF6" w:rsidP="00786CF6">
      <w:pPr>
        <w:pStyle w:val="Heading1"/>
        <w:numPr>
          <w:ilvl w:val="0"/>
          <w:numId w:val="0"/>
        </w:numPr>
        <w:ind w:left="792" w:hanging="792"/>
      </w:pPr>
      <w:r>
        <w:t>Electricity Grid Emissions</w:t>
      </w:r>
    </w:p>
    <w:p w14:paraId="4D0BE487" w14:textId="407E9387" w:rsidR="00786CF6" w:rsidRDefault="00786CF6" w:rsidP="00786CF6">
      <w:r>
        <w:t>EIA’s Annual Energy Outlook 2023 Reference Case inform</w:t>
      </w:r>
      <w:r w:rsidR="00B9694E">
        <w:t>ed</w:t>
      </w:r>
      <w:r>
        <w:t xml:space="preserve"> projected state grid mix</w:t>
      </w:r>
      <w:r w:rsidR="0056484F">
        <w:t>,</w:t>
      </w:r>
      <w:r w:rsidR="00EB552E">
        <w:t xml:space="preserve"> used as part of estimated GHG reductions from </w:t>
      </w:r>
      <w:r w:rsidR="0056484F">
        <w:t>changes to</w:t>
      </w:r>
      <w:r w:rsidR="00EB552E">
        <w:t xml:space="preserve"> electricity use</w:t>
      </w:r>
      <w:r>
        <w:t>.</w:t>
      </w:r>
      <w:r>
        <w:rPr>
          <w:rStyle w:val="FootnoteReference"/>
        </w:rPr>
        <w:footnoteReference w:id="27"/>
      </w:r>
      <w:r>
        <w:t xml:space="preserve"> </w:t>
      </w:r>
      <w:r w:rsidR="004A07F8">
        <w:t xml:space="preserve">Generation </w:t>
      </w:r>
      <w:r w:rsidR="0056484F">
        <w:t>results</w:t>
      </w:r>
      <w:r w:rsidRPr="00DF6107">
        <w:t xml:space="preserve"> </w:t>
      </w:r>
      <w:r w:rsidR="00373596">
        <w:t xml:space="preserve">are </w:t>
      </w:r>
      <w:r w:rsidR="0056484F">
        <w:t>for</w:t>
      </w:r>
      <w:r w:rsidRPr="00DF6107">
        <w:t xml:space="preserve"> Electricity Market Module </w:t>
      </w:r>
      <w:r w:rsidR="0056484F">
        <w:t>r</w:t>
      </w:r>
      <w:r w:rsidRPr="00DF6107">
        <w:t>egion</w:t>
      </w:r>
      <w:r w:rsidR="0056484F">
        <w:t>s</w:t>
      </w:r>
      <w:r>
        <w:t xml:space="preserve"> in Tables 54.01 to 54.25</w:t>
      </w:r>
      <w:r w:rsidR="00373596">
        <w:t>, which</w:t>
      </w:r>
      <w:r>
        <w:t xml:space="preserve"> broadly do not align with state boundaries.</w:t>
      </w:r>
      <w:r>
        <w:rPr>
          <w:rStyle w:val="FootnoteReference"/>
        </w:rPr>
        <w:footnoteReference w:id="28"/>
      </w:r>
      <w:r>
        <w:t xml:space="preserve"> The projections for regions in which </w:t>
      </w:r>
      <w:r w:rsidR="00037FD3">
        <w:t>Indiana</w:t>
      </w:r>
      <w:r>
        <w:t xml:space="preserve"> is located were used to inform a</w:t>
      </w:r>
      <w:r w:rsidR="0047060D">
        <w:t xml:space="preserve"> state</w:t>
      </w:r>
      <w:r w:rsidR="008E3D0E">
        <w:t xml:space="preserve">-level </w:t>
      </w:r>
      <w:r>
        <w:t xml:space="preserve">estimate. A weighting of </w:t>
      </w:r>
      <w:r w:rsidR="00270E96">
        <w:t>70</w:t>
      </w:r>
      <w:r>
        <w:t xml:space="preserve">% was given to the projected mix of </w:t>
      </w:r>
      <w:r w:rsidR="0047060D">
        <w:t>M</w:t>
      </w:r>
      <w:r w:rsidR="007806E7">
        <w:t>ISO/Central</w:t>
      </w:r>
      <w:r>
        <w:t xml:space="preserve"> as this covers </w:t>
      </w:r>
      <w:proofErr w:type="gramStart"/>
      <w:r>
        <w:t>the majority of</w:t>
      </w:r>
      <w:proofErr w:type="gramEnd"/>
      <w:r>
        <w:t xml:space="preserve"> the state. The remainder weight</w:t>
      </w:r>
      <w:r w:rsidR="004A07F8">
        <w:t>ed</w:t>
      </w:r>
      <w:r>
        <w:t xml:space="preserve"> the projected mix of </w:t>
      </w:r>
      <w:r w:rsidR="00932E62">
        <w:t>PJM</w:t>
      </w:r>
      <w:r>
        <w:t xml:space="preserve">/West. The resulting estimated mix for the state is shown </w:t>
      </w:r>
      <w:r w:rsidR="000D52EF">
        <w:t>Figure 1</w:t>
      </w:r>
      <w:r>
        <w:t>, depicting a</w:t>
      </w:r>
      <w:r w:rsidR="00105C68">
        <w:t>n</w:t>
      </w:r>
      <w:r>
        <w:t xml:space="preserve"> increase in zero-emitting resources over the next decade with a decline in fossil fuel-fired generation. This is in-line with broad findings from EIA, driven by increasing clean energy investments due to the Inflation Reduction Act of 2022 as well as accounting for planned changes, such as </w:t>
      </w:r>
      <w:r w:rsidR="00C21DD1">
        <w:t>AES’s announced</w:t>
      </w:r>
      <w:r>
        <w:t xml:space="preserve"> coal retirements and </w:t>
      </w:r>
      <w:r w:rsidR="00C21DD1">
        <w:t>solar</w:t>
      </w:r>
      <w:r>
        <w:t xml:space="preserve"> expansion </w:t>
      </w:r>
      <w:r w:rsidR="00C21DD1">
        <w:t>in the area</w:t>
      </w:r>
      <w:r>
        <w:t>.</w:t>
      </w:r>
    </w:p>
    <w:p w14:paraId="5C4ADB9E" w14:textId="3AEDC24E" w:rsidR="00786CF6" w:rsidRPr="00CF3775" w:rsidRDefault="00786CF6" w:rsidP="003C481B">
      <w:pPr>
        <w:pStyle w:val="Heading5"/>
      </w:pPr>
      <w:r w:rsidRPr="00CF3775">
        <w:t xml:space="preserve">Figure </w:t>
      </w:r>
      <w:r w:rsidRPr="00CF3775">
        <w:fldChar w:fldCharType="begin"/>
      </w:r>
      <w:r w:rsidRPr="00CF3775">
        <w:instrText xml:space="preserve"> SEQ Figure \* ARABIC </w:instrText>
      </w:r>
      <w:r w:rsidRPr="00CF3775">
        <w:fldChar w:fldCharType="separate"/>
      </w:r>
      <w:r w:rsidR="0006006E">
        <w:rPr>
          <w:noProof/>
        </w:rPr>
        <w:t>1</w:t>
      </w:r>
      <w:r w:rsidRPr="00CF3775">
        <w:fldChar w:fldCharType="end"/>
      </w:r>
      <w:r w:rsidR="00811A6F">
        <w:t>.</w:t>
      </w:r>
      <w:r w:rsidRPr="00CF3775">
        <w:t xml:space="preserve"> </w:t>
      </w:r>
      <w:r w:rsidR="00246ACF" w:rsidRPr="00CF3775">
        <w:t>Indiana</w:t>
      </w:r>
      <w:r w:rsidRPr="00CF3775">
        <w:t xml:space="preserve"> Estimated electricity grid mix</w:t>
      </w:r>
    </w:p>
    <w:p w14:paraId="3ED82EAA" w14:textId="32D9AFCF" w:rsidR="00786CF6" w:rsidRDefault="008A7255" w:rsidP="00786CF6">
      <w:pPr>
        <w:pStyle w:val="BodyText"/>
        <w:spacing w:after="0"/>
        <w:jc w:val="center"/>
      </w:pPr>
      <w:r w:rsidRPr="008A7255">
        <w:rPr>
          <w:noProof/>
        </w:rPr>
        <w:drawing>
          <wp:inline distT="0" distB="0" distL="0" distR="0" wp14:anchorId="00A9C123" wp14:editId="008CC121">
            <wp:extent cx="4752975" cy="1733550"/>
            <wp:effectExtent l="0" t="0" r="9525" b="0"/>
            <wp:docPr id="14594798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52975" cy="1733550"/>
                    </a:xfrm>
                    <a:prstGeom prst="rect">
                      <a:avLst/>
                    </a:prstGeom>
                    <a:noFill/>
                    <a:ln>
                      <a:noFill/>
                    </a:ln>
                  </pic:spPr>
                </pic:pic>
              </a:graphicData>
            </a:graphic>
          </wp:inline>
        </w:drawing>
      </w:r>
    </w:p>
    <w:p w14:paraId="068309AD" w14:textId="235DF8A4" w:rsidR="00786CF6" w:rsidRDefault="00786CF6" w:rsidP="00786CF6">
      <w:r>
        <w:t xml:space="preserve">An average grid emission rate was calculated for each year based on the above mix and average emission factors for end use of </w:t>
      </w:r>
      <w:r w:rsidR="00D36288">
        <w:t>each resource type</w:t>
      </w:r>
      <w:r w:rsidR="002C31BE">
        <w:t xml:space="preserve"> </w:t>
      </w:r>
      <w:r w:rsidR="002D19F0">
        <w:t xml:space="preserve">shown </w:t>
      </w:r>
      <w:r w:rsidR="002C31BE">
        <w:t xml:space="preserve">in Table </w:t>
      </w:r>
      <w:r w:rsidR="00A8146C">
        <w:t>3</w:t>
      </w:r>
      <w:r>
        <w:t xml:space="preserve">. </w:t>
      </w:r>
      <w:r w:rsidRPr="001B1423">
        <w:t>Zero</w:t>
      </w:r>
      <w:r>
        <w:t>-</w:t>
      </w:r>
      <w:r w:rsidRPr="001B1423">
        <w:t xml:space="preserve">emitting generation </w:t>
      </w:r>
      <w:r w:rsidR="00E25733">
        <w:t>does</w:t>
      </w:r>
      <w:r w:rsidRPr="001B1423">
        <w:t xml:space="preserve"> not have emissions</w:t>
      </w:r>
      <w:r>
        <w:t xml:space="preserve"> associated with end use</w:t>
      </w:r>
      <w:r w:rsidRPr="001B1423">
        <w:t>.</w:t>
      </w:r>
      <w:r>
        <w:t xml:space="preserve"> Average U.S. natural gas combined cycle </w:t>
      </w:r>
      <w:r w:rsidR="001C122E">
        <w:t xml:space="preserve">and coal </w:t>
      </w:r>
      <w:r>
        <w:t>facility emission factors for CO</w:t>
      </w:r>
      <w:r w:rsidRPr="00542375">
        <w:rPr>
          <w:vertAlign w:val="subscript"/>
        </w:rPr>
        <w:t>2</w:t>
      </w:r>
      <w:r>
        <w:t>, CH</w:t>
      </w:r>
      <w:r w:rsidRPr="00542375">
        <w:rPr>
          <w:vertAlign w:val="subscript"/>
        </w:rPr>
        <w:t>4</w:t>
      </w:r>
      <w:r>
        <w:t>, and N</w:t>
      </w:r>
      <w:r w:rsidRPr="00542375">
        <w:rPr>
          <w:vertAlign w:val="subscript"/>
        </w:rPr>
        <w:t>2</w:t>
      </w:r>
      <w:r>
        <w:t>O were estimated from GREET.</w:t>
      </w:r>
      <w:r>
        <w:rPr>
          <w:rStyle w:val="FootnoteReference"/>
        </w:rPr>
        <w:footnoteReference w:id="29"/>
      </w:r>
      <w:r>
        <w:t xml:space="preserve"> </w:t>
      </w:r>
      <w:r w:rsidR="00221008">
        <w:t>GWPs from IPCC</w:t>
      </w:r>
      <w:r>
        <w:t xml:space="preserve"> were used</w:t>
      </w:r>
      <w:r w:rsidR="00EB79FE">
        <w:t xml:space="preserve"> for pollutant conversions to CO</w:t>
      </w:r>
      <w:r w:rsidR="00EB79FE" w:rsidRPr="00EB79FE">
        <w:rPr>
          <w:vertAlign w:val="subscript"/>
        </w:rPr>
        <w:t>2</w:t>
      </w:r>
      <w:r w:rsidR="00EB79FE">
        <w:t>e</w:t>
      </w:r>
      <w:r>
        <w:t>.</w:t>
      </w:r>
      <w:r w:rsidR="00221008" w:rsidRPr="00221008">
        <w:rPr>
          <w:vertAlign w:val="superscript"/>
        </w:rPr>
        <w:fldChar w:fldCharType="begin"/>
      </w:r>
      <w:r w:rsidR="00221008" w:rsidRPr="00221008">
        <w:rPr>
          <w:vertAlign w:val="superscript"/>
        </w:rPr>
        <w:instrText xml:space="preserve"> NOTEREF _Ref161743543 \h </w:instrText>
      </w:r>
      <w:r w:rsidR="00221008">
        <w:rPr>
          <w:vertAlign w:val="superscript"/>
        </w:rPr>
        <w:instrText xml:space="preserve"> \* MERGEFORMAT </w:instrText>
      </w:r>
      <w:r w:rsidR="00221008" w:rsidRPr="00221008">
        <w:rPr>
          <w:vertAlign w:val="superscript"/>
        </w:rPr>
      </w:r>
      <w:r w:rsidR="00221008" w:rsidRPr="00221008">
        <w:rPr>
          <w:vertAlign w:val="superscript"/>
        </w:rPr>
        <w:fldChar w:fldCharType="separate"/>
      </w:r>
      <w:r w:rsidR="005F0D8D">
        <w:rPr>
          <w:vertAlign w:val="superscript"/>
        </w:rPr>
        <w:t>16</w:t>
      </w:r>
      <w:r w:rsidR="00221008" w:rsidRPr="00221008">
        <w:rPr>
          <w:vertAlign w:val="superscript"/>
        </w:rPr>
        <w:fldChar w:fldCharType="end"/>
      </w:r>
    </w:p>
    <w:p w14:paraId="6C16E41F" w14:textId="1198C5D6" w:rsidR="00786CF6" w:rsidRPr="003F674E" w:rsidRDefault="00786CF6" w:rsidP="003C481B">
      <w:pPr>
        <w:pStyle w:val="Heading5"/>
      </w:pPr>
      <w:r w:rsidRPr="001118B8">
        <w:t xml:space="preserve">Table </w:t>
      </w:r>
      <w:r w:rsidR="00A8146C">
        <w:t>3</w:t>
      </w:r>
      <w:r w:rsidR="00811A6F">
        <w:t>.</w:t>
      </w:r>
      <w:r w:rsidRPr="001118B8">
        <w:t xml:space="preserve"> </w:t>
      </w:r>
      <w:r>
        <w:t>Emission Rates by Electricity Resource Type</w:t>
      </w:r>
    </w:p>
    <w:tbl>
      <w:tblPr>
        <w:tblStyle w:val="ListTable6Colorful"/>
        <w:tblW w:w="0" w:type="auto"/>
        <w:jc w:val="center"/>
        <w:tblLook w:val="04A0" w:firstRow="1" w:lastRow="0" w:firstColumn="1" w:lastColumn="0" w:noHBand="0" w:noVBand="1"/>
      </w:tblPr>
      <w:tblGrid>
        <w:gridCol w:w="3600"/>
        <w:gridCol w:w="1152"/>
        <w:gridCol w:w="1152"/>
        <w:gridCol w:w="1152"/>
        <w:gridCol w:w="1152"/>
      </w:tblGrid>
      <w:tr w:rsidR="00786CF6" w:rsidRPr="003F50AF" w14:paraId="1FAADED7" w14:textId="77777777">
        <w:trPr>
          <w:cnfStyle w:val="100000000000" w:firstRow="1" w:lastRow="0" w:firstColumn="0" w:lastColumn="0" w:oddVBand="0" w:evenVBand="0" w:oddHBand="0"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3600" w:type="dxa"/>
            <w:tcBorders>
              <w:top w:val="single" w:sz="4" w:space="0" w:color="auto"/>
              <w:bottom w:val="single" w:sz="4" w:space="0" w:color="auto"/>
            </w:tcBorders>
            <w:vAlign w:val="center"/>
          </w:tcPr>
          <w:p w14:paraId="453A74E5" w14:textId="77777777" w:rsidR="00786CF6" w:rsidRPr="00790EFA" w:rsidRDefault="00786CF6">
            <w:pPr>
              <w:spacing w:after="0"/>
              <w:jc w:val="center"/>
              <w:rPr>
                <w:rFonts w:eastAsia="Times New Roman" w:cs="Times New Roman"/>
                <w:sz w:val="20"/>
                <w:szCs w:val="20"/>
              </w:rPr>
            </w:pPr>
            <w:r w:rsidRPr="00790EFA">
              <w:rPr>
                <w:rFonts w:eastAsia="Times New Roman" w:cs="Times New Roman"/>
                <w:sz w:val="20"/>
                <w:szCs w:val="20"/>
              </w:rPr>
              <w:t>Electricity Generating Resource Type</w:t>
            </w:r>
          </w:p>
        </w:tc>
        <w:tc>
          <w:tcPr>
            <w:tcW w:w="1152" w:type="dxa"/>
            <w:tcBorders>
              <w:top w:val="single" w:sz="4" w:space="0" w:color="auto"/>
              <w:bottom w:val="single" w:sz="4" w:space="0" w:color="auto"/>
            </w:tcBorders>
            <w:vAlign w:val="center"/>
          </w:tcPr>
          <w:p w14:paraId="6EA343F0"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vertAlign w:val="subscript"/>
              </w:rPr>
            </w:pPr>
            <w:r w:rsidRPr="00790EFA">
              <w:rPr>
                <w:sz w:val="20"/>
                <w:szCs w:val="20"/>
              </w:rPr>
              <w:t>CO</w:t>
            </w:r>
            <w:r w:rsidRPr="00790EFA">
              <w:rPr>
                <w:sz w:val="20"/>
                <w:szCs w:val="20"/>
                <w:vertAlign w:val="subscript"/>
              </w:rPr>
              <w:t>2</w:t>
            </w:r>
          </w:p>
          <w:p w14:paraId="08724AB9"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rPr>
            </w:pPr>
            <w:r w:rsidRPr="00790EFA">
              <w:rPr>
                <w:rFonts w:cs="Times New Roman"/>
                <w:b w:val="0"/>
                <w:bCs w:val="0"/>
                <w:sz w:val="20"/>
                <w:szCs w:val="20"/>
              </w:rPr>
              <w:t>(g/kWh)</w:t>
            </w:r>
          </w:p>
        </w:tc>
        <w:tc>
          <w:tcPr>
            <w:tcW w:w="1152" w:type="dxa"/>
            <w:tcBorders>
              <w:top w:val="single" w:sz="4" w:space="0" w:color="auto"/>
              <w:bottom w:val="single" w:sz="4" w:space="0" w:color="auto"/>
            </w:tcBorders>
            <w:vAlign w:val="center"/>
          </w:tcPr>
          <w:p w14:paraId="23A94A7D"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vertAlign w:val="subscript"/>
              </w:rPr>
            </w:pPr>
            <w:r w:rsidRPr="00790EFA">
              <w:rPr>
                <w:sz w:val="20"/>
                <w:szCs w:val="20"/>
              </w:rPr>
              <w:t>CH</w:t>
            </w:r>
            <w:r w:rsidRPr="00790EFA">
              <w:rPr>
                <w:sz w:val="20"/>
                <w:szCs w:val="20"/>
                <w:vertAlign w:val="subscript"/>
              </w:rPr>
              <w:t>4</w:t>
            </w:r>
          </w:p>
          <w:p w14:paraId="309B687D"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rFonts w:cs="Times New Roman"/>
                <w:b w:val="0"/>
                <w:bCs w:val="0"/>
                <w:sz w:val="20"/>
                <w:szCs w:val="20"/>
              </w:rPr>
              <w:t>(g/kWh)</w:t>
            </w:r>
          </w:p>
        </w:tc>
        <w:tc>
          <w:tcPr>
            <w:tcW w:w="1152" w:type="dxa"/>
            <w:tcBorders>
              <w:top w:val="single" w:sz="4" w:space="0" w:color="auto"/>
              <w:bottom w:val="single" w:sz="4" w:space="0" w:color="auto"/>
            </w:tcBorders>
            <w:vAlign w:val="center"/>
          </w:tcPr>
          <w:p w14:paraId="55045D66"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790EFA">
              <w:rPr>
                <w:sz w:val="20"/>
                <w:szCs w:val="20"/>
              </w:rPr>
              <w:t>N</w:t>
            </w:r>
            <w:r w:rsidRPr="00790EFA">
              <w:rPr>
                <w:sz w:val="20"/>
                <w:szCs w:val="20"/>
                <w:vertAlign w:val="subscript"/>
              </w:rPr>
              <w:t>2</w:t>
            </w:r>
            <w:r w:rsidRPr="00790EFA">
              <w:rPr>
                <w:sz w:val="20"/>
                <w:szCs w:val="20"/>
              </w:rPr>
              <w:t>O</w:t>
            </w:r>
          </w:p>
          <w:p w14:paraId="237FF1AA"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rFonts w:cs="Times New Roman"/>
                <w:b w:val="0"/>
                <w:bCs w:val="0"/>
                <w:sz w:val="20"/>
                <w:szCs w:val="20"/>
              </w:rPr>
              <w:t>(g/kWh)</w:t>
            </w:r>
          </w:p>
        </w:tc>
        <w:tc>
          <w:tcPr>
            <w:tcW w:w="1152" w:type="dxa"/>
            <w:tcBorders>
              <w:top w:val="single" w:sz="4" w:space="0" w:color="auto"/>
              <w:bottom w:val="single" w:sz="4" w:space="0" w:color="auto"/>
            </w:tcBorders>
            <w:vAlign w:val="center"/>
          </w:tcPr>
          <w:p w14:paraId="7E66D7E7"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790EFA">
              <w:rPr>
                <w:sz w:val="20"/>
                <w:szCs w:val="20"/>
              </w:rPr>
              <w:t>CO</w:t>
            </w:r>
            <w:r w:rsidRPr="00790EFA">
              <w:rPr>
                <w:sz w:val="20"/>
                <w:szCs w:val="20"/>
                <w:vertAlign w:val="subscript"/>
              </w:rPr>
              <w:t>2</w:t>
            </w:r>
            <w:r w:rsidRPr="00790EFA">
              <w:rPr>
                <w:sz w:val="20"/>
                <w:szCs w:val="20"/>
              </w:rPr>
              <w:t>e</w:t>
            </w:r>
          </w:p>
          <w:p w14:paraId="4A75AE41" w14:textId="77777777" w:rsidR="00786CF6" w:rsidRPr="00790EFA" w:rsidRDefault="00786CF6">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rFonts w:cs="Times New Roman"/>
                <w:b w:val="0"/>
                <w:bCs w:val="0"/>
                <w:sz w:val="20"/>
                <w:szCs w:val="20"/>
              </w:rPr>
              <w:t>(g/kWh)</w:t>
            </w:r>
          </w:p>
        </w:tc>
      </w:tr>
      <w:tr w:rsidR="00786CF6" w:rsidRPr="003F50AF" w14:paraId="45CDCCAF" w14:textId="77777777">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3600" w:type="dxa"/>
            <w:tcBorders>
              <w:top w:val="single" w:sz="4" w:space="0" w:color="auto"/>
            </w:tcBorders>
            <w:vAlign w:val="center"/>
          </w:tcPr>
          <w:p w14:paraId="79338ECE" w14:textId="77777777" w:rsidR="00786CF6" w:rsidRPr="00790EFA" w:rsidRDefault="00786CF6">
            <w:pPr>
              <w:spacing w:after="0"/>
              <w:rPr>
                <w:rFonts w:eastAsia="Times New Roman" w:cs="Times New Roman"/>
                <w:b w:val="0"/>
                <w:sz w:val="20"/>
                <w:szCs w:val="20"/>
              </w:rPr>
            </w:pPr>
            <w:r w:rsidRPr="00790EFA">
              <w:rPr>
                <w:sz w:val="20"/>
                <w:szCs w:val="20"/>
              </w:rPr>
              <w:t>Zero-Emitting</w:t>
            </w:r>
          </w:p>
        </w:tc>
        <w:tc>
          <w:tcPr>
            <w:tcW w:w="1152" w:type="dxa"/>
            <w:tcBorders>
              <w:top w:val="single" w:sz="4" w:space="0" w:color="auto"/>
            </w:tcBorders>
            <w:vAlign w:val="center"/>
          </w:tcPr>
          <w:p w14:paraId="49FA7796"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0</w:t>
            </w:r>
          </w:p>
        </w:tc>
        <w:tc>
          <w:tcPr>
            <w:tcW w:w="1152" w:type="dxa"/>
            <w:tcBorders>
              <w:top w:val="single" w:sz="4" w:space="0" w:color="auto"/>
            </w:tcBorders>
            <w:vAlign w:val="center"/>
          </w:tcPr>
          <w:p w14:paraId="28CA8DFC"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0</w:t>
            </w:r>
          </w:p>
        </w:tc>
        <w:tc>
          <w:tcPr>
            <w:tcW w:w="1152" w:type="dxa"/>
            <w:tcBorders>
              <w:top w:val="single" w:sz="4" w:space="0" w:color="auto"/>
            </w:tcBorders>
            <w:vAlign w:val="center"/>
          </w:tcPr>
          <w:p w14:paraId="7DB5C3E0"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0</w:t>
            </w:r>
          </w:p>
        </w:tc>
        <w:tc>
          <w:tcPr>
            <w:tcW w:w="1152" w:type="dxa"/>
            <w:tcBorders>
              <w:top w:val="single" w:sz="4" w:space="0" w:color="auto"/>
            </w:tcBorders>
            <w:vAlign w:val="center"/>
          </w:tcPr>
          <w:p w14:paraId="41286595"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0</w:t>
            </w:r>
          </w:p>
        </w:tc>
      </w:tr>
      <w:tr w:rsidR="00786CF6" w:rsidRPr="003F50AF" w14:paraId="27992536" w14:textId="77777777">
        <w:trPr>
          <w:trHeight w:val="70"/>
          <w:jc w:val="center"/>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03324153" w14:textId="77777777" w:rsidR="00786CF6" w:rsidRPr="00790EFA" w:rsidRDefault="00786CF6">
            <w:pPr>
              <w:spacing w:after="0"/>
              <w:rPr>
                <w:rFonts w:eastAsia="Times New Roman" w:cs="Times New Roman"/>
                <w:b w:val="0"/>
                <w:sz w:val="20"/>
                <w:szCs w:val="20"/>
              </w:rPr>
            </w:pPr>
            <w:r w:rsidRPr="00790EFA">
              <w:rPr>
                <w:sz w:val="20"/>
                <w:szCs w:val="20"/>
              </w:rPr>
              <w:t>Natural Gas</w:t>
            </w:r>
          </w:p>
        </w:tc>
        <w:tc>
          <w:tcPr>
            <w:tcW w:w="1152" w:type="dxa"/>
            <w:vAlign w:val="center"/>
          </w:tcPr>
          <w:p w14:paraId="3A00C845" w14:textId="77777777" w:rsidR="00786CF6" w:rsidRPr="00790EFA" w:rsidRDefault="00786CF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sz w:val="20"/>
                <w:szCs w:val="20"/>
              </w:rPr>
              <w:t>450</w:t>
            </w:r>
          </w:p>
        </w:tc>
        <w:tc>
          <w:tcPr>
            <w:tcW w:w="1152" w:type="dxa"/>
            <w:vAlign w:val="center"/>
          </w:tcPr>
          <w:p w14:paraId="4B0FE4F9" w14:textId="77777777" w:rsidR="00786CF6" w:rsidRPr="00790EFA" w:rsidRDefault="00786CF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sz w:val="20"/>
                <w:szCs w:val="20"/>
              </w:rPr>
              <w:t>0.89</w:t>
            </w:r>
          </w:p>
        </w:tc>
        <w:tc>
          <w:tcPr>
            <w:tcW w:w="1152" w:type="dxa"/>
            <w:vAlign w:val="center"/>
          </w:tcPr>
          <w:p w14:paraId="3BCFF023" w14:textId="77777777" w:rsidR="00786CF6" w:rsidRPr="00790EFA" w:rsidRDefault="00786CF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sz w:val="20"/>
                <w:szCs w:val="20"/>
              </w:rPr>
              <w:t>0.01</w:t>
            </w:r>
          </w:p>
        </w:tc>
        <w:tc>
          <w:tcPr>
            <w:tcW w:w="1152" w:type="dxa"/>
            <w:vAlign w:val="center"/>
          </w:tcPr>
          <w:p w14:paraId="333C33BA" w14:textId="77777777" w:rsidR="00786CF6" w:rsidRPr="00790EFA" w:rsidRDefault="00786CF6">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sz w:val="20"/>
                <w:szCs w:val="20"/>
              </w:rPr>
              <w:t>477</w:t>
            </w:r>
          </w:p>
        </w:tc>
      </w:tr>
      <w:tr w:rsidR="00786CF6" w:rsidRPr="003F50AF" w14:paraId="2A402A6F" w14:textId="77777777">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39355CC3" w14:textId="77777777" w:rsidR="00786CF6" w:rsidRPr="00790EFA" w:rsidRDefault="00786CF6">
            <w:pPr>
              <w:spacing w:after="0"/>
              <w:rPr>
                <w:rFonts w:eastAsia="Times New Roman" w:cs="Times New Roman"/>
                <w:b w:val="0"/>
                <w:sz w:val="20"/>
                <w:szCs w:val="20"/>
              </w:rPr>
            </w:pPr>
            <w:r w:rsidRPr="00790EFA">
              <w:rPr>
                <w:sz w:val="20"/>
                <w:szCs w:val="20"/>
              </w:rPr>
              <w:t>Coal</w:t>
            </w:r>
          </w:p>
        </w:tc>
        <w:tc>
          <w:tcPr>
            <w:tcW w:w="1152" w:type="dxa"/>
            <w:vAlign w:val="center"/>
          </w:tcPr>
          <w:p w14:paraId="4F347E01"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1,050</w:t>
            </w:r>
          </w:p>
        </w:tc>
        <w:tc>
          <w:tcPr>
            <w:tcW w:w="1152" w:type="dxa"/>
            <w:vAlign w:val="center"/>
          </w:tcPr>
          <w:p w14:paraId="2BD2CC0C"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1.70</w:t>
            </w:r>
          </w:p>
        </w:tc>
        <w:tc>
          <w:tcPr>
            <w:tcW w:w="1152" w:type="dxa"/>
            <w:vAlign w:val="center"/>
          </w:tcPr>
          <w:p w14:paraId="50EAC079"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0.02</w:t>
            </w:r>
          </w:p>
        </w:tc>
        <w:tc>
          <w:tcPr>
            <w:tcW w:w="1152" w:type="dxa"/>
            <w:vAlign w:val="center"/>
          </w:tcPr>
          <w:p w14:paraId="58E6D32C" w14:textId="77777777" w:rsidR="00786CF6" w:rsidRPr="00790EFA" w:rsidRDefault="00786CF6">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sz w:val="20"/>
                <w:szCs w:val="20"/>
              </w:rPr>
              <w:t>1,104</w:t>
            </w:r>
          </w:p>
        </w:tc>
      </w:tr>
    </w:tbl>
    <w:p w14:paraId="7AA8A9EE" w14:textId="77777777" w:rsidR="00786CF6" w:rsidRDefault="00786CF6" w:rsidP="00786CF6"/>
    <w:p w14:paraId="48540DEC" w14:textId="77777777" w:rsidR="0086269E" w:rsidRDefault="00786CF6" w:rsidP="00786CF6">
      <w:r>
        <w:t>The</w:t>
      </w:r>
      <w:r w:rsidR="00C51E46">
        <w:t xml:space="preserve"> </w:t>
      </w:r>
      <w:r>
        <w:t>GHG emission rate</w:t>
      </w:r>
      <w:r w:rsidR="00C51E46">
        <w:t xml:space="preserve"> by type was multiplied by its </w:t>
      </w:r>
      <w:r>
        <w:t xml:space="preserve">estimated </w:t>
      </w:r>
      <w:r w:rsidR="00D67616">
        <w:t xml:space="preserve">project </w:t>
      </w:r>
      <w:r>
        <w:t xml:space="preserve">share of </w:t>
      </w:r>
      <w:r w:rsidR="00C51E46">
        <w:t>state</w:t>
      </w:r>
      <w:r>
        <w:t xml:space="preserve"> generation for a given year to </w:t>
      </w:r>
      <w:r w:rsidR="00EC593A">
        <w:t xml:space="preserve">project </w:t>
      </w:r>
      <w:r>
        <w:t xml:space="preserve">average </w:t>
      </w:r>
      <w:r w:rsidR="00EC593A">
        <w:t xml:space="preserve">Indiana </w:t>
      </w:r>
      <w:r>
        <w:t xml:space="preserve">electricity grid emission rate </w:t>
      </w:r>
      <w:r w:rsidR="00EC593A">
        <w:t>as shown</w:t>
      </w:r>
      <w:r>
        <w:t xml:space="preserve"> </w:t>
      </w:r>
      <w:r w:rsidR="0022703B">
        <w:t>in Figure 2</w:t>
      </w:r>
      <w:r>
        <w:t>.</w:t>
      </w:r>
    </w:p>
    <w:p w14:paraId="21DFF72A" w14:textId="77777777" w:rsidR="00E912BA" w:rsidRDefault="00C947F3" w:rsidP="00786CF6">
      <w:r>
        <w:t xml:space="preserve">The rate for </w:t>
      </w:r>
      <w:r w:rsidR="001F17ED">
        <w:t>a</w:t>
      </w:r>
      <w:r>
        <w:t xml:space="preserve"> year was </w:t>
      </w:r>
      <w:r w:rsidR="00387A16">
        <w:t>first</w:t>
      </w:r>
      <w:r>
        <w:t xml:space="preserve"> multiplied by the electricity consumption for baseline and </w:t>
      </w:r>
      <w:r w:rsidR="00387A16">
        <w:t xml:space="preserve">then separately for </w:t>
      </w:r>
      <w:r>
        <w:t xml:space="preserve">after a project </w:t>
      </w:r>
      <w:r w:rsidR="00387A16">
        <w:t xml:space="preserve">was implemented </w:t>
      </w:r>
      <w:r>
        <w:t xml:space="preserve">to estimate the </w:t>
      </w:r>
      <w:r w:rsidR="00387A16">
        <w:t>resulting</w:t>
      </w:r>
      <w:r>
        <w:t xml:space="preserve"> emissions </w:t>
      </w:r>
      <w:r w:rsidR="001F17ED">
        <w:t>for each</w:t>
      </w:r>
      <w:r w:rsidR="00387A16">
        <w:t xml:space="preserve">. Then, </w:t>
      </w:r>
      <w:r w:rsidR="001F17ED">
        <w:t xml:space="preserve">the </w:t>
      </w:r>
      <w:r w:rsidR="00376A8E">
        <w:t>(lower) emissions from after the project is implemented were</w:t>
      </w:r>
      <w:r w:rsidR="001F17ED">
        <w:t xml:space="preserve"> subtracted from the </w:t>
      </w:r>
      <w:r w:rsidR="00376A8E">
        <w:t>(higher) baseline</w:t>
      </w:r>
      <w:r w:rsidR="001F17ED">
        <w:t xml:space="preserve"> to estimate avoided emissions due to </w:t>
      </w:r>
      <w:r w:rsidR="00381F6E">
        <w:t>the</w:t>
      </w:r>
      <w:r w:rsidR="001F17ED">
        <w:t xml:space="preserve"> project.</w:t>
      </w:r>
      <w:r w:rsidR="00F25FF0">
        <w:t xml:space="preserve"> </w:t>
      </w:r>
    </w:p>
    <w:p w14:paraId="338C05D9" w14:textId="47422F0C" w:rsidR="00786CF6" w:rsidRDefault="00F25FF0" w:rsidP="00786CF6">
      <w:r>
        <w:t>Avoided emissions may decline over time though avoided electricity consumption is constant because the average grid emission rate is</w:t>
      </w:r>
      <w:r w:rsidR="004D6E8D">
        <w:t xml:space="preserve"> decarbonizing over time.</w:t>
      </w:r>
      <w:r w:rsidR="00F31AFA">
        <w:t xml:space="preserve"> Additionally, </w:t>
      </w:r>
      <w:r w:rsidR="00872409">
        <w:t>the estimated avoided emissions using this average grid electricity rate may under</w:t>
      </w:r>
      <w:r w:rsidR="00244691">
        <w:t xml:space="preserve">estimate </w:t>
      </w:r>
      <w:r w:rsidR="00AC1DFC">
        <w:t xml:space="preserve">actual </w:t>
      </w:r>
      <w:r w:rsidR="00F102FE">
        <w:t xml:space="preserve">reductions </w:t>
      </w:r>
      <w:r w:rsidR="00AC1DFC">
        <w:t>as</w:t>
      </w:r>
      <w:r w:rsidR="00F31AFA" w:rsidRPr="00F31AFA">
        <w:t xml:space="preserve"> </w:t>
      </w:r>
      <w:r w:rsidR="006C495C">
        <w:t>the</w:t>
      </w:r>
      <w:r w:rsidR="00C07509">
        <w:t xml:space="preserve"> programs and</w:t>
      </w:r>
      <w:r w:rsidR="006C495C">
        <w:t xml:space="preserve"> measures discussed here </w:t>
      </w:r>
      <w:r w:rsidR="00C07509">
        <w:t>m</w:t>
      </w:r>
      <w:r w:rsidR="006C495C">
        <w:t>ay</w:t>
      </w:r>
      <w:r w:rsidR="00F31AFA" w:rsidRPr="00F31AFA">
        <w:t xml:space="preserve"> reduce peak usage, which </w:t>
      </w:r>
      <w:r w:rsidR="006C495C">
        <w:t>likely relies on</w:t>
      </w:r>
      <w:r w:rsidR="00F31AFA" w:rsidRPr="00F31AFA">
        <w:t xml:space="preserve"> less</w:t>
      </w:r>
      <w:r w:rsidR="006C495C">
        <w:t>-</w:t>
      </w:r>
      <w:r w:rsidR="00F31AFA" w:rsidRPr="00F31AFA">
        <w:t>efficient</w:t>
      </w:r>
      <w:r w:rsidR="006C495C">
        <w:t xml:space="preserve"> and higher-emitting</w:t>
      </w:r>
      <w:r w:rsidR="00F31AFA" w:rsidRPr="00F31AFA">
        <w:t xml:space="preserve"> generation</w:t>
      </w:r>
      <w:r w:rsidR="006C495C">
        <w:t>.</w:t>
      </w:r>
    </w:p>
    <w:p w14:paraId="1DC92F60" w14:textId="6C21DE6E" w:rsidR="00786CF6" w:rsidRPr="002324BB" w:rsidRDefault="00786CF6" w:rsidP="003C481B">
      <w:pPr>
        <w:pStyle w:val="Heading5"/>
      </w:pPr>
      <w:r w:rsidRPr="002324BB">
        <w:t xml:space="preserve">Figure </w:t>
      </w:r>
      <w:r w:rsidRPr="002324BB">
        <w:fldChar w:fldCharType="begin"/>
      </w:r>
      <w:r w:rsidRPr="002324BB">
        <w:instrText xml:space="preserve"> SEQ Figure \* ARABIC </w:instrText>
      </w:r>
      <w:r w:rsidRPr="002324BB">
        <w:fldChar w:fldCharType="separate"/>
      </w:r>
      <w:r w:rsidR="0006006E">
        <w:rPr>
          <w:noProof/>
        </w:rPr>
        <w:t>2</w:t>
      </w:r>
      <w:r w:rsidRPr="002324BB">
        <w:fldChar w:fldCharType="end"/>
      </w:r>
      <w:r w:rsidR="00811A6F">
        <w:t>.</w:t>
      </w:r>
      <w:r w:rsidRPr="002324BB">
        <w:t xml:space="preserve"> </w:t>
      </w:r>
      <w:r w:rsidR="00EC593A" w:rsidRPr="002324BB">
        <w:t>Indiana</w:t>
      </w:r>
      <w:r w:rsidRPr="002324BB">
        <w:t xml:space="preserve"> Estimated average electricity grid GHG emission Rate</w:t>
      </w:r>
    </w:p>
    <w:p w14:paraId="4760E1C5" w14:textId="2EFC0354" w:rsidR="006D667E" w:rsidRDefault="00D67616" w:rsidP="00CB2A53">
      <w:pPr>
        <w:pStyle w:val="BodyText"/>
        <w:spacing w:after="20"/>
        <w:jc w:val="center"/>
      </w:pPr>
      <w:r w:rsidRPr="00D67616">
        <w:rPr>
          <w:noProof/>
        </w:rPr>
        <w:drawing>
          <wp:inline distT="0" distB="0" distL="0" distR="0" wp14:anchorId="4D3118C5" wp14:editId="227C1DEB">
            <wp:extent cx="4752975" cy="1733550"/>
            <wp:effectExtent l="0" t="0" r="9525" b="0"/>
            <wp:docPr id="11832807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52975" cy="1733550"/>
                    </a:xfrm>
                    <a:prstGeom prst="rect">
                      <a:avLst/>
                    </a:prstGeom>
                    <a:noFill/>
                    <a:ln>
                      <a:noFill/>
                    </a:ln>
                  </pic:spPr>
                </pic:pic>
              </a:graphicData>
            </a:graphic>
          </wp:inline>
        </w:drawing>
      </w:r>
    </w:p>
    <w:p w14:paraId="610A7319" w14:textId="4E973813" w:rsidR="00D27660" w:rsidRDefault="00D27660" w:rsidP="00D27660">
      <w:pPr>
        <w:pStyle w:val="Heading1"/>
        <w:numPr>
          <w:ilvl w:val="0"/>
          <w:numId w:val="0"/>
        </w:numPr>
        <w:ind w:left="792" w:hanging="792"/>
      </w:pPr>
      <w:r>
        <w:t>Base Building Energy Consumption</w:t>
      </w:r>
    </w:p>
    <w:p w14:paraId="1DEA4E44" w14:textId="73A40816" w:rsidR="00D85275" w:rsidRDefault="00CB676A" w:rsidP="00083B6F">
      <w:pPr>
        <w:rPr>
          <w:lang w:eastAsia="en-US"/>
        </w:rPr>
      </w:pPr>
      <w:r>
        <w:rPr>
          <w:lang w:eastAsia="en-US"/>
        </w:rPr>
        <w:t>B</w:t>
      </w:r>
      <w:r w:rsidR="00230407">
        <w:rPr>
          <w:lang w:eastAsia="en-US"/>
        </w:rPr>
        <w:t>aseline b</w:t>
      </w:r>
      <w:r>
        <w:rPr>
          <w:lang w:eastAsia="en-US"/>
        </w:rPr>
        <w:t xml:space="preserve">uilding-specific energy consumption data </w:t>
      </w:r>
      <w:r w:rsidR="00DA4368">
        <w:rPr>
          <w:lang w:eastAsia="en-US"/>
        </w:rPr>
        <w:t xml:space="preserve">was not available </w:t>
      </w:r>
      <w:r w:rsidR="00870587">
        <w:rPr>
          <w:lang w:eastAsia="en-US"/>
        </w:rPr>
        <w:t>for</w:t>
      </w:r>
      <w:r w:rsidR="000E0723">
        <w:rPr>
          <w:lang w:eastAsia="en-US"/>
        </w:rPr>
        <w:t xml:space="preserve"> Indianapolis Arts Center, </w:t>
      </w:r>
      <w:proofErr w:type="spellStart"/>
      <w:r w:rsidR="009C2657">
        <w:rPr>
          <w:lang w:eastAsia="en-US"/>
        </w:rPr>
        <w:t>McCordsville</w:t>
      </w:r>
      <w:proofErr w:type="spellEnd"/>
      <w:r w:rsidR="009C2657">
        <w:rPr>
          <w:lang w:eastAsia="en-US"/>
        </w:rPr>
        <w:t xml:space="preserve"> Town Hall, and Crispus Attucks High School</w:t>
      </w:r>
      <w:r w:rsidR="00E7450E">
        <w:rPr>
          <w:lang w:eastAsia="en-US"/>
        </w:rPr>
        <w:t xml:space="preserve"> projects</w:t>
      </w:r>
      <w:r w:rsidR="00EF320A">
        <w:rPr>
          <w:lang w:eastAsia="en-US"/>
        </w:rPr>
        <w:t xml:space="preserve">. </w:t>
      </w:r>
      <w:r w:rsidR="003101D6">
        <w:rPr>
          <w:lang w:eastAsia="en-US"/>
        </w:rPr>
        <w:t>Base</w:t>
      </w:r>
      <w:r w:rsidR="00A20D1E">
        <w:rPr>
          <w:lang w:eastAsia="en-US"/>
        </w:rPr>
        <w:t xml:space="preserve"> electricity and natural gas </w:t>
      </w:r>
      <w:r w:rsidR="003101D6">
        <w:rPr>
          <w:lang w:eastAsia="en-US"/>
        </w:rPr>
        <w:t>consumption were estimating using</w:t>
      </w:r>
      <w:r w:rsidR="00A20D1E">
        <w:rPr>
          <w:lang w:eastAsia="en-US"/>
        </w:rPr>
        <w:t xml:space="preserve"> assumptions from </w:t>
      </w:r>
      <w:r w:rsidR="006A7D02">
        <w:rPr>
          <w:lang w:eastAsia="en-US"/>
        </w:rPr>
        <w:t>EIA’s Commercial Buildings Energy Consumption Survey (CBECS)</w:t>
      </w:r>
      <w:r w:rsidR="00A20D1E">
        <w:rPr>
          <w:lang w:eastAsia="en-US"/>
        </w:rPr>
        <w:t>.</w:t>
      </w:r>
      <w:r w:rsidR="002A4F62">
        <w:rPr>
          <w:rStyle w:val="FootnoteReference"/>
          <w:lang w:eastAsia="en-US"/>
        </w:rPr>
        <w:footnoteReference w:id="30"/>
      </w:r>
      <w:r w:rsidR="00A20D1E">
        <w:rPr>
          <w:lang w:eastAsia="en-US"/>
        </w:rPr>
        <w:t xml:space="preserve"> </w:t>
      </w:r>
      <w:r w:rsidR="00170111">
        <w:rPr>
          <w:lang w:eastAsia="en-US"/>
        </w:rPr>
        <w:t xml:space="preserve">Average </w:t>
      </w:r>
      <w:r w:rsidR="009A4A42">
        <w:rPr>
          <w:lang w:eastAsia="en-US"/>
        </w:rPr>
        <w:t xml:space="preserve">East North Central region </w:t>
      </w:r>
      <w:r w:rsidR="00672D50">
        <w:rPr>
          <w:lang w:eastAsia="en-US"/>
        </w:rPr>
        <w:t xml:space="preserve">commercial building </w:t>
      </w:r>
      <w:r w:rsidR="00702AF4">
        <w:rPr>
          <w:lang w:eastAsia="en-US"/>
        </w:rPr>
        <w:t xml:space="preserve">electricity </w:t>
      </w:r>
      <w:r w:rsidR="00672D50">
        <w:rPr>
          <w:lang w:eastAsia="en-US"/>
        </w:rPr>
        <w:t xml:space="preserve">and </w:t>
      </w:r>
      <w:r w:rsidR="00702AF4">
        <w:rPr>
          <w:lang w:eastAsia="en-US"/>
        </w:rPr>
        <w:t>gas</w:t>
      </w:r>
      <w:r w:rsidR="00672D50">
        <w:rPr>
          <w:lang w:eastAsia="en-US"/>
        </w:rPr>
        <w:t xml:space="preserve"> consumption per square foot was estimated by dividing </w:t>
      </w:r>
      <w:r w:rsidR="00587EBE">
        <w:rPr>
          <w:lang w:eastAsia="en-US"/>
        </w:rPr>
        <w:t>the region’s</w:t>
      </w:r>
      <w:r w:rsidR="00672D50">
        <w:rPr>
          <w:lang w:eastAsia="en-US"/>
        </w:rPr>
        <w:t xml:space="preserve"> </w:t>
      </w:r>
      <w:r w:rsidR="0064722B">
        <w:rPr>
          <w:lang w:eastAsia="en-US"/>
        </w:rPr>
        <w:t>total</w:t>
      </w:r>
      <w:r w:rsidR="00672D50">
        <w:rPr>
          <w:lang w:eastAsia="en-US"/>
        </w:rPr>
        <w:t xml:space="preserve"> </w:t>
      </w:r>
      <w:r w:rsidR="00466E28">
        <w:rPr>
          <w:lang w:eastAsia="en-US"/>
        </w:rPr>
        <w:t xml:space="preserve">building </w:t>
      </w:r>
      <w:r w:rsidR="00672D50">
        <w:rPr>
          <w:lang w:eastAsia="en-US"/>
        </w:rPr>
        <w:t>energy consumption</w:t>
      </w:r>
      <w:r w:rsidR="00D62623">
        <w:rPr>
          <w:rStyle w:val="FootnoteReference"/>
          <w:lang w:eastAsia="en-US"/>
        </w:rPr>
        <w:footnoteReference w:id="31"/>
      </w:r>
      <w:r w:rsidR="009C6BFD">
        <w:rPr>
          <w:lang w:eastAsia="en-US"/>
        </w:rPr>
        <w:t xml:space="preserve"> </w:t>
      </w:r>
      <w:r w:rsidR="00FD0D3D">
        <w:rPr>
          <w:lang w:eastAsia="en-US"/>
        </w:rPr>
        <w:t>by</w:t>
      </w:r>
      <w:r w:rsidR="00BC492D">
        <w:rPr>
          <w:lang w:eastAsia="en-US"/>
        </w:rPr>
        <w:t xml:space="preserve"> floorspace</w:t>
      </w:r>
      <w:r w:rsidR="00D62623">
        <w:rPr>
          <w:lang w:eastAsia="en-US"/>
        </w:rPr>
        <w:t>.</w:t>
      </w:r>
      <w:r w:rsidR="00D62623">
        <w:rPr>
          <w:rStyle w:val="FootnoteReference"/>
          <w:lang w:eastAsia="en-US"/>
        </w:rPr>
        <w:footnoteReference w:id="32"/>
      </w:r>
    </w:p>
    <w:p w14:paraId="72F6FD58" w14:textId="64029FB6" w:rsidR="00D62623" w:rsidRDefault="00D62623" w:rsidP="003B1A2B">
      <w:pPr>
        <w:ind w:left="720"/>
        <w:rPr>
          <w:lang w:eastAsia="en-US"/>
        </w:rPr>
      </w:pPr>
      <w:r>
        <w:rPr>
          <w:lang w:eastAsia="en-US"/>
        </w:rPr>
        <w:t xml:space="preserve">Electricity = </w:t>
      </w:r>
      <w:r w:rsidR="00D14933">
        <w:rPr>
          <w:lang w:eastAsia="en-US"/>
        </w:rPr>
        <w:t xml:space="preserve">694 trillion Btu </w:t>
      </w:r>
      <w:r>
        <w:rPr>
          <w:lang w:eastAsia="en-US"/>
        </w:rPr>
        <w:t>/ 17,374 million square feet</w:t>
      </w:r>
    </w:p>
    <w:p w14:paraId="1618ABC8" w14:textId="6C8F028A" w:rsidR="00D62623" w:rsidRDefault="00D62623" w:rsidP="003B1A2B">
      <w:pPr>
        <w:ind w:left="720"/>
        <w:rPr>
          <w:lang w:eastAsia="en-US"/>
        </w:rPr>
      </w:pPr>
      <w:r>
        <w:rPr>
          <w:lang w:eastAsia="en-US"/>
        </w:rPr>
        <w:t>Natural Gas =</w:t>
      </w:r>
      <w:r w:rsidR="00D14933">
        <w:rPr>
          <w:lang w:eastAsia="en-US"/>
        </w:rPr>
        <w:t xml:space="preserve"> </w:t>
      </w:r>
      <w:r w:rsidR="009C6BFD">
        <w:rPr>
          <w:lang w:eastAsia="en-US"/>
        </w:rPr>
        <w:t xml:space="preserve">603 trillion Btu </w:t>
      </w:r>
      <w:r>
        <w:rPr>
          <w:lang w:eastAsia="en-US"/>
        </w:rPr>
        <w:t xml:space="preserve">/ </w:t>
      </w:r>
      <w:r w:rsidR="0078158A">
        <w:rPr>
          <w:lang w:eastAsia="en-US"/>
        </w:rPr>
        <w:t>14,491 million square feet</w:t>
      </w:r>
    </w:p>
    <w:p w14:paraId="4A1BC136" w14:textId="293D3297" w:rsidR="008F6E4C" w:rsidRDefault="00222EDE" w:rsidP="00083B6F">
      <w:pPr>
        <w:rPr>
          <w:lang w:eastAsia="en-US"/>
        </w:rPr>
      </w:pPr>
      <w:r>
        <w:rPr>
          <w:lang w:eastAsia="en-US"/>
        </w:rPr>
        <w:t>To estimate baseline energy</w:t>
      </w:r>
      <w:r w:rsidR="00766C47">
        <w:rPr>
          <w:lang w:eastAsia="en-US"/>
        </w:rPr>
        <w:t xml:space="preserve"> consumption</w:t>
      </w:r>
      <w:r>
        <w:rPr>
          <w:lang w:eastAsia="en-US"/>
        </w:rPr>
        <w:t>, t</w:t>
      </w:r>
      <w:r w:rsidR="00D62623">
        <w:rPr>
          <w:lang w:eastAsia="en-US"/>
        </w:rPr>
        <w:t>hese average</w:t>
      </w:r>
      <w:r>
        <w:rPr>
          <w:lang w:eastAsia="en-US"/>
        </w:rPr>
        <w:t>s</w:t>
      </w:r>
      <w:r w:rsidR="00766C47">
        <w:rPr>
          <w:lang w:eastAsia="en-US"/>
        </w:rPr>
        <w:t xml:space="preserve"> were multiplied by </w:t>
      </w:r>
      <w:r w:rsidR="00156447">
        <w:rPr>
          <w:lang w:eastAsia="en-US"/>
        </w:rPr>
        <w:t xml:space="preserve">the assumed total square footage </w:t>
      </w:r>
      <w:r w:rsidR="002E2E1A">
        <w:rPr>
          <w:lang w:eastAsia="en-US"/>
        </w:rPr>
        <w:t xml:space="preserve">size </w:t>
      </w:r>
      <w:r w:rsidR="00156447">
        <w:rPr>
          <w:lang w:eastAsia="en-US"/>
        </w:rPr>
        <w:t xml:space="preserve">of </w:t>
      </w:r>
      <w:r w:rsidR="00170EA4">
        <w:rPr>
          <w:lang w:eastAsia="en-US"/>
        </w:rPr>
        <w:t>each building</w:t>
      </w:r>
      <w:r w:rsidR="002E4650">
        <w:rPr>
          <w:lang w:eastAsia="en-US"/>
        </w:rPr>
        <w:t xml:space="preserve"> for </w:t>
      </w:r>
      <w:r w:rsidR="00E022B2">
        <w:rPr>
          <w:lang w:eastAsia="en-US"/>
        </w:rPr>
        <w:t>the resulting estimates in Table 4.</w:t>
      </w:r>
      <w:r w:rsidR="00156447">
        <w:rPr>
          <w:lang w:eastAsia="en-US"/>
        </w:rPr>
        <w:t xml:space="preserve"> </w:t>
      </w:r>
      <w:r w:rsidR="004800B8">
        <w:rPr>
          <w:lang w:eastAsia="en-US"/>
        </w:rPr>
        <w:t xml:space="preserve">Building sizes were assumed as follows: </w:t>
      </w:r>
      <w:r w:rsidR="00156447">
        <w:rPr>
          <w:lang w:eastAsia="en-US"/>
        </w:rPr>
        <w:t>Indianapolis Arts Center</w:t>
      </w:r>
      <w:r w:rsidR="00A21E87">
        <w:rPr>
          <w:lang w:eastAsia="en-US"/>
        </w:rPr>
        <w:t xml:space="preserve"> (40,000 sq ft)</w:t>
      </w:r>
      <w:r w:rsidR="00320E50">
        <w:rPr>
          <w:rStyle w:val="FootnoteReference"/>
          <w:lang w:eastAsia="en-US"/>
        </w:rPr>
        <w:footnoteReference w:id="33"/>
      </w:r>
      <w:r w:rsidR="00156447">
        <w:rPr>
          <w:lang w:eastAsia="en-US"/>
        </w:rPr>
        <w:t xml:space="preserve">, </w:t>
      </w:r>
      <w:proofErr w:type="spellStart"/>
      <w:r w:rsidR="00156447">
        <w:rPr>
          <w:lang w:eastAsia="en-US"/>
        </w:rPr>
        <w:t>McCordsville</w:t>
      </w:r>
      <w:proofErr w:type="spellEnd"/>
      <w:r w:rsidR="00156447">
        <w:rPr>
          <w:lang w:eastAsia="en-US"/>
        </w:rPr>
        <w:t xml:space="preserve"> Town Hall</w:t>
      </w:r>
      <w:r w:rsidR="00930B19">
        <w:rPr>
          <w:lang w:eastAsia="en-US"/>
        </w:rPr>
        <w:t xml:space="preserve"> (</w:t>
      </w:r>
      <w:r w:rsidR="00EB40E7">
        <w:rPr>
          <w:lang w:eastAsia="en-US"/>
        </w:rPr>
        <w:t>13,128 sq ft)</w:t>
      </w:r>
      <w:r w:rsidR="00EB40E7">
        <w:rPr>
          <w:rStyle w:val="FootnoteReference"/>
          <w:lang w:eastAsia="en-US"/>
        </w:rPr>
        <w:footnoteReference w:id="34"/>
      </w:r>
      <w:r w:rsidR="00156447">
        <w:rPr>
          <w:lang w:eastAsia="en-US"/>
        </w:rPr>
        <w:t xml:space="preserve">, and </w:t>
      </w:r>
      <w:r w:rsidR="00A21E87">
        <w:rPr>
          <w:lang w:eastAsia="en-US"/>
        </w:rPr>
        <w:t>Crispus Attucks</w:t>
      </w:r>
      <w:r w:rsidR="005F40CE">
        <w:rPr>
          <w:lang w:eastAsia="en-US"/>
        </w:rPr>
        <w:t xml:space="preserve"> (</w:t>
      </w:r>
      <w:r w:rsidR="00BB5F48">
        <w:rPr>
          <w:lang w:eastAsia="en-US"/>
        </w:rPr>
        <w:t>45,943 sq ft)</w:t>
      </w:r>
      <w:r w:rsidR="00A21E87">
        <w:rPr>
          <w:lang w:eastAsia="en-US"/>
        </w:rPr>
        <w:t>.</w:t>
      </w:r>
      <w:r w:rsidR="002B2D0F">
        <w:rPr>
          <w:lang w:eastAsia="en-US"/>
        </w:rPr>
        <w:t xml:space="preserve"> Building size for Crispus Attucks was </w:t>
      </w:r>
      <w:r w:rsidR="00B164C1">
        <w:rPr>
          <w:lang w:eastAsia="en-US"/>
        </w:rPr>
        <w:t>unavailable</w:t>
      </w:r>
      <w:r w:rsidR="008F6E4C">
        <w:rPr>
          <w:lang w:eastAsia="en-US"/>
        </w:rPr>
        <w:t xml:space="preserve"> and </w:t>
      </w:r>
      <w:r w:rsidR="007A0168">
        <w:rPr>
          <w:lang w:eastAsia="en-US"/>
        </w:rPr>
        <w:t xml:space="preserve">was </w:t>
      </w:r>
      <w:r w:rsidR="008F6E4C">
        <w:rPr>
          <w:lang w:eastAsia="en-US"/>
        </w:rPr>
        <w:t>therefore</w:t>
      </w:r>
      <w:r w:rsidR="007A0168">
        <w:rPr>
          <w:lang w:eastAsia="en-US"/>
        </w:rPr>
        <w:t xml:space="preserve"> based on the</w:t>
      </w:r>
      <w:r w:rsidR="005D4CA8">
        <w:rPr>
          <w:lang w:eastAsia="en-US"/>
        </w:rPr>
        <w:t xml:space="preserve"> </w:t>
      </w:r>
      <w:r w:rsidR="007A0168">
        <w:rPr>
          <w:lang w:eastAsia="en-US"/>
        </w:rPr>
        <w:t xml:space="preserve">size </w:t>
      </w:r>
      <w:r w:rsidR="008F6E4C">
        <w:rPr>
          <w:lang w:eastAsia="en-US"/>
        </w:rPr>
        <w:t>of an</w:t>
      </w:r>
      <w:r w:rsidR="005D4CA8">
        <w:rPr>
          <w:lang w:eastAsia="en-US"/>
        </w:rPr>
        <w:t xml:space="preserve"> average education facility in the region</w:t>
      </w:r>
      <w:r w:rsidR="007A0168">
        <w:rPr>
          <w:lang w:eastAsia="en-US"/>
        </w:rPr>
        <w:t>,</w:t>
      </w:r>
      <w:r w:rsidR="00B164C1">
        <w:rPr>
          <w:lang w:eastAsia="en-US"/>
        </w:rPr>
        <w:t xml:space="preserve"> estimated by dividing total </w:t>
      </w:r>
      <w:r w:rsidR="005D4CA8">
        <w:rPr>
          <w:lang w:eastAsia="en-US"/>
        </w:rPr>
        <w:t>regional</w:t>
      </w:r>
      <w:r w:rsidR="00D41CAE">
        <w:rPr>
          <w:lang w:eastAsia="en-US"/>
        </w:rPr>
        <w:t xml:space="preserve"> education facility floorspace</w:t>
      </w:r>
      <w:r w:rsidR="00A354A6">
        <w:rPr>
          <w:lang w:eastAsia="en-US"/>
        </w:rPr>
        <w:t xml:space="preserve"> (2,435 million sq ft)</w:t>
      </w:r>
      <w:r w:rsidR="0073797F">
        <w:rPr>
          <w:rStyle w:val="FootnoteReference"/>
          <w:lang w:eastAsia="en-US"/>
        </w:rPr>
        <w:footnoteReference w:id="35"/>
      </w:r>
      <w:r w:rsidR="00D41CAE">
        <w:rPr>
          <w:lang w:eastAsia="en-US"/>
        </w:rPr>
        <w:t xml:space="preserve"> by </w:t>
      </w:r>
      <w:r w:rsidR="005D4CA8">
        <w:rPr>
          <w:lang w:eastAsia="en-US"/>
        </w:rPr>
        <w:t xml:space="preserve">the </w:t>
      </w:r>
      <w:r w:rsidR="008F6E4C">
        <w:rPr>
          <w:lang w:eastAsia="en-US"/>
        </w:rPr>
        <w:t>count</w:t>
      </w:r>
      <w:r w:rsidR="005D4CA8">
        <w:rPr>
          <w:lang w:eastAsia="en-US"/>
        </w:rPr>
        <w:t xml:space="preserve"> of facilities in the region (53,000)</w:t>
      </w:r>
      <w:r w:rsidR="008F6E4C">
        <w:rPr>
          <w:lang w:eastAsia="en-US"/>
        </w:rPr>
        <w:t>.</w:t>
      </w:r>
      <w:r w:rsidR="00D52561">
        <w:rPr>
          <w:rStyle w:val="FootnoteReference"/>
          <w:lang w:eastAsia="en-US"/>
        </w:rPr>
        <w:footnoteReference w:id="36"/>
      </w:r>
    </w:p>
    <w:p w14:paraId="7404FE6D" w14:textId="080DE43F" w:rsidR="002E7648" w:rsidRDefault="008715BE" w:rsidP="00083B6F">
      <w:pPr>
        <w:rPr>
          <w:lang w:eastAsia="en-US"/>
        </w:rPr>
      </w:pPr>
      <w:r>
        <w:rPr>
          <w:lang w:eastAsia="en-US"/>
        </w:rPr>
        <w:t xml:space="preserve">There are uncertainties </w:t>
      </w:r>
      <w:r w:rsidR="00594B8D">
        <w:rPr>
          <w:lang w:eastAsia="en-US"/>
        </w:rPr>
        <w:t>for</w:t>
      </w:r>
      <w:r>
        <w:rPr>
          <w:lang w:eastAsia="en-US"/>
        </w:rPr>
        <w:t xml:space="preserve"> the estimated building size for Crispus Attucks </w:t>
      </w:r>
      <w:r w:rsidR="00002805">
        <w:rPr>
          <w:lang w:eastAsia="en-US"/>
        </w:rPr>
        <w:t>as well as the</w:t>
      </w:r>
      <w:r>
        <w:rPr>
          <w:lang w:eastAsia="en-US"/>
        </w:rPr>
        <w:t xml:space="preserve"> </w:t>
      </w:r>
      <w:r w:rsidR="00C4053F">
        <w:rPr>
          <w:lang w:eastAsia="en-US"/>
        </w:rPr>
        <w:t xml:space="preserve">total average building energy consumption </w:t>
      </w:r>
      <w:r w:rsidR="00CE5C4A">
        <w:rPr>
          <w:lang w:eastAsia="en-US"/>
        </w:rPr>
        <w:t>estimates</w:t>
      </w:r>
      <w:r w:rsidR="00C4053F">
        <w:rPr>
          <w:lang w:eastAsia="en-US"/>
        </w:rPr>
        <w:t xml:space="preserve"> </w:t>
      </w:r>
      <w:r w:rsidR="00002805">
        <w:rPr>
          <w:lang w:eastAsia="en-US"/>
        </w:rPr>
        <w:t xml:space="preserve">due to basing these on regional averages </w:t>
      </w:r>
      <w:r w:rsidR="00E151FD">
        <w:rPr>
          <w:lang w:eastAsia="en-US"/>
        </w:rPr>
        <w:t>from 2018</w:t>
      </w:r>
      <w:r w:rsidR="00002805">
        <w:rPr>
          <w:lang w:eastAsia="en-US"/>
        </w:rPr>
        <w:t xml:space="preserve"> survey data</w:t>
      </w:r>
      <w:r w:rsidR="007B00E9">
        <w:rPr>
          <w:lang w:eastAsia="en-US"/>
        </w:rPr>
        <w:t xml:space="preserve">. </w:t>
      </w:r>
    </w:p>
    <w:p w14:paraId="58AFA219" w14:textId="731AD8D1" w:rsidR="002E7648" w:rsidRDefault="002E7648" w:rsidP="00083B6F">
      <w:pPr>
        <w:pStyle w:val="Heading5"/>
      </w:pPr>
      <w:r w:rsidRPr="001118B8">
        <w:t xml:space="preserve">Table </w:t>
      </w:r>
      <w:r>
        <w:t>4.</w:t>
      </w:r>
      <w:r w:rsidRPr="001118B8">
        <w:t xml:space="preserve"> </w:t>
      </w:r>
      <w:r>
        <w:t>Building Baseline Energy Consumption</w:t>
      </w:r>
    </w:p>
    <w:tbl>
      <w:tblPr>
        <w:tblStyle w:val="ListTable6Colorful"/>
        <w:tblW w:w="0" w:type="auto"/>
        <w:jc w:val="center"/>
        <w:tblLook w:val="04A0" w:firstRow="1" w:lastRow="0" w:firstColumn="1" w:lastColumn="0" w:noHBand="0" w:noVBand="1"/>
      </w:tblPr>
      <w:tblGrid>
        <w:gridCol w:w="1710"/>
        <w:gridCol w:w="2070"/>
        <w:gridCol w:w="1350"/>
        <w:gridCol w:w="1926"/>
      </w:tblGrid>
      <w:tr w:rsidR="002E7648" w:rsidRPr="003F50AF" w14:paraId="1973109C" w14:textId="77777777" w:rsidTr="002E7648">
        <w:trPr>
          <w:cnfStyle w:val="100000000000" w:firstRow="1" w:lastRow="0" w:firstColumn="0" w:lastColumn="0" w:oddVBand="0" w:evenVBand="0" w:oddHBand="0" w:evenHBand="0" w:firstRowFirstColumn="0" w:firstRowLastColumn="0" w:lastRowFirstColumn="0" w:lastRowLastColumn="0"/>
          <w:trHeight w:val="197"/>
          <w:jc w:val="center"/>
        </w:trPr>
        <w:tc>
          <w:tcPr>
            <w:cnfStyle w:val="001000000000" w:firstRow="0" w:lastRow="0" w:firstColumn="1" w:lastColumn="0" w:oddVBand="0" w:evenVBand="0" w:oddHBand="0" w:evenHBand="0" w:firstRowFirstColumn="0" w:firstRowLastColumn="0" w:lastRowFirstColumn="0" w:lastRowLastColumn="0"/>
            <w:tcW w:w="1710" w:type="dxa"/>
            <w:tcBorders>
              <w:top w:val="single" w:sz="4" w:space="0" w:color="auto"/>
              <w:bottom w:val="single" w:sz="4" w:space="0" w:color="auto"/>
            </w:tcBorders>
            <w:vAlign w:val="center"/>
          </w:tcPr>
          <w:p w14:paraId="4188E728" w14:textId="3572C3BB" w:rsidR="002E7648" w:rsidRPr="00790EFA" w:rsidRDefault="002E7648">
            <w:pPr>
              <w:spacing w:after="0"/>
              <w:jc w:val="center"/>
              <w:rPr>
                <w:rFonts w:eastAsia="Times New Roman" w:cs="Times New Roman"/>
                <w:sz w:val="20"/>
                <w:szCs w:val="20"/>
              </w:rPr>
            </w:pPr>
            <w:r w:rsidRPr="00790EFA">
              <w:rPr>
                <w:rFonts w:eastAsia="Times New Roman" w:cs="Times New Roman"/>
                <w:sz w:val="20"/>
                <w:szCs w:val="20"/>
              </w:rPr>
              <w:t>Project</w:t>
            </w:r>
          </w:p>
        </w:tc>
        <w:tc>
          <w:tcPr>
            <w:tcW w:w="2070" w:type="dxa"/>
            <w:tcBorders>
              <w:top w:val="single" w:sz="4" w:space="0" w:color="auto"/>
              <w:bottom w:val="single" w:sz="4" w:space="0" w:color="auto"/>
            </w:tcBorders>
            <w:vAlign w:val="center"/>
          </w:tcPr>
          <w:p w14:paraId="1DFFCC4F" w14:textId="77777777" w:rsidR="002E7648" w:rsidRPr="00790EFA" w:rsidRDefault="002E7648">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790EFA">
              <w:rPr>
                <w:sz w:val="20"/>
                <w:szCs w:val="20"/>
              </w:rPr>
              <w:t xml:space="preserve">Natural Gas </w:t>
            </w:r>
          </w:p>
          <w:p w14:paraId="1C4B4DDA" w14:textId="00E2ABCD" w:rsidR="00A41614" w:rsidRPr="00790EFA" w:rsidRDefault="00A4161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rPr>
            </w:pPr>
            <w:r w:rsidRPr="00790EFA">
              <w:rPr>
                <w:rFonts w:cs="Times New Roman"/>
                <w:b w:val="0"/>
                <w:bCs w:val="0"/>
                <w:sz w:val="20"/>
                <w:szCs w:val="20"/>
              </w:rPr>
              <w:t>(MMBtu)</w:t>
            </w:r>
          </w:p>
        </w:tc>
        <w:tc>
          <w:tcPr>
            <w:tcW w:w="1350" w:type="dxa"/>
            <w:tcBorders>
              <w:top w:val="single" w:sz="4" w:space="0" w:color="auto"/>
              <w:bottom w:val="single" w:sz="4" w:space="0" w:color="auto"/>
            </w:tcBorders>
            <w:vAlign w:val="center"/>
          </w:tcPr>
          <w:p w14:paraId="0AC5A151" w14:textId="77777777" w:rsidR="002E7648" w:rsidRPr="00790EFA" w:rsidRDefault="002E7648">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790EFA">
              <w:rPr>
                <w:sz w:val="20"/>
                <w:szCs w:val="20"/>
              </w:rPr>
              <w:t>Electricity</w:t>
            </w:r>
          </w:p>
          <w:p w14:paraId="799F46DE" w14:textId="7799EE4A" w:rsidR="00A41614" w:rsidRPr="00790EFA" w:rsidRDefault="00A4161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rPr>
            </w:pPr>
            <w:r w:rsidRPr="00790EFA">
              <w:rPr>
                <w:rFonts w:cs="Times New Roman"/>
                <w:b w:val="0"/>
                <w:bCs w:val="0"/>
                <w:sz w:val="20"/>
                <w:szCs w:val="20"/>
              </w:rPr>
              <w:t>(MMBtu)</w:t>
            </w:r>
          </w:p>
        </w:tc>
        <w:tc>
          <w:tcPr>
            <w:tcW w:w="1926" w:type="dxa"/>
            <w:tcBorders>
              <w:top w:val="single" w:sz="4" w:space="0" w:color="auto"/>
              <w:bottom w:val="single" w:sz="4" w:space="0" w:color="auto"/>
            </w:tcBorders>
            <w:vAlign w:val="center"/>
          </w:tcPr>
          <w:p w14:paraId="21D578E2" w14:textId="7CE62C0A" w:rsidR="002E7648" w:rsidRPr="00790EFA" w:rsidRDefault="002E7648">
            <w:pPr>
              <w:spacing w:after="0"/>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790EFA">
              <w:rPr>
                <w:sz w:val="20"/>
                <w:szCs w:val="20"/>
              </w:rPr>
              <w:t>Total</w:t>
            </w:r>
            <w:r w:rsidR="00E67CD1" w:rsidRPr="00790EFA">
              <w:rPr>
                <w:sz w:val="20"/>
                <w:szCs w:val="20"/>
              </w:rPr>
              <w:t xml:space="preserve"> Energy</w:t>
            </w:r>
          </w:p>
          <w:p w14:paraId="26911539" w14:textId="2D0DC18F" w:rsidR="00A41614" w:rsidRPr="00790EFA" w:rsidRDefault="00A41614">
            <w:pPr>
              <w:spacing w:after="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rPr>
            </w:pPr>
            <w:r w:rsidRPr="00790EFA">
              <w:rPr>
                <w:rFonts w:cs="Times New Roman"/>
                <w:b w:val="0"/>
                <w:bCs w:val="0"/>
                <w:sz w:val="20"/>
                <w:szCs w:val="20"/>
              </w:rPr>
              <w:t>(MMBtu)</w:t>
            </w:r>
          </w:p>
        </w:tc>
      </w:tr>
      <w:tr w:rsidR="002E7648" w:rsidRPr="003F50AF" w14:paraId="5FA53291" w14:textId="77777777" w:rsidTr="002E7648">
        <w:trPr>
          <w:cnfStyle w:val="000000100000" w:firstRow="0" w:lastRow="0" w:firstColumn="0" w:lastColumn="0" w:oddVBand="0" w:evenVBand="0" w:oddHBand="1" w:evenHBand="0"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1710" w:type="dxa"/>
            <w:tcBorders>
              <w:top w:val="single" w:sz="4" w:space="0" w:color="auto"/>
            </w:tcBorders>
            <w:vAlign w:val="center"/>
          </w:tcPr>
          <w:p w14:paraId="6E50EE69" w14:textId="19C7D12E" w:rsidR="002E7648" w:rsidRPr="00790EFA" w:rsidRDefault="00A41614">
            <w:pPr>
              <w:spacing w:after="0"/>
              <w:rPr>
                <w:rFonts w:eastAsia="Times New Roman" w:cs="Times New Roman"/>
                <w:b w:val="0"/>
                <w:sz w:val="20"/>
                <w:szCs w:val="20"/>
              </w:rPr>
            </w:pPr>
            <w:r w:rsidRPr="00790EFA">
              <w:rPr>
                <w:sz w:val="20"/>
                <w:szCs w:val="20"/>
              </w:rPr>
              <w:t>Ind</w:t>
            </w:r>
            <w:r w:rsidR="004077FE" w:rsidRPr="00790EFA">
              <w:rPr>
                <w:sz w:val="20"/>
                <w:szCs w:val="20"/>
              </w:rPr>
              <w:t>y</w:t>
            </w:r>
            <w:r w:rsidRPr="00790EFA">
              <w:rPr>
                <w:sz w:val="20"/>
                <w:szCs w:val="20"/>
              </w:rPr>
              <w:t xml:space="preserve"> Art Center</w:t>
            </w:r>
          </w:p>
        </w:tc>
        <w:tc>
          <w:tcPr>
            <w:tcW w:w="2070" w:type="dxa"/>
            <w:tcBorders>
              <w:top w:val="single" w:sz="4" w:space="0" w:color="auto"/>
            </w:tcBorders>
            <w:vAlign w:val="center"/>
          </w:tcPr>
          <w:p w14:paraId="31D725C3" w14:textId="041C2601" w:rsidR="002E7648" w:rsidRPr="00790EFA" w:rsidRDefault="00D64FB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rFonts w:cs="Times New Roman"/>
                <w:sz w:val="20"/>
                <w:szCs w:val="20"/>
              </w:rPr>
              <w:t>1,665</w:t>
            </w:r>
          </w:p>
        </w:tc>
        <w:tc>
          <w:tcPr>
            <w:tcW w:w="1350" w:type="dxa"/>
            <w:tcBorders>
              <w:top w:val="single" w:sz="4" w:space="0" w:color="auto"/>
            </w:tcBorders>
            <w:vAlign w:val="center"/>
          </w:tcPr>
          <w:p w14:paraId="25D067CF" w14:textId="68B09E73" w:rsidR="002E7648" w:rsidRPr="00790EFA" w:rsidRDefault="00D64FB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rFonts w:cs="Times New Roman"/>
                <w:sz w:val="20"/>
                <w:szCs w:val="20"/>
              </w:rPr>
              <w:t>1,598</w:t>
            </w:r>
          </w:p>
        </w:tc>
        <w:tc>
          <w:tcPr>
            <w:tcW w:w="1926" w:type="dxa"/>
            <w:tcBorders>
              <w:top w:val="single" w:sz="4" w:space="0" w:color="auto"/>
            </w:tcBorders>
            <w:vAlign w:val="center"/>
          </w:tcPr>
          <w:p w14:paraId="472B2BFE" w14:textId="63DF0569" w:rsidR="002E7648" w:rsidRPr="00790EFA" w:rsidRDefault="00D64FB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rFonts w:cs="Times New Roman"/>
                <w:sz w:val="20"/>
                <w:szCs w:val="20"/>
              </w:rPr>
              <w:t>3,163</w:t>
            </w:r>
          </w:p>
        </w:tc>
      </w:tr>
      <w:tr w:rsidR="002E7648" w:rsidRPr="003F50AF" w14:paraId="6EFC199E" w14:textId="77777777" w:rsidTr="002E7648">
        <w:trPr>
          <w:trHeight w:val="70"/>
          <w:jc w:val="center"/>
        </w:trPr>
        <w:tc>
          <w:tcPr>
            <w:cnfStyle w:val="001000000000" w:firstRow="0" w:lastRow="0" w:firstColumn="1" w:lastColumn="0" w:oddVBand="0" w:evenVBand="0" w:oddHBand="0" w:evenHBand="0" w:firstRowFirstColumn="0" w:firstRowLastColumn="0" w:lastRowFirstColumn="0" w:lastRowLastColumn="0"/>
            <w:tcW w:w="1710" w:type="dxa"/>
            <w:vAlign w:val="center"/>
          </w:tcPr>
          <w:p w14:paraId="5F91DC7C" w14:textId="25198DA8" w:rsidR="002E7648" w:rsidRPr="00790EFA" w:rsidRDefault="004077FE">
            <w:pPr>
              <w:spacing w:after="0"/>
              <w:rPr>
                <w:rFonts w:eastAsia="Times New Roman" w:cs="Times New Roman"/>
                <w:b w:val="0"/>
                <w:sz w:val="20"/>
                <w:szCs w:val="20"/>
              </w:rPr>
            </w:pPr>
            <w:proofErr w:type="spellStart"/>
            <w:r w:rsidRPr="00790EFA">
              <w:rPr>
                <w:sz w:val="20"/>
                <w:szCs w:val="20"/>
              </w:rPr>
              <w:t>McCordsville</w:t>
            </w:r>
            <w:proofErr w:type="spellEnd"/>
          </w:p>
        </w:tc>
        <w:tc>
          <w:tcPr>
            <w:tcW w:w="2070" w:type="dxa"/>
            <w:vAlign w:val="center"/>
          </w:tcPr>
          <w:p w14:paraId="79C46BE4" w14:textId="123AAEE0" w:rsidR="002E7648" w:rsidRPr="00790EFA" w:rsidRDefault="001A1F6F">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rFonts w:cs="Times New Roman"/>
                <w:sz w:val="20"/>
                <w:szCs w:val="20"/>
              </w:rPr>
              <w:t>546</w:t>
            </w:r>
          </w:p>
        </w:tc>
        <w:tc>
          <w:tcPr>
            <w:tcW w:w="1350" w:type="dxa"/>
            <w:vAlign w:val="center"/>
          </w:tcPr>
          <w:p w14:paraId="7F6C0AC7" w14:textId="273A5142" w:rsidR="002E7648" w:rsidRPr="00790EFA" w:rsidRDefault="001A1F6F">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rFonts w:eastAsia="Times New Roman" w:cs="Times New Roman"/>
                <w:sz w:val="20"/>
                <w:szCs w:val="20"/>
              </w:rPr>
              <w:t>524</w:t>
            </w:r>
          </w:p>
        </w:tc>
        <w:tc>
          <w:tcPr>
            <w:tcW w:w="1926" w:type="dxa"/>
            <w:vAlign w:val="center"/>
          </w:tcPr>
          <w:p w14:paraId="6EE6655B" w14:textId="11319077" w:rsidR="002E7648" w:rsidRPr="00790EFA" w:rsidRDefault="00D64FB1">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rPr>
            </w:pPr>
            <w:r w:rsidRPr="00790EFA">
              <w:rPr>
                <w:rFonts w:cs="Times New Roman"/>
                <w:sz w:val="20"/>
                <w:szCs w:val="20"/>
              </w:rPr>
              <w:t>1,038</w:t>
            </w:r>
          </w:p>
        </w:tc>
      </w:tr>
      <w:tr w:rsidR="002E7648" w:rsidRPr="003F50AF" w14:paraId="0D434A37" w14:textId="77777777" w:rsidTr="002E7648">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710" w:type="dxa"/>
            <w:vAlign w:val="center"/>
          </w:tcPr>
          <w:p w14:paraId="586FBAE2" w14:textId="067BC7FA" w:rsidR="002E7648" w:rsidRPr="00790EFA" w:rsidRDefault="004077FE">
            <w:pPr>
              <w:spacing w:after="0"/>
              <w:rPr>
                <w:rFonts w:eastAsia="Times New Roman" w:cs="Times New Roman"/>
                <w:b w:val="0"/>
                <w:sz w:val="20"/>
                <w:szCs w:val="20"/>
              </w:rPr>
            </w:pPr>
            <w:r w:rsidRPr="00790EFA">
              <w:rPr>
                <w:rFonts w:cs="Times New Roman"/>
                <w:sz w:val="20"/>
                <w:szCs w:val="20"/>
              </w:rPr>
              <w:t>Crispus Attucks</w:t>
            </w:r>
          </w:p>
        </w:tc>
        <w:tc>
          <w:tcPr>
            <w:tcW w:w="2070" w:type="dxa"/>
            <w:vAlign w:val="center"/>
          </w:tcPr>
          <w:p w14:paraId="51614CF0" w14:textId="769A699C" w:rsidR="002E7648" w:rsidRPr="00790EFA" w:rsidRDefault="001A1F6F">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rFonts w:cs="Times New Roman"/>
                <w:sz w:val="20"/>
                <w:szCs w:val="20"/>
              </w:rPr>
              <w:t>1,912</w:t>
            </w:r>
          </w:p>
        </w:tc>
        <w:tc>
          <w:tcPr>
            <w:tcW w:w="1350" w:type="dxa"/>
            <w:vAlign w:val="center"/>
          </w:tcPr>
          <w:p w14:paraId="1CD16F0D" w14:textId="36427431" w:rsidR="002E7648" w:rsidRPr="00790EFA" w:rsidRDefault="001A1F6F">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rFonts w:cs="Times New Roman"/>
                <w:sz w:val="20"/>
                <w:szCs w:val="20"/>
              </w:rPr>
              <w:t>1,835</w:t>
            </w:r>
          </w:p>
        </w:tc>
        <w:tc>
          <w:tcPr>
            <w:tcW w:w="1926" w:type="dxa"/>
            <w:vAlign w:val="center"/>
          </w:tcPr>
          <w:p w14:paraId="299E13BA" w14:textId="5D69744C" w:rsidR="002E7648" w:rsidRPr="00790EFA" w:rsidRDefault="00E67CD1">
            <w:pPr>
              <w:spacing w:after="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rPr>
            </w:pPr>
            <w:r w:rsidRPr="00790EFA">
              <w:rPr>
                <w:rFonts w:cs="Times New Roman"/>
                <w:sz w:val="20"/>
                <w:szCs w:val="20"/>
              </w:rPr>
              <w:t>3,747</w:t>
            </w:r>
          </w:p>
        </w:tc>
      </w:tr>
    </w:tbl>
    <w:p w14:paraId="14E0A777" w14:textId="77777777" w:rsidR="002E7648" w:rsidRPr="00083B6F" w:rsidRDefault="002E7648" w:rsidP="00083B6F">
      <w:pPr>
        <w:rPr>
          <w:lang w:eastAsia="en-US"/>
        </w:rPr>
      </w:pPr>
    </w:p>
    <w:sectPr w:rsidR="002E7648" w:rsidRPr="00083B6F" w:rsidSect="00FC120B">
      <w:headerReference w:type="default" r:id="rId15"/>
      <w:footerReference w:type="default" r:id="rId16"/>
      <w:pgSz w:w="12240" w:h="15840"/>
      <w:pgMar w:top="1440" w:right="1440" w:bottom="1440" w:left="1440" w:header="562" w:footer="374" w:gutter="0"/>
      <w:cols w:sep="1" w:space="3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967E6B" w14:textId="77777777" w:rsidR="00FC120B" w:rsidRDefault="00FC120B" w:rsidP="00A95726">
      <w:pPr>
        <w:spacing w:after="0"/>
      </w:pPr>
      <w:r>
        <w:separator/>
      </w:r>
    </w:p>
    <w:p w14:paraId="0B7CAE2F" w14:textId="77777777" w:rsidR="00FC120B" w:rsidRDefault="00FC120B"/>
    <w:p w14:paraId="4932F659" w14:textId="77777777" w:rsidR="00FC120B" w:rsidRDefault="00FC120B"/>
    <w:p w14:paraId="432193CA" w14:textId="77777777" w:rsidR="00FC120B" w:rsidRDefault="00FC120B"/>
    <w:p w14:paraId="7A2F95F4" w14:textId="77777777" w:rsidR="00FC120B" w:rsidRDefault="00FC120B"/>
  </w:endnote>
  <w:endnote w:type="continuationSeparator" w:id="0">
    <w:p w14:paraId="1286E1AC" w14:textId="77777777" w:rsidR="00FC120B" w:rsidRDefault="00FC120B" w:rsidP="00A95726">
      <w:pPr>
        <w:spacing w:after="0"/>
      </w:pPr>
      <w:r>
        <w:continuationSeparator/>
      </w:r>
    </w:p>
    <w:p w14:paraId="5B8C2D4B" w14:textId="77777777" w:rsidR="00FC120B" w:rsidRDefault="00FC120B"/>
    <w:p w14:paraId="2BB27DB9" w14:textId="77777777" w:rsidR="00FC120B" w:rsidRDefault="00FC120B"/>
    <w:p w14:paraId="798DF620" w14:textId="77777777" w:rsidR="00FC120B" w:rsidRDefault="00FC120B"/>
    <w:p w14:paraId="5628143F" w14:textId="77777777" w:rsidR="00FC120B" w:rsidRDefault="00FC120B"/>
  </w:endnote>
  <w:endnote w:type="continuationNotice" w:id="1">
    <w:p w14:paraId="6C36A7AF" w14:textId="77777777" w:rsidR="00FC120B" w:rsidRDefault="00FC12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3870362"/>
      <w:docPartObj>
        <w:docPartGallery w:val="Page Numbers (Bottom of Page)"/>
        <w:docPartUnique/>
      </w:docPartObj>
    </w:sdtPr>
    <w:sdtEndPr>
      <w:rPr>
        <w:noProof/>
      </w:rPr>
    </w:sdtEndPr>
    <w:sdtContent>
      <w:p w14:paraId="3303EA7A" w14:textId="65AA711A" w:rsidR="00AE1D86" w:rsidRDefault="00AE1D8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5F4CA8" w14:textId="77777777" w:rsidR="00AE1D86" w:rsidRDefault="00AE1D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5FF36" w14:textId="77777777" w:rsidR="00FC120B" w:rsidRDefault="00FC120B" w:rsidP="0067634E">
      <w:pPr>
        <w:spacing w:after="0"/>
      </w:pPr>
      <w:r>
        <w:separator/>
      </w:r>
    </w:p>
  </w:footnote>
  <w:footnote w:type="continuationSeparator" w:id="0">
    <w:p w14:paraId="0CBC7330" w14:textId="77777777" w:rsidR="00FC120B" w:rsidRDefault="00FC120B" w:rsidP="00A95726">
      <w:pPr>
        <w:spacing w:after="0"/>
      </w:pPr>
      <w:r>
        <w:continuationSeparator/>
      </w:r>
    </w:p>
    <w:p w14:paraId="349BA672" w14:textId="77777777" w:rsidR="00FC120B" w:rsidRDefault="00FC120B"/>
    <w:p w14:paraId="524D2B1F" w14:textId="77777777" w:rsidR="00FC120B" w:rsidRDefault="00FC120B"/>
  </w:footnote>
  <w:footnote w:type="continuationNotice" w:id="1">
    <w:p w14:paraId="34A1885F" w14:textId="77777777" w:rsidR="00FC120B" w:rsidRDefault="00FC120B">
      <w:pPr>
        <w:spacing w:after="0"/>
      </w:pPr>
    </w:p>
    <w:p w14:paraId="33F964E0" w14:textId="77777777" w:rsidR="00FC120B" w:rsidRDefault="00FC120B"/>
    <w:p w14:paraId="019FC058" w14:textId="77777777" w:rsidR="00FC120B" w:rsidRDefault="00FC120B"/>
  </w:footnote>
  <w:footnote w:id="2">
    <w:p w14:paraId="2721E1F1" w14:textId="1E170BB4" w:rsidR="004B3C5D" w:rsidRPr="002E5CA6" w:rsidRDefault="004B3C5D" w:rsidP="00B667F5">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C</w:t>
      </w:r>
      <w:r w:rsidR="00B16C3B" w:rsidRPr="002E5CA6">
        <w:rPr>
          <w:rFonts w:cs="Calibri"/>
          <w:sz w:val="16"/>
          <w:szCs w:val="16"/>
        </w:rPr>
        <w:t>EE, C</w:t>
      </w:r>
      <w:r w:rsidRPr="002E5CA6">
        <w:rPr>
          <w:rFonts w:cs="Calibri"/>
          <w:sz w:val="16"/>
          <w:szCs w:val="16"/>
        </w:rPr>
        <w:t>enter for Equity and Energy Behavior,</w:t>
      </w:r>
      <w:r w:rsidR="00B16C3B" w:rsidRPr="002E5CA6">
        <w:rPr>
          <w:rFonts w:cs="Calibri"/>
          <w:sz w:val="16"/>
          <w:szCs w:val="16"/>
        </w:rPr>
        <w:t xml:space="preserve"> </w:t>
      </w:r>
      <w:hyperlink r:id="rId1" w:history="1">
        <w:r w:rsidR="00B16C3B" w:rsidRPr="002E5CA6">
          <w:rPr>
            <w:rStyle w:val="Hyperlink"/>
            <w:rFonts w:cs="Calibri"/>
            <w:sz w:val="16"/>
            <w:szCs w:val="16"/>
          </w:rPr>
          <w:t>https://cee1.org/index.php/program-insights/center-for-equity-and-energy-behavior/</w:t>
        </w:r>
      </w:hyperlink>
      <w:r w:rsidR="00B16C3B" w:rsidRPr="002E5CA6">
        <w:rPr>
          <w:rFonts w:cs="Calibri"/>
          <w:sz w:val="16"/>
          <w:szCs w:val="16"/>
        </w:rPr>
        <w:t xml:space="preserve">, accessed </w:t>
      </w:r>
      <w:r w:rsidR="000C7E80" w:rsidRPr="002E5CA6">
        <w:rPr>
          <w:rFonts w:cs="Calibri"/>
          <w:sz w:val="16"/>
          <w:szCs w:val="16"/>
        </w:rPr>
        <w:t>February</w:t>
      </w:r>
      <w:r w:rsidR="00B16C3B" w:rsidRPr="002E5CA6">
        <w:rPr>
          <w:rFonts w:cs="Calibri"/>
          <w:sz w:val="16"/>
          <w:szCs w:val="16"/>
        </w:rPr>
        <w:t xml:space="preserve"> 2024.</w:t>
      </w:r>
    </w:p>
  </w:footnote>
  <w:footnote w:id="3">
    <w:p w14:paraId="6C58E40F" w14:textId="3191E3AA" w:rsidR="00E777CF" w:rsidRPr="002E5CA6" w:rsidRDefault="00E777CF" w:rsidP="00893AFF">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EPA Center for Corporate Climate Leadership. 12 September 2023. “Emission Factors for Greenhouse Gas Inventories.” Accessed March 2024. Retrieved from: </w:t>
      </w:r>
      <w:hyperlink r:id="rId2" w:history="1">
        <w:r w:rsidR="00583C00" w:rsidRPr="002E5CA6">
          <w:rPr>
            <w:rStyle w:val="Hyperlink"/>
            <w:rFonts w:cs="Calibri"/>
            <w:sz w:val="16"/>
            <w:szCs w:val="16"/>
          </w:rPr>
          <w:t>https://www.epa.gov/system/files/documents/2023-03/ghg_emission_factors_hub.pdf</w:t>
        </w:r>
      </w:hyperlink>
      <w:r w:rsidR="002E126E" w:rsidRPr="002E5CA6">
        <w:rPr>
          <w:rFonts w:cs="Calibri"/>
          <w:sz w:val="16"/>
          <w:szCs w:val="16"/>
        </w:rPr>
        <w:t>. GHG reduction estimates here are for combustion only and therefore may be uncertain and conservative due to differences in consumption across different facility sizes or timeframes, as well as due to this avoided GHG estimate not accounting for avoided emissions from reduced production or transport of fuel.</w:t>
      </w:r>
    </w:p>
  </w:footnote>
  <w:footnote w:id="4">
    <w:p w14:paraId="49C901DE" w14:textId="77777777" w:rsidR="00EC6285" w:rsidRPr="002E5CA6" w:rsidRDefault="00EC6285" w:rsidP="00893AFF">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DOE, CCMS, Appliance &amp; Equipment Standards Program, </w:t>
      </w:r>
      <w:hyperlink r:id="rId3" w:anchor="q=Product_Group_s%3A%22Furnaces%22" w:history="1">
        <w:r w:rsidRPr="002E5CA6">
          <w:rPr>
            <w:rStyle w:val="Hyperlink"/>
            <w:rFonts w:cs="Calibri"/>
            <w:sz w:val="16"/>
            <w:szCs w:val="16"/>
          </w:rPr>
          <w:t>https://www.regulations.doe.gov/certification-data/CCMS-4-Furnaces.html#q=Product_Group_s%3A%22Furnaces%22</w:t>
        </w:r>
      </w:hyperlink>
      <w:r w:rsidRPr="002E5CA6">
        <w:rPr>
          <w:rFonts w:cs="Calibri"/>
          <w:sz w:val="16"/>
          <w:szCs w:val="16"/>
        </w:rPr>
        <w:t>, accessed February 2024. Informed by DOE data, base AFUE of 85 assumed, improved to 90 to represent newer system.</w:t>
      </w:r>
    </w:p>
  </w:footnote>
  <w:footnote w:id="5">
    <w:p w14:paraId="69088D4C" w14:textId="0BE7D907" w:rsidR="0099687B" w:rsidRPr="002E5CA6" w:rsidRDefault="0099687B" w:rsidP="0081789C">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DOE, Update or Replace Windows</w:t>
      </w:r>
      <w:r w:rsidR="00893AFF" w:rsidRPr="002E5CA6">
        <w:rPr>
          <w:rFonts w:cs="Calibri"/>
          <w:sz w:val="16"/>
          <w:szCs w:val="16"/>
        </w:rPr>
        <w:t xml:space="preserve">, Energy Saver site, </w:t>
      </w:r>
      <w:hyperlink r:id="rId4" w:history="1">
        <w:r w:rsidR="00893AFF" w:rsidRPr="002E5CA6">
          <w:rPr>
            <w:rStyle w:val="Hyperlink"/>
            <w:rFonts w:cs="Calibri"/>
            <w:sz w:val="16"/>
            <w:szCs w:val="16"/>
          </w:rPr>
          <w:t>https://www.energy.gov/energysaver/update-or-replace-windows</w:t>
        </w:r>
      </w:hyperlink>
      <w:r w:rsidR="00893AFF" w:rsidRPr="002E5CA6">
        <w:rPr>
          <w:rFonts w:cs="Calibri"/>
          <w:sz w:val="16"/>
          <w:szCs w:val="16"/>
        </w:rPr>
        <w:t xml:space="preserve">. </w:t>
      </w:r>
    </w:p>
  </w:footnote>
  <w:footnote w:id="6">
    <w:p w14:paraId="7FA8A9D0" w14:textId="52F23342" w:rsidR="00645ADA" w:rsidRPr="002E5CA6" w:rsidRDefault="00645ADA" w:rsidP="0081789C">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Star, Residential Windows, Doors, Skylights, </w:t>
      </w:r>
      <w:hyperlink r:id="rId5" w:history="1">
        <w:r w:rsidR="00185A47" w:rsidRPr="002E5CA6">
          <w:rPr>
            <w:rStyle w:val="Hyperlink"/>
            <w:rFonts w:cs="Calibri"/>
            <w:sz w:val="16"/>
            <w:szCs w:val="16"/>
          </w:rPr>
          <w:t>https://www.energystar.gov/products/res_windows_doors_skylights</w:t>
        </w:r>
      </w:hyperlink>
      <w:r w:rsidR="00185A47" w:rsidRPr="002E5CA6">
        <w:rPr>
          <w:rFonts w:cs="Calibri"/>
          <w:sz w:val="16"/>
          <w:szCs w:val="16"/>
        </w:rPr>
        <w:t>. The site’s finding that new windows may reduce energy bills by 13%</w:t>
      </w:r>
      <w:r w:rsidR="0081789C" w:rsidRPr="002E5CA6">
        <w:rPr>
          <w:rFonts w:cs="Calibri"/>
          <w:sz w:val="16"/>
          <w:szCs w:val="16"/>
        </w:rPr>
        <w:t xml:space="preserve"> was used as a proxy for reduced energy consumption.</w:t>
      </w:r>
    </w:p>
  </w:footnote>
  <w:footnote w:id="7">
    <w:p w14:paraId="6368F6D0" w14:textId="1940CDEA" w:rsidR="00F72582" w:rsidRPr="002E5CA6" w:rsidRDefault="00F72582" w:rsidP="00225C4E">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r w:rsidR="00532D55" w:rsidRPr="002E5CA6">
        <w:rPr>
          <w:rFonts w:cs="Calibri"/>
          <w:sz w:val="16"/>
          <w:szCs w:val="16"/>
        </w:rPr>
        <w:t xml:space="preserve">EIA CBECS, 2022, Table E1-Average Building Energy Consumption from Lighting, North East Central region, </w:t>
      </w:r>
      <w:hyperlink r:id="rId6" w:history="1">
        <w:r w:rsidR="00B13D66" w:rsidRPr="002E5CA6">
          <w:rPr>
            <w:rStyle w:val="Hyperlink"/>
            <w:rFonts w:cs="Calibri"/>
            <w:sz w:val="16"/>
            <w:szCs w:val="16"/>
          </w:rPr>
          <w:t>https://www.eia.gov/consumption/commercial/data/2018/ce/pdf/e1.pdf</w:t>
        </w:r>
      </w:hyperlink>
      <w:r w:rsidR="00B13D66" w:rsidRPr="002E5CA6">
        <w:rPr>
          <w:rFonts w:cs="Calibri"/>
          <w:sz w:val="16"/>
          <w:szCs w:val="16"/>
        </w:rPr>
        <w:t xml:space="preserve">. </w:t>
      </w:r>
    </w:p>
  </w:footnote>
  <w:footnote w:id="8">
    <w:p w14:paraId="609AC6D0" w14:textId="5DECC027" w:rsidR="00225C4E" w:rsidRPr="002E5CA6" w:rsidRDefault="00225C4E" w:rsidP="00225C4E">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ES Lighting</w:t>
      </w:r>
      <w:r w:rsidR="00385102" w:rsidRPr="002E5CA6">
        <w:rPr>
          <w:rFonts w:cs="Calibri"/>
          <w:sz w:val="16"/>
          <w:szCs w:val="16"/>
        </w:rPr>
        <w:t>,</w:t>
      </w:r>
      <w:r w:rsidRPr="002E5CA6">
        <w:rPr>
          <w:rFonts w:cs="Calibri"/>
          <w:sz w:val="16"/>
          <w:szCs w:val="16"/>
        </w:rPr>
        <w:t xml:space="preserve"> </w:t>
      </w:r>
      <w:r w:rsidR="00385102" w:rsidRPr="002E5CA6">
        <w:rPr>
          <w:rFonts w:cs="Calibri"/>
          <w:sz w:val="16"/>
          <w:szCs w:val="16"/>
        </w:rPr>
        <w:t>b</w:t>
      </w:r>
      <w:r w:rsidRPr="002E5CA6">
        <w:rPr>
          <w:rFonts w:cs="Calibri"/>
          <w:sz w:val="16"/>
          <w:szCs w:val="16"/>
        </w:rPr>
        <w:t xml:space="preserve">enefits of LED lighting in commercial buildings, </w:t>
      </w:r>
      <w:hyperlink r:id="rId7" w:history="1">
        <w:r w:rsidRPr="002E5CA6">
          <w:rPr>
            <w:rStyle w:val="Hyperlink"/>
            <w:rFonts w:cs="Calibri"/>
            <w:sz w:val="16"/>
            <w:szCs w:val="16"/>
          </w:rPr>
          <w:t>https://www.energysavinglighting.org/benefits-of-led-lighting-in-commercial-buildings/</w:t>
        </w:r>
      </w:hyperlink>
      <w:r w:rsidRPr="002E5CA6">
        <w:rPr>
          <w:rFonts w:cs="Calibri"/>
          <w:sz w:val="16"/>
          <w:szCs w:val="16"/>
        </w:rPr>
        <w:t xml:space="preserve">. </w:t>
      </w:r>
    </w:p>
  </w:footnote>
  <w:footnote w:id="9">
    <w:p w14:paraId="4A699160" w14:textId="77777777" w:rsidR="00744CC8" w:rsidRPr="002E5CA6" w:rsidRDefault="00744CC8" w:rsidP="00C81446">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Purchase cost informed by 2021 ICCT report </w:t>
      </w:r>
      <w:hyperlink r:id="rId8" w:history="1">
        <w:r w:rsidRPr="002E5CA6">
          <w:rPr>
            <w:rStyle w:val="Hyperlink"/>
            <w:rFonts w:cs="Calibri"/>
            <w:sz w:val="16"/>
            <w:szCs w:val="16"/>
          </w:rPr>
          <w:t>https://theicct.org/wp-content/uploads/2021/12/charging-up-america-jul2021.pdf</w:t>
        </w:r>
      </w:hyperlink>
      <w:r w:rsidRPr="002E5CA6">
        <w:rPr>
          <w:rFonts w:cs="Calibri"/>
          <w:sz w:val="16"/>
          <w:szCs w:val="16"/>
        </w:rPr>
        <w:t xml:space="preserve">. Install cost informed by Table 3 from ICCT 2019 report </w:t>
      </w:r>
      <w:hyperlink r:id="rId9" w:history="1">
        <w:r w:rsidRPr="002E5CA6">
          <w:rPr>
            <w:rStyle w:val="Hyperlink"/>
            <w:rFonts w:cs="Calibri"/>
            <w:sz w:val="16"/>
            <w:szCs w:val="16"/>
          </w:rPr>
          <w:t>https://theicct.org/wp-content/uploads/2021/06/ICCT_EV_Charging_Cost_20190813.pdf</w:t>
        </w:r>
      </w:hyperlink>
      <w:r w:rsidRPr="002E5CA6">
        <w:rPr>
          <w:rFonts w:cs="Calibri"/>
          <w:sz w:val="16"/>
          <w:szCs w:val="16"/>
        </w:rPr>
        <w:t>.</w:t>
      </w:r>
    </w:p>
  </w:footnote>
  <w:footnote w:id="10">
    <w:p w14:paraId="49FD47D8" w14:textId="77777777" w:rsidR="00C263B1" w:rsidRPr="002E5CA6" w:rsidRDefault="00C263B1" w:rsidP="00C81446">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Based on 408 kWh per month from </w:t>
      </w:r>
      <w:hyperlink r:id="rId10" w:history="1">
        <w:r w:rsidRPr="002E5CA6">
          <w:rPr>
            <w:rStyle w:val="Hyperlink"/>
            <w:rFonts w:cs="Calibri"/>
            <w:sz w:val="16"/>
            <w:szCs w:val="16"/>
          </w:rPr>
          <w:t>https://www.energysage.com/electricity/house-watts/how-many-watts-does-an-electric-car-charger-use/</w:t>
        </w:r>
      </w:hyperlink>
      <w:r w:rsidRPr="002E5CA6">
        <w:rPr>
          <w:rFonts w:cs="Calibri"/>
          <w:sz w:val="16"/>
          <w:szCs w:val="16"/>
        </w:rPr>
        <w:t xml:space="preserve">. </w:t>
      </w:r>
    </w:p>
  </w:footnote>
  <w:footnote w:id="11">
    <w:p w14:paraId="1DC8E030" w14:textId="067D13A8" w:rsidR="00413E3E" w:rsidRPr="002E5CA6" w:rsidRDefault="00413E3E" w:rsidP="00C81446">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This average for annual miles driven is in-line with </w:t>
      </w:r>
      <w:r w:rsidR="0083259F" w:rsidRPr="002E5CA6">
        <w:rPr>
          <w:rFonts w:cs="Calibri"/>
          <w:sz w:val="16"/>
          <w:szCs w:val="16"/>
        </w:rPr>
        <w:t xml:space="preserve">average of </w:t>
      </w:r>
      <w:r w:rsidRPr="002E5CA6">
        <w:rPr>
          <w:rFonts w:cs="Calibri"/>
          <w:sz w:val="16"/>
          <w:szCs w:val="16"/>
        </w:rPr>
        <w:t>recent years’ data</w:t>
      </w:r>
      <w:r w:rsidR="006E5AF4" w:rsidRPr="002E5CA6">
        <w:rPr>
          <w:rFonts w:cs="Calibri"/>
          <w:sz w:val="16"/>
          <w:szCs w:val="16"/>
        </w:rPr>
        <w:t xml:space="preserve"> from US DOT Federal Highway Administration Table VM-1 data for LDVs.</w:t>
      </w:r>
    </w:p>
  </w:footnote>
  <w:footnote w:id="12">
    <w:p w14:paraId="53DE2207" w14:textId="77777777" w:rsidR="00CC1899" w:rsidRPr="002E5CA6" w:rsidRDefault="00CC1899" w:rsidP="00CC1899">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DOT, Estimated US Average Vehicle Emissions Rates, Table 4-43, </w:t>
      </w:r>
      <w:hyperlink r:id="rId11" w:history="1">
        <w:r w:rsidRPr="002E5CA6">
          <w:rPr>
            <w:rStyle w:val="Hyperlink"/>
            <w:rFonts w:cs="Calibri"/>
            <w:sz w:val="16"/>
            <w:szCs w:val="16"/>
          </w:rPr>
          <w:t>https://www.bts.gov/content/estimated-national-average-vehicle-emissions-rates-vehicle-vehicle-type-using-gasoline-and</w:t>
        </w:r>
      </w:hyperlink>
      <w:r w:rsidRPr="002E5CA6">
        <w:rPr>
          <w:rFonts w:cs="Calibri"/>
          <w:sz w:val="16"/>
          <w:szCs w:val="16"/>
        </w:rPr>
        <w:t xml:space="preserve">. </w:t>
      </w:r>
    </w:p>
  </w:footnote>
  <w:footnote w:id="13">
    <w:p w14:paraId="366FEE81" w14:textId="154B7F71" w:rsidR="00794045" w:rsidRPr="002E5CA6" w:rsidRDefault="00794045" w:rsidP="001456E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r w:rsidR="00545939" w:rsidRPr="002E5CA6">
        <w:rPr>
          <w:rFonts w:cs="Calibri"/>
          <w:sz w:val="16"/>
          <w:szCs w:val="16"/>
        </w:rPr>
        <w:t>235 commute days per year assumed based on</w:t>
      </w:r>
      <w:r w:rsidR="00C53EDD" w:rsidRPr="002E5CA6">
        <w:rPr>
          <w:rFonts w:cs="Calibri"/>
          <w:sz w:val="16"/>
          <w:szCs w:val="16"/>
        </w:rPr>
        <w:t xml:space="preserve"> 260 weekdays</w:t>
      </w:r>
      <w:r w:rsidR="00F46FF3" w:rsidRPr="002E5CA6">
        <w:rPr>
          <w:rFonts w:cs="Calibri"/>
          <w:sz w:val="16"/>
          <w:szCs w:val="16"/>
        </w:rPr>
        <w:t xml:space="preserve"> (5 days per 52 weeks)</w:t>
      </w:r>
      <w:r w:rsidR="00C53EDD" w:rsidRPr="002E5CA6">
        <w:rPr>
          <w:rFonts w:cs="Calibri"/>
          <w:sz w:val="16"/>
          <w:szCs w:val="16"/>
        </w:rPr>
        <w:t xml:space="preserve"> per year, less </w:t>
      </w:r>
      <w:r w:rsidR="00647FDD" w:rsidRPr="002E5CA6">
        <w:rPr>
          <w:rFonts w:cs="Calibri"/>
          <w:sz w:val="16"/>
          <w:szCs w:val="16"/>
        </w:rPr>
        <w:t>25 days to account for vacation, sick time, and public holidays.</w:t>
      </w:r>
    </w:p>
  </w:footnote>
  <w:footnote w:id="14">
    <w:p w14:paraId="42B226B4" w14:textId="0F430888" w:rsidR="006D752D" w:rsidRPr="002E5CA6" w:rsidRDefault="006D752D" w:rsidP="00B76009">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r w:rsidR="00132862" w:rsidRPr="002E5CA6">
        <w:rPr>
          <w:rFonts w:cs="Calibri"/>
          <w:sz w:val="16"/>
          <w:szCs w:val="16"/>
        </w:rPr>
        <w:t>Central Indiana Travel Survey, March 2011,</w:t>
      </w:r>
      <w:r w:rsidR="000065EA" w:rsidRPr="002E5CA6">
        <w:rPr>
          <w:rFonts w:cs="Calibri"/>
          <w:sz w:val="16"/>
          <w:szCs w:val="16"/>
        </w:rPr>
        <w:t xml:space="preserve"> Table R-27, </w:t>
      </w:r>
      <w:hyperlink r:id="rId12" w:history="1">
        <w:r w:rsidR="000065EA" w:rsidRPr="002E5CA6">
          <w:rPr>
            <w:rStyle w:val="Hyperlink"/>
            <w:rFonts w:cs="Calibri"/>
            <w:sz w:val="16"/>
            <w:szCs w:val="16"/>
          </w:rPr>
          <w:t>https://d16db69sqbolil.cloudfront.net/mpo-website/downloads/Technical-Studies/Central_Indiana_Travel_Survey_2008-2009.pdf</w:t>
        </w:r>
      </w:hyperlink>
      <w:r w:rsidR="000065EA" w:rsidRPr="002E5CA6">
        <w:rPr>
          <w:rFonts w:cs="Calibri"/>
          <w:sz w:val="16"/>
          <w:szCs w:val="16"/>
        </w:rPr>
        <w:t xml:space="preserve">. </w:t>
      </w:r>
    </w:p>
  </w:footnote>
  <w:footnote w:id="15">
    <w:p w14:paraId="425E5571" w14:textId="1328AC51" w:rsidR="009C6FF9" w:rsidRPr="002E5CA6" w:rsidRDefault="009C6FF9" w:rsidP="00DE354F">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Conservative cost of $6</w:t>
      </w:r>
      <w:r w:rsidR="008342FC" w:rsidRPr="002E5CA6">
        <w:rPr>
          <w:rFonts w:cs="Calibri"/>
          <w:sz w:val="16"/>
          <w:szCs w:val="16"/>
        </w:rPr>
        <w:t>42</w:t>
      </w:r>
      <w:r w:rsidRPr="002E5CA6">
        <w:rPr>
          <w:rFonts w:cs="Calibri"/>
          <w:sz w:val="16"/>
          <w:szCs w:val="16"/>
        </w:rPr>
        <w:t xml:space="preserve">,000 per bus assumed, informed by </w:t>
      </w:r>
      <w:hyperlink r:id="rId13" w:history="1">
        <w:r w:rsidRPr="002E5CA6">
          <w:rPr>
            <w:rStyle w:val="Hyperlink"/>
            <w:rFonts w:cs="Calibri"/>
            <w:sz w:val="16"/>
            <w:szCs w:val="16"/>
          </w:rPr>
          <w:t>https://www.eesi.org/files/eesi_hybrid_bus_032007.pdf</w:t>
        </w:r>
      </w:hyperlink>
      <w:r w:rsidRPr="002E5CA6">
        <w:rPr>
          <w:rFonts w:cs="Calibri"/>
          <w:sz w:val="16"/>
          <w:szCs w:val="16"/>
        </w:rPr>
        <w:t xml:space="preserve"> and including </w:t>
      </w:r>
      <w:r w:rsidR="008342FC" w:rsidRPr="002E5CA6">
        <w:rPr>
          <w:rFonts w:cs="Calibri"/>
          <w:sz w:val="16"/>
          <w:szCs w:val="16"/>
        </w:rPr>
        <w:t>7% tax rate for vehicle purchase in Indiana.</w:t>
      </w:r>
      <w:r w:rsidR="007D1E86" w:rsidRPr="002E5CA6">
        <w:rPr>
          <w:rFonts w:cs="Calibri"/>
          <w:sz w:val="16"/>
          <w:szCs w:val="16"/>
        </w:rPr>
        <w:t xml:space="preserve"> Annual </w:t>
      </w:r>
      <w:r w:rsidR="00AA4CFF" w:rsidRPr="002E5CA6">
        <w:rPr>
          <w:rFonts w:cs="Calibri"/>
          <w:sz w:val="16"/>
          <w:szCs w:val="16"/>
        </w:rPr>
        <w:t xml:space="preserve">fuel </w:t>
      </w:r>
      <w:r w:rsidR="007D1E86" w:rsidRPr="002E5CA6">
        <w:rPr>
          <w:rFonts w:cs="Calibri"/>
          <w:sz w:val="16"/>
          <w:szCs w:val="16"/>
        </w:rPr>
        <w:t xml:space="preserve">cost estimate of $21,270 </w:t>
      </w:r>
      <w:r w:rsidR="009F40C9" w:rsidRPr="002E5CA6">
        <w:rPr>
          <w:rFonts w:cs="Calibri"/>
          <w:sz w:val="16"/>
          <w:szCs w:val="16"/>
        </w:rPr>
        <w:t>multiplied by 10 years of fueling covered</w:t>
      </w:r>
      <w:r w:rsidR="00C72A21" w:rsidRPr="002E5CA6">
        <w:rPr>
          <w:rFonts w:cs="Calibri"/>
          <w:sz w:val="16"/>
          <w:szCs w:val="16"/>
        </w:rPr>
        <w:t xml:space="preserve"> for each bus</w:t>
      </w:r>
      <w:r w:rsidR="009F40C9" w:rsidRPr="002E5CA6">
        <w:rPr>
          <w:rFonts w:cs="Calibri"/>
          <w:sz w:val="16"/>
          <w:szCs w:val="16"/>
        </w:rPr>
        <w:t>,</w:t>
      </w:r>
      <w:r w:rsidR="007D1E86" w:rsidRPr="002E5CA6">
        <w:rPr>
          <w:rFonts w:cs="Calibri"/>
          <w:sz w:val="16"/>
          <w:szCs w:val="16"/>
        </w:rPr>
        <w:t xml:space="preserve"> informed by </w:t>
      </w:r>
      <w:hyperlink r:id="rId14" w:history="1">
        <w:r w:rsidR="007D1E86" w:rsidRPr="002E5CA6">
          <w:rPr>
            <w:rStyle w:val="Hyperlink"/>
            <w:rFonts w:cs="Calibri"/>
            <w:sz w:val="16"/>
            <w:szCs w:val="16"/>
          </w:rPr>
          <w:t>https://www.transportation.gov/sites/dot.gov/files/images/Life%20Cycle%20Cost%20Overview%20for%20Different%20Transit%20Technologies.pdf</w:t>
        </w:r>
      </w:hyperlink>
      <w:r w:rsidR="007D1E86" w:rsidRPr="002E5CA6">
        <w:rPr>
          <w:rFonts w:cs="Calibri"/>
          <w:sz w:val="16"/>
          <w:szCs w:val="16"/>
        </w:rPr>
        <w:t xml:space="preserve">. </w:t>
      </w:r>
      <w:r w:rsidR="002758D8" w:rsidRPr="002E5CA6">
        <w:rPr>
          <w:rFonts w:cs="Calibri"/>
          <w:sz w:val="16"/>
          <w:szCs w:val="16"/>
        </w:rPr>
        <w:t xml:space="preserve">Conservative </w:t>
      </w:r>
      <w:r w:rsidR="008B33F2" w:rsidRPr="002E5CA6">
        <w:rPr>
          <w:rFonts w:cs="Calibri"/>
          <w:sz w:val="16"/>
          <w:szCs w:val="16"/>
        </w:rPr>
        <w:t>purchase cost</w:t>
      </w:r>
      <w:r w:rsidR="002758D8" w:rsidRPr="002E5CA6">
        <w:rPr>
          <w:rFonts w:cs="Calibri"/>
          <w:sz w:val="16"/>
          <w:szCs w:val="16"/>
        </w:rPr>
        <w:t xml:space="preserve"> meant to </w:t>
      </w:r>
      <w:r w:rsidR="008B33F2" w:rsidRPr="002E5CA6">
        <w:rPr>
          <w:rFonts w:cs="Calibri"/>
          <w:sz w:val="16"/>
          <w:szCs w:val="16"/>
        </w:rPr>
        <w:t xml:space="preserve">also account for </w:t>
      </w:r>
      <w:r w:rsidR="002758D8" w:rsidRPr="002E5CA6">
        <w:rPr>
          <w:rFonts w:cs="Calibri"/>
          <w:sz w:val="16"/>
          <w:szCs w:val="16"/>
        </w:rPr>
        <w:t xml:space="preserve">some </w:t>
      </w:r>
      <w:r w:rsidR="00834930" w:rsidRPr="002E5CA6">
        <w:rPr>
          <w:rFonts w:cs="Calibri"/>
          <w:sz w:val="16"/>
          <w:szCs w:val="16"/>
        </w:rPr>
        <w:t xml:space="preserve">uncertain costs such as </w:t>
      </w:r>
      <w:r w:rsidR="002758D8" w:rsidRPr="002E5CA6">
        <w:rPr>
          <w:rFonts w:cs="Calibri"/>
          <w:sz w:val="16"/>
          <w:szCs w:val="16"/>
        </w:rPr>
        <w:t>initial route construction</w:t>
      </w:r>
      <w:r w:rsidR="009F40C9" w:rsidRPr="002E5CA6">
        <w:rPr>
          <w:rFonts w:cs="Calibri"/>
          <w:sz w:val="16"/>
          <w:szCs w:val="16"/>
        </w:rPr>
        <w:t>,</w:t>
      </w:r>
      <w:r w:rsidR="008B33F2" w:rsidRPr="002E5CA6">
        <w:rPr>
          <w:rFonts w:cs="Calibri"/>
          <w:sz w:val="16"/>
          <w:szCs w:val="16"/>
        </w:rPr>
        <w:t xml:space="preserve"> </w:t>
      </w:r>
      <w:r w:rsidR="00EF3B5C" w:rsidRPr="002E5CA6">
        <w:rPr>
          <w:rFonts w:cs="Calibri"/>
          <w:sz w:val="16"/>
          <w:szCs w:val="16"/>
        </w:rPr>
        <w:t xml:space="preserve">bus </w:t>
      </w:r>
      <w:r w:rsidR="00AA4CFF" w:rsidRPr="002E5CA6">
        <w:rPr>
          <w:rFonts w:cs="Calibri"/>
          <w:sz w:val="16"/>
          <w:szCs w:val="16"/>
        </w:rPr>
        <w:t>maintenance</w:t>
      </w:r>
      <w:r w:rsidR="009F40C9" w:rsidRPr="002E5CA6">
        <w:rPr>
          <w:rFonts w:cs="Calibri"/>
          <w:sz w:val="16"/>
          <w:szCs w:val="16"/>
        </w:rPr>
        <w:t>, variability in fueling costs, etc</w:t>
      </w:r>
      <w:r w:rsidR="00AA4CFF" w:rsidRPr="002E5CA6">
        <w:rPr>
          <w:rFonts w:cs="Calibri"/>
          <w:sz w:val="16"/>
          <w:szCs w:val="16"/>
        </w:rPr>
        <w:t>.</w:t>
      </w:r>
    </w:p>
  </w:footnote>
  <w:footnote w:id="16">
    <w:p w14:paraId="2CCD8E8D" w14:textId="4CA1BBAB" w:rsidR="00720D32" w:rsidRPr="002E5CA6" w:rsidRDefault="00720D32" w:rsidP="00DE354F">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r w:rsidR="00196878" w:rsidRPr="002E5CA6">
        <w:rPr>
          <w:rFonts w:cs="Calibri"/>
          <w:sz w:val="16"/>
          <w:szCs w:val="16"/>
        </w:rPr>
        <w:t xml:space="preserve">Assuming </w:t>
      </w:r>
      <w:r w:rsidR="00AC3907" w:rsidRPr="002E5CA6">
        <w:rPr>
          <w:rFonts w:cs="Calibri"/>
          <w:sz w:val="16"/>
          <w:szCs w:val="16"/>
        </w:rPr>
        <w:t xml:space="preserve">conservative 6 miles per gallon for Class 7/8 heavy-duty vehicles informed by data from EIA </w:t>
      </w:r>
      <w:hyperlink r:id="rId15" w:history="1">
        <w:r w:rsidR="00AC3907" w:rsidRPr="002E5CA6">
          <w:rPr>
            <w:rStyle w:val="Hyperlink"/>
            <w:rFonts w:cs="Calibri"/>
            <w:sz w:val="16"/>
            <w:szCs w:val="16"/>
          </w:rPr>
          <w:t>https://www.eia.gov/todayinenergy/detail.php?id=26832</w:t>
        </w:r>
      </w:hyperlink>
      <w:r w:rsidR="00AC3907" w:rsidRPr="002E5CA6">
        <w:rPr>
          <w:rFonts w:cs="Calibri"/>
          <w:sz w:val="16"/>
          <w:szCs w:val="16"/>
        </w:rPr>
        <w:t xml:space="preserve">. </w:t>
      </w:r>
    </w:p>
  </w:footnote>
  <w:footnote w:id="17">
    <w:p w14:paraId="002198AE" w14:textId="10AC54F2" w:rsidR="00DE354F" w:rsidRPr="002E5CA6" w:rsidRDefault="00DE354F" w:rsidP="00DE354F">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Greenhouse Gas Protocol. 2014. “Global Warming Potential Values.” Accessed February 2024. Retrieved from: </w:t>
      </w:r>
      <w:hyperlink r:id="rId16" w:history="1">
        <w:r w:rsidRPr="002E5CA6">
          <w:rPr>
            <w:rStyle w:val="Hyperlink"/>
            <w:rFonts w:cs="Calibri"/>
            <w:sz w:val="16"/>
            <w:szCs w:val="16"/>
          </w:rPr>
          <w:t>IPCC Global Warming Potential Values</w:t>
        </w:r>
      </w:hyperlink>
      <w:r w:rsidRPr="002E5CA6">
        <w:rPr>
          <w:rStyle w:val="Hyperlink"/>
          <w:rFonts w:cs="Calibri"/>
          <w:sz w:val="16"/>
          <w:szCs w:val="16"/>
        </w:rPr>
        <w:t>.</w:t>
      </w:r>
    </w:p>
  </w:footnote>
  <w:footnote w:id="18">
    <w:p w14:paraId="2AF8FCD2" w14:textId="1D3B3795" w:rsidR="00A14C9B" w:rsidRPr="002E5CA6" w:rsidRDefault="00A14C9B" w:rsidP="00DF309D">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NEBR</w:t>
      </w:r>
      <w:r w:rsidR="00DF309D" w:rsidRPr="002E5CA6">
        <w:rPr>
          <w:rFonts w:cs="Calibri"/>
          <w:sz w:val="16"/>
          <w:szCs w:val="16"/>
        </w:rPr>
        <w:t xml:space="preserve">, How </w:t>
      </w:r>
      <w:proofErr w:type="gramStart"/>
      <w:r w:rsidR="00DF309D" w:rsidRPr="002E5CA6">
        <w:rPr>
          <w:rFonts w:cs="Calibri"/>
          <w:sz w:val="16"/>
          <w:szCs w:val="16"/>
        </w:rPr>
        <w:t>The</w:t>
      </w:r>
      <w:proofErr w:type="gramEnd"/>
      <w:r w:rsidR="00DF309D" w:rsidRPr="002E5CA6">
        <w:rPr>
          <w:rFonts w:cs="Calibri"/>
          <w:sz w:val="16"/>
          <w:szCs w:val="16"/>
        </w:rPr>
        <w:t xml:space="preserve"> Hybrid Transit Bus Can Lower Carbon Emissions, March 2022, </w:t>
      </w:r>
      <w:hyperlink r:id="rId17" w:history="1">
        <w:r w:rsidR="00DF309D" w:rsidRPr="002E5CA6">
          <w:rPr>
            <w:rStyle w:val="Hyperlink"/>
            <w:rFonts w:cs="Calibri"/>
            <w:sz w:val="16"/>
            <w:szCs w:val="16"/>
          </w:rPr>
          <w:t>https://nebr.us/news/hybrid-transit-bus-lower-co2/</w:t>
        </w:r>
      </w:hyperlink>
      <w:r w:rsidR="00DF309D" w:rsidRPr="002E5CA6">
        <w:rPr>
          <w:rFonts w:cs="Calibri"/>
          <w:sz w:val="16"/>
          <w:szCs w:val="16"/>
        </w:rPr>
        <w:t xml:space="preserve">. </w:t>
      </w:r>
    </w:p>
  </w:footnote>
  <w:footnote w:id="19">
    <w:p w14:paraId="13BD7F28" w14:textId="71097894" w:rsidR="00FB44B6" w:rsidRPr="002E5CA6" w:rsidRDefault="00FB44B6" w:rsidP="00B10D23">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This provided</w:t>
      </w:r>
      <w:r w:rsidR="00F06D73" w:rsidRPr="002E5CA6">
        <w:rPr>
          <w:rFonts w:cs="Calibri"/>
          <w:sz w:val="16"/>
          <w:szCs w:val="16"/>
        </w:rPr>
        <w:t xml:space="preserve"> carbon</w:t>
      </w:r>
      <w:r w:rsidRPr="002E5CA6">
        <w:rPr>
          <w:rFonts w:cs="Calibri"/>
          <w:sz w:val="16"/>
          <w:szCs w:val="16"/>
        </w:rPr>
        <w:t xml:space="preserve"> </w:t>
      </w:r>
      <w:r w:rsidR="00CA7170" w:rsidRPr="002E5CA6">
        <w:rPr>
          <w:rFonts w:cs="Calibri"/>
          <w:sz w:val="16"/>
          <w:szCs w:val="16"/>
        </w:rPr>
        <w:t>storage rate</w:t>
      </w:r>
      <w:r w:rsidRPr="002E5CA6">
        <w:rPr>
          <w:rFonts w:cs="Calibri"/>
          <w:sz w:val="16"/>
          <w:szCs w:val="16"/>
        </w:rPr>
        <w:t xml:space="preserve"> is in-line with, if not potentially conservative, compared to other estimates, such as from</w:t>
      </w:r>
      <w:r w:rsidR="00B10D23" w:rsidRPr="002E5CA6">
        <w:rPr>
          <w:rFonts w:cs="Calibri"/>
          <w:sz w:val="16"/>
          <w:szCs w:val="16"/>
        </w:rPr>
        <w:t xml:space="preserve"> the FOCCE Program at </w:t>
      </w:r>
      <w:proofErr w:type="spellStart"/>
      <w:r w:rsidR="00B10D23" w:rsidRPr="002E5CA6">
        <w:rPr>
          <w:rFonts w:cs="Calibri"/>
          <w:sz w:val="16"/>
          <w:szCs w:val="16"/>
        </w:rPr>
        <w:t>PennState</w:t>
      </w:r>
      <w:proofErr w:type="spellEnd"/>
      <w:r w:rsidR="00B10D23" w:rsidRPr="002E5CA6">
        <w:rPr>
          <w:rFonts w:cs="Calibri"/>
          <w:sz w:val="16"/>
          <w:szCs w:val="16"/>
        </w:rPr>
        <w:t xml:space="preserve">, </w:t>
      </w:r>
      <w:hyperlink r:id="rId18" w:history="1">
        <w:r w:rsidR="00B10D23" w:rsidRPr="002E5CA6">
          <w:rPr>
            <w:rStyle w:val="Hyperlink"/>
            <w:rFonts w:cs="Calibri"/>
            <w:sz w:val="16"/>
            <w:szCs w:val="16"/>
          </w:rPr>
          <w:t>https://extension.psu.edu/the-economic-value-of-private-forests-and-climate-change-mitigation</w:t>
        </w:r>
      </w:hyperlink>
      <w:r w:rsidR="00B10D23" w:rsidRPr="002E5CA6">
        <w:rPr>
          <w:rFonts w:cs="Calibri"/>
          <w:sz w:val="16"/>
          <w:szCs w:val="16"/>
        </w:rPr>
        <w:t xml:space="preserve">. </w:t>
      </w:r>
    </w:p>
  </w:footnote>
  <w:footnote w:id="20">
    <w:p w14:paraId="05D50678" w14:textId="6426A3AC" w:rsidR="00C04436" w:rsidRPr="002E5CA6" w:rsidRDefault="00C04436" w:rsidP="00877076">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S</w:t>
      </w:r>
      <w:r w:rsidR="000338C8" w:rsidRPr="002E5CA6">
        <w:rPr>
          <w:rFonts w:cs="Calibri"/>
          <w:sz w:val="16"/>
          <w:szCs w:val="16"/>
        </w:rPr>
        <w:t>econd State of the Carbon Cycle Report</w:t>
      </w:r>
      <w:r w:rsidR="00877076" w:rsidRPr="002E5CA6">
        <w:rPr>
          <w:rFonts w:cs="Calibri"/>
          <w:sz w:val="16"/>
          <w:szCs w:val="16"/>
        </w:rPr>
        <w:t xml:space="preserve">, Chapter 13: Terrestrial Wetlands, 2018, </w:t>
      </w:r>
      <w:hyperlink r:id="rId19" w:history="1">
        <w:r w:rsidR="00877076" w:rsidRPr="002E5CA6">
          <w:rPr>
            <w:rStyle w:val="Hyperlink"/>
            <w:rFonts w:cs="Calibri"/>
            <w:sz w:val="16"/>
            <w:szCs w:val="16"/>
          </w:rPr>
          <w:t>https://carbon2018.globalchange.gov/chapter/13/</w:t>
        </w:r>
      </w:hyperlink>
      <w:r w:rsidR="00877076" w:rsidRPr="002E5CA6">
        <w:rPr>
          <w:rFonts w:cs="Calibri"/>
          <w:sz w:val="16"/>
          <w:szCs w:val="16"/>
        </w:rPr>
        <w:t xml:space="preserve">. </w:t>
      </w:r>
      <w:r w:rsidR="000338C8" w:rsidRPr="002E5CA6">
        <w:rPr>
          <w:rFonts w:cs="Calibri"/>
          <w:sz w:val="16"/>
          <w:szCs w:val="16"/>
        </w:rPr>
        <w:t xml:space="preserve"> </w:t>
      </w:r>
    </w:p>
  </w:footnote>
  <w:footnote w:id="21">
    <w:p w14:paraId="1DBF6478" w14:textId="1A249E5B" w:rsidR="000338C8" w:rsidRPr="002E5CA6" w:rsidRDefault="000338C8" w:rsidP="000338C8">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For example, Texas A&amp;M estimates much higher carbon sequestration per acre in Wetland Economic Benefits for Landowners, Carbon Storage Credits, </w:t>
      </w:r>
      <w:hyperlink r:id="rId20" w:history="1">
        <w:r w:rsidRPr="002E5CA6">
          <w:rPr>
            <w:rStyle w:val="Hyperlink"/>
            <w:rFonts w:cs="Calibri"/>
            <w:sz w:val="16"/>
            <w:szCs w:val="16"/>
          </w:rPr>
          <w:t>https://valuewetlands.tamu.edu/land-use-goals-and-resources/carbon-storage-and-credits/</w:t>
        </w:r>
      </w:hyperlink>
      <w:r w:rsidRPr="002E5CA6">
        <w:rPr>
          <w:rFonts w:cs="Calibri"/>
          <w:sz w:val="16"/>
          <w:szCs w:val="16"/>
        </w:rPr>
        <w:t xml:space="preserve">. </w:t>
      </w:r>
    </w:p>
  </w:footnote>
  <w:footnote w:id="22">
    <w:p w14:paraId="2DF87373" w14:textId="2D0F8A98" w:rsidR="00A670F6" w:rsidRPr="002E5CA6" w:rsidRDefault="00A670F6"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r w:rsidR="002352DF" w:rsidRPr="002E5CA6">
        <w:rPr>
          <w:rFonts w:cs="Calibri"/>
          <w:sz w:val="16"/>
          <w:szCs w:val="16"/>
        </w:rPr>
        <w:t xml:space="preserve">U.S Environmental Protection Agency. 2023. “Emission Factors for Greenhouse Gas Inventories.” Accessed February 2024. Retrieved from: </w:t>
      </w:r>
      <w:hyperlink r:id="rId21" w:history="1">
        <w:r w:rsidR="002352DF" w:rsidRPr="002E5CA6">
          <w:rPr>
            <w:rStyle w:val="Hyperlink"/>
            <w:rFonts w:cs="Calibri"/>
            <w:sz w:val="16"/>
            <w:szCs w:val="16"/>
          </w:rPr>
          <w:t>Emission Factors for Greenhouse Gas Inventories (epa.gov)</w:t>
        </w:r>
      </w:hyperlink>
      <w:r w:rsidR="002E5CA6">
        <w:rPr>
          <w:rStyle w:val="Hyperlink"/>
          <w:rFonts w:cs="Calibri"/>
          <w:sz w:val="16"/>
          <w:szCs w:val="16"/>
        </w:rPr>
        <w:t>.</w:t>
      </w:r>
    </w:p>
  </w:footnote>
  <w:footnote w:id="23">
    <w:p w14:paraId="22D99145" w14:textId="3E2FFCFF" w:rsidR="00E47E20" w:rsidRPr="002E5CA6" w:rsidRDefault="00E47E20" w:rsidP="00E47E20">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Environmental Protection Agency. 2024. “Local GHG Inventory Tool.” Accessed February 2024. Retrieved from: </w:t>
      </w:r>
      <w:hyperlink r:id="rId22" w:anchor=":~:text=What%20is%20the%20Local%20Greenhouse,and%20waste%20and%20water%20management." w:history="1">
        <w:r w:rsidRPr="002E5CA6">
          <w:rPr>
            <w:rStyle w:val="Hyperlink"/>
            <w:rFonts w:cs="Calibri"/>
            <w:sz w:val="16"/>
            <w:szCs w:val="16"/>
          </w:rPr>
          <w:t>Local Greenhouse Gas Inventory Tool | US EPA</w:t>
        </w:r>
      </w:hyperlink>
      <w:r w:rsidR="002E5CA6">
        <w:rPr>
          <w:rStyle w:val="Hyperlink"/>
          <w:rFonts w:cs="Calibri"/>
          <w:sz w:val="16"/>
          <w:szCs w:val="16"/>
        </w:rPr>
        <w:t>.</w:t>
      </w:r>
    </w:p>
  </w:footnote>
  <w:footnote w:id="24">
    <w:p w14:paraId="69110194" w14:textId="52099CB3" w:rsidR="00304E60" w:rsidRPr="002E5CA6" w:rsidRDefault="00304E60"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Department of Energy. </w:t>
      </w:r>
      <w:r w:rsidR="00DE1D29" w:rsidRPr="002E5CA6">
        <w:rPr>
          <w:rFonts w:cs="Calibri"/>
          <w:sz w:val="16"/>
          <w:szCs w:val="16"/>
        </w:rPr>
        <w:t xml:space="preserve">2024. “Alternative Fuels Data Center.” Accessed February 2024. Retrieved from: </w:t>
      </w:r>
      <w:hyperlink r:id="rId23" w:history="1">
        <w:r w:rsidR="00DE1D29" w:rsidRPr="002E5CA6">
          <w:rPr>
            <w:rStyle w:val="Hyperlink"/>
            <w:rFonts w:cs="Calibri"/>
            <w:sz w:val="16"/>
            <w:szCs w:val="16"/>
          </w:rPr>
          <w:t>Alternative Fuels Data Center: Maps and Data (energy.gov)</w:t>
        </w:r>
      </w:hyperlink>
      <w:r w:rsidR="002E5CA6">
        <w:rPr>
          <w:rStyle w:val="Hyperlink"/>
          <w:rFonts w:cs="Calibri"/>
          <w:sz w:val="16"/>
          <w:szCs w:val="16"/>
        </w:rPr>
        <w:t>.</w:t>
      </w:r>
    </w:p>
  </w:footnote>
  <w:footnote w:id="25">
    <w:p w14:paraId="06D06830" w14:textId="55CD659A" w:rsidR="00CF0AF6" w:rsidRPr="002E5CA6" w:rsidRDefault="00CF0AF6"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2016. “</w:t>
      </w:r>
      <w:r w:rsidR="003423F7" w:rsidRPr="002E5CA6">
        <w:rPr>
          <w:rFonts w:cs="Calibri"/>
          <w:sz w:val="16"/>
          <w:szCs w:val="16"/>
        </w:rPr>
        <w:t xml:space="preserve">Proposed Standards for medium and heavy-duty vehicles would reduce diesel consumption.” Accessed February 2024. Retrieved from: </w:t>
      </w:r>
      <w:hyperlink r:id="rId24" w:history="1">
        <w:r w:rsidR="003423F7" w:rsidRPr="002E5CA6">
          <w:rPr>
            <w:rStyle w:val="Hyperlink"/>
            <w:rFonts w:cs="Calibri"/>
            <w:sz w:val="16"/>
            <w:szCs w:val="16"/>
          </w:rPr>
          <w:t>Proposed standards for medium- and heavy-duty vehicles would reduce diesel consumption - U.S. Energy Information Administration (EIA)</w:t>
        </w:r>
      </w:hyperlink>
      <w:r w:rsidR="002E5CA6">
        <w:rPr>
          <w:rStyle w:val="Hyperlink"/>
          <w:rFonts w:cs="Calibri"/>
          <w:sz w:val="16"/>
          <w:szCs w:val="16"/>
        </w:rPr>
        <w:t>.</w:t>
      </w:r>
    </w:p>
  </w:footnote>
  <w:footnote w:id="26">
    <w:p w14:paraId="65494893" w14:textId="43BFB856" w:rsidR="00B11770" w:rsidRPr="002E5CA6" w:rsidRDefault="00B11770"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w:t>
      </w:r>
      <w:r w:rsidR="00616C19" w:rsidRPr="002E5CA6">
        <w:rPr>
          <w:rFonts w:cs="Calibri"/>
          <w:sz w:val="16"/>
          <w:szCs w:val="16"/>
        </w:rPr>
        <w:t xml:space="preserve">vironmental Protection Agency. 2023. “Documentation for GHG Emission and Energy Factors Used in the Waste Reduction Model (WARM).” </w:t>
      </w:r>
      <w:r w:rsidR="006A0BA3" w:rsidRPr="002E5CA6">
        <w:rPr>
          <w:rFonts w:cs="Calibri"/>
          <w:sz w:val="16"/>
          <w:szCs w:val="16"/>
        </w:rPr>
        <w:t xml:space="preserve">Accessed February 2023. Retrieved from: </w:t>
      </w:r>
      <w:hyperlink r:id="rId25" w:history="1">
        <w:r w:rsidR="006A0BA3" w:rsidRPr="002E5CA6">
          <w:rPr>
            <w:rStyle w:val="Hyperlink"/>
            <w:rFonts w:cs="Calibri"/>
            <w:sz w:val="16"/>
            <w:szCs w:val="16"/>
          </w:rPr>
          <w:t>Documentation for Greenhouse Gas Emission and Energy Factors Used in the Waste Reduction Model (WARM) (epa.gov)</w:t>
        </w:r>
      </w:hyperlink>
      <w:r w:rsidR="002E5CA6">
        <w:rPr>
          <w:rStyle w:val="Hyperlink"/>
          <w:rFonts w:cs="Calibri"/>
          <w:sz w:val="16"/>
          <w:szCs w:val="16"/>
        </w:rPr>
        <w:t>.</w:t>
      </w:r>
    </w:p>
  </w:footnote>
  <w:footnote w:id="27">
    <w:p w14:paraId="16E876D3" w14:textId="367B95D6" w:rsidR="00786CF6" w:rsidRPr="002E5CA6" w:rsidRDefault="00786CF6"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2023. “Annual Energy Outlook.” Accessed February 2024. Retrieved from: </w:t>
      </w:r>
      <w:hyperlink r:id="rId26" w:history="1">
        <w:r w:rsidRPr="002E5CA6">
          <w:rPr>
            <w:rStyle w:val="Hyperlink"/>
            <w:rFonts w:cs="Calibri"/>
            <w:sz w:val="16"/>
            <w:szCs w:val="16"/>
          </w:rPr>
          <w:t>EIA Annual Energy Outlook 2023, Reference Case</w:t>
        </w:r>
      </w:hyperlink>
      <w:r w:rsidR="002E5CA6">
        <w:rPr>
          <w:rStyle w:val="Hyperlink"/>
          <w:rFonts w:cs="Calibri"/>
          <w:sz w:val="16"/>
          <w:szCs w:val="16"/>
        </w:rPr>
        <w:t>.</w:t>
      </w:r>
    </w:p>
  </w:footnote>
  <w:footnote w:id="28">
    <w:p w14:paraId="6F234867" w14:textId="7CDFF309" w:rsidR="00786CF6" w:rsidRPr="002E5CA6" w:rsidRDefault="00786CF6"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hyperlink r:id="rId27" w:history="1">
        <w:r w:rsidRPr="002E5CA6">
          <w:rPr>
            <w:rFonts w:cs="Calibri"/>
            <w:sz w:val="16"/>
            <w:szCs w:val="16"/>
          </w:rPr>
          <w:t xml:space="preserve">U.S Energy Information Administration. N.d. “Electricity Market Module Regions.” Accessed February 2024. Retrieved from: </w:t>
        </w:r>
        <w:r w:rsidRPr="002E5CA6">
          <w:rPr>
            <w:rStyle w:val="Hyperlink"/>
            <w:rFonts w:cs="Calibri"/>
            <w:sz w:val="16"/>
            <w:szCs w:val="16"/>
          </w:rPr>
          <w:t>EIA Electricity Market Module Regions</w:t>
        </w:r>
      </w:hyperlink>
      <w:r w:rsidR="002E5CA6">
        <w:rPr>
          <w:rStyle w:val="Hyperlink"/>
          <w:rFonts w:cs="Calibri"/>
          <w:sz w:val="16"/>
          <w:szCs w:val="16"/>
        </w:rPr>
        <w:t>.</w:t>
      </w:r>
    </w:p>
  </w:footnote>
  <w:footnote w:id="29">
    <w:p w14:paraId="379D89C2" w14:textId="72056611" w:rsidR="00786CF6" w:rsidRPr="002E5CA6" w:rsidRDefault="00786CF6" w:rsidP="00CD3C02">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Department of Energy, Office of Energy Efficiency &amp; Renewable Energy. N.d. “GREET.” Accessed February 2024. Retrieved from: </w:t>
      </w:r>
      <w:hyperlink r:id="rId28" w:history="1">
        <w:r w:rsidRPr="002E5CA6">
          <w:rPr>
            <w:rFonts w:cs="Calibri"/>
            <w:color w:val="0000FF"/>
            <w:sz w:val="16"/>
            <w:szCs w:val="16"/>
            <w:u w:val="single"/>
          </w:rPr>
          <w:t>GREET | Department of Energy</w:t>
        </w:r>
      </w:hyperlink>
      <w:r w:rsidR="00512E1B" w:rsidRPr="002E5CA6">
        <w:rPr>
          <w:rFonts w:cs="Calibri"/>
          <w:color w:val="0000FF"/>
          <w:sz w:val="16"/>
          <w:szCs w:val="16"/>
          <w:u w:val="single"/>
        </w:rPr>
        <w:t>.</w:t>
      </w:r>
    </w:p>
  </w:footnote>
  <w:footnote w:id="30">
    <w:p w14:paraId="593885E4" w14:textId="1E4A2D14" w:rsidR="002A4F62" w:rsidRPr="002E5CA6" w:rsidRDefault="002A4F62"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2018. “Commercial Buildings Energy Consumption Survey.” Accessed February 2024. Retrieved from: </w:t>
      </w:r>
      <w:hyperlink r:id="rId29" w:history="1">
        <w:r w:rsidRPr="002E5CA6">
          <w:rPr>
            <w:rStyle w:val="Hyperlink"/>
            <w:rFonts w:cs="Calibri"/>
            <w:sz w:val="16"/>
            <w:szCs w:val="16"/>
          </w:rPr>
          <w:t>Energy Information Administration (EIA)- Commercial Buildings Energy Consumption Survey (CBECS)</w:t>
        </w:r>
      </w:hyperlink>
      <w:r w:rsidR="002E5CA6">
        <w:rPr>
          <w:rStyle w:val="Hyperlink"/>
          <w:rFonts w:cs="Calibri"/>
          <w:sz w:val="16"/>
          <w:szCs w:val="16"/>
        </w:rPr>
        <w:t>.</w:t>
      </w:r>
    </w:p>
  </w:footnote>
  <w:footnote w:id="31">
    <w:p w14:paraId="36982A38" w14:textId="43A7FAB8" w:rsidR="00D62623" w:rsidRPr="002E5CA6" w:rsidRDefault="00D62623" w:rsidP="00D62623">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2018. “CBECS Table C1, Total Energy Consumption by Major Fuel.” Accessed February 2024. Retrieved from: </w:t>
      </w:r>
      <w:hyperlink r:id="rId30" w:history="1">
        <w:r w:rsidRPr="002E5CA6">
          <w:rPr>
            <w:rStyle w:val="Hyperlink"/>
            <w:rFonts w:cs="Calibri"/>
            <w:sz w:val="16"/>
            <w:szCs w:val="16"/>
          </w:rPr>
          <w:t>c1.xlsx (live.com)</w:t>
        </w:r>
      </w:hyperlink>
      <w:r w:rsidR="002E5CA6">
        <w:rPr>
          <w:rStyle w:val="Hyperlink"/>
          <w:rFonts w:cs="Calibri"/>
          <w:sz w:val="16"/>
          <w:szCs w:val="16"/>
        </w:rPr>
        <w:t>.</w:t>
      </w:r>
    </w:p>
  </w:footnote>
  <w:footnote w:id="32">
    <w:p w14:paraId="5DFBA974" w14:textId="1EB00FA4" w:rsidR="00D62623" w:rsidRPr="002E5CA6" w:rsidRDefault="00D62623" w:rsidP="00D62623">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2018. “CBECS Table B20, Energy Sources, Floorspace.” Accessed February 2024. Retrieved from: </w:t>
      </w:r>
      <w:hyperlink r:id="rId31" w:history="1">
        <w:r w:rsidRPr="002E5CA6">
          <w:rPr>
            <w:rStyle w:val="Hyperlink"/>
            <w:rFonts w:cs="Calibri"/>
            <w:sz w:val="16"/>
            <w:szCs w:val="16"/>
          </w:rPr>
          <w:t>b20.xlsx (live.com)</w:t>
        </w:r>
      </w:hyperlink>
      <w:r w:rsidR="002E5CA6">
        <w:rPr>
          <w:rStyle w:val="Hyperlink"/>
          <w:rFonts w:cs="Calibri"/>
          <w:sz w:val="16"/>
          <w:szCs w:val="16"/>
        </w:rPr>
        <w:t>.</w:t>
      </w:r>
    </w:p>
  </w:footnote>
  <w:footnote w:id="33">
    <w:p w14:paraId="2A251FEA" w14:textId="45C88D5E" w:rsidR="00320E50" w:rsidRPr="002E5CA6" w:rsidRDefault="00320E50"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Indy Art Center.</w:t>
      </w:r>
      <w:r w:rsidR="00930B19" w:rsidRPr="002E5CA6">
        <w:rPr>
          <w:rFonts w:cs="Calibri"/>
          <w:sz w:val="16"/>
          <w:szCs w:val="16"/>
        </w:rPr>
        <w:t xml:space="preserve"> 2024. “About Us.” Accessed February 2024. Retrieved from: </w:t>
      </w:r>
      <w:hyperlink r:id="rId32" w:history="1">
        <w:r w:rsidR="00930B19" w:rsidRPr="002E5CA6">
          <w:rPr>
            <w:rStyle w:val="Hyperlink"/>
            <w:rFonts w:cs="Calibri"/>
            <w:sz w:val="16"/>
            <w:szCs w:val="16"/>
          </w:rPr>
          <w:t>About Us (indyartcenter.org)</w:t>
        </w:r>
      </w:hyperlink>
      <w:r w:rsidR="002E5CA6">
        <w:rPr>
          <w:rStyle w:val="Hyperlink"/>
          <w:rFonts w:cs="Calibri"/>
          <w:sz w:val="16"/>
          <w:szCs w:val="16"/>
        </w:rPr>
        <w:t>.</w:t>
      </w:r>
    </w:p>
  </w:footnote>
  <w:footnote w:id="34">
    <w:p w14:paraId="182C1090" w14:textId="6354C2F8" w:rsidR="00EB40E7" w:rsidRPr="002E5CA6" w:rsidRDefault="00EB40E7"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w:t>
      </w:r>
      <w:proofErr w:type="spellStart"/>
      <w:r w:rsidR="00200002" w:rsidRPr="002E5CA6">
        <w:rPr>
          <w:rFonts w:cs="Calibri"/>
          <w:sz w:val="16"/>
          <w:szCs w:val="16"/>
        </w:rPr>
        <w:t>Xome</w:t>
      </w:r>
      <w:proofErr w:type="spellEnd"/>
      <w:r w:rsidR="00200002" w:rsidRPr="002E5CA6">
        <w:rPr>
          <w:rFonts w:cs="Calibri"/>
          <w:sz w:val="16"/>
          <w:szCs w:val="16"/>
        </w:rPr>
        <w:t>. 2024. “6280 W 800 N</w:t>
      </w:r>
      <w:r w:rsidR="00DE7538" w:rsidRPr="002E5CA6">
        <w:rPr>
          <w:rFonts w:cs="Calibri"/>
          <w:sz w:val="16"/>
          <w:szCs w:val="16"/>
        </w:rPr>
        <w:t xml:space="preserve">, </w:t>
      </w:r>
      <w:proofErr w:type="spellStart"/>
      <w:r w:rsidR="00DE7538" w:rsidRPr="002E5CA6">
        <w:rPr>
          <w:rFonts w:cs="Calibri"/>
          <w:sz w:val="16"/>
          <w:szCs w:val="16"/>
        </w:rPr>
        <w:t>McCordsville</w:t>
      </w:r>
      <w:proofErr w:type="spellEnd"/>
      <w:r w:rsidR="00DE7538" w:rsidRPr="002E5CA6">
        <w:rPr>
          <w:rFonts w:cs="Calibri"/>
          <w:sz w:val="16"/>
          <w:szCs w:val="16"/>
        </w:rPr>
        <w:t>, IN</w:t>
      </w:r>
      <w:r w:rsidR="005F40CE" w:rsidRPr="002E5CA6">
        <w:rPr>
          <w:rFonts w:cs="Calibri"/>
          <w:sz w:val="16"/>
          <w:szCs w:val="16"/>
        </w:rPr>
        <w:t xml:space="preserve"> Property Details &amp; Valuation</w:t>
      </w:r>
      <w:r w:rsidR="00DE7538" w:rsidRPr="002E5CA6">
        <w:rPr>
          <w:rFonts w:cs="Calibri"/>
          <w:sz w:val="16"/>
          <w:szCs w:val="16"/>
        </w:rPr>
        <w:t xml:space="preserve">.” Accessed February 2024. Retrieved from: </w:t>
      </w:r>
      <w:hyperlink r:id="rId33" w:history="1">
        <w:r w:rsidR="005F40CE" w:rsidRPr="002E5CA6">
          <w:rPr>
            <w:rStyle w:val="Hyperlink"/>
            <w:rFonts w:cs="Calibri"/>
            <w:sz w:val="16"/>
            <w:szCs w:val="16"/>
          </w:rPr>
          <w:t xml:space="preserve">6280 W 800 N </w:t>
        </w:r>
        <w:proofErr w:type="spellStart"/>
        <w:r w:rsidR="005F40CE" w:rsidRPr="002E5CA6">
          <w:rPr>
            <w:rStyle w:val="Hyperlink"/>
            <w:rFonts w:cs="Calibri"/>
            <w:sz w:val="16"/>
            <w:szCs w:val="16"/>
          </w:rPr>
          <w:t>McCordsville</w:t>
        </w:r>
        <w:proofErr w:type="spellEnd"/>
        <w:r w:rsidR="005F40CE" w:rsidRPr="002E5CA6">
          <w:rPr>
            <w:rStyle w:val="Hyperlink"/>
            <w:rFonts w:cs="Calibri"/>
            <w:sz w:val="16"/>
            <w:szCs w:val="16"/>
          </w:rPr>
          <w:t xml:space="preserve"> IN 46055 Property Details &amp; Valuation (xome.com)</w:t>
        </w:r>
      </w:hyperlink>
      <w:r w:rsidR="002E5CA6">
        <w:rPr>
          <w:rStyle w:val="Hyperlink"/>
          <w:rFonts w:cs="Calibri"/>
          <w:sz w:val="16"/>
          <w:szCs w:val="16"/>
        </w:rPr>
        <w:t>.</w:t>
      </w:r>
    </w:p>
  </w:footnote>
  <w:footnote w:id="35">
    <w:p w14:paraId="6FE10AB1" w14:textId="39E430DB" w:rsidR="0073797F" w:rsidRPr="002E5CA6" w:rsidRDefault="0073797F"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w:t>
      </w:r>
      <w:r w:rsidR="00E86BE0" w:rsidRPr="002E5CA6">
        <w:rPr>
          <w:rFonts w:cs="Calibri"/>
          <w:sz w:val="16"/>
          <w:szCs w:val="16"/>
        </w:rPr>
        <w:t xml:space="preserve">2018. </w:t>
      </w:r>
      <w:r w:rsidR="00B07C23" w:rsidRPr="002E5CA6">
        <w:rPr>
          <w:rFonts w:cs="Calibri"/>
          <w:sz w:val="16"/>
          <w:szCs w:val="16"/>
        </w:rPr>
        <w:t xml:space="preserve">“CBECS Table B5, Census Region and Division, Floorspace.” Accessed February 2024. Retrieved from: </w:t>
      </w:r>
      <w:hyperlink r:id="rId34" w:history="1">
        <w:r w:rsidR="00B07C23" w:rsidRPr="002E5CA6">
          <w:rPr>
            <w:rStyle w:val="Hyperlink"/>
            <w:rFonts w:cs="Calibri"/>
            <w:sz w:val="16"/>
            <w:szCs w:val="16"/>
          </w:rPr>
          <w:t>Table B5. Census region and division, floorspace, 2018 (eia.gov)</w:t>
        </w:r>
      </w:hyperlink>
      <w:r w:rsidR="002E5CA6">
        <w:rPr>
          <w:rStyle w:val="Hyperlink"/>
          <w:rFonts w:cs="Calibri"/>
          <w:sz w:val="16"/>
          <w:szCs w:val="16"/>
        </w:rPr>
        <w:t>.</w:t>
      </w:r>
    </w:p>
  </w:footnote>
  <w:footnote w:id="36">
    <w:p w14:paraId="3C642046" w14:textId="02331602" w:rsidR="00D52561" w:rsidRPr="002E5CA6" w:rsidRDefault="00D52561" w:rsidP="00EF320A">
      <w:pPr>
        <w:pStyle w:val="FootnoteText"/>
        <w:spacing w:line="160" w:lineRule="exact"/>
        <w:rPr>
          <w:rFonts w:cs="Calibri"/>
          <w:sz w:val="16"/>
          <w:szCs w:val="16"/>
        </w:rPr>
      </w:pPr>
      <w:r w:rsidRPr="002E5CA6">
        <w:rPr>
          <w:rStyle w:val="FootnoteReference"/>
          <w:rFonts w:cs="Calibri"/>
          <w:sz w:val="16"/>
          <w:szCs w:val="16"/>
        </w:rPr>
        <w:footnoteRef/>
      </w:r>
      <w:r w:rsidRPr="002E5CA6">
        <w:rPr>
          <w:rFonts w:cs="Calibri"/>
          <w:sz w:val="16"/>
          <w:szCs w:val="16"/>
        </w:rPr>
        <w:t xml:space="preserve"> U.S Energy Information Administration. 2018. “CBECS Table B4, Census Region and Division, Number of Buildings.” Accessed February 2024. Retrieved from: </w:t>
      </w:r>
      <w:hyperlink r:id="rId35" w:history="1">
        <w:r w:rsidRPr="002E5CA6">
          <w:rPr>
            <w:rStyle w:val="Hyperlink"/>
            <w:rFonts w:cs="Calibri"/>
            <w:sz w:val="16"/>
            <w:szCs w:val="16"/>
          </w:rPr>
          <w:t>Table B4. Census region and division, number of buildings, 2018 (eia.gov)</w:t>
        </w:r>
      </w:hyperlink>
      <w:r w:rsidR="002E5CA6">
        <w:rPr>
          <w:rStyle w:val="Hyperlink"/>
          <w:rFonts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C1794" w14:textId="1FCC5322" w:rsidR="006D667E" w:rsidRDefault="006D667E" w:rsidP="006D667E">
    <w:pPr>
      <w:pStyle w:val="Header"/>
      <w:tabs>
        <w:tab w:val="clear" w:pos="4513"/>
        <w:tab w:val="clear" w:pos="9026"/>
        <w:tab w:val="left" w:pos="139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F4AC4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101B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2EEDFE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C021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5FC20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7E83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C8A8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38AC90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E274068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9312DC"/>
    <w:multiLevelType w:val="multilevel"/>
    <w:tmpl w:val="C33C66A4"/>
    <w:styleLink w:val="CurrentList6"/>
    <w:lvl w:ilvl="0">
      <w:start w:val="1"/>
      <w:numFmt w:val="bullet"/>
      <w:lvlText w:val="•"/>
      <w:lvlJc w:val="left"/>
      <w:pPr>
        <w:ind w:left="397" w:hanging="397"/>
      </w:pPr>
      <w:rPr>
        <w:rFonts w:ascii="Verdana" w:hAnsi="Verdana" w:hint="default"/>
      </w:rPr>
    </w:lvl>
    <w:lvl w:ilvl="1">
      <w:start w:val="1"/>
      <w:numFmt w:val="bullet"/>
      <w:lvlText w:val="o"/>
      <w:lvlJc w:val="left"/>
      <w:pPr>
        <w:ind w:left="757" w:hanging="360"/>
      </w:pPr>
      <w:rPr>
        <w:rFonts w:ascii="Courier New" w:hAnsi="Courier New" w:cs="Courier New" w:hint="default"/>
      </w:rPr>
    </w:lvl>
    <w:lvl w:ilvl="2">
      <w:start w:val="1"/>
      <w:numFmt w:val="bullet"/>
      <w:lvlText w:val="-"/>
      <w:lvlJc w:val="left"/>
      <w:pPr>
        <w:ind w:left="1191" w:hanging="397"/>
      </w:pPr>
      <w:rPr>
        <w:rFonts w:ascii="Georgia" w:hAnsi="Georgia" w:hint="default"/>
      </w:rPr>
    </w:lvl>
    <w:lvl w:ilvl="3">
      <w:start w:val="1"/>
      <w:numFmt w:val="bullet"/>
      <w:lvlText w:val=""/>
      <w:lvlJc w:val="left"/>
      <w:pPr>
        <w:ind w:left="1551"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05291FAE"/>
    <w:multiLevelType w:val="hybridMultilevel"/>
    <w:tmpl w:val="33F4A48C"/>
    <w:name w:val="ERM List 132"/>
    <w:lvl w:ilvl="0" w:tplc="845AE436">
      <w:start w:val="1"/>
      <w:numFmt w:val="lowerRoman"/>
      <w:lvlText w:val="%1."/>
      <w:lvlJc w:val="right"/>
      <w:pPr>
        <w:ind w:left="2024" w:hanging="360"/>
      </w:p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11" w15:restartNumberingAfterBreak="0">
    <w:nsid w:val="0843203A"/>
    <w:multiLevelType w:val="hybridMultilevel"/>
    <w:tmpl w:val="EC481F0A"/>
    <w:lvl w:ilvl="0" w:tplc="84681364">
      <w:start w:val="1"/>
      <w:numFmt w:val="decimal"/>
      <w:pStyle w:val="Tablenumb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8656D0"/>
    <w:multiLevelType w:val="multilevel"/>
    <w:tmpl w:val="CA32708A"/>
    <w:styleLink w:val="CurrentList9"/>
    <w:lvl w:ilvl="0">
      <w:start w:val="1"/>
      <w:numFmt w:val="decimal"/>
      <w:lvlText w:val="%1."/>
      <w:lvlJc w:val="left"/>
      <w:pPr>
        <w:ind w:left="397" w:hanging="397"/>
      </w:pPr>
      <w:rPr>
        <w:rFonts w:hint="default"/>
      </w:rPr>
    </w:lvl>
    <w:lvl w:ilvl="1">
      <w:start w:val="1"/>
      <w:numFmt w:val="lowerLetter"/>
      <w:lvlText w:val="%2."/>
      <w:lvlJc w:val="left"/>
      <w:pPr>
        <w:ind w:left="397" w:firstLine="0"/>
      </w:pPr>
      <w:rPr>
        <w:rFonts w:hint="default"/>
      </w:rPr>
    </w:lvl>
    <w:lvl w:ilvl="2">
      <w:start w:val="1"/>
      <w:numFmt w:val="lowerRoman"/>
      <w:lvlText w:val="%3."/>
      <w:lvlJc w:val="left"/>
      <w:pPr>
        <w:ind w:left="1191" w:hanging="454"/>
      </w:pPr>
      <w:rPr>
        <w:rFonts w:hint="default"/>
      </w:rPr>
    </w:lvl>
    <w:lvl w:ilvl="3">
      <w:start w:val="1"/>
      <w:numFmt w:val="upperLetter"/>
      <w:lvlText w:val="%4."/>
      <w:lvlJc w:val="left"/>
      <w:pPr>
        <w:tabs>
          <w:tab w:val="num" w:pos="2268"/>
        </w:tabs>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13" w15:restartNumberingAfterBreak="0">
    <w:nsid w:val="273A22DE"/>
    <w:multiLevelType w:val="multilevel"/>
    <w:tmpl w:val="D70682CC"/>
    <w:styleLink w:val="CurrentList4"/>
    <w:lvl w:ilvl="0">
      <w:start w:val="1"/>
      <w:numFmt w:val="upperLetter"/>
      <w:lvlText w:val="Appendix %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C8D5C56"/>
    <w:multiLevelType w:val="multilevel"/>
    <w:tmpl w:val="AF7EEBFA"/>
    <w:name w:val="ERM Bullet 1"/>
    <w:lvl w:ilvl="0">
      <w:start w:val="1"/>
      <w:numFmt w:val="bullet"/>
      <w:pStyle w:val="Bullet"/>
      <w:lvlText w:val="•"/>
      <w:lvlJc w:val="left"/>
      <w:pPr>
        <w:ind w:left="397" w:hanging="397"/>
      </w:pPr>
      <w:rPr>
        <w:rFonts w:ascii="Verdana" w:hAnsi="Verdana" w:hint="default"/>
      </w:rPr>
    </w:lvl>
    <w:lvl w:ilvl="1">
      <w:start w:val="1"/>
      <w:numFmt w:val="bullet"/>
      <w:lvlText w:val="°"/>
      <w:lvlJc w:val="left"/>
      <w:pPr>
        <w:ind w:left="794" w:hanging="397"/>
      </w:pPr>
      <w:rPr>
        <w:rFonts w:ascii="Verdana" w:hAnsi="Verdana" w:hint="default"/>
        <w:position w:val="-5"/>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3FF01946"/>
    <w:multiLevelType w:val="multilevel"/>
    <w:tmpl w:val="7BBEA3D8"/>
    <w:styleLink w:val="CurrentList8"/>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1F9002E"/>
    <w:multiLevelType w:val="hybridMultilevel"/>
    <w:tmpl w:val="8F423E3A"/>
    <w:name w:val="ERM List 12"/>
    <w:lvl w:ilvl="0" w:tplc="AC06CF0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CE4FFD"/>
    <w:multiLevelType w:val="hybridMultilevel"/>
    <w:tmpl w:val="1040E3B0"/>
    <w:lvl w:ilvl="0" w:tplc="90AC8780">
      <w:start w:val="1"/>
      <w:numFmt w:val="upperLetter"/>
      <w:pStyle w:val="AppendixHeading"/>
      <w:lvlText w:val="Appendix %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A4633F"/>
    <w:multiLevelType w:val="multilevel"/>
    <w:tmpl w:val="F79A75A2"/>
    <w:styleLink w:val="CurrentList3"/>
    <w:lvl w:ilvl="0">
      <w:start w:val="1"/>
      <w:numFmt w:val="bullet"/>
      <w:lvlText w:val="•"/>
      <w:lvlJc w:val="left"/>
      <w:pPr>
        <w:tabs>
          <w:tab w:val="num" w:pos="1814"/>
        </w:tabs>
        <w:ind w:left="1247" w:hanging="391"/>
      </w:pPr>
      <w:rPr>
        <w:rFonts w:ascii="Georgia" w:hAnsi="Georgia" w:hint="default"/>
      </w:rPr>
    </w:lvl>
    <w:lvl w:ilvl="1">
      <w:start w:val="1"/>
      <w:numFmt w:val="bullet"/>
      <w:lvlText w:val="°"/>
      <w:lvlJc w:val="left"/>
      <w:pPr>
        <w:ind w:left="1644" w:hanging="397"/>
      </w:pPr>
      <w:rPr>
        <w:rFonts w:ascii="Georgia" w:hAnsi="Georgia" w:hint="default"/>
        <w:sz w:val="16"/>
      </w:rPr>
    </w:lvl>
    <w:lvl w:ilvl="2">
      <w:start w:val="1"/>
      <w:numFmt w:val="bullet"/>
      <w:lvlText w:val="-"/>
      <w:lvlJc w:val="left"/>
      <w:pPr>
        <w:ind w:left="2041" w:hanging="397"/>
      </w:pPr>
      <w:rPr>
        <w:rFonts w:ascii="Georgia" w:hAnsi="Georgia"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bullet"/>
      <w:lvlText w:val=""/>
      <w:lvlJc w:val="left"/>
      <w:pPr>
        <w:ind w:left="1190" w:hanging="170"/>
      </w:pPr>
      <w:rPr>
        <w:rFonts w:ascii="Symbol" w:hAnsi="Symbol" w:hint="default"/>
      </w:rPr>
    </w:lvl>
    <w:lvl w:ilvl="7">
      <w:start w:val="1"/>
      <w:numFmt w:val="none"/>
      <w:lvlText w:val=""/>
      <w:lvlJc w:val="left"/>
      <w:pPr>
        <w:ind w:left="1360" w:hanging="170"/>
      </w:pPr>
      <w:rPr>
        <w:rFonts w:hint="default"/>
      </w:rPr>
    </w:lvl>
    <w:lvl w:ilvl="8">
      <w:start w:val="1"/>
      <w:numFmt w:val="bullet"/>
      <w:lvlText w:val=""/>
      <w:lvlJc w:val="left"/>
      <w:pPr>
        <w:ind w:left="1530" w:hanging="170"/>
      </w:pPr>
      <w:rPr>
        <w:rFonts w:ascii="Wingdings" w:hAnsi="Wingdings" w:hint="default"/>
      </w:rPr>
    </w:lvl>
  </w:abstractNum>
  <w:abstractNum w:abstractNumId="19" w15:restartNumberingAfterBreak="0">
    <w:nsid w:val="59513422"/>
    <w:multiLevelType w:val="multilevel"/>
    <w:tmpl w:val="CF429D00"/>
    <w:styleLink w:val="CurrentList13"/>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firstLine="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5AB356E5"/>
    <w:multiLevelType w:val="multilevel"/>
    <w:tmpl w:val="6DD86C66"/>
    <w:styleLink w:val="CurrentList5"/>
    <w:lvl w:ilvl="0">
      <w:start w:val="1"/>
      <w:numFmt w:val="upperLetter"/>
      <w:lvlText w:val="Appendix %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DDA36BA"/>
    <w:multiLevelType w:val="hybridMultilevel"/>
    <w:tmpl w:val="C352DE10"/>
    <w:lvl w:ilvl="0" w:tplc="861AF6C2">
      <w:start w:val="1"/>
      <w:numFmt w:val="bullet"/>
      <w:pStyle w:val="TableBullet2"/>
      <w:lvlText w:val="°"/>
      <w:lvlJc w:val="left"/>
      <w:pPr>
        <w:ind w:left="360" w:hanging="360"/>
      </w:pPr>
      <w:rPr>
        <w:rFonts w:ascii="Verdana" w:hAnsi="Verdana" w:hint="default"/>
        <w:position w:val="-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AA278B"/>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41668F4"/>
    <w:multiLevelType w:val="multilevel"/>
    <w:tmpl w:val="496AE266"/>
    <w:styleLink w:val="CurrentList1"/>
    <w:lvl w:ilvl="0">
      <w:start w:val="1"/>
      <w:numFmt w:val="bullet"/>
      <w:lvlText w:val="·"/>
      <w:lvlJc w:val="left"/>
      <w:pPr>
        <w:tabs>
          <w:tab w:val="num" w:pos="1814"/>
        </w:tabs>
        <w:ind w:left="1247" w:hanging="391"/>
      </w:pPr>
      <w:rPr>
        <w:rFonts w:ascii="Georgia" w:hAnsi="Georgia" w:hint="default"/>
      </w:rPr>
    </w:lvl>
    <w:lvl w:ilvl="1">
      <w:start w:val="1"/>
      <w:numFmt w:val="bullet"/>
      <w:lvlText w:val="◦"/>
      <w:lvlJc w:val="left"/>
      <w:pPr>
        <w:tabs>
          <w:tab w:val="num" w:pos="1814"/>
        </w:tabs>
        <w:ind w:left="1644" w:hanging="397"/>
      </w:pPr>
      <w:rPr>
        <w:rFonts w:ascii="Georgia" w:hAnsi="Georgia" w:hint="default"/>
        <w:sz w:val="16"/>
      </w:rPr>
    </w:lvl>
    <w:lvl w:ilvl="2">
      <w:start w:val="1"/>
      <w:numFmt w:val="bullet"/>
      <w:lvlText w:val="-"/>
      <w:lvlJc w:val="left"/>
      <w:pPr>
        <w:ind w:left="2041" w:hanging="397"/>
      </w:pPr>
      <w:rPr>
        <w:rFonts w:ascii="Georgia" w:hAnsi="Georgia"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bullet"/>
      <w:lvlText w:val=""/>
      <w:lvlJc w:val="left"/>
      <w:pPr>
        <w:ind w:left="1190" w:hanging="170"/>
      </w:pPr>
      <w:rPr>
        <w:rFonts w:ascii="Symbol" w:hAnsi="Symbol" w:hint="default"/>
      </w:rPr>
    </w:lvl>
    <w:lvl w:ilvl="7">
      <w:start w:val="1"/>
      <w:numFmt w:val="none"/>
      <w:lvlText w:val=""/>
      <w:lvlJc w:val="left"/>
      <w:pPr>
        <w:ind w:left="1360" w:hanging="170"/>
      </w:pPr>
      <w:rPr>
        <w:rFonts w:hint="default"/>
      </w:rPr>
    </w:lvl>
    <w:lvl w:ilvl="8">
      <w:start w:val="1"/>
      <w:numFmt w:val="bullet"/>
      <w:lvlText w:val=""/>
      <w:lvlJc w:val="left"/>
      <w:pPr>
        <w:ind w:left="1530" w:hanging="170"/>
      </w:pPr>
      <w:rPr>
        <w:rFonts w:ascii="Wingdings" w:hAnsi="Wingdings" w:hint="default"/>
      </w:rPr>
    </w:lvl>
  </w:abstractNum>
  <w:abstractNum w:abstractNumId="24" w15:restartNumberingAfterBreak="0">
    <w:nsid w:val="694A789A"/>
    <w:multiLevelType w:val="hybridMultilevel"/>
    <w:tmpl w:val="494677CE"/>
    <w:lvl w:ilvl="0" w:tplc="A8C87274">
      <w:start w:val="1"/>
      <w:numFmt w:val="bullet"/>
      <w:pStyle w:val="TableBullet1"/>
      <w:lvlText w:val="•"/>
      <w:lvlJc w:val="left"/>
      <w:pPr>
        <w:ind w:left="36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E5C1734"/>
    <w:multiLevelType w:val="multilevel"/>
    <w:tmpl w:val="2794E29C"/>
    <w:name w:val="ERM List 3"/>
    <w:lvl w:ilvl="0">
      <w:start w:val="1"/>
      <w:numFmt w:val="decimal"/>
      <w:pStyle w:val="NumberedText"/>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lowerRoman"/>
      <w:lvlText w:val="%3."/>
      <w:lvlJc w:val="left"/>
      <w:pPr>
        <w:ind w:left="1191" w:hanging="454"/>
      </w:pPr>
      <w:rPr>
        <w:rFonts w:hint="default"/>
      </w:rPr>
    </w:lvl>
    <w:lvl w:ilvl="3">
      <w:start w:val="1"/>
      <w:numFmt w:val="upperLetter"/>
      <w:lvlText w:val="%4."/>
      <w:lvlJc w:val="left"/>
      <w:pPr>
        <w:tabs>
          <w:tab w:val="num" w:pos="2268"/>
        </w:tabs>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26" w15:restartNumberingAfterBreak="0">
    <w:nsid w:val="71A47737"/>
    <w:multiLevelType w:val="multilevel"/>
    <w:tmpl w:val="55CE4272"/>
    <w:name w:val="ERM List 2"/>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lowerRoman"/>
      <w:lvlText w:val="%3."/>
      <w:lvlJc w:val="left"/>
      <w:pPr>
        <w:ind w:left="1191" w:hanging="397"/>
      </w:pPr>
      <w:rPr>
        <w:rFonts w:hint="default"/>
      </w:rPr>
    </w:lvl>
    <w:lvl w:ilvl="3">
      <w:start w:val="1"/>
      <w:numFmt w:val="upperLetter"/>
      <w:lvlText w:val="%4."/>
      <w:lvlJc w:val="left"/>
      <w:pPr>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27" w15:restartNumberingAfterBreak="0">
    <w:nsid w:val="778D39D0"/>
    <w:multiLevelType w:val="multilevel"/>
    <w:tmpl w:val="496AE266"/>
    <w:styleLink w:val="CurrentList2"/>
    <w:lvl w:ilvl="0">
      <w:start w:val="1"/>
      <w:numFmt w:val="bullet"/>
      <w:lvlText w:val="·"/>
      <w:lvlJc w:val="left"/>
      <w:pPr>
        <w:tabs>
          <w:tab w:val="num" w:pos="1814"/>
        </w:tabs>
        <w:ind w:left="1247" w:hanging="391"/>
      </w:pPr>
      <w:rPr>
        <w:rFonts w:ascii="Georgia" w:hAnsi="Georgia" w:hint="default"/>
      </w:rPr>
    </w:lvl>
    <w:lvl w:ilvl="1">
      <w:start w:val="1"/>
      <w:numFmt w:val="bullet"/>
      <w:lvlText w:val="◦"/>
      <w:lvlJc w:val="left"/>
      <w:pPr>
        <w:tabs>
          <w:tab w:val="num" w:pos="1814"/>
        </w:tabs>
        <w:ind w:left="1644" w:hanging="397"/>
      </w:pPr>
      <w:rPr>
        <w:rFonts w:ascii="Georgia" w:hAnsi="Georgia" w:hint="default"/>
        <w:sz w:val="16"/>
      </w:rPr>
    </w:lvl>
    <w:lvl w:ilvl="2">
      <w:start w:val="1"/>
      <w:numFmt w:val="bullet"/>
      <w:lvlText w:val="-"/>
      <w:lvlJc w:val="left"/>
      <w:pPr>
        <w:ind w:left="2041" w:hanging="397"/>
      </w:pPr>
      <w:rPr>
        <w:rFonts w:ascii="Georgia" w:hAnsi="Georgia"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bullet"/>
      <w:lvlText w:val=""/>
      <w:lvlJc w:val="left"/>
      <w:pPr>
        <w:ind w:left="1190" w:hanging="170"/>
      </w:pPr>
      <w:rPr>
        <w:rFonts w:ascii="Symbol" w:hAnsi="Symbol" w:hint="default"/>
      </w:rPr>
    </w:lvl>
    <w:lvl w:ilvl="7">
      <w:start w:val="1"/>
      <w:numFmt w:val="none"/>
      <w:lvlText w:val=""/>
      <w:lvlJc w:val="left"/>
      <w:pPr>
        <w:ind w:left="1360" w:hanging="170"/>
      </w:pPr>
      <w:rPr>
        <w:rFonts w:hint="default"/>
      </w:rPr>
    </w:lvl>
    <w:lvl w:ilvl="8">
      <w:start w:val="1"/>
      <w:numFmt w:val="bullet"/>
      <w:lvlText w:val=""/>
      <w:lvlJc w:val="left"/>
      <w:pPr>
        <w:ind w:left="1530" w:hanging="170"/>
      </w:pPr>
      <w:rPr>
        <w:rFonts w:ascii="Wingdings" w:hAnsi="Wingdings" w:hint="default"/>
      </w:rPr>
    </w:lvl>
  </w:abstractNum>
  <w:abstractNum w:abstractNumId="28" w15:restartNumberingAfterBreak="0">
    <w:nsid w:val="781E575C"/>
    <w:multiLevelType w:val="multilevel"/>
    <w:tmpl w:val="46326E34"/>
    <w:name w:val="ERM List 1"/>
    <w:lvl w:ilvl="0">
      <w:start w:val="1"/>
      <w:numFmt w:val="decimal"/>
      <w:pStyle w:val="Heading1"/>
      <w:lvlText w:val="%1."/>
      <w:lvlJc w:val="left"/>
      <w:pPr>
        <w:ind w:left="397" w:hanging="397"/>
      </w:pPr>
      <w:rPr>
        <w:rFonts w:hint="default"/>
      </w:rPr>
    </w:lvl>
    <w:lvl w:ilvl="1">
      <w:start w:val="1"/>
      <w:numFmt w:val="decimal"/>
      <w:pStyle w:val="Heading2"/>
      <w:lvlText w:val="%1.%2"/>
      <w:lvlJc w:val="left"/>
      <w:pPr>
        <w:tabs>
          <w:tab w:val="num" w:pos="431"/>
        </w:tabs>
        <w:ind w:left="624" w:hanging="624"/>
      </w:pPr>
      <w:rPr>
        <w:rFonts w:hint="default"/>
      </w:rPr>
    </w:lvl>
    <w:lvl w:ilvl="2">
      <w:start w:val="1"/>
      <w:numFmt w:val="decimal"/>
      <w:pStyle w:val="Heading3"/>
      <w:lvlText w:val="%1.%2.%3"/>
      <w:lvlJc w:val="left"/>
      <w:pPr>
        <w:ind w:left="737" w:hanging="737"/>
      </w:pPr>
      <w:rPr>
        <w:rFonts w:hint="default"/>
      </w:rPr>
    </w:lvl>
    <w:lvl w:ilvl="3">
      <w:start w:val="1"/>
      <w:numFmt w:val="decimal"/>
      <w:pStyle w:val="Heading4"/>
      <w:lvlText w:val="%1.%2.%3.%4"/>
      <w:lvlJc w:val="left"/>
      <w:pPr>
        <w:ind w:left="964" w:hanging="964"/>
      </w:pPr>
      <w:rPr>
        <w:rFonts w:hint="default"/>
      </w:rPr>
    </w:lvl>
    <w:lvl w:ilvl="4">
      <w:start w:val="1"/>
      <w:numFmt w:val="none"/>
      <w:pStyle w:val="Heading5"/>
      <w:lvlText w:val="%5"/>
      <w:lvlJc w:val="left"/>
      <w:pPr>
        <w:ind w:left="0" w:firstLine="0"/>
      </w:pPr>
      <w:rPr>
        <w:rFonts w:hint="default"/>
      </w:rPr>
    </w:lvl>
    <w:lvl w:ilvl="5">
      <w:start w:val="1"/>
      <w:numFmt w:val="none"/>
      <w:pStyle w:val="Heading6"/>
      <w:lvlText w:val="%6"/>
      <w:lvlJc w:val="left"/>
      <w:pPr>
        <w:ind w:left="0" w:firstLine="0"/>
      </w:pPr>
      <w:rPr>
        <w:rFonts w:hint="default"/>
      </w:rPr>
    </w:lvl>
    <w:lvl w:ilvl="6">
      <w:start w:val="1"/>
      <w:numFmt w:val="decimal"/>
      <w:pStyle w:val="ListNumber"/>
      <w:lvlText w:val="%7."/>
      <w:lvlJc w:val="left"/>
      <w:pPr>
        <w:ind w:left="357" w:hanging="357"/>
      </w:pPr>
      <w:rPr>
        <w:rFonts w:hint="default"/>
      </w:rPr>
    </w:lvl>
    <w:lvl w:ilvl="7">
      <w:start w:val="1"/>
      <w:numFmt w:val="lowerLetter"/>
      <w:pStyle w:val="ListNumberAlpha"/>
      <w:lvlText w:val="%8."/>
      <w:lvlJc w:val="left"/>
      <w:pPr>
        <w:tabs>
          <w:tab w:val="num" w:pos="720"/>
        </w:tabs>
        <w:ind w:left="1077" w:hanging="357"/>
      </w:pPr>
      <w:rPr>
        <w:rFonts w:hint="default"/>
      </w:rPr>
    </w:lvl>
    <w:lvl w:ilvl="8">
      <w:start w:val="1"/>
      <w:numFmt w:val="lowerRoman"/>
      <w:pStyle w:val="ListNumberRoman"/>
      <w:lvlText w:val="%9."/>
      <w:lvlJc w:val="left"/>
      <w:pPr>
        <w:ind w:left="1440" w:hanging="363"/>
      </w:pPr>
      <w:rPr>
        <w:rFonts w:hint="default"/>
      </w:rPr>
    </w:lvl>
  </w:abstractNum>
  <w:abstractNum w:abstractNumId="29" w15:restartNumberingAfterBreak="0">
    <w:nsid w:val="79D815EE"/>
    <w:multiLevelType w:val="multilevel"/>
    <w:tmpl w:val="F5066B7C"/>
    <w:styleLink w:val="CurrentList7"/>
    <w:lvl w:ilvl="0">
      <w:start w:val="1"/>
      <w:numFmt w:val="decimal"/>
      <w:lvlText w:val="%1."/>
      <w:lvlJc w:val="left"/>
      <w:pPr>
        <w:ind w:left="397" w:hanging="397"/>
      </w:pPr>
      <w:rPr>
        <w:rFonts w:hint="default"/>
      </w:rPr>
    </w:lvl>
    <w:lvl w:ilvl="1">
      <w:start w:val="1"/>
      <w:numFmt w:val="lowerLetter"/>
      <w:lvlText w:val="%2."/>
      <w:lvlJc w:val="left"/>
      <w:pPr>
        <w:ind w:left="397" w:firstLine="0"/>
      </w:pPr>
      <w:rPr>
        <w:rFonts w:hint="default"/>
      </w:rPr>
    </w:lvl>
    <w:lvl w:ilvl="2">
      <w:start w:val="1"/>
      <w:numFmt w:val="lowerRoman"/>
      <w:lvlText w:val="%3."/>
      <w:lvlJc w:val="left"/>
      <w:pPr>
        <w:tabs>
          <w:tab w:val="num" w:pos="1440"/>
        </w:tabs>
        <w:ind w:left="1191" w:hanging="397"/>
      </w:pPr>
      <w:rPr>
        <w:rFonts w:hint="default"/>
      </w:rPr>
    </w:lvl>
    <w:lvl w:ilvl="3">
      <w:start w:val="1"/>
      <w:numFmt w:val="upperLetter"/>
      <w:lvlText w:val="%4."/>
      <w:lvlJc w:val="left"/>
      <w:pPr>
        <w:tabs>
          <w:tab w:val="num" w:pos="2268"/>
        </w:tabs>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num w:numId="1" w16cid:durableId="2028674721">
    <w:abstractNumId w:val="14"/>
  </w:num>
  <w:num w:numId="2" w16cid:durableId="942568912">
    <w:abstractNumId w:val="23"/>
  </w:num>
  <w:num w:numId="3" w16cid:durableId="259877536">
    <w:abstractNumId w:val="27"/>
  </w:num>
  <w:num w:numId="4" w16cid:durableId="1067533658">
    <w:abstractNumId w:val="18"/>
  </w:num>
  <w:num w:numId="5" w16cid:durableId="1939555453">
    <w:abstractNumId w:val="25"/>
  </w:num>
  <w:num w:numId="6" w16cid:durableId="7631117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6544821">
    <w:abstractNumId w:val="17"/>
  </w:num>
  <w:num w:numId="8" w16cid:durableId="1603804744">
    <w:abstractNumId w:val="13"/>
  </w:num>
  <w:num w:numId="9" w16cid:durableId="1505318821">
    <w:abstractNumId w:val="20"/>
  </w:num>
  <w:num w:numId="10" w16cid:durableId="1133714243">
    <w:abstractNumId w:val="9"/>
  </w:num>
  <w:num w:numId="11" w16cid:durableId="1718048414">
    <w:abstractNumId w:val="14"/>
  </w:num>
  <w:num w:numId="12" w16cid:durableId="1031885191">
    <w:abstractNumId w:val="25"/>
  </w:num>
  <w:num w:numId="13" w16cid:durableId="1895311360">
    <w:abstractNumId w:val="29"/>
  </w:num>
  <w:num w:numId="14" w16cid:durableId="1073703012">
    <w:abstractNumId w:val="15"/>
  </w:num>
  <w:num w:numId="15" w16cid:durableId="525216768">
    <w:abstractNumId w:val="12"/>
  </w:num>
  <w:num w:numId="16" w16cid:durableId="1632320054">
    <w:abstractNumId w:val="14"/>
  </w:num>
  <w:num w:numId="17" w16cid:durableId="993072379">
    <w:abstractNumId w:val="24"/>
  </w:num>
  <w:num w:numId="18" w16cid:durableId="73356033">
    <w:abstractNumId w:val="11"/>
  </w:num>
  <w:num w:numId="19" w16cid:durableId="347414366">
    <w:abstractNumId w:val="21"/>
  </w:num>
  <w:num w:numId="20" w16cid:durableId="1795128235">
    <w:abstractNumId w:val="28"/>
  </w:num>
  <w:num w:numId="21" w16cid:durableId="1367175127">
    <w:abstractNumId w:val="22"/>
  </w:num>
  <w:num w:numId="22" w16cid:durableId="1871382430">
    <w:abstractNumId w:val="8"/>
  </w:num>
  <w:num w:numId="23" w16cid:durableId="2133858455">
    <w:abstractNumId w:val="7"/>
  </w:num>
  <w:num w:numId="24" w16cid:durableId="1364556205">
    <w:abstractNumId w:val="6"/>
  </w:num>
  <w:num w:numId="25" w16cid:durableId="1165635301">
    <w:abstractNumId w:val="5"/>
  </w:num>
  <w:num w:numId="26" w16cid:durableId="1981881767">
    <w:abstractNumId w:val="4"/>
  </w:num>
  <w:num w:numId="27" w16cid:durableId="1369602034">
    <w:abstractNumId w:val="3"/>
  </w:num>
  <w:num w:numId="28" w16cid:durableId="1865557523">
    <w:abstractNumId w:val="2"/>
  </w:num>
  <w:num w:numId="29" w16cid:durableId="866794713">
    <w:abstractNumId w:val="1"/>
  </w:num>
  <w:num w:numId="30" w16cid:durableId="1483235657">
    <w:abstractNumId w:val="0"/>
  </w:num>
  <w:num w:numId="31" w16cid:durableId="87138547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B8"/>
    <w:rsid w:val="0000060F"/>
    <w:rsid w:val="000011B1"/>
    <w:rsid w:val="00001AD0"/>
    <w:rsid w:val="00001D66"/>
    <w:rsid w:val="00002805"/>
    <w:rsid w:val="00003B36"/>
    <w:rsid w:val="00003CA9"/>
    <w:rsid w:val="00005E13"/>
    <w:rsid w:val="000065EA"/>
    <w:rsid w:val="00006720"/>
    <w:rsid w:val="0000693B"/>
    <w:rsid w:val="0001087E"/>
    <w:rsid w:val="00010AE4"/>
    <w:rsid w:val="00011472"/>
    <w:rsid w:val="00013663"/>
    <w:rsid w:val="000154C3"/>
    <w:rsid w:val="000159D1"/>
    <w:rsid w:val="00015C94"/>
    <w:rsid w:val="00016286"/>
    <w:rsid w:val="000176FE"/>
    <w:rsid w:val="00022144"/>
    <w:rsid w:val="00022371"/>
    <w:rsid w:val="00022C1B"/>
    <w:rsid w:val="00022C1C"/>
    <w:rsid w:val="000230FC"/>
    <w:rsid w:val="0002334C"/>
    <w:rsid w:val="000236B4"/>
    <w:rsid w:val="00023FAF"/>
    <w:rsid w:val="00024DC8"/>
    <w:rsid w:val="0002555D"/>
    <w:rsid w:val="00026567"/>
    <w:rsid w:val="0002686C"/>
    <w:rsid w:val="00026A83"/>
    <w:rsid w:val="000272BC"/>
    <w:rsid w:val="000273D7"/>
    <w:rsid w:val="00027965"/>
    <w:rsid w:val="0003061E"/>
    <w:rsid w:val="000308C6"/>
    <w:rsid w:val="00030D02"/>
    <w:rsid w:val="00030E88"/>
    <w:rsid w:val="00031331"/>
    <w:rsid w:val="00031BB6"/>
    <w:rsid w:val="00032AFE"/>
    <w:rsid w:val="000338C8"/>
    <w:rsid w:val="00033C5C"/>
    <w:rsid w:val="00033D29"/>
    <w:rsid w:val="00033F27"/>
    <w:rsid w:val="00034081"/>
    <w:rsid w:val="00035ABC"/>
    <w:rsid w:val="00036471"/>
    <w:rsid w:val="00037439"/>
    <w:rsid w:val="000378CF"/>
    <w:rsid w:val="000379E8"/>
    <w:rsid w:val="00037A45"/>
    <w:rsid w:val="00037C14"/>
    <w:rsid w:val="00037FD3"/>
    <w:rsid w:val="000400D4"/>
    <w:rsid w:val="0004065E"/>
    <w:rsid w:val="0004094A"/>
    <w:rsid w:val="000412AB"/>
    <w:rsid w:val="00041771"/>
    <w:rsid w:val="00044173"/>
    <w:rsid w:val="0004444C"/>
    <w:rsid w:val="0004504A"/>
    <w:rsid w:val="0004637F"/>
    <w:rsid w:val="000465F9"/>
    <w:rsid w:val="0004683B"/>
    <w:rsid w:val="00047D69"/>
    <w:rsid w:val="00050526"/>
    <w:rsid w:val="000508F8"/>
    <w:rsid w:val="0005174E"/>
    <w:rsid w:val="00051C4A"/>
    <w:rsid w:val="00052BDC"/>
    <w:rsid w:val="00052EBD"/>
    <w:rsid w:val="000538F0"/>
    <w:rsid w:val="00053ACB"/>
    <w:rsid w:val="00055472"/>
    <w:rsid w:val="000559FF"/>
    <w:rsid w:val="00056671"/>
    <w:rsid w:val="00056881"/>
    <w:rsid w:val="00057535"/>
    <w:rsid w:val="0006006E"/>
    <w:rsid w:val="0006109E"/>
    <w:rsid w:val="0006168F"/>
    <w:rsid w:val="000618C2"/>
    <w:rsid w:val="00061975"/>
    <w:rsid w:val="00062D9E"/>
    <w:rsid w:val="00063E94"/>
    <w:rsid w:val="00064032"/>
    <w:rsid w:val="00064175"/>
    <w:rsid w:val="000657A6"/>
    <w:rsid w:val="00065C2D"/>
    <w:rsid w:val="00065FF7"/>
    <w:rsid w:val="0006656D"/>
    <w:rsid w:val="0006729C"/>
    <w:rsid w:val="00067ABE"/>
    <w:rsid w:val="0007032D"/>
    <w:rsid w:val="00071A04"/>
    <w:rsid w:val="000727DA"/>
    <w:rsid w:val="00072C6E"/>
    <w:rsid w:val="00072D54"/>
    <w:rsid w:val="00073794"/>
    <w:rsid w:val="00073B5F"/>
    <w:rsid w:val="0007652C"/>
    <w:rsid w:val="00076A44"/>
    <w:rsid w:val="00076B76"/>
    <w:rsid w:val="0008129E"/>
    <w:rsid w:val="00081429"/>
    <w:rsid w:val="00082B23"/>
    <w:rsid w:val="00083A3D"/>
    <w:rsid w:val="00083B6F"/>
    <w:rsid w:val="00084EAA"/>
    <w:rsid w:val="00085101"/>
    <w:rsid w:val="00085AB8"/>
    <w:rsid w:val="000863A0"/>
    <w:rsid w:val="000864EC"/>
    <w:rsid w:val="000866DA"/>
    <w:rsid w:val="00087AEB"/>
    <w:rsid w:val="00090A92"/>
    <w:rsid w:val="00091E2B"/>
    <w:rsid w:val="00092C6C"/>
    <w:rsid w:val="000930C0"/>
    <w:rsid w:val="000934E2"/>
    <w:rsid w:val="00093782"/>
    <w:rsid w:val="0009496B"/>
    <w:rsid w:val="0009626A"/>
    <w:rsid w:val="00096716"/>
    <w:rsid w:val="000974CA"/>
    <w:rsid w:val="000975F5"/>
    <w:rsid w:val="000A06AB"/>
    <w:rsid w:val="000A3407"/>
    <w:rsid w:val="000A3724"/>
    <w:rsid w:val="000A5FFA"/>
    <w:rsid w:val="000A6B88"/>
    <w:rsid w:val="000A7684"/>
    <w:rsid w:val="000B01A6"/>
    <w:rsid w:val="000B05CE"/>
    <w:rsid w:val="000B0FA5"/>
    <w:rsid w:val="000B10BA"/>
    <w:rsid w:val="000B1509"/>
    <w:rsid w:val="000B1D59"/>
    <w:rsid w:val="000B2F94"/>
    <w:rsid w:val="000B425B"/>
    <w:rsid w:val="000B5D85"/>
    <w:rsid w:val="000B6042"/>
    <w:rsid w:val="000B647F"/>
    <w:rsid w:val="000B6FE3"/>
    <w:rsid w:val="000B717A"/>
    <w:rsid w:val="000B751E"/>
    <w:rsid w:val="000B7D46"/>
    <w:rsid w:val="000C156A"/>
    <w:rsid w:val="000C1702"/>
    <w:rsid w:val="000C4871"/>
    <w:rsid w:val="000C4D72"/>
    <w:rsid w:val="000C4FA9"/>
    <w:rsid w:val="000C57A3"/>
    <w:rsid w:val="000C7437"/>
    <w:rsid w:val="000C7762"/>
    <w:rsid w:val="000C7E80"/>
    <w:rsid w:val="000D0A50"/>
    <w:rsid w:val="000D2E88"/>
    <w:rsid w:val="000D3A18"/>
    <w:rsid w:val="000D3CF4"/>
    <w:rsid w:val="000D4F27"/>
    <w:rsid w:val="000D52BB"/>
    <w:rsid w:val="000D52EF"/>
    <w:rsid w:val="000D5542"/>
    <w:rsid w:val="000D63A0"/>
    <w:rsid w:val="000D6D72"/>
    <w:rsid w:val="000D70CE"/>
    <w:rsid w:val="000D7C15"/>
    <w:rsid w:val="000D7FE0"/>
    <w:rsid w:val="000E0723"/>
    <w:rsid w:val="000E0E95"/>
    <w:rsid w:val="000E0F9A"/>
    <w:rsid w:val="000E17F2"/>
    <w:rsid w:val="000E1A7A"/>
    <w:rsid w:val="000E21DE"/>
    <w:rsid w:val="000E2408"/>
    <w:rsid w:val="000E2D01"/>
    <w:rsid w:val="000E324A"/>
    <w:rsid w:val="000E36AD"/>
    <w:rsid w:val="000E3A7D"/>
    <w:rsid w:val="000E3B8C"/>
    <w:rsid w:val="000E3F45"/>
    <w:rsid w:val="000E4001"/>
    <w:rsid w:val="000E52E3"/>
    <w:rsid w:val="000E738F"/>
    <w:rsid w:val="000F0DE8"/>
    <w:rsid w:val="000F13FE"/>
    <w:rsid w:val="000F1489"/>
    <w:rsid w:val="000F1641"/>
    <w:rsid w:val="000F1DFF"/>
    <w:rsid w:val="000F20AB"/>
    <w:rsid w:val="000F3B72"/>
    <w:rsid w:val="000F3DBA"/>
    <w:rsid w:val="000F3EF6"/>
    <w:rsid w:val="000F5A9E"/>
    <w:rsid w:val="000F72A4"/>
    <w:rsid w:val="000F7923"/>
    <w:rsid w:val="001003C5"/>
    <w:rsid w:val="001005A4"/>
    <w:rsid w:val="00100889"/>
    <w:rsid w:val="00100EEA"/>
    <w:rsid w:val="00101E5B"/>
    <w:rsid w:val="001027C5"/>
    <w:rsid w:val="00102B7B"/>
    <w:rsid w:val="00103631"/>
    <w:rsid w:val="00103911"/>
    <w:rsid w:val="0010434E"/>
    <w:rsid w:val="0010474C"/>
    <w:rsid w:val="001050C2"/>
    <w:rsid w:val="00105A9C"/>
    <w:rsid w:val="00105C68"/>
    <w:rsid w:val="00106AE9"/>
    <w:rsid w:val="00106F82"/>
    <w:rsid w:val="001070D5"/>
    <w:rsid w:val="001076A9"/>
    <w:rsid w:val="001102ED"/>
    <w:rsid w:val="00110F22"/>
    <w:rsid w:val="0011149B"/>
    <w:rsid w:val="001118B8"/>
    <w:rsid w:val="001118E2"/>
    <w:rsid w:val="00112102"/>
    <w:rsid w:val="00112442"/>
    <w:rsid w:val="00112553"/>
    <w:rsid w:val="00112C1F"/>
    <w:rsid w:val="00114154"/>
    <w:rsid w:val="00114613"/>
    <w:rsid w:val="00114940"/>
    <w:rsid w:val="00115180"/>
    <w:rsid w:val="001156B0"/>
    <w:rsid w:val="001158E0"/>
    <w:rsid w:val="00116714"/>
    <w:rsid w:val="001167A9"/>
    <w:rsid w:val="0012181F"/>
    <w:rsid w:val="00122337"/>
    <w:rsid w:val="0012276F"/>
    <w:rsid w:val="0012403B"/>
    <w:rsid w:val="001246EB"/>
    <w:rsid w:val="001254BC"/>
    <w:rsid w:val="00125822"/>
    <w:rsid w:val="00125838"/>
    <w:rsid w:val="00126544"/>
    <w:rsid w:val="00126F51"/>
    <w:rsid w:val="00130807"/>
    <w:rsid w:val="00130A03"/>
    <w:rsid w:val="00132862"/>
    <w:rsid w:val="00132ECC"/>
    <w:rsid w:val="00133A6B"/>
    <w:rsid w:val="00134064"/>
    <w:rsid w:val="00135348"/>
    <w:rsid w:val="00136B19"/>
    <w:rsid w:val="00136C1A"/>
    <w:rsid w:val="00136FDB"/>
    <w:rsid w:val="00137972"/>
    <w:rsid w:val="00137B79"/>
    <w:rsid w:val="00140FA8"/>
    <w:rsid w:val="00141A7D"/>
    <w:rsid w:val="00141C26"/>
    <w:rsid w:val="00142384"/>
    <w:rsid w:val="00142513"/>
    <w:rsid w:val="00142BAB"/>
    <w:rsid w:val="00143202"/>
    <w:rsid w:val="0014380F"/>
    <w:rsid w:val="001452DF"/>
    <w:rsid w:val="001456EA"/>
    <w:rsid w:val="00146719"/>
    <w:rsid w:val="00146B22"/>
    <w:rsid w:val="00146ED9"/>
    <w:rsid w:val="001506AA"/>
    <w:rsid w:val="0015192B"/>
    <w:rsid w:val="00151F6A"/>
    <w:rsid w:val="001531F0"/>
    <w:rsid w:val="001532B7"/>
    <w:rsid w:val="001541D2"/>
    <w:rsid w:val="00154252"/>
    <w:rsid w:val="00154E11"/>
    <w:rsid w:val="001550DA"/>
    <w:rsid w:val="001557E5"/>
    <w:rsid w:val="00156447"/>
    <w:rsid w:val="00160BC6"/>
    <w:rsid w:val="00160F4A"/>
    <w:rsid w:val="00161099"/>
    <w:rsid w:val="0016193D"/>
    <w:rsid w:val="00161D2A"/>
    <w:rsid w:val="00162094"/>
    <w:rsid w:val="00162838"/>
    <w:rsid w:val="001642DE"/>
    <w:rsid w:val="00164622"/>
    <w:rsid w:val="00164859"/>
    <w:rsid w:val="00165754"/>
    <w:rsid w:val="00165816"/>
    <w:rsid w:val="00167224"/>
    <w:rsid w:val="00170111"/>
    <w:rsid w:val="0017034B"/>
    <w:rsid w:val="00170A2A"/>
    <w:rsid w:val="00170EA4"/>
    <w:rsid w:val="00172727"/>
    <w:rsid w:val="00172E8C"/>
    <w:rsid w:val="001733AB"/>
    <w:rsid w:val="0017441E"/>
    <w:rsid w:val="00174DF7"/>
    <w:rsid w:val="001758A9"/>
    <w:rsid w:val="00176F91"/>
    <w:rsid w:val="001770E1"/>
    <w:rsid w:val="0018042D"/>
    <w:rsid w:val="001805AD"/>
    <w:rsid w:val="00181B3E"/>
    <w:rsid w:val="00183662"/>
    <w:rsid w:val="001838E3"/>
    <w:rsid w:val="00183BCC"/>
    <w:rsid w:val="001843C2"/>
    <w:rsid w:val="00185A47"/>
    <w:rsid w:val="001865E1"/>
    <w:rsid w:val="00192330"/>
    <w:rsid w:val="00192C8B"/>
    <w:rsid w:val="001939C7"/>
    <w:rsid w:val="001941B6"/>
    <w:rsid w:val="0019604C"/>
    <w:rsid w:val="001966CF"/>
    <w:rsid w:val="00196878"/>
    <w:rsid w:val="00197046"/>
    <w:rsid w:val="00197757"/>
    <w:rsid w:val="00197B4C"/>
    <w:rsid w:val="001A0BCA"/>
    <w:rsid w:val="001A11EC"/>
    <w:rsid w:val="001A1B06"/>
    <w:rsid w:val="001A1F6F"/>
    <w:rsid w:val="001A239E"/>
    <w:rsid w:val="001A24DA"/>
    <w:rsid w:val="001A3322"/>
    <w:rsid w:val="001A425F"/>
    <w:rsid w:val="001A4DA1"/>
    <w:rsid w:val="001A5DD4"/>
    <w:rsid w:val="001A6347"/>
    <w:rsid w:val="001A65B7"/>
    <w:rsid w:val="001A6E43"/>
    <w:rsid w:val="001B29E9"/>
    <w:rsid w:val="001B2EC9"/>
    <w:rsid w:val="001B387A"/>
    <w:rsid w:val="001B4B57"/>
    <w:rsid w:val="001B4F21"/>
    <w:rsid w:val="001B5396"/>
    <w:rsid w:val="001B6217"/>
    <w:rsid w:val="001B693C"/>
    <w:rsid w:val="001B73EA"/>
    <w:rsid w:val="001C122E"/>
    <w:rsid w:val="001C29F7"/>
    <w:rsid w:val="001C3B10"/>
    <w:rsid w:val="001C5AD8"/>
    <w:rsid w:val="001C6A35"/>
    <w:rsid w:val="001D01F4"/>
    <w:rsid w:val="001D01F5"/>
    <w:rsid w:val="001D170C"/>
    <w:rsid w:val="001D2BE3"/>
    <w:rsid w:val="001D312A"/>
    <w:rsid w:val="001D3B22"/>
    <w:rsid w:val="001D3C20"/>
    <w:rsid w:val="001D5AF3"/>
    <w:rsid w:val="001D5F8D"/>
    <w:rsid w:val="001D6B64"/>
    <w:rsid w:val="001D7401"/>
    <w:rsid w:val="001E0214"/>
    <w:rsid w:val="001E056C"/>
    <w:rsid w:val="001E156D"/>
    <w:rsid w:val="001E1A10"/>
    <w:rsid w:val="001E1B47"/>
    <w:rsid w:val="001E2E55"/>
    <w:rsid w:val="001E356C"/>
    <w:rsid w:val="001E3696"/>
    <w:rsid w:val="001E3C66"/>
    <w:rsid w:val="001E44B0"/>
    <w:rsid w:val="001E4988"/>
    <w:rsid w:val="001E49CA"/>
    <w:rsid w:val="001E6E2B"/>
    <w:rsid w:val="001E7848"/>
    <w:rsid w:val="001E7E9A"/>
    <w:rsid w:val="001E7EDC"/>
    <w:rsid w:val="001F01C7"/>
    <w:rsid w:val="001F0EA7"/>
    <w:rsid w:val="001F1701"/>
    <w:rsid w:val="001F1725"/>
    <w:rsid w:val="001F179C"/>
    <w:rsid w:val="001F17ED"/>
    <w:rsid w:val="001F1A6C"/>
    <w:rsid w:val="001F1FB2"/>
    <w:rsid w:val="001F2D77"/>
    <w:rsid w:val="001F4C67"/>
    <w:rsid w:val="001F53BE"/>
    <w:rsid w:val="001F5BFF"/>
    <w:rsid w:val="001F6A56"/>
    <w:rsid w:val="001F6C10"/>
    <w:rsid w:val="00200002"/>
    <w:rsid w:val="0020088D"/>
    <w:rsid w:val="00201B6F"/>
    <w:rsid w:val="00202960"/>
    <w:rsid w:val="00202E9F"/>
    <w:rsid w:val="002030C3"/>
    <w:rsid w:val="00203419"/>
    <w:rsid w:val="00204CAD"/>
    <w:rsid w:val="00205081"/>
    <w:rsid w:val="0020559B"/>
    <w:rsid w:val="002065CE"/>
    <w:rsid w:val="00206D0F"/>
    <w:rsid w:val="00206FB8"/>
    <w:rsid w:val="002078A2"/>
    <w:rsid w:val="00207CAC"/>
    <w:rsid w:val="002104C7"/>
    <w:rsid w:val="00210C01"/>
    <w:rsid w:val="00212E18"/>
    <w:rsid w:val="00213577"/>
    <w:rsid w:val="00214480"/>
    <w:rsid w:val="00215667"/>
    <w:rsid w:val="00216231"/>
    <w:rsid w:val="00216A62"/>
    <w:rsid w:val="0022086D"/>
    <w:rsid w:val="00221008"/>
    <w:rsid w:val="002226CD"/>
    <w:rsid w:val="00222EDE"/>
    <w:rsid w:val="00225002"/>
    <w:rsid w:val="00225320"/>
    <w:rsid w:val="00225553"/>
    <w:rsid w:val="0022584E"/>
    <w:rsid w:val="00225C4E"/>
    <w:rsid w:val="0022703B"/>
    <w:rsid w:val="00227048"/>
    <w:rsid w:val="0022725B"/>
    <w:rsid w:val="00227746"/>
    <w:rsid w:val="00227C75"/>
    <w:rsid w:val="002300DF"/>
    <w:rsid w:val="00230407"/>
    <w:rsid w:val="00230F65"/>
    <w:rsid w:val="00231242"/>
    <w:rsid w:val="00231C0C"/>
    <w:rsid w:val="00231D11"/>
    <w:rsid w:val="002324BB"/>
    <w:rsid w:val="002326FA"/>
    <w:rsid w:val="00232855"/>
    <w:rsid w:val="00232959"/>
    <w:rsid w:val="00232C8C"/>
    <w:rsid w:val="00232FE1"/>
    <w:rsid w:val="002352DF"/>
    <w:rsid w:val="00235C12"/>
    <w:rsid w:val="00236CCD"/>
    <w:rsid w:val="00236DF9"/>
    <w:rsid w:val="002409A5"/>
    <w:rsid w:val="00240D65"/>
    <w:rsid w:val="00241092"/>
    <w:rsid w:val="00242D50"/>
    <w:rsid w:val="00243044"/>
    <w:rsid w:val="00244691"/>
    <w:rsid w:val="00244ED1"/>
    <w:rsid w:val="0024554D"/>
    <w:rsid w:val="00245E4A"/>
    <w:rsid w:val="002465EC"/>
    <w:rsid w:val="00246A3C"/>
    <w:rsid w:val="00246ACF"/>
    <w:rsid w:val="00247468"/>
    <w:rsid w:val="0024772E"/>
    <w:rsid w:val="002478D5"/>
    <w:rsid w:val="00247B94"/>
    <w:rsid w:val="002515DF"/>
    <w:rsid w:val="00251CA6"/>
    <w:rsid w:val="00252434"/>
    <w:rsid w:val="002540B9"/>
    <w:rsid w:val="00256331"/>
    <w:rsid w:val="00256504"/>
    <w:rsid w:val="0025679A"/>
    <w:rsid w:val="002574DF"/>
    <w:rsid w:val="00257BA3"/>
    <w:rsid w:val="00257BFC"/>
    <w:rsid w:val="00264BF9"/>
    <w:rsid w:val="00265D22"/>
    <w:rsid w:val="00266804"/>
    <w:rsid w:val="00270149"/>
    <w:rsid w:val="00270184"/>
    <w:rsid w:val="00270E96"/>
    <w:rsid w:val="00271FF5"/>
    <w:rsid w:val="00272400"/>
    <w:rsid w:val="002747F3"/>
    <w:rsid w:val="002757D9"/>
    <w:rsid w:val="002758D8"/>
    <w:rsid w:val="002774C4"/>
    <w:rsid w:val="00277836"/>
    <w:rsid w:val="00280744"/>
    <w:rsid w:val="00280E0A"/>
    <w:rsid w:val="00282143"/>
    <w:rsid w:val="00282420"/>
    <w:rsid w:val="00283319"/>
    <w:rsid w:val="00283368"/>
    <w:rsid w:val="0028459B"/>
    <w:rsid w:val="00284966"/>
    <w:rsid w:val="00284E9D"/>
    <w:rsid w:val="002859B4"/>
    <w:rsid w:val="00286148"/>
    <w:rsid w:val="0028616D"/>
    <w:rsid w:val="00286300"/>
    <w:rsid w:val="00286B4B"/>
    <w:rsid w:val="00286D43"/>
    <w:rsid w:val="00287466"/>
    <w:rsid w:val="00290D63"/>
    <w:rsid w:val="002922BB"/>
    <w:rsid w:val="00292383"/>
    <w:rsid w:val="002928EC"/>
    <w:rsid w:val="0029357F"/>
    <w:rsid w:val="00293FD9"/>
    <w:rsid w:val="002943A6"/>
    <w:rsid w:val="002948DF"/>
    <w:rsid w:val="00294AC7"/>
    <w:rsid w:val="00296222"/>
    <w:rsid w:val="00296C59"/>
    <w:rsid w:val="002A18CE"/>
    <w:rsid w:val="002A3A56"/>
    <w:rsid w:val="002A4291"/>
    <w:rsid w:val="002A473A"/>
    <w:rsid w:val="002A4CD0"/>
    <w:rsid w:val="002A4F62"/>
    <w:rsid w:val="002A51C4"/>
    <w:rsid w:val="002A5A00"/>
    <w:rsid w:val="002A5B53"/>
    <w:rsid w:val="002A5E9C"/>
    <w:rsid w:val="002A68B0"/>
    <w:rsid w:val="002A6EB6"/>
    <w:rsid w:val="002A7050"/>
    <w:rsid w:val="002A73FC"/>
    <w:rsid w:val="002A78F6"/>
    <w:rsid w:val="002A7D27"/>
    <w:rsid w:val="002B199D"/>
    <w:rsid w:val="002B2348"/>
    <w:rsid w:val="002B2D0F"/>
    <w:rsid w:val="002B2E37"/>
    <w:rsid w:val="002B32AB"/>
    <w:rsid w:val="002B3770"/>
    <w:rsid w:val="002B4641"/>
    <w:rsid w:val="002B470D"/>
    <w:rsid w:val="002B6990"/>
    <w:rsid w:val="002B6AD2"/>
    <w:rsid w:val="002B6F07"/>
    <w:rsid w:val="002B6F6A"/>
    <w:rsid w:val="002B7BCC"/>
    <w:rsid w:val="002C0F0C"/>
    <w:rsid w:val="002C1362"/>
    <w:rsid w:val="002C19A9"/>
    <w:rsid w:val="002C1BB7"/>
    <w:rsid w:val="002C2753"/>
    <w:rsid w:val="002C29E8"/>
    <w:rsid w:val="002C2E77"/>
    <w:rsid w:val="002C3002"/>
    <w:rsid w:val="002C31BE"/>
    <w:rsid w:val="002C453D"/>
    <w:rsid w:val="002C58CF"/>
    <w:rsid w:val="002C5BCE"/>
    <w:rsid w:val="002C5DF4"/>
    <w:rsid w:val="002D0A71"/>
    <w:rsid w:val="002D0B0A"/>
    <w:rsid w:val="002D13B6"/>
    <w:rsid w:val="002D13FF"/>
    <w:rsid w:val="002D1649"/>
    <w:rsid w:val="002D18FC"/>
    <w:rsid w:val="002D19F0"/>
    <w:rsid w:val="002D2B8B"/>
    <w:rsid w:val="002D2D60"/>
    <w:rsid w:val="002D3361"/>
    <w:rsid w:val="002D6147"/>
    <w:rsid w:val="002D64B3"/>
    <w:rsid w:val="002D7C95"/>
    <w:rsid w:val="002E0433"/>
    <w:rsid w:val="002E126E"/>
    <w:rsid w:val="002E14CF"/>
    <w:rsid w:val="002E1AD4"/>
    <w:rsid w:val="002E1B0E"/>
    <w:rsid w:val="002E26A3"/>
    <w:rsid w:val="002E2E1A"/>
    <w:rsid w:val="002E2F5B"/>
    <w:rsid w:val="002E3923"/>
    <w:rsid w:val="002E3961"/>
    <w:rsid w:val="002E4650"/>
    <w:rsid w:val="002E5CA6"/>
    <w:rsid w:val="002E5EE0"/>
    <w:rsid w:val="002E61F7"/>
    <w:rsid w:val="002E6D05"/>
    <w:rsid w:val="002E7454"/>
    <w:rsid w:val="002E7648"/>
    <w:rsid w:val="002E7FC8"/>
    <w:rsid w:val="002F04CE"/>
    <w:rsid w:val="002F0BD0"/>
    <w:rsid w:val="002F2448"/>
    <w:rsid w:val="002F25CA"/>
    <w:rsid w:val="002F28DC"/>
    <w:rsid w:val="002F2A9A"/>
    <w:rsid w:val="002F3785"/>
    <w:rsid w:val="002F3928"/>
    <w:rsid w:val="002F5BC1"/>
    <w:rsid w:val="002F62A7"/>
    <w:rsid w:val="002F62AA"/>
    <w:rsid w:val="002F6BA5"/>
    <w:rsid w:val="00300828"/>
    <w:rsid w:val="00300D11"/>
    <w:rsid w:val="0030135F"/>
    <w:rsid w:val="0030137A"/>
    <w:rsid w:val="00301578"/>
    <w:rsid w:val="00302038"/>
    <w:rsid w:val="00302764"/>
    <w:rsid w:val="00302839"/>
    <w:rsid w:val="003034C4"/>
    <w:rsid w:val="00303CBE"/>
    <w:rsid w:val="00304537"/>
    <w:rsid w:val="003048F8"/>
    <w:rsid w:val="00304E60"/>
    <w:rsid w:val="00304F34"/>
    <w:rsid w:val="00306466"/>
    <w:rsid w:val="00306DAC"/>
    <w:rsid w:val="003101D6"/>
    <w:rsid w:val="003107A1"/>
    <w:rsid w:val="00310E64"/>
    <w:rsid w:val="00311D31"/>
    <w:rsid w:val="00311F1C"/>
    <w:rsid w:val="00312665"/>
    <w:rsid w:val="00312A18"/>
    <w:rsid w:val="00312D26"/>
    <w:rsid w:val="00313682"/>
    <w:rsid w:val="00313851"/>
    <w:rsid w:val="00313D4E"/>
    <w:rsid w:val="00314698"/>
    <w:rsid w:val="00314912"/>
    <w:rsid w:val="003149D9"/>
    <w:rsid w:val="00314E5B"/>
    <w:rsid w:val="003152B7"/>
    <w:rsid w:val="0031588B"/>
    <w:rsid w:val="00315931"/>
    <w:rsid w:val="00315CF8"/>
    <w:rsid w:val="00320248"/>
    <w:rsid w:val="00320E50"/>
    <w:rsid w:val="00322CA0"/>
    <w:rsid w:val="00323320"/>
    <w:rsid w:val="00323C18"/>
    <w:rsid w:val="0032400C"/>
    <w:rsid w:val="00325B15"/>
    <w:rsid w:val="00326443"/>
    <w:rsid w:val="00326934"/>
    <w:rsid w:val="0032700D"/>
    <w:rsid w:val="00327471"/>
    <w:rsid w:val="00327B20"/>
    <w:rsid w:val="00327F4B"/>
    <w:rsid w:val="00330D0E"/>
    <w:rsid w:val="00331C43"/>
    <w:rsid w:val="003322EC"/>
    <w:rsid w:val="00332838"/>
    <w:rsid w:val="00332D6F"/>
    <w:rsid w:val="00333DCD"/>
    <w:rsid w:val="00334D72"/>
    <w:rsid w:val="003358A3"/>
    <w:rsid w:val="003374E3"/>
    <w:rsid w:val="00337BC0"/>
    <w:rsid w:val="00337E1C"/>
    <w:rsid w:val="003402BF"/>
    <w:rsid w:val="00341146"/>
    <w:rsid w:val="003418C6"/>
    <w:rsid w:val="00341C4F"/>
    <w:rsid w:val="003423F7"/>
    <w:rsid w:val="003430AC"/>
    <w:rsid w:val="003446EE"/>
    <w:rsid w:val="00344B7A"/>
    <w:rsid w:val="00344CAA"/>
    <w:rsid w:val="00345633"/>
    <w:rsid w:val="00346476"/>
    <w:rsid w:val="003478C5"/>
    <w:rsid w:val="003479A1"/>
    <w:rsid w:val="00347CD2"/>
    <w:rsid w:val="00351483"/>
    <w:rsid w:val="00351805"/>
    <w:rsid w:val="00351B2A"/>
    <w:rsid w:val="00351B3E"/>
    <w:rsid w:val="003535C4"/>
    <w:rsid w:val="003538F1"/>
    <w:rsid w:val="00353E82"/>
    <w:rsid w:val="00354F03"/>
    <w:rsid w:val="003559BD"/>
    <w:rsid w:val="00355E85"/>
    <w:rsid w:val="0035672C"/>
    <w:rsid w:val="0035683E"/>
    <w:rsid w:val="00357952"/>
    <w:rsid w:val="00357C6F"/>
    <w:rsid w:val="00357E83"/>
    <w:rsid w:val="003600DD"/>
    <w:rsid w:val="0036051E"/>
    <w:rsid w:val="00360F74"/>
    <w:rsid w:val="00362D23"/>
    <w:rsid w:val="003631BC"/>
    <w:rsid w:val="0036321C"/>
    <w:rsid w:val="003640BA"/>
    <w:rsid w:val="00364F6B"/>
    <w:rsid w:val="003661AF"/>
    <w:rsid w:val="0036643D"/>
    <w:rsid w:val="00366F88"/>
    <w:rsid w:val="003673C1"/>
    <w:rsid w:val="003702DA"/>
    <w:rsid w:val="00370E09"/>
    <w:rsid w:val="00370EC7"/>
    <w:rsid w:val="0037171C"/>
    <w:rsid w:val="00373596"/>
    <w:rsid w:val="00373A32"/>
    <w:rsid w:val="003741AB"/>
    <w:rsid w:val="003756F9"/>
    <w:rsid w:val="00375CDE"/>
    <w:rsid w:val="00376A8E"/>
    <w:rsid w:val="00376EA7"/>
    <w:rsid w:val="00377FC0"/>
    <w:rsid w:val="00381034"/>
    <w:rsid w:val="00381312"/>
    <w:rsid w:val="00381F6E"/>
    <w:rsid w:val="0038216C"/>
    <w:rsid w:val="003831B8"/>
    <w:rsid w:val="00383459"/>
    <w:rsid w:val="00385102"/>
    <w:rsid w:val="003852CC"/>
    <w:rsid w:val="00385978"/>
    <w:rsid w:val="00385C65"/>
    <w:rsid w:val="0038613C"/>
    <w:rsid w:val="003873BD"/>
    <w:rsid w:val="00387A16"/>
    <w:rsid w:val="00387AFC"/>
    <w:rsid w:val="003906BE"/>
    <w:rsid w:val="003919B9"/>
    <w:rsid w:val="00391CAB"/>
    <w:rsid w:val="00392675"/>
    <w:rsid w:val="00392C31"/>
    <w:rsid w:val="00392D7C"/>
    <w:rsid w:val="003931A7"/>
    <w:rsid w:val="0039342B"/>
    <w:rsid w:val="0039343C"/>
    <w:rsid w:val="00393928"/>
    <w:rsid w:val="00393F21"/>
    <w:rsid w:val="00394031"/>
    <w:rsid w:val="00394303"/>
    <w:rsid w:val="003959C9"/>
    <w:rsid w:val="00396209"/>
    <w:rsid w:val="0039664A"/>
    <w:rsid w:val="00396C2E"/>
    <w:rsid w:val="0039715E"/>
    <w:rsid w:val="003977F9"/>
    <w:rsid w:val="003A000B"/>
    <w:rsid w:val="003A03CE"/>
    <w:rsid w:val="003A1A77"/>
    <w:rsid w:val="003A1C42"/>
    <w:rsid w:val="003A20E6"/>
    <w:rsid w:val="003A2447"/>
    <w:rsid w:val="003A45BB"/>
    <w:rsid w:val="003A5218"/>
    <w:rsid w:val="003A6B95"/>
    <w:rsid w:val="003A75F1"/>
    <w:rsid w:val="003A76ED"/>
    <w:rsid w:val="003A77A3"/>
    <w:rsid w:val="003A77F4"/>
    <w:rsid w:val="003B0124"/>
    <w:rsid w:val="003B1086"/>
    <w:rsid w:val="003B1822"/>
    <w:rsid w:val="003B1A2B"/>
    <w:rsid w:val="003B2BFC"/>
    <w:rsid w:val="003B3BD0"/>
    <w:rsid w:val="003B4F1B"/>
    <w:rsid w:val="003B5EB0"/>
    <w:rsid w:val="003B63F9"/>
    <w:rsid w:val="003B7001"/>
    <w:rsid w:val="003B77E4"/>
    <w:rsid w:val="003C0A12"/>
    <w:rsid w:val="003C1095"/>
    <w:rsid w:val="003C2312"/>
    <w:rsid w:val="003C237D"/>
    <w:rsid w:val="003C2804"/>
    <w:rsid w:val="003C30C0"/>
    <w:rsid w:val="003C32C6"/>
    <w:rsid w:val="003C3335"/>
    <w:rsid w:val="003C3F26"/>
    <w:rsid w:val="003C4678"/>
    <w:rsid w:val="003C481B"/>
    <w:rsid w:val="003C4DB2"/>
    <w:rsid w:val="003C578E"/>
    <w:rsid w:val="003C59F4"/>
    <w:rsid w:val="003C5C1C"/>
    <w:rsid w:val="003D07EC"/>
    <w:rsid w:val="003D081F"/>
    <w:rsid w:val="003D0DC9"/>
    <w:rsid w:val="003D0FA1"/>
    <w:rsid w:val="003D1717"/>
    <w:rsid w:val="003D1E67"/>
    <w:rsid w:val="003D210F"/>
    <w:rsid w:val="003D28F6"/>
    <w:rsid w:val="003D34C1"/>
    <w:rsid w:val="003D3655"/>
    <w:rsid w:val="003D47C9"/>
    <w:rsid w:val="003D4BCD"/>
    <w:rsid w:val="003D689C"/>
    <w:rsid w:val="003D7114"/>
    <w:rsid w:val="003D77D4"/>
    <w:rsid w:val="003D7E08"/>
    <w:rsid w:val="003E0A26"/>
    <w:rsid w:val="003E0F3F"/>
    <w:rsid w:val="003E0FCA"/>
    <w:rsid w:val="003E1FA2"/>
    <w:rsid w:val="003E287A"/>
    <w:rsid w:val="003E2F1C"/>
    <w:rsid w:val="003E30E9"/>
    <w:rsid w:val="003E4C89"/>
    <w:rsid w:val="003E507C"/>
    <w:rsid w:val="003E52EA"/>
    <w:rsid w:val="003E5521"/>
    <w:rsid w:val="003E63DD"/>
    <w:rsid w:val="003E7C7A"/>
    <w:rsid w:val="003F0CD5"/>
    <w:rsid w:val="003F19CE"/>
    <w:rsid w:val="003F1EB1"/>
    <w:rsid w:val="003F3FB0"/>
    <w:rsid w:val="003F50AF"/>
    <w:rsid w:val="003F53E0"/>
    <w:rsid w:val="003F54C0"/>
    <w:rsid w:val="003F5939"/>
    <w:rsid w:val="003F5AF9"/>
    <w:rsid w:val="003F674E"/>
    <w:rsid w:val="003F6CD5"/>
    <w:rsid w:val="003F7E33"/>
    <w:rsid w:val="003F7EC8"/>
    <w:rsid w:val="003F7F0B"/>
    <w:rsid w:val="0040162F"/>
    <w:rsid w:val="00401DE0"/>
    <w:rsid w:val="00403946"/>
    <w:rsid w:val="0040563B"/>
    <w:rsid w:val="00405C5B"/>
    <w:rsid w:val="00406F67"/>
    <w:rsid w:val="004077FE"/>
    <w:rsid w:val="0040792B"/>
    <w:rsid w:val="0041032D"/>
    <w:rsid w:val="0041051E"/>
    <w:rsid w:val="004115A7"/>
    <w:rsid w:val="004136B7"/>
    <w:rsid w:val="00413C71"/>
    <w:rsid w:val="00413E3E"/>
    <w:rsid w:val="00413FF8"/>
    <w:rsid w:val="004142FA"/>
    <w:rsid w:val="00414D4B"/>
    <w:rsid w:val="00414E40"/>
    <w:rsid w:val="004166E8"/>
    <w:rsid w:val="00416863"/>
    <w:rsid w:val="00416CCD"/>
    <w:rsid w:val="00417292"/>
    <w:rsid w:val="00417536"/>
    <w:rsid w:val="00417A9E"/>
    <w:rsid w:val="00420AE3"/>
    <w:rsid w:val="00421A2C"/>
    <w:rsid w:val="00422514"/>
    <w:rsid w:val="00423C3C"/>
    <w:rsid w:val="00425272"/>
    <w:rsid w:val="00425A7D"/>
    <w:rsid w:val="00425DBD"/>
    <w:rsid w:val="00425EF1"/>
    <w:rsid w:val="0042629B"/>
    <w:rsid w:val="00426514"/>
    <w:rsid w:val="00426DE9"/>
    <w:rsid w:val="00426EC1"/>
    <w:rsid w:val="00427312"/>
    <w:rsid w:val="00427FF3"/>
    <w:rsid w:val="0043144E"/>
    <w:rsid w:val="00431A85"/>
    <w:rsid w:val="00431C67"/>
    <w:rsid w:val="00431D9B"/>
    <w:rsid w:val="004325D3"/>
    <w:rsid w:val="004333EB"/>
    <w:rsid w:val="00434593"/>
    <w:rsid w:val="00435076"/>
    <w:rsid w:val="004355F4"/>
    <w:rsid w:val="004368A1"/>
    <w:rsid w:val="00436B0B"/>
    <w:rsid w:val="00436E9F"/>
    <w:rsid w:val="00436F21"/>
    <w:rsid w:val="00437D29"/>
    <w:rsid w:val="0044015C"/>
    <w:rsid w:val="00442E3E"/>
    <w:rsid w:val="00443337"/>
    <w:rsid w:val="0044353D"/>
    <w:rsid w:val="0044412F"/>
    <w:rsid w:val="00444161"/>
    <w:rsid w:val="004458C9"/>
    <w:rsid w:val="00445D70"/>
    <w:rsid w:val="00446514"/>
    <w:rsid w:val="00446E07"/>
    <w:rsid w:val="0044798B"/>
    <w:rsid w:val="00447A8E"/>
    <w:rsid w:val="00450A2B"/>
    <w:rsid w:val="0045107E"/>
    <w:rsid w:val="0045204E"/>
    <w:rsid w:val="00452BF1"/>
    <w:rsid w:val="00452E8E"/>
    <w:rsid w:val="00453AE3"/>
    <w:rsid w:val="00453BB5"/>
    <w:rsid w:val="00454519"/>
    <w:rsid w:val="004548C5"/>
    <w:rsid w:val="004554A9"/>
    <w:rsid w:val="00455C10"/>
    <w:rsid w:val="00456A0F"/>
    <w:rsid w:val="00456C84"/>
    <w:rsid w:val="00456F7B"/>
    <w:rsid w:val="00457BA8"/>
    <w:rsid w:val="00457D47"/>
    <w:rsid w:val="00457E50"/>
    <w:rsid w:val="00457FF0"/>
    <w:rsid w:val="00460593"/>
    <w:rsid w:val="00460D30"/>
    <w:rsid w:val="00460D60"/>
    <w:rsid w:val="004611B9"/>
    <w:rsid w:val="00461959"/>
    <w:rsid w:val="00461A89"/>
    <w:rsid w:val="00461C44"/>
    <w:rsid w:val="00463121"/>
    <w:rsid w:val="00464BC5"/>
    <w:rsid w:val="00464FC5"/>
    <w:rsid w:val="004655F3"/>
    <w:rsid w:val="00466E28"/>
    <w:rsid w:val="00467C35"/>
    <w:rsid w:val="0047060D"/>
    <w:rsid w:val="004709C3"/>
    <w:rsid w:val="00471420"/>
    <w:rsid w:val="00472FCC"/>
    <w:rsid w:val="0047483E"/>
    <w:rsid w:val="004754D4"/>
    <w:rsid w:val="0047599E"/>
    <w:rsid w:val="00476302"/>
    <w:rsid w:val="00477FF3"/>
    <w:rsid w:val="004800B8"/>
    <w:rsid w:val="0048142E"/>
    <w:rsid w:val="0048201D"/>
    <w:rsid w:val="004822B4"/>
    <w:rsid w:val="0048314A"/>
    <w:rsid w:val="0048378C"/>
    <w:rsid w:val="004842DD"/>
    <w:rsid w:val="00484B0C"/>
    <w:rsid w:val="00484DB0"/>
    <w:rsid w:val="00487635"/>
    <w:rsid w:val="00487DF9"/>
    <w:rsid w:val="00490FA9"/>
    <w:rsid w:val="004914BC"/>
    <w:rsid w:val="004915D6"/>
    <w:rsid w:val="004916E9"/>
    <w:rsid w:val="00491C85"/>
    <w:rsid w:val="00492BB1"/>
    <w:rsid w:val="00494EDC"/>
    <w:rsid w:val="00495266"/>
    <w:rsid w:val="00495AA6"/>
    <w:rsid w:val="00496B6F"/>
    <w:rsid w:val="00496C36"/>
    <w:rsid w:val="00496ED2"/>
    <w:rsid w:val="00497AC3"/>
    <w:rsid w:val="00497B4E"/>
    <w:rsid w:val="004A0090"/>
    <w:rsid w:val="004A07F8"/>
    <w:rsid w:val="004A127A"/>
    <w:rsid w:val="004A1648"/>
    <w:rsid w:val="004A2DBF"/>
    <w:rsid w:val="004A3195"/>
    <w:rsid w:val="004A3326"/>
    <w:rsid w:val="004A3486"/>
    <w:rsid w:val="004A3F44"/>
    <w:rsid w:val="004A3F7B"/>
    <w:rsid w:val="004A44C8"/>
    <w:rsid w:val="004A4D69"/>
    <w:rsid w:val="004A5CE3"/>
    <w:rsid w:val="004A5E23"/>
    <w:rsid w:val="004A605F"/>
    <w:rsid w:val="004A6E25"/>
    <w:rsid w:val="004A7951"/>
    <w:rsid w:val="004A7ECA"/>
    <w:rsid w:val="004A7F02"/>
    <w:rsid w:val="004B05B7"/>
    <w:rsid w:val="004B0D0C"/>
    <w:rsid w:val="004B0E0B"/>
    <w:rsid w:val="004B176B"/>
    <w:rsid w:val="004B2AE5"/>
    <w:rsid w:val="004B2E0A"/>
    <w:rsid w:val="004B2E23"/>
    <w:rsid w:val="004B3C5D"/>
    <w:rsid w:val="004B53A7"/>
    <w:rsid w:val="004B696B"/>
    <w:rsid w:val="004B6A23"/>
    <w:rsid w:val="004B711A"/>
    <w:rsid w:val="004B796E"/>
    <w:rsid w:val="004C0C03"/>
    <w:rsid w:val="004C0C57"/>
    <w:rsid w:val="004C0D82"/>
    <w:rsid w:val="004C10C2"/>
    <w:rsid w:val="004C314D"/>
    <w:rsid w:val="004C390D"/>
    <w:rsid w:val="004C74F2"/>
    <w:rsid w:val="004D19A2"/>
    <w:rsid w:val="004D5A57"/>
    <w:rsid w:val="004D5EDB"/>
    <w:rsid w:val="004D6E8D"/>
    <w:rsid w:val="004D7B05"/>
    <w:rsid w:val="004D7B2B"/>
    <w:rsid w:val="004E18F8"/>
    <w:rsid w:val="004E1AB4"/>
    <w:rsid w:val="004E1E60"/>
    <w:rsid w:val="004E212E"/>
    <w:rsid w:val="004E25C7"/>
    <w:rsid w:val="004E33A2"/>
    <w:rsid w:val="004E3464"/>
    <w:rsid w:val="004E3F7C"/>
    <w:rsid w:val="004E50EF"/>
    <w:rsid w:val="004E6C62"/>
    <w:rsid w:val="004E6CDB"/>
    <w:rsid w:val="004E6D6B"/>
    <w:rsid w:val="004F0489"/>
    <w:rsid w:val="004F21C2"/>
    <w:rsid w:val="004F2A4A"/>
    <w:rsid w:val="004F444A"/>
    <w:rsid w:val="004F50FF"/>
    <w:rsid w:val="004F565D"/>
    <w:rsid w:val="004F576A"/>
    <w:rsid w:val="004F5F6B"/>
    <w:rsid w:val="004F61EB"/>
    <w:rsid w:val="004F6902"/>
    <w:rsid w:val="004F6962"/>
    <w:rsid w:val="004F7227"/>
    <w:rsid w:val="004F7B08"/>
    <w:rsid w:val="005004C4"/>
    <w:rsid w:val="005008A8"/>
    <w:rsid w:val="0050098E"/>
    <w:rsid w:val="0050102A"/>
    <w:rsid w:val="00501A58"/>
    <w:rsid w:val="00501C1A"/>
    <w:rsid w:val="00501D61"/>
    <w:rsid w:val="00501DD8"/>
    <w:rsid w:val="00502893"/>
    <w:rsid w:val="00504031"/>
    <w:rsid w:val="005049B3"/>
    <w:rsid w:val="00504A8F"/>
    <w:rsid w:val="00504BAF"/>
    <w:rsid w:val="00505A58"/>
    <w:rsid w:val="00505AD0"/>
    <w:rsid w:val="00505EC1"/>
    <w:rsid w:val="00506B65"/>
    <w:rsid w:val="00506D47"/>
    <w:rsid w:val="00506ED9"/>
    <w:rsid w:val="00507702"/>
    <w:rsid w:val="00507837"/>
    <w:rsid w:val="00510840"/>
    <w:rsid w:val="005109BC"/>
    <w:rsid w:val="005119C9"/>
    <w:rsid w:val="00511C61"/>
    <w:rsid w:val="00512E1B"/>
    <w:rsid w:val="00513741"/>
    <w:rsid w:val="005138A6"/>
    <w:rsid w:val="00514179"/>
    <w:rsid w:val="0051441D"/>
    <w:rsid w:val="00515B34"/>
    <w:rsid w:val="005200D1"/>
    <w:rsid w:val="00520899"/>
    <w:rsid w:val="00520CFE"/>
    <w:rsid w:val="005211BF"/>
    <w:rsid w:val="00521802"/>
    <w:rsid w:val="00522A83"/>
    <w:rsid w:val="00522F14"/>
    <w:rsid w:val="00523B6D"/>
    <w:rsid w:val="00524909"/>
    <w:rsid w:val="00525082"/>
    <w:rsid w:val="005276D6"/>
    <w:rsid w:val="00527AC5"/>
    <w:rsid w:val="00531F27"/>
    <w:rsid w:val="005321A1"/>
    <w:rsid w:val="00532CA2"/>
    <w:rsid w:val="00532D55"/>
    <w:rsid w:val="00532DF8"/>
    <w:rsid w:val="00532FA2"/>
    <w:rsid w:val="00532FEB"/>
    <w:rsid w:val="00533668"/>
    <w:rsid w:val="00533A4D"/>
    <w:rsid w:val="00533B9C"/>
    <w:rsid w:val="00533D0F"/>
    <w:rsid w:val="00533E99"/>
    <w:rsid w:val="00534000"/>
    <w:rsid w:val="0053481C"/>
    <w:rsid w:val="00534A79"/>
    <w:rsid w:val="00534D15"/>
    <w:rsid w:val="00536934"/>
    <w:rsid w:val="005414B2"/>
    <w:rsid w:val="00541B83"/>
    <w:rsid w:val="0054395A"/>
    <w:rsid w:val="00543EDD"/>
    <w:rsid w:val="00543FE9"/>
    <w:rsid w:val="005443EA"/>
    <w:rsid w:val="00544A4F"/>
    <w:rsid w:val="00545279"/>
    <w:rsid w:val="00545939"/>
    <w:rsid w:val="00545F09"/>
    <w:rsid w:val="00546F64"/>
    <w:rsid w:val="00547474"/>
    <w:rsid w:val="00550C1A"/>
    <w:rsid w:val="00550C65"/>
    <w:rsid w:val="005514DC"/>
    <w:rsid w:val="00552199"/>
    <w:rsid w:val="005526C5"/>
    <w:rsid w:val="00554EB2"/>
    <w:rsid w:val="005554BD"/>
    <w:rsid w:val="00555D95"/>
    <w:rsid w:val="00560189"/>
    <w:rsid w:val="00560938"/>
    <w:rsid w:val="0056101B"/>
    <w:rsid w:val="005611AC"/>
    <w:rsid w:val="005613D4"/>
    <w:rsid w:val="0056206B"/>
    <w:rsid w:val="00562D33"/>
    <w:rsid w:val="00562D78"/>
    <w:rsid w:val="0056447C"/>
    <w:rsid w:val="0056484F"/>
    <w:rsid w:val="00564A3F"/>
    <w:rsid w:val="005657A7"/>
    <w:rsid w:val="00566B9B"/>
    <w:rsid w:val="00566C4A"/>
    <w:rsid w:val="00567643"/>
    <w:rsid w:val="00570175"/>
    <w:rsid w:val="0057040A"/>
    <w:rsid w:val="00572522"/>
    <w:rsid w:val="0057291C"/>
    <w:rsid w:val="00572DC3"/>
    <w:rsid w:val="00572FA3"/>
    <w:rsid w:val="00573EC2"/>
    <w:rsid w:val="00575074"/>
    <w:rsid w:val="00577143"/>
    <w:rsid w:val="00577D7B"/>
    <w:rsid w:val="0058121A"/>
    <w:rsid w:val="00581825"/>
    <w:rsid w:val="0058311A"/>
    <w:rsid w:val="00583612"/>
    <w:rsid w:val="00583C00"/>
    <w:rsid w:val="005847A0"/>
    <w:rsid w:val="005847BF"/>
    <w:rsid w:val="00584BB7"/>
    <w:rsid w:val="005864CA"/>
    <w:rsid w:val="005866F0"/>
    <w:rsid w:val="00587D20"/>
    <w:rsid w:val="00587EBE"/>
    <w:rsid w:val="00590097"/>
    <w:rsid w:val="005919BE"/>
    <w:rsid w:val="00591B08"/>
    <w:rsid w:val="0059260E"/>
    <w:rsid w:val="00593BE5"/>
    <w:rsid w:val="00594B8D"/>
    <w:rsid w:val="00594F14"/>
    <w:rsid w:val="005952E6"/>
    <w:rsid w:val="00596737"/>
    <w:rsid w:val="00597753"/>
    <w:rsid w:val="005A0FDC"/>
    <w:rsid w:val="005A1899"/>
    <w:rsid w:val="005A26CB"/>
    <w:rsid w:val="005A3045"/>
    <w:rsid w:val="005A57DC"/>
    <w:rsid w:val="005A581F"/>
    <w:rsid w:val="005A5932"/>
    <w:rsid w:val="005A6181"/>
    <w:rsid w:val="005A68D3"/>
    <w:rsid w:val="005A7D07"/>
    <w:rsid w:val="005B01D6"/>
    <w:rsid w:val="005B25EF"/>
    <w:rsid w:val="005B3621"/>
    <w:rsid w:val="005B3F09"/>
    <w:rsid w:val="005B4FCF"/>
    <w:rsid w:val="005B64F6"/>
    <w:rsid w:val="005B75FA"/>
    <w:rsid w:val="005C0A07"/>
    <w:rsid w:val="005C1119"/>
    <w:rsid w:val="005C1872"/>
    <w:rsid w:val="005C19B1"/>
    <w:rsid w:val="005C21F1"/>
    <w:rsid w:val="005C3BFE"/>
    <w:rsid w:val="005C4718"/>
    <w:rsid w:val="005C4AE8"/>
    <w:rsid w:val="005C4DF7"/>
    <w:rsid w:val="005C5798"/>
    <w:rsid w:val="005C5B8A"/>
    <w:rsid w:val="005C6374"/>
    <w:rsid w:val="005C6691"/>
    <w:rsid w:val="005C759E"/>
    <w:rsid w:val="005C779E"/>
    <w:rsid w:val="005D012B"/>
    <w:rsid w:val="005D1057"/>
    <w:rsid w:val="005D1715"/>
    <w:rsid w:val="005D3591"/>
    <w:rsid w:val="005D37D9"/>
    <w:rsid w:val="005D4C02"/>
    <w:rsid w:val="005D4CA8"/>
    <w:rsid w:val="005D6894"/>
    <w:rsid w:val="005D7445"/>
    <w:rsid w:val="005E06D6"/>
    <w:rsid w:val="005E0844"/>
    <w:rsid w:val="005E0C58"/>
    <w:rsid w:val="005E227C"/>
    <w:rsid w:val="005E288C"/>
    <w:rsid w:val="005E39A5"/>
    <w:rsid w:val="005E3EE3"/>
    <w:rsid w:val="005E3F90"/>
    <w:rsid w:val="005E40A8"/>
    <w:rsid w:val="005E424D"/>
    <w:rsid w:val="005E464D"/>
    <w:rsid w:val="005E48CB"/>
    <w:rsid w:val="005E4FAA"/>
    <w:rsid w:val="005E58C6"/>
    <w:rsid w:val="005E620E"/>
    <w:rsid w:val="005E68DC"/>
    <w:rsid w:val="005E6945"/>
    <w:rsid w:val="005E6D93"/>
    <w:rsid w:val="005E7709"/>
    <w:rsid w:val="005E7FE7"/>
    <w:rsid w:val="005F066E"/>
    <w:rsid w:val="005F07C5"/>
    <w:rsid w:val="005F0855"/>
    <w:rsid w:val="005F0D8D"/>
    <w:rsid w:val="005F199C"/>
    <w:rsid w:val="005F28F2"/>
    <w:rsid w:val="005F2AD5"/>
    <w:rsid w:val="005F3295"/>
    <w:rsid w:val="005F40CE"/>
    <w:rsid w:val="005F4A64"/>
    <w:rsid w:val="005F55F3"/>
    <w:rsid w:val="005F6F7C"/>
    <w:rsid w:val="006012D2"/>
    <w:rsid w:val="0060199C"/>
    <w:rsid w:val="006022F8"/>
    <w:rsid w:val="0060296C"/>
    <w:rsid w:val="00602F32"/>
    <w:rsid w:val="0060303C"/>
    <w:rsid w:val="00603505"/>
    <w:rsid w:val="006037F8"/>
    <w:rsid w:val="0060496F"/>
    <w:rsid w:val="00604F44"/>
    <w:rsid w:val="00605176"/>
    <w:rsid w:val="006057FE"/>
    <w:rsid w:val="00605EC9"/>
    <w:rsid w:val="0060622A"/>
    <w:rsid w:val="00606BCD"/>
    <w:rsid w:val="00606C71"/>
    <w:rsid w:val="00606E56"/>
    <w:rsid w:val="00607571"/>
    <w:rsid w:val="0061033F"/>
    <w:rsid w:val="00611180"/>
    <w:rsid w:val="00611571"/>
    <w:rsid w:val="00612832"/>
    <w:rsid w:val="00612843"/>
    <w:rsid w:val="006129C2"/>
    <w:rsid w:val="006133E6"/>
    <w:rsid w:val="00613DC4"/>
    <w:rsid w:val="006146A7"/>
    <w:rsid w:val="00615188"/>
    <w:rsid w:val="0061558E"/>
    <w:rsid w:val="00616B76"/>
    <w:rsid w:val="00616C19"/>
    <w:rsid w:val="00616E63"/>
    <w:rsid w:val="0062076D"/>
    <w:rsid w:val="006210F8"/>
    <w:rsid w:val="0062125C"/>
    <w:rsid w:val="00621AA7"/>
    <w:rsid w:val="00621D84"/>
    <w:rsid w:val="00623176"/>
    <w:rsid w:val="00623F67"/>
    <w:rsid w:val="006243DD"/>
    <w:rsid w:val="006244B0"/>
    <w:rsid w:val="0062460B"/>
    <w:rsid w:val="006256E2"/>
    <w:rsid w:val="00625DFC"/>
    <w:rsid w:val="00626D95"/>
    <w:rsid w:val="006271E0"/>
    <w:rsid w:val="00627A2C"/>
    <w:rsid w:val="0063091A"/>
    <w:rsid w:val="00632866"/>
    <w:rsid w:val="00632A60"/>
    <w:rsid w:val="00632EB2"/>
    <w:rsid w:val="00632FC5"/>
    <w:rsid w:val="006331F8"/>
    <w:rsid w:val="00633820"/>
    <w:rsid w:val="00633BC5"/>
    <w:rsid w:val="00634CCE"/>
    <w:rsid w:val="006360FA"/>
    <w:rsid w:val="006365E5"/>
    <w:rsid w:val="00637B31"/>
    <w:rsid w:val="00637B33"/>
    <w:rsid w:val="00640CFD"/>
    <w:rsid w:val="00641954"/>
    <w:rsid w:val="00643818"/>
    <w:rsid w:val="00643A9F"/>
    <w:rsid w:val="006440D0"/>
    <w:rsid w:val="00644A7B"/>
    <w:rsid w:val="00645249"/>
    <w:rsid w:val="00645ADA"/>
    <w:rsid w:val="006468C6"/>
    <w:rsid w:val="0064722B"/>
    <w:rsid w:val="00647E05"/>
    <w:rsid w:val="00647FDD"/>
    <w:rsid w:val="00650B0D"/>
    <w:rsid w:val="006511F5"/>
    <w:rsid w:val="00651967"/>
    <w:rsid w:val="00652C1C"/>
    <w:rsid w:val="006538F3"/>
    <w:rsid w:val="00653D39"/>
    <w:rsid w:val="00654325"/>
    <w:rsid w:val="0065462B"/>
    <w:rsid w:val="00654BFE"/>
    <w:rsid w:val="006558E4"/>
    <w:rsid w:val="00655DEB"/>
    <w:rsid w:val="00655DF7"/>
    <w:rsid w:val="00657059"/>
    <w:rsid w:val="00657CB6"/>
    <w:rsid w:val="006601B7"/>
    <w:rsid w:val="0066040D"/>
    <w:rsid w:val="00660568"/>
    <w:rsid w:val="0066215B"/>
    <w:rsid w:val="006628AA"/>
    <w:rsid w:val="00662B3C"/>
    <w:rsid w:val="0066397D"/>
    <w:rsid w:val="00663A3F"/>
    <w:rsid w:val="00663D4F"/>
    <w:rsid w:val="006650B0"/>
    <w:rsid w:val="00665FB5"/>
    <w:rsid w:val="0066640A"/>
    <w:rsid w:val="00666EEF"/>
    <w:rsid w:val="00666F8A"/>
    <w:rsid w:val="0066742E"/>
    <w:rsid w:val="0066798D"/>
    <w:rsid w:val="00667C4D"/>
    <w:rsid w:val="00667F47"/>
    <w:rsid w:val="00670755"/>
    <w:rsid w:val="006707AC"/>
    <w:rsid w:val="00670D41"/>
    <w:rsid w:val="00670DCB"/>
    <w:rsid w:val="00672A9B"/>
    <w:rsid w:val="00672D50"/>
    <w:rsid w:val="00673380"/>
    <w:rsid w:val="006736E4"/>
    <w:rsid w:val="00674009"/>
    <w:rsid w:val="006749A6"/>
    <w:rsid w:val="00674B3E"/>
    <w:rsid w:val="00674DBE"/>
    <w:rsid w:val="00675962"/>
    <w:rsid w:val="0067634E"/>
    <w:rsid w:val="00676E42"/>
    <w:rsid w:val="00676F91"/>
    <w:rsid w:val="006771BC"/>
    <w:rsid w:val="006771D4"/>
    <w:rsid w:val="00677A37"/>
    <w:rsid w:val="00680468"/>
    <w:rsid w:val="00680B4A"/>
    <w:rsid w:val="00680B7C"/>
    <w:rsid w:val="00680CC5"/>
    <w:rsid w:val="0068253E"/>
    <w:rsid w:val="00682F67"/>
    <w:rsid w:val="00684966"/>
    <w:rsid w:val="006852C1"/>
    <w:rsid w:val="00685D1C"/>
    <w:rsid w:val="006864FD"/>
    <w:rsid w:val="0068673D"/>
    <w:rsid w:val="006878DE"/>
    <w:rsid w:val="00687C51"/>
    <w:rsid w:val="0069179E"/>
    <w:rsid w:val="006917BE"/>
    <w:rsid w:val="0069269F"/>
    <w:rsid w:val="006926CB"/>
    <w:rsid w:val="006927F3"/>
    <w:rsid w:val="006945F1"/>
    <w:rsid w:val="00694B3B"/>
    <w:rsid w:val="00695A5C"/>
    <w:rsid w:val="006A0883"/>
    <w:rsid w:val="006A0BA3"/>
    <w:rsid w:val="006A165A"/>
    <w:rsid w:val="006A25E2"/>
    <w:rsid w:val="006A4641"/>
    <w:rsid w:val="006A5239"/>
    <w:rsid w:val="006A612A"/>
    <w:rsid w:val="006A7620"/>
    <w:rsid w:val="006A7D02"/>
    <w:rsid w:val="006B1295"/>
    <w:rsid w:val="006B15CD"/>
    <w:rsid w:val="006B196F"/>
    <w:rsid w:val="006B2631"/>
    <w:rsid w:val="006B2CC2"/>
    <w:rsid w:val="006B394A"/>
    <w:rsid w:val="006B4E51"/>
    <w:rsid w:val="006B6418"/>
    <w:rsid w:val="006B6A2C"/>
    <w:rsid w:val="006B7191"/>
    <w:rsid w:val="006C0E33"/>
    <w:rsid w:val="006C193E"/>
    <w:rsid w:val="006C1EE5"/>
    <w:rsid w:val="006C2071"/>
    <w:rsid w:val="006C2F1B"/>
    <w:rsid w:val="006C3A2C"/>
    <w:rsid w:val="006C3DEA"/>
    <w:rsid w:val="006C3E29"/>
    <w:rsid w:val="006C4121"/>
    <w:rsid w:val="006C495C"/>
    <w:rsid w:val="006C4EA7"/>
    <w:rsid w:val="006C4FA6"/>
    <w:rsid w:val="006C5703"/>
    <w:rsid w:val="006C5A81"/>
    <w:rsid w:val="006C5B51"/>
    <w:rsid w:val="006C5DA6"/>
    <w:rsid w:val="006C68BF"/>
    <w:rsid w:val="006C7069"/>
    <w:rsid w:val="006C7ED2"/>
    <w:rsid w:val="006D08B3"/>
    <w:rsid w:val="006D14A7"/>
    <w:rsid w:val="006D22E9"/>
    <w:rsid w:val="006D271C"/>
    <w:rsid w:val="006D2753"/>
    <w:rsid w:val="006D2DA9"/>
    <w:rsid w:val="006D38C3"/>
    <w:rsid w:val="006D3C4D"/>
    <w:rsid w:val="006D4BCA"/>
    <w:rsid w:val="006D55B7"/>
    <w:rsid w:val="006D5D55"/>
    <w:rsid w:val="006D5E2D"/>
    <w:rsid w:val="006D5E33"/>
    <w:rsid w:val="006D6584"/>
    <w:rsid w:val="006D667E"/>
    <w:rsid w:val="006D752D"/>
    <w:rsid w:val="006D7F9D"/>
    <w:rsid w:val="006E02B8"/>
    <w:rsid w:val="006E23BD"/>
    <w:rsid w:val="006E242A"/>
    <w:rsid w:val="006E2F00"/>
    <w:rsid w:val="006E3172"/>
    <w:rsid w:val="006E38CE"/>
    <w:rsid w:val="006E3C23"/>
    <w:rsid w:val="006E41F4"/>
    <w:rsid w:val="006E4639"/>
    <w:rsid w:val="006E53F3"/>
    <w:rsid w:val="006E5AF4"/>
    <w:rsid w:val="006E65BA"/>
    <w:rsid w:val="006E673D"/>
    <w:rsid w:val="006E6982"/>
    <w:rsid w:val="006E7F31"/>
    <w:rsid w:val="006F021D"/>
    <w:rsid w:val="006F0A42"/>
    <w:rsid w:val="006F0A6F"/>
    <w:rsid w:val="006F142D"/>
    <w:rsid w:val="006F242E"/>
    <w:rsid w:val="006F2481"/>
    <w:rsid w:val="006F2743"/>
    <w:rsid w:val="006F3718"/>
    <w:rsid w:val="006F39FE"/>
    <w:rsid w:val="006F3CAD"/>
    <w:rsid w:val="006F409E"/>
    <w:rsid w:val="006F4DC4"/>
    <w:rsid w:val="006F563F"/>
    <w:rsid w:val="006F6697"/>
    <w:rsid w:val="006F7998"/>
    <w:rsid w:val="00701789"/>
    <w:rsid w:val="00701814"/>
    <w:rsid w:val="0070228A"/>
    <w:rsid w:val="007023D5"/>
    <w:rsid w:val="007026FA"/>
    <w:rsid w:val="007028F7"/>
    <w:rsid w:val="00702AF4"/>
    <w:rsid w:val="00703248"/>
    <w:rsid w:val="0070465D"/>
    <w:rsid w:val="007049DE"/>
    <w:rsid w:val="00705450"/>
    <w:rsid w:val="00705CFE"/>
    <w:rsid w:val="007113BD"/>
    <w:rsid w:val="00712169"/>
    <w:rsid w:val="0071219E"/>
    <w:rsid w:val="00712457"/>
    <w:rsid w:val="007132AD"/>
    <w:rsid w:val="00713536"/>
    <w:rsid w:val="0071403E"/>
    <w:rsid w:val="00714B0C"/>
    <w:rsid w:val="00715F63"/>
    <w:rsid w:val="007164C9"/>
    <w:rsid w:val="007179C7"/>
    <w:rsid w:val="00720D32"/>
    <w:rsid w:val="007215B5"/>
    <w:rsid w:val="007217AB"/>
    <w:rsid w:val="00721E0C"/>
    <w:rsid w:val="007224D9"/>
    <w:rsid w:val="0072354E"/>
    <w:rsid w:val="007239F8"/>
    <w:rsid w:val="00723CBD"/>
    <w:rsid w:val="00723D2A"/>
    <w:rsid w:val="007243BA"/>
    <w:rsid w:val="0072483F"/>
    <w:rsid w:val="00724AFB"/>
    <w:rsid w:val="007252C9"/>
    <w:rsid w:val="007261BC"/>
    <w:rsid w:val="0072723B"/>
    <w:rsid w:val="00727AD3"/>
    <w:rsid w:val="00727BBD"/>
    <w:rsid w:val="00730286"/>
    <w:rsid w:val="0073097D"/>
    <w:rsid w:val="00730F5A"/>
    <w:rsid w:val="00731D9C"/>
    <w:rsid w:val="00732291"/>
    <w:rsid w:val="0073273C"/>
    <w:rsid w:val="00732D66"/>
    <w:rsid w:val="00733B28"/>
    <w:rsid w:val="0073482D"/>
    <w:rsid w:val="007349AF"/>
    <w:rsid w:val="00735812"/>
    <w:rsid w:val="00736B05"/>
    <w:rsid w:val="00736E1A"/>
    <w:rsid w:val="00737142"/>
    <w:rsid w:val="00737334"/>
    <w:rsid w:val="007377E0"/>
    <w:rsid w:val="0073797F"/>
    <w:rsid w:val="00737BAF"/>
    <w:rsid w:val="00740BDE"/>
    <w:rsid w:val="00740E13"/>
    <w:rsid w:val="00741A1F"/>
    <w:rsid w:val="00741A30"/>
    <w:rsid w:val="00742749"/>
    <w:rsid w:val="0074340C"/>
    <w:rsid w:val="007436B5"/>
    <w:rsid w:val="00743DB2"/>
    <w:rsid w:val="00744319"/>
    <w:rsid w:val="00744B89"/>
    <w:rsid w:val="00744CC8"/>
    <w:rsid w:val="00745665"/>
    <w:rsid w:val="007457DC"/>
    <w:rsid w:val="00747027"/>
    <w:rsid w:val="007511FF"/>
    <w:rsid w:val="007517B3"/>
    <w:rsid w:val="00751AD0"/>
    <w:rsid w:val="007524DE"/>
    <w:rsid w:val="0075274A"/>
    <w:rsid w:val="00752AC5"/>
    <w:rsid w:val="00753177"/>
    <w:rsid w:val="0075387F"/>
    <w:rsid w:val="00753CDB"/>
    <w:rsid w:val="00753EFC"/>
    <w:rsid w:val="00754793"/>
    <w:rsid w:val="0075525F"/>
    <w:rsid w:val="007559FF"/>
    <w:rsid w:val="007560C1"/>
    <w:rsid w:val="00756E83"/>
    <w:rsid w:val="007570C3"/>
    <w:rsid w:val="007613CF"/>
    <w:rsid w:val="00762795"/>
    <w:rsid w:val="00762EB1"/>
    <w:rsid w:val="0076341D"/>
    <w:rsid w:val="00763FB5"/>
    <w:rsid w:val="00764262"/>
    <w:rsid w:val="007656C6"/>
    <w:rsid w:val="00765B19"/>
    <w:rsid w:val="00765ECE"/>
    <w:rsid w:val="00766C47"/>
    <w:rsid w:val="00766EFF"/>
    <w:rsid w:val="0076716F"/>
    <w:rsid w:val="007674E9"/>
    <w:rsid w:val="007677B3"/>
    <w:rsid w:val="00770BDE"/>
    <w:rsid w:val="00770D44"/>
    <w:rsid w:val="00770FC4"/>
    <w:rsid w:val="00771F97"/>
    <w:rsid w:val="00772050"/>
    <w:rsid w:val="00772A97"/>
    <w:rsid w:val="00773AA9"/>
    <w:rsid w:val="007744B5"/>
    <w:rsid w:val="0077501A"/>
    <w:rsid w:val="007753E5"/>
    <w:rsid w:val="007759BA"/>
    <w:rsid w:val="0077758D"/>
    <w:rsid w:val="0077781C"/>
    <w:rsid w:val="007806E7"/>
    <w:rsid w:val="0078158A"/>
    <w:rsid w:val="0078165D"/>
    <w:rsid w:val="00781AFB"/>
    <w:rsid w:val="00781E47"/>
    <w:rsid w:val="00783CAC"/>
    <w:rsid w:val="007844D6"/>
    <w:rsid w:val="00784D32"/>
    <w:rsid w:val="00785FA0"/>
    <w:rsid w:val="00786CF6"/>
    <w:rsid w:val="00787534"/>
    <w:rsid w:val="00787700"/>
    <w:rsid w:val="0079074D"/>
    <w:rsid w:val="00790763"/>
    <w:rsid w:val="00790BE7"/>
    <w:rsid w:val="00790EFA"/>
    <w:rsid w:val="00791B74"/>
    <w:rsid w:val="00791C9C"/>
    <w:rsid w:val="00791F46"/>
    <w:rsid w:val="00792693"/>
    <w:rsid w:val="00793251"/>
    <w:rsid w:val="00793D4D"/>
    <w:rsid w:val="00794045"/>
    <w:rsid w:val="0079573F"/>
    <w:rsid w:val="00795D46"/>
    <w:rsid w:val="00796D67"/>
    <w:rsid w:val="00797A02"/>
    <w:rsid w:val="00797A0F"/>
    <w:rsid w:val="00797B28"/>
    <w:rsid w:val="007A0168"/>
    <w:rsid w:val="007A0431"/>
    <w:rsid w:val="007A10A4"/>
    <w:rsid w:val="007A12A5"/>
    <w:rsid w:val="007A1C6A"/>
    <w:rsid w:val="007A2286"/>
    <w:rsid w:val="007A2409"/>
    <w:rsid w:val="007A2E3B"/>
    <w:rsid w:val="007A3E60"/>
    <w:rsid w:val="007A4125"/>
    <w:rsid w:val="007A45B3"/>
    <w:rsid w:val="007A4E51"/>
    <w:rsid w:val="007A62DB"/>
    <w:rsid w:val="007A69A3"/>
    <w:rsid w:val="007A7720"/>
    <w:rsid w:val="007A79CB"/>
    <w:rsid w:val="007B00E9"/>
    <w:rsid w:val="007B1253"/>
    <w:rsid w:val="007B1C0A"/>
    <w:rsid w:val="007B4DB7"/>
    <w:rsid w:val="007B4EDE"/>
    <w:rsid w:val="007B4FBE"/>
    <w:rsid w:val="007B5D21"/>
    <w:rsid w:val="007B6570"/>
    <w:rsid w:val="007B6950"/>
    <w:rsid w:val="007B6D46"/>
    <w:rsid w:val="007B7925"/>
    <w:rsid w:val="007C02EF"/>
    <w:rsid w:val="007C034C"/>
    <w:rsid w:val="007C106D"/>
    <w:rsid w:val="007C1BC5"/>
    <w:rsid w:val="007C1C97"/>
    <w:rsid w:val="007C1FB7"/>
    <w:rsid w:val="007C2162"/>
    <w:rsid w:val="007C27FF"/>
    <w:rsid w:val="007C2AE9"/>
    <w:rsid w:val="007C3A5A"/>
    <w:rsid w:val="007C3E56"/>
    <w:rsid w:val="007C41EF"/>
    <w:rsid w:val="007C42C8"/>
    <w:rsid w:val="007C4857"/>
    <w:rsid w:val="007C4F5B"/>
    <w:rsid w:val="007C5076"/>
    <w:rsid w:val="007C531A"/>
    <w:rsid w:val="007C5F31"/>
    <w:rsid w:val="007C6962"/>
    <w:rsid w:val="007D0546"/>
    <w:rsid w:val="007D0C9F"/>
    <w:rsid w:val="007D0DBC"/>
    <w:rsid w:val="007D153F"/>
    <w:rsid w:val="007D1E86"/>
    <w:rsid w:val="007D211E"/>
    <w:rsid w:val="007D32A4"/>
    <w:rsid w:val="007D40F4"/>
    <w:rsid w:val="007D4DA6"/>
    <w:rsid w:val="007D5E5C"/>
    <w:rsid w:val="007D7D47"/>
    <w:rsid w:val="007E0E39"/>
    <w:rsid w:val="007E20DA"/>
    <w:rsid w:val="007E2A71"/>
    <w:rsid w:val="007E2CB5"/>
    <w:rsid w:val="007E39AA"/>
    <w:rsid w:val="007E42CC"/>
    <w:rsid w:val="007E6A26"/>
    <w:rsid w:val="007F1E83"/>
    <w:rsid w:val="007F2C95"/>
    <w:rsid w:val="007F30D7"/>
    <w:rsid w:val="007F320E"/>
    <w:rsid w:val="007F451D"/>
    <w:rsid w:val="007F4A71"/>
    <w:rsid w:val="007F59E9"/>
    <w:rsid w:val="007F6821"/>
    <w:rsid w:val="007F6D42"/>
    <w:rsid w:val="007F6DF4"/>
    <w:rsid w:val="00801558"/>
    <w:rsid w:val="008021A1"/>
    <w:rsid w:val="008027CA"/>
    <w:rsid w:val="008034EE"/>
    <w:rsid w:val="008044B3"/>
    <w:rsid w:val="00804B30"/>
    <w:rsid w:val="00804FF5"/>
    <w:rsid w:val="00805C6E"/>
    <w:rsid w:val="00807775"/>
    <w:rsid w:val="008107AE"/>
    <w:rsid w:val="00811A6F"/>
    <w:rsid w:val="008121CF"/>
    <w:rsid w:val="00812408"/>
    <w:rsid w:val="0081242F"/>
    <w:rsid w:val="00812611"/>
    <w:rsid w:val="00813024"/>
    <w:rsid w:val="0081616B"/>
    <w:rsid w:val="0081769C"/>
    <w:rsid w:val="008176BB"/>
    <w:rsid w:val="0081789C"/>
    <w:rsid w:val="00820278"/>
    <w:rsid w:val="0082086A"/>
    <w:rsid w:val="00820CEE"/>
    <w:rsid w:val="00821B31"/>
    <w:rsid w:val="00821DF6"/>
    <w:rsid w:val="0082324B"/>
    <w:rsid w:val="008239F3"/>
    <w:rsid w:val="00823AE9"/>
    <w:rsid w:val="008248D6"/>
    <w:rsid w:val="00824B33"/>
    <w:rsid w:val="00824BCC"/>
    <w:rsid w:val="008251D8"/>
    <w:rsid w:val="00825377"/>
    <w:rsid w:val="00826CEB"/>
    <w:rsid w:val="00827227"/>
    <w:rsid w:val="00827AAB"/>
    <w:rsid w:val="00827B0F"/>
    <w:rsid w:val="00830945"/>
    <w:rsid w:val="00831006"/>
    <w:rsid w:val="00831E39"/>
    <w:rsid w:val="0083259F"/>
    <w:rsid w:val="008328DA"/>
    <w:rsid w:val="00832934"/>
    <w:rsid w:val="00833C65"/>
    <w:rsid w:val="00833EE5"/>
    <w:rsid w:val="008342FC"/>
    <w:rsid w:val="00834930"/>
    <w:rsid w:val="0083630E"/>
    <w:rsid w:val="0083654E"/>
    <w:rsid w:val="00837154"/>
    <w:rsid w:val="00840246"/>
    <w:rsid w:val="00841191"/>
    <w:rsid w:val="00841861"/>
    <w:rsid w:val="008423D5"/>
    <w:rsid w:val="00842E11"/>
    <w:rsid w:val="008430AF"/>
    <w:rsid w:val="00843771"/>
    <w:rsid w:val="00843F62"/>
    <w:rsid w:val="00844CFD"/>
    <w:rsid w:val="00845A8E"/>
    <w:rsid w:val="0084777E"/>
    <w:rsid w:val="00850A41"/>
    <w:rsid w:val="00850DE1"/>
    <w:rsid w:val="00851634"/>
    <w:rsid w:val="00851869"/>
    <w:rsid w:val="008549BE"/>
    <w:rsid w:val="00854CAD"/>
    <w:rsid w:val="00854EAC"/>
    <w:rsid w:val="00855327"/>
    <w:rsid w:val="00855A7C"/>
    <w:rsid w:val="008603BC"/>
    <w:rsid w:val="0086099B"/>
    <w:rsid w:val="00860CF9"/>
    <w:rsid w:val="0086125B"/>
    <w:rsid w:val="00861354"/>
    <w:rsid w:val="00861AA6"/>
    <w:rsid w:val="00861CB5"/>
    <w:rsid w:val="0086269E"/>
    <w:rsid w:val="00862F06"/>
    <w:rsid w:val="00863071"/>
    <w:rsid w:val="00863B06"/>
    <w:rsid w:val="00864487"/>
    <w:rsid w:val="008645AB"/>
    <w:rsid w:val="00864A92"/>
    <w:rsid w:val="00864EAF"/>
    <w:rsid w:val="008665D4"/>
    <w:rsid w:val="008676EA"/>
    <w:rsid w:val="00867B9C"/>
    <w:rsid w:val="008704D0"/>
    <w:rsid w:val="00870587"/>
    <w:rsid w:val="00871128"/>
    <w:rsid w:val="0087138A"/>
    <w:rsid w:val="008715BE"/>
    <w:rsid w:val="00871A1A"/>
    <w:rsid w:val="00871F6A"/>
    <w:rsid w:val="00872409"/>
    <w:rsid w:val="0087283C"/>
    <w:rsid w:val="00873923"/>
    <w:rsid w:val="008741A7"/>
    <w:rsid w:val="00874670"/>
    <w:rsid w:val="00874B66"/>
    <w:rsid w:val="00875371"/>
    <w:rsid w:val="008758A4"/>
    <w:rsid w:val="00876581"/>
    <w:rsid w:val="00876CBA"/>
    <w:rsid w:val="00877027"/>
    <w:rsid w:val="00877076"/>
    <w:rsid w:val="0088000B"/>
    <w:rsid w:val="0088195D"/>
    <w:rsid w:val="0088307C"/>
    <w:rsid w:val="00883617"/>
    <w:rsid w:val="00883834"/>
    <w:rsid w:val="00884D80"/>
    <w:rsid w:val="008850F7"/>
    <w:rsid w:val="00885356"/>
    <w:rsid w:val="0088536B"/>
    <w:rsid w:val="00886309"/>
    <w:rsid w:val="0088653B"/>
    <w:rsid w:val="008868D0"/>
    <w:rsid w:val="00887B9C"/>
    <w:rsid w:val="00887C62"/>
    <w:rsid w:val="00887F16"/>
    <w:rsid w:val="00890EDB"/>
    <w:rsid w:val="00893834"/>
    <w:rsid w:val="00893AFF"/>
    <w:rsid w:val="00893B05"/>
    <w:rsid w:val="00893F0C"/>
    <w:rsid w:val="00895661"/>
    <w:rsid w:val="00895DBC"/>
    <w:rsid w:val="00896008"/>
    <w:rsid w:val="008962A8"/>
    <w:rsid w:val="008962B9"/>
    <w:rsid w:val="008963FC"/>
    <w:rsid w:val="00896DC7"/>
    <w:rsid w:val="008A061F"/>
    <w:rsid w:val="008A0827"/>
    <w:rsid w:val="008A15B5"/>
    <w:rsid w:val="008A21C5"/>
    <w:rsid w:val="008A36C7"/>
    <w:rsid w:val="008A43C7"/>
    <w:rsid w:val="008A4549"/>
    <w:rsid w:val="008A65C2"/>
    <w:rsid w:val="008A6857"/>
    <w:rsid w:val="008A7255"/>
    <w:rsid w:val="008A72D4"/>
    <w:rsid w:val="008A7878"/>
    <w:rsid w:val="008B039F"/>
    <w:rsid w:val="008B0DEE"/>
    <w:rsid w:val="008B1D14"/>
    <w:rsid w:val="008B1D3E"/>
    <w:rsid w:val="008B33F2"/>
    <w:rsid w:val="008B367D"/>
    <w:rsid w:val="008B3894"/>
    <w:rsid w:val="008B39CC"/>
    <w:rsid w:val="008B4612"/>
    <w:rsid w:val="008B4769"/>
    <w:rsid w:val="008B4E7B"/>
    <w:rsid w:val="008B7EDD"/>
    <w:rsid w:val="008C3199"/>
    <w:rsid w:val="008C342A"/>
    <w:rsid w:val="008C35EC"/>
    <w:rsid w:val="008C38FF"/>
    <w:rsid w:val="008C43A7"/>
    <w:rsid w:val="008C4A2D"/>
    <w:rsid w:val="008C5251"/>
    <w:rsid w:val="008C679A"/>
    <w:rsid w:val="008C6FB1"/>
    <w:rsid w:val="008C76BC"/>
    <w:rsid w:val="008D09BA"/>
    <w:rsid w:val="008D0A67"/>
    <w:rsid w:val="008D0F20"/>
    <w:rsid w:val="008D258C"/>
    <w:rsid w:val="008D2787"/>
    <w:rsid w:val="008D2FE5"/>
    <w:rsid w:val="008D58DB"/>
    <w:rsid w:val="008D5FC3"/>
    <w:rsid w:val="008D78EB"/>
    <w:rsid w:val="008D7B56"/>
    <w:rsid w:val="008E28C8"/>
    <w:rsid w:val="008E3098"/>
    <w:rsid w:val="008E34C0"/>
    <w:rsid w:val="008E3D0E"/>
    <w:rsid w:val="008E41B0"/>
    <w:rsid w:val="008E466C"/>
    <w:rsid w:val="008E483D"/>
    <w:rsid w:val="008E7544"/>
    <w:rsid w:val="008F1681"/>
    <w:rsid w:val="008F1DBD"/>
    <w:rsid w:val="008F3DA4"/>
    <w:rsid w:val="008F42B3"/>
    <w:rsid w:val="008F433C"/>
    <w:rsid w:val="008F44FA"/>
    <w:rsid w:val="008F48A6"/>
    <w:rsid w:val="008F52BF"/>
    <w:rsid w:val="008F5D93"/>
    <w:rsid w:val="008F69D6"/>
    <w:rsid w:val="008F6E4C"/>
    <w:rsid w:val="008F7C30"/>
    <w:rsid w:val="00901523"/>
    <w:rsid w:val="009022E6"/>
    <w:rsid w:val="009033C1"/>
    <w:rsid w:val="009050E0"/>
    <w:rsid w:val="0090530D"/>
    <w:rsid w:val="00905803"/>
    <w:rsid w:val="00906BAD"/>
    <w:rsid w:val="00907D35"/>
    <w:rsid w:val="00910A96"/>
    <w:rsid w:val="00911B3E"/>
    <w:rsid w:val="00911FA6"/>
    <w:rsid w:val="009120CC"/>
    <w:rsid w:val="009125F5"/>
    <w:rsid w:val="00912F4A"/>
    <w:rsid w:val="00912FC5"/>
    <w:rsid w:val="009143E3"/>
    <w:rsid w:val="009150DE"/>
    <w:rsid w:val="00915A8E"/>
    <w:rsid w:val="00916129"/>
    <w:rsid w:val="00916CFA"/>
    <w:rsid w:val="00917010"/>
    <w:rsid w:val="009204E6"/>
    <w:rsid w:val="009205FF"/>
    <w:rsid w:val="009230A9"/>
    <w:rsid w:val="0092313E"/>
    <w:rsid w:val="00925568"/>
    <w:rsid w:val="0092650A"/>
    <w:rsid w:val="009276AB"/>
    <w:rsid w:val="00927795"/>
    <w:rsid w:val="009279F0"/>
    <w:rsid w:val="00930B19"/>
    <w:rsid w:val="00931F2E"/>
    <w:rsid w:val="00932B79"/>
    <w:rsid w:val="00932BFC"/>
    <w:rsid w:val="00932E62"/>
    <w:rsid w:val="00932F34"/>
    <w:rsid w:val="009334AB"/>
    <w:rsid w:val="0093485E"/>
    <w:rsid w:val="009356E3"/>
    <w:rsid w:val="00936218"/>
    <w:rsid w:val="009364C8"/>
    <w:rsid w:val="00936A36"/>
    <w:rsid w:val="00936F1B"/>
    <w:rsid w:val="00941C42"/>
    <w:rsid w:val="00943230"/>
    <w:rsid w:val="009443A2"/>
    <w:rsid w:val="009449DD"/>
    <w:rsid w:val="00944DA1"/>
    <w:rsid w:val="00946E23"/>
    <w:rsid w:val="0095150B"/>
    <w:rsid w:val="00952BE0"/>
    <w:rsid w:val="0095301B"/>
    <w:rsid w:val="00953117"/>
    <w:rsid w:val="0095429B"/>
    <w:rsid w:val="00954DDA"/>
    <w:rsid w:val="009551B3"/>
    <w:rsid w:val="00956441"/>
    <w:rsid w:val="00960B6E"/>
    <w:rsid w:val="009621A5"/>
    <w:rsid w:val="009622CC"/>
    <w:rsid w:val="00962C72"/>
    <w:rsid w:val="00962D37"/>
    <w:rsid w:val="00963353"/>
    <w:rsid w:val="00964536"/>
    <w:rsid w:val="009655F1"/>
    <w:rsid w:val="00965952"/>
    <w:rsid w:val="00967420"/>
    <w:rsid w:val="00970684"/>
    <w:rsid w:val="009723CC"/>
    <w:rsid w:val="00972FE9"/>
    <w:rsid w:val="009731D5"/>
    <w:rsid w:val="0097321E"/>
    <w:rsid w:val="009733B6"/>
    <w:rsid w:val="009744DC"/>
    <w:rsid w:val="009748F5"/>
    <w:rsid w:val="00974A80"/>
    <w:rsid w:val="009750BC"/>
    <w:rsid w:val="009750D9"/>
    <w:rsid w:val="00975729"/>
    <w:rsid w:val="00975917"/>
    <w:rsid w:val="00975A30"/>
    <w:rsid w:val="00977EC9"/>
    <w:rsid w:val="00980024"/>
    <w:rsid w:val="009804B9"/>
    <w:rsid w:val="00980CCA"/>
    <w:rsid w:val="00980FEB"/>
    <w:rsid w:val="00981E11"/>
    <w:rsid w:val="0098243E"/>
    <w:rsid w:val="0098381C"/>
    <w:rsid w:val="00983D1D"/>
    <w:rsid w:val="0098470F"/>
    <w:rsid w:val="009848A5"/>
    <w:rsid w:val="00984E23"/>
    <w:rsid w:val="00984FE9"/>
    <w:rsid w:val="009850CF"/>
    <w:rsid w:val="0098552F"/>
    <w:rsid w:val="00985AA9"/>
    <w:rsid w:val="00985B6A"/>
    <w:rsid w:val="009863FF"/>
    <w:rsid w:val="009869B5"/>
    <w:rsid w:val="00986E50"/>
    <w:rsid w:val="009918E1"/>
    <w:rsid w:val="00993507"/>
    <w:rsid w:val="00993840"/>
    <w:rsid w:val="00993AA5"/>
    <w:rsid w:val="00993EAA"/>
    <w:rsid w:val="00994229"/>
    <w:rsid w:val="00994F3F"/>
    <w:rsid w:val="00995165"/>
    <w:rsid w:val="009967DB"/>
    <w:rsid w:val="0099687B"/>
    <w:rsid w:val="00997548"/>
    <w:rsid w:val="00997694"/>
    <w:rsid w:val="009978D9"/>
    <w:rsid w:val="00997F4C"/>
    <w:rsid w:val="009A1C1B"/>
    <w:rsid w:val="009A28B9"/>
    <w:rsid w:val="009A2F08"/>
    <w:rsid w:val="009A3510"/>
    <w:rsid w:val="009A425F"/>
    <w:rsid w:val="009A4A42"/>
    <w:rsid w:val="009A4D4F"/>
    <w:rsid w:val="009A52C6"/>
    <w:rsid w:val="009A625D"/>
    <w:rsid w:val="009A6ABA"/>
    <w:rsid w:val="009A6DDC"/>
    <w:rsid w:val="009A79FC"/>
    <w:rsid w:val="009A7A6D"/>
    <w:rsid w:val="009B02D8"/>
    <w:rsid w:val="009B1CB7"/>
    <w:rsid w:val="009B3238"/>
    <w:rsid w:val="009B3778"/>
    <w:rsid w:val="009B400E"/>
    <w:rsid w:val="009B5599"/>
    <w:rsid w:val="009B7519"/>
    <w:rsid w:val="009C0543"/>
    <w:rsid w:val="009C0B38"/>
    <w:rsid w:val="009C1F9A"/>
    <w:rsid w:val="009C2657"/>
    <w:rsid w:val="009C4278"/>
    <w:rsid w:val="009C54FF"/>
    <w:rsid w:val="009C5999"/>
    <w:rsid w:val="009C67F7"/>
    <w:rsid w:val="009C6BFD"/>
    <w:rsid w:val="009C6FF9"/>
    <w:rsid w:val="009C7EED"/>
    <w:rsid w:val="009D0218"/>
    <w:rsid w:val="009D2977"/>
    <w:rsid w:val="009D30A3"/>
    <w:rsid w:val="009D31FB"/>
    <w:rsid w:val="009D35F6"/>
    <w:rsid w:val="009D5BF6"/>
    <w:rsid w:val="009D5C02"/>
    <w:rsid w:val="009D5F34"/>
    <w:rsid w:val="009D67CC"/>
    <w:rsid w:val="009E017E"/>
    <w:rsid w:val="009E0A4E"/>
    <w:rsid w:val="009E1935"/>
    <w:rsid w:val="009E1A76"/>
    <w:rsid w:val="009E1FA8"/>
    <w:rsid w:val="009E23C4"/>
    <w:rsid w:val="009E2B69"/>
    <w:rsid w:val="009E2D4D"/>
    <w:rsid w:val="009E33D2"/>
    <w:rsid w:val="009E4688"/>
    <w:rsid w:val="009E5DD4"/>
    <w:rsid w:val="009E5E04"/>
    <w:rsid w:val="009E610E"/>
    <w:rsid w:val="009E64C5"/>
    <w:rsid w:val="009E6692"/>
    <w:rsid w:val="009E6D35"/>
    <w:rsid w:val="009E6E45"/>
    <w:rsid w:val="009E6F89"/>
    <w:rsid w:val="009E7D2D"/>
    <w:rsid w:val="009F04AC"/>
    <w:rsid w:val="009F0C27"/>
    <w:rsid w:val="009F15E9"/>
    <w:rsid w:val="009F1EEE"/>
    <w:rsid w:val="009F26FC"/>
    <w:rsid w:val="009F2D5C"/>
    <w:rsid w:val="009F381E"/>
    <w:rsid w:val="009F40C9"/>
    <w:rsid w:val="009F4E4E"/>
    <w:rsid w:val="009F4ED3"/>
    <w:rsid w:val="009F4F6D"/>
    <w:rsid w:val="009F5051"/>
    <w:rsid w:val="009F58D2"/>
    <w:rsid w:val="009F69BA"/>
    <w:rsid w:val="009F6ABC"/>
    <w:rsid w:val="009F7362"/>
    <w:rsid w:val="00A00612"/>
    <w:rsid w:val="00A019D9"/>
    <w:rsid w:val="00A02FDC"/>
    <w:rsid w:val="00A03026"/>
    <w:rsid w:val="00A032B7"/>
    <w:rsid w:val="00A033C9"/>
    <w:rsid w:val="00A04433"/>
    <w:rsid w:val="00A056B1"/>
    <w:rsid w:val="00A0614C"/>
    <w:rsid w:val="00A068D4"/>
    <w:rsid w:val="00A07BBC"/>
    <w:rsid w:val="00A1026B"/>
    <w:rsid w:val="00A10A4C"/>
    <w:rsid w:val="00A10B48"/>
    <w:rsid w:val="00A10D80"/>
    <w:rsid w:val="00A10FDD"/>
    <w:rsid w:val="00A11465"/>
    <w:rsid w:val="00A11887"/>
    <w:rsid w:val="00A11975"/>
    <w:rsid w:val="00A11EDC"/>
    <w:rsid w:val="00A124A6"/>
    <w:rsid w:val="00A13680"/>
    <w:rsid w:val="00A140A8"/>
    <w:rsid w:val="00A147EC"/>
    <w:rsid w:val="00A14A80"/>
    <w:rsid w:val="00A14C9B"/>
    <w:rsid w:val="00A1546D"/>
    <w:rsid w:val="00A159D0"/>
    <w:rsid w:val="00A16830"/>
    <w:rsid w:val="00A16E2E"/>
    <w:rsid w:val="00A17057"/>
    <w:rsid w:val="00A170BA"/>
    <w:rsid w:val="00A171D6"/>
    <w:rsid w:val="00A20079"/>
    <w:rsid w:val="00A208FC"/>
    <w:rsid w:val="00A20C3F"/>
    <w:rsid w:val="00A20D1E"/>
    <w:rsid w:val="00A21D8A"/>
    <w:rsid w:val="00A21E31"/>
    <w:rsid w:val="00A21E70"/>
    <w:rsid w:val="00A21E87"/>
    <w:rsid w:val="00A21FE1"/>
    <w:rsid w:val="00A229CF"/>
    <w:rsid w:val="00A22EB8"/>
    <w:rsid w:val="00A23842"/>
    <w:rsid w:val="00A23990"/>
    <w:rsid w:val="00A26FEA"/>
    <w:rsid w:val="00A27E44"/>
    <w:rsid w:val="00A30D2D"/>
    <w:rsid w:val="00A33600"/>
    <w:rsid w:val="00A34287"/>
    <w:rsid w:val="00A346F6"/>
    <w:rsid w:val="00A350CD"/>
    <w:rsid w:val="00A354A6"/>
    <w:rsid w:val="00A35708"/>
    <w:rsid w:val="00A3622F"/>
    <w:rsid w:val="00A36D88"/>
    <w:rsid w:val="00A3715B"/>
    <w:rsid w:val="00A407F7"/>
    <w:rsid w:val="00A4087F"/>
    <w:rsid w:val="00A41614"/>
    <w:rsid w:val="00A43BE1"/>
    <w:rsid w:val="00A44DAE"/>
    <w:rsid w:val="00A4545D"/>
    <w:rsid w:val="00A461E2"/>
    <w:rsid w:val="00A46CF9"/>
    <w:rsid w:val="00A4739E"/>
    <w:rsid w:val="00A50721"/>
    <w:rsid w:val="00A51F46"/>
    <w:rsid w:val="00A5254F"/>
    <w:rsid w:val="00A541DF"/>
    <w:rsid w:val="00A54319"/>
    <w:rsid w:val="00A547B1"/>
    <w:rsid w:val="00A54CE9"/>
    <w:rsid w:val="00A55B9C"/>
    <w:rsid w:val="00A5629E"/>
    <w:rsid w:val="00A56309"/>
    <w:rsid w:val="00A57C1E"/>
    <w:rsid w:val="00A617D9"/>
    <w:rsid w:val="00A63236"/>
    <w:rsid w:val="00A6542D"/>
    <w:rsid w:val="00A65DB2"/>
    <w:rsid w:val="00A66A2F"/>
    <w:rsid w:val="00A670F6"/>
    <w:rsid w:val="00A67812"/>
    <w:rsid w:val="00A7029B"/>
    <w:rsid w:val="00A704F3"/>
    <w:rsid w:val="00A70699"/>
    <w:rsid w:val="00A7069A"/>
    <w:rsid w:val="00A724D5"/>
    <w:rsid w:val="00A72522"/>
    <w:rsid w:val="00A73810"/>
    <w:rsid w:val="00A740D3"/>
    <w:rsid w:val="00A7465C"/>
    <w:rsid w:val="00A751DA"/>
    <w:rsid w:val="00A753ED"/>
    <w:rsid w:val="00A76A6B"/>
    <w:rsid w:val="00A80454"/>
    <w:rsid w:val="00A8146C"/>
    <w:rsid w:val="00A82790"/>
    <w:rsid w:val="00A828C0"/>
    <w:rsid w:val="00A8353F"/>
    <w:rsid w:val="00A83C84"/>
    <w:rsid w:val="00A83CE9"/>
    <w:rsid w:val="00A83DF6"/>
    <w:rsid w:val="00A85C6B"/>
    <w:rsid w:val="00A85E98"/>
    <w:rsid w:val="00A86FB6"/>
    <w:rsid w:val="00A87379"/>
    <w:rsid w:val="00A8764A"/>
    <w:rsid w:val="00A8764B"/>
    <w:rsid w:val="00A8780A"/>
    <w:rsid w:val="00A87E56"/>
    <w:rsid w:val="00A90144"/>
    <w:rsid w:val="00A91853"/>
    <w:rsid w:val="00A9239E"/>
    <w:rsid w:val="00A92A35"/>
    <w:rsid w:val="00A9398B"/>
    <w:rsid w:val="00A95726"/>
    <w:rsid w:val="00A9651E"/>
    <w:rsid w:val="00A9679D"/>
    <w:rsid w:val="00AA0872"/>
    <w:rsid w:val="00AA08BC"/>
    <w:rsid w:val="00AA0D96"/>
    <w:rsid w:val="00AA12BC"/>
    <w:rsid w:val="00AA1CB3"/>
    <w:rsid w:val="00AA21C6"/>
    <w:rsid w:val="00AA260D"/>
    <w:rsid w:val="00AA4CFF"/>
    <w:rsid w:val="00AA52B5"/>
    <w:rsid w:val="00AA5920"/>
    <w:rsid w:val="00AA5BA2"/>
    <w:rsid w:val="00AA657E"/>
    <w:rsid w:val="00AA6766"/>
    <w:rsid w:val="00AB075B"/>
    <w:rsid w:val="00AB0F7B"/>
    <w:rsid w:val="00AB226D"/>
    <w:rsid w:val="00AB28E7"/>
    <w:rsid w:val="00AB405E"/>
    <w:rsid w:val="00AB44CC"/>
    <w:rsid w:val="00AB59D0"/>
    <w:rsid w:val="00AB5DA4"/>
    <w:rsid w:val="00AC0778"/>
    <w:rsid w:val="00AC0ECD"/>
    <w:rsid w:val="00AC0F58"/>
    <w:rsid w:val="00AC1BEF"/>
    <w:rsid w:val="00AC1DFC"/>
    <w:rsid w:val="00AC2ABD"/>
    <w:rsid w:val="00AC31F5"/>
    <w:rsid w:val="00AC36F3"/>
    <w:rsid w:val="00AC3907"/>
    <w:rsid w:val="00AC3B9C"/>
    <w:rsid w:val="00AC4886"/>
    <w:rsid w:val="00AC5072"/>
    <w:rsid w:val="00AC6F68"/>
    <w:rsid w:val="00AC7B89"/>
    <w:rsid w:val="00AC7F97"/>
    <w:rsid w:val="00AD0354"/>
    <w:rsid w:val="00AD04A9"/>
    <w:rsid w:val="00AD06EE"/>
    <w:rsid w:val="00AD0865"/>
    <w:rsid w:val="00AD094A"/>
    <w:rsid w:val="00AD0B03"/>
    <w:rsid w:val="00AD386A"/>
    <w:rsid w:val="00AD39C8"/>
    <w:rsid w:val="00AD3A83"/>
    <w:rsid w:val="00AD4C79"/>
    <w:rsid w:val="00AD598F"/>
    <w:rsid w:val="00AD6864"/>
    <w:rsid w:val="00AE178C"/>
    <w:rsid w:val="00AE1D86"/>
    <w:rsid w:val="00AE33A9"/>
    <w:rsid w:val="00AE3418"/>
    <w:rsid w:val="00AE48A8"/>
    <w:rsid w:val="00AE5B1E"/>
    <w:rsid w:val="00AE63D0"/>
    <w:rsid w:val="00AE705E"/>
    <w:rsid w:val="00AE77F7"/>
    <w:rsid w:val="00AF0589"/>
    <w:rsid w:val="00AF09A2"/>
    <w:rsid w:val="00AF09CB"/>
    <w:rsid w:val="00AF1670"/>
    <w:rsid w:val="00AF1851"/>
    <w:rsid w:val="00AF1C7F"/>
    <w:rsid w:val="00AF1CC8"/>
    <w:rsid w:val="00AF2651"/>
    <w:rsid w:val="00AF2969"/>
    <w:rsid w:val="00AF3348"/>
    <w:rsid w:val="00AF36E0"/>
    <w:rsid w:val="00AF40EB"/>
    <w:rsid w:val="00AF49E2"/>
    <w:rsid w:val="00AF4C59"/>
    <w:rsid w:val="00AF4EAF"/>
    <w:rsid w:val="00AF5230"/>
    <w:rsid w:val="00AF63F4"/>
    <w:rsid w:val="00AF675F"/>
    <w:rsid w:val="00AF6822"/>
    <w:rsid w:val="00AF6BD4"/>
    <w:rsid w:val="00AF6F99"/>
    <w:rsid w:val="00B01637"/>
    <w:rsid w:val="00B01CB8"/>
    <w:rsid w:val="00B02A81"/>
    <w:rsid w:val="00B02EA3"/>
    <w:rsid w:val="00B04AD8"/>
    <w:rsid w:val="00B057F4"/>
    <w:rsid w:val="00B05845"/>
    <w:rsid w:val="00B06418"/>
    <w:rsid w:val="00B06714"/>
    <w:rsid w:val="00B07646"/>
    <w:rsid w:val="00B078F3"/>
    <w:rsid w:val="00B07C23"/>
    <w:rsid w:val="00B106A1"/>
    <w:rsid w:val="00B10D23"/>
    <w:rsid w:val="00B114BB"/>
    <w:rsid w:val="00B115AF"/>
    <w:rsid w:val="00B11770"/>
    <w:rsid w:val="00B117DD"/>
    <w:rsid w:val="00B11EA2"/>
    <w:rsid w:val="00B13248"/>
    <w:rsid w:val="00B13D45"/>
    <w:rsid w:val="00B13D66"/>
    <w:rsid w:val="00B15422"/>
    <w:rsid w:val="00B164C1"/>
    <w:rsid w:val="00B16C3B"/>
    <w:rsid w:val="00B21A41"/>
    <w:rsid w:val="00B22538"/>
    <w:rsid w:val="00B2297D"/>
    <w:rsid w:val="00B22D14"/>
    <w:rsid w:val="00B23139"/>
    <w:rsid w:val="00B252D9"/>
    <w:rsid w:val="00B25D9E"/>
    <w:rsid w:val="00B26352"/>
    <w:rsid w:val="00B267C0"/>
    <w:rsid w:val="00B30A1D"/>
    <w:rsid w:val="00B311FD"/>
    <w:rsid w:val="00B31C2A"/>
    <w:rsid w:val="00B32896"/>
    <w:rsid w:val="00B3396E"/>
    <w:rsid w:val="00B34041"/>
    <w:rsid w:val="00B3483C"/>
    <w:rsid w:val="00B35F8C"/>
    <w:rsid w:val="00B36496"/>
    <w:rsid w:val="00B36633"/>
    <w:rsid w:val="00B40640"/>
    <w:rsid w:val="00B40C7E"/>
    <w:rsid w:val="00B4186E"/>
    <w:rsid w:val="00B41915"/>
    <w:rsid w:val="00B42D8B"/>
    <w:rsid w:val="00B43791"/>
    <w:rsid w:val="00B43B9F"/>
    <w:rsid w:val="00B449A4"/>
    <w:rsid w:val="00B449C1"/>
    <w:rsid w:val="00B45429"/>
    <w:rsid w:val="00B45BAA"/>
    <w:rsid w:val="00B45BE1"/>
    <w:rsid w:val="00B45C62"/>
    <w:rsid w:val="00B46FDB"/>
    <w:rsid w:val="00B47498"/>
    <w:rsid w:val="00B47651"/>
    <w:rsid w:val="00B47D54"/>
    <w:rsid w:val="00B5103A"/>
    <w:rsid w:val="00B510A3"/>
    <w:rsid w:val="00B5213C"/>
    <w:rsid w:val="00B52F34"/>
    <w:rsid w:val="00B53027"/>
    <w:rsid w:val="00B536F7"/>
    <w:rsid w:val="00B53D72"/>
    <w:rsid w:val="00B53E32"/>
    <w:rsid w:val="00B54B3A"/>
    <w:rsid w:val="00B54FC7"/>
    <w:rsid w:val="00B57432"/>
    <w:rsid w:val="00B579F6"/>
    <w:rsid w:val="00B60021"/>
    <w:rsid w:val="00B606C7"/>
    <w:rsid w:val="00B608FF"/>
    <w:rsid w:val="00B60F25"/>
    <w:rsid w:val="00B60F56"/>
    <w:rsid w:val="00B611C3"/>
    <w:rsid w:val="00B6169D"/>
    <w:rsid w:val="00B629AC"/>
    <w:rsid w:val="00B62C43"/>
    <w:rsid w:val="00B632C5"/>
    <w:rsid w:val="00B63335"/>
    <w:rsid w:val="00B63A1E"/>
    <w:rsid w:val="00B65C2B"/>
    <w:rsid w:val="00B65E7D"/>
    <w:rsid w:val="00B667F5"/>
    <w:rsid w:val="00B66989"/>
    <w:rsid w:val="00B66D18"/>
    <w:rsid w:val="00B6762B"/>
    <w:rsid w:val="00B70908"/>
    <w:rsid w:val="00B70CF5"/>
    <w:rsid w:val="00B71C74"/>
    <w:rsid w:val="00B72BD6"/>
    <w:rsid w:val="00B732F2"/>
    <w:rsid w:val="00B737CB"/>
    <w:rsid w:val="00B739E9"/>
    <w:rsid w:val="00B73D80"/>
    <w:rsid w:val="00B7474F"/>
    <w:rsid w:val="00B75363"/>
    <w:rsid w:val="00B7559A"/>
    <w:rsid w:val="00B757B8"/>
    <w:rsid w:val="00B76009"/>
    <w:rsid w:val="00B762D0"/>
    <w:rsid w:val="00B76316"/>
    <w:rsid w:val="00B765CB"/>
    <w:rsid w:val="00B76E72"/>
    <w:rsid w:val="00B770B9"/>
    <w:rsid w:val="00B773F3"/>
    <w:rsid w:val="00B803E6"/>
    <w:rsid w:val="00B805EA"/>
    <w:rsid w:val="00B8071F"/>
    <w:rsid w:val="00B80DF9"/>
    <w:rsid w:val="00B81205"/>
    <w:rsid w:val="00B81335"/>
    <w:rsid w:val="00B825AE"/>
    <w:rsid w:val="00B82DB6"/>
    <w:rsid w:val="00B83039"/>
    <w:rsid w:val="00B83483"/>
    <w:rsid w:val="00B835E8"/>
    <w:rsid w:val="00B83B84"/>
    <w:rsid w:val="00B83BB5"/>
    <w:rsid w:val="00B83F16"/>
    <w:rsid w:val="00B84DD0"/>
    <w:rsid w:val="00B84EBC"/>
    <w:rsid w:val="00B85920"/>
    <w:rsid w:val="00B85FE5"/>
    <w:rsid w:val="00B86709"/>
    <w:rsid w:val="00B87007"/>
    <w:rsid w:val="00B87201"/>
    <w:rsid w:val="00B873B6"/>
    <w:rsid w:val="00B87B91"/>
    <w:rsid w:val="00B902A7"/>
    <w:rsid w:val="00B9070B"/>
    <w:rsid w:val="00B91457"/>
    <w:rsid w:val="00B946A8"/>
    <w:rsid w:val="00B94F40"/>
    <w:rsid w:val="00B955F2"/>
    <w:rsid w:val="00B95781"/>
    <w:rsid w:val="00B9694E"/>
    <w:rsid w:val="00B975F5"/>
    <w:rsid w:val="00B9764C"/>
    <w:rsid w:val="00B97E9A"/>
    <w:rsid w:val="00BA0119"/>
    <w:rsid w:val="00BA0852"/>
    <w:rsid w:val="00BA08C5"/>
    <w:rsid w:val="00BA1636"/>
    <w:rsid w:val="00BA2C08"/>
    <w:rsid w:val="00BA30DF"/>
    <w:rsid w:val="00BA40AB"/>
    <w:rsid w:val="00BA4E94"/>
    <w:rsid w:val="00BA52AC"/>
    <w:rsid w:val="00BA5A2B"/>
    <w:rsid w:val="00BA5A84"/>
    <w:rsid w:val="00BA5D5F"/>
    <w:rsid w:val="00BA6EC4"/>
    <w:rsid w:val="00BA7CFD"/>
    <w:rsid w:val="00BB019E"/>
    <w:rsid w:val="00BB02BA"/>
    <w:rsid w:val="00BB3735"/>
    <w:rsid w:val="00BB4B62"/>
    <w:rsid w:val="00BB5F48"/>
    <w:rsid w:val="00BB6FA4"/>
    <w:rsid w:val="00BB781E"/>
    <w:rsid w:val="00BC0324"/>
    <w:rsid w:val="00BC0E61"/>
    <w:rsid w:val="00BC30BA"/>
    <w:rsid w:val="00BC3AC0"/>
    <w:rsid w:val="00BC492D"/>
    <w:rsid w:val="00BC55B1"/>
    <w:rsid w:val="00BC56F3"/>
    <w:rsid w:val="00BC68BE"/>
    <w:rsid w:val="00BC6C41"/>
    <w:rsid w:val="00BC746A"/>
    <w:rsid w:val="00BD0AD8"/>
    <w:rsid w:val="00BD0F65"/>
    <w:rsid w:val="00BD0FF1"/>
    <w:rsid w:val="00BD165A"/>
    <w:rsid w:val="00BD311C"/>
    <w:rsid w:val="00BD410B"/>
    <w:rsid w:val="00BD5B81"/>
    <w:rsid w:val="00BD7748"/>
    <w:rsid w:val="00BE0B4E"/>
    <w:rsid w:val="00BE0C4E"/>
    <w:rsid w:val="00BE0FA8"/>
    <w:rsid w:val="00BE163D"/>
    <w:rsid w:val="00BE189C"/>
    <w:rsid w:val="00BE1974"/>
    <w:rsid w:val="00BE1B06"/>
    <w:rsid w:val="00BE23EC"/>
    <w:rsid w:val="00BE28F9"/>
    <w:rsid w:val="00BE2DBA"/>
    <w:rsid w:val="00BE4213"/>
    <w:rsid w:val="00BE4482"/>
    <w:rsid w:val="00BE461B"/>
    <w:rsid w:val="00BE4C00"/>
    <w:rsid w:val="00BE50FA"/>
    <w:rsid w:val="00BE5847"/>
    <w:rsid w:val="00BE6393"/>
    <w:rsid w:val="00BE67DD"/>
    <w:rsid w:val="00BE6E4D"/>
    <w:rsid w:val="00BE7069"/>
    <w:rsid w:val="00BF1687"/>
    <w:rsid w:val="00BF17E9"/>
    <w:rsid w:val="00BF3637"/>
    <w:rsid w:val="00BF3AAB"/>
    <w:rsid w:val="00BF678A"/>
    <w:rsid w:val="00BF687C"/>
    <w:rsid w:val="00C00B4E"/>
    <w:rsid w:val="00C00F7F"/>
    <w:rsid w:val="00C01896"/>
    <w:rsid w:val="00C01B72"/>
    <w:rsid w:val="00C02CA5"/>
    <w:rsid w:val="00C0378E"/>
    <w:rsid w:val="00C04436"/>
    <w:rsid w:val="00C04B8E"/>
    <w:rsid w:val="00C05886"/>
    <w:rsid w:val="00C05F72"/>
    <w:rsid w:val="00C062C6"/>
    <w:rsid w:val="00C07509"/>
    <w:rsid w:val="00C07A12"/>
    <w:rsid w:val="00C100BC"/>
    <w:rsid w:val="00C10CED"/>
    <w:rsid w:val="00C11688"/>
    <w:rsid w:val="00C11FC7"/>
    <w:rsid w:val="00C12CF4"/>
    <w:rsid w:val="00C12D36"/>
    <w:rsid w:val="00C12DD6"/>
    <w:rsid w:val="00C13912"/>
    <w:rsid w:val="00C13DFF"/>
    <w:rsid w:val="00C13EF9"/>
    <w:rsid w:val="00C1464D"/>
    <w:rsid w:val="00C15CCC"/>
    <w:rsid w:val="00C16611"/>
    <w:rsid w:val="00C166C9"/>
    <w:rsid w:val="00C16DDB"/>
    <w:rsid w:val="00C173D9"/>
    <w:rsid w:val="00C20868"/>
    <w:rsid w:val="00C20D00"/>
    <w:rsid w:val="00C21DD1"/>
    <w:rsid w:val="00C22444"/>
    <w:rsid w:val="00C22492"/>
    <w:rsid w:val="00C237D1"/>
    <w:rsid w:val="00C2537D"/>
    <w:rsid w:val="00C256D4"/>
    <w:rsid w:val="00C2571B"/>
    <w:rsid w:val="00C26153"/>
    <w:rsid w:val="00C263B1"/>
    <w:rsid w:val="00C2701B"/>
    <w:rsid w:val="00C2711B"/>
    <w:rsid w:val="00C27C1C"/>
    <w:rsid w:val="00C3190A"/>
    <w:rsid w:val="00C31A13"/>
    <w:rsid w:val="00C322F3"/>
    <w:rsid w:val="00C32AD1"/>
    <w:rsid w:val="00C32D00"/>
    <w:rsid w:val="00C34155"/>
    <w:rsid w:val="00C34227"/>
    <w:rsid w:val="00C34382"/>
    <w:rsid w:val="00C345B3"/>
    <w:rsid w:val="00C3493E"/>
    <w:rsid w:val="00C354B1"/>
    <w:rsid w:val="00C36F1A"/>
    <w:rsid w:val="00C37095"/>
    <w:rsid w:val="00C3763B"/>
    <w:rsid w:val="00C4053F"/>
    <w:rsid w:val="00C4158C"/>
    <w:rsid w:val="00C41B2A"/>
    <w:rsid w:val="00C42401"/>
    <w:rsid w:val="00C42D02"/>
    <w:rsid w:val="00C43C4A"/>
    <w:rsid w:val="00C446E2"/>
    <w:rsid w:val="00C44C92"/>
    <w:rsid w:val="00C44DCF"/>
    <w:rsid w:val="00C44F3F"/>
    <w:rsid w:val="00C47159"/>
    <w:rsid w:val="00C47ED9"/>
    <w:rsid w:val="00C506BA"/>
    <w:rsid w:val="00C50B7A"/>
    <w:rsid w:val="00C51032"/>
    <w:rsid w:val="00C511E4"/>
    <w:rsid w:val="00C5121E"/>
    <w:rsid w:val="00C51E46"/>
    <w:rsid w:val="00C528CE"/>
    <w:rsid w:val="00C53150"/>
    <w:rsid w:val="00C53B7B"/>
    <w:rsid w:val="00C53EDD"/>
    <w:rsid w:val="00C5478A"/>
    <w:rsid w:val="00C549CE"/>
    <w:rsid w:val="00C551A1"/>
    <w:rsid w:val="00C553EF"/>
    <w:rsid w:val="00C55A77"/>
    <w:rsid w:val="00C56063"/>
    <w:rsid w:val="00C56B12"/>
    <w:rsid w:val="00C5772E"/>
    <w:rsid w:val="00C5776D"/>
    <w:rsid w:val="00C57981"/>
    <w:rsid w:val="00C60A5C"/>
    <w:rsid w:val="00C6106F"/>
    <w:rsid w:val="00C612ED"/>
    <w:rsid w:val="00C61465"/>
    <w:rsid w:val="00C61616"/>
    <w:rsid w:val="00C6176B"/>
    <w:rsid w:val="00C6189F"/>
    <w:rsid w:val="00C62C7C"/>
    <w:rsid w:val="00C630F3"/>
    <w:rsid w:val="00C6341D"/>
    <w:rsid w:val="00C63A69"/>
    <w:rsid w:val="00C63D08"/>
    <w:rsid w:val="00C640FE"/>
    <w:rsid w:val="00C64F58"/>
    <w:rsid w:val="00C650D6"/>
    <w:rsid w:val="00C6520E"/>
    <w:rsid w:val="00C65738"/>
    <w:rsid w:val="00C65C33"/>
    <w:rsid w:val="00C66C28"/>
    <w:rsid w:val="00C6740A"/>
    <w:rsid w:val="00C6764B"/>
    <w:rsid w:val="00C67F20"/>
    <w:rsid w:val="00C70748"/>
    <w:rsid w:val="00C712F7"/>
    <w:rsid w:val="00C71AB7"/>
    <w:rsid w:val="00C71D48"/>
    <w:rsid w:val="00C72447"/>
    <w:rsid w:val="00C72A21"/>
    <w:rsid w:val="00C74956"/>
    <w:rsid w:val="00C74FDB"/>
    <w:rsid w:val="00C750FD"/>
    <w:rsid w:val="00C75FA2"/>
    <w:rsid w:val="00C7710E"/>
    <w:rsid w:val="00C81446"/>
    <w:rsid w:val="00C815A7"/>
    <w:rsid w:val="00C81D27"/>
    <w:rsid w:val="00C81DC4"/>
    <w:rsid w:val="00C830E1"/>
    <w:rsid w:val="00C83CC3"/>
    <w:rsid w:val="00C84B02"/>
    <w:rsid w:val="00C8569A"/>
    <w:rsid w:val="00C8650B"/>
    <w:rsid w:val="00C86F68"/>
    <w:rsid w:val="00C90271"/>
    <w:rsid w:val="00C92693"/>
    <w:rsid w:val="00C932C9"/>
    <w:rsid w:val="00C941E4"/>
    <w:rsid w:val="00C947F3"/>
    <w:rsid w:val="00C9480B"/>
    <w:rsid w:val="00C94D6D"/>
    <w:rsid w:val="00C94EF7"/>
    <w:rsid w:val="00C95442"/>
    <w:rsid w:val="00C95D07"/>
    <w:rsid w:val="00C97E1C"/>
    <w:rsid w:val="00CA00B3"/>
    <w:rsid w:val="00CA02FD"/>
    <w:rsid w:val="00CA06F8"/>
    <w:rsid w:val="00CA0C16"/>
    <w:rsid w:val="00CA2CBA"/>
    <w:rsid w:val="00CA372A"/>
    <w:rsid w:val="00CA50BC"/>
    <w:rsid w:val="00CA64CD"/>
    <w:rsid w:val="00CA7170"/>
    <w:rsid w:val="00CA78E6"/>
    <w:rsid w:val="00CB0155"/>
    <w:rsid w:val="00CB10F0"/>
    <w:rsid w:val="00CB2A53"/>
    <w:rsid w:val="00CB38D6"/>
    <w:rsid w:val="00CB42BA"/>
    <w:rsid w:val="00CB472B"/>
    <w:rsid w:val="00CB5C2D"/>
    <w:rsid w:val="00CB676A"/>
    <w:rsid w:val="00CC13A8"/>
    <w:rsid w:val="00CC1899"/>
    <w:rsid w:val="00CC265A"/>
    <w:rsid w:val="00CC270D"/>
    <w:rsid w:val="00CC2955"/>
    <w:rsid w:val="00CC2ABA"/>
    <w:rsid w:val="00CC2C2C"/>
    <w:rsid w:val="00CC2ECD"/>
    <w:rsid w:val="00CC3E9A"/>
    <w:rsid w:val="00CC4851"/>
    <w:rsid w:val="00CC583B"/>
    <w:rsid w:val="00CC5A63"/>
    <w:rsid w:val="00CC63E5"/>
    <w:rsid w:val="00CC6763"/>
    <w:rsid w:val="00CC6844"/>
    <w:rsid w:val="00CC6BEB"/>
    <w:rsid w:val="00CC6D62"/>
    <w:rsid w:val="00CD22F8"/>
    <w:rsid w:val="00CD272B"/>
    <w:rsid w:val="00CD27C0"/>
    <w:rsid w:val="00CD34A0"/>
    <w:rsid w:val="00CD3B5B"/>
    <w:rsid w:val="00CD3C02"/>
    <w:rsid w:val="00CD4559"/>
    <w:rsid w:val="00CD46B7"/>
    <w:rsid w:val="00CD67EF"/>
    <w:rsid w:val="00CD6AF8"/>
    <w:rsid w:val="00CD6C91"/>
    <w:rsid w:val="00CD7098"/>
    <w:rsid w:val="00CE09A8"/>
    <w:rsid w:val="00CE2A92"/>
    <w:rsid w:val="00CE2B5E"/>
    <w:rsid w:val="00CE3B71"/>
    <w:rsid w:val="00CE45E7"/>
    <w:rsid w:val="00CE530C"/>
    <w:rsid w:val="00CE5C4A"/>
    <w:rsid w:val="00CE662C"/>
    <w:rsid w:val="00CE7F45"/>
    <w:rsid w:val="00CE7F6D"/>
    <w:rsid w:val="00CF0570"/>
    <w:rsid w:val="00CF0755"/>
    <w:rsid w:val="00CF0AF6"/>
    <w:rsid w:val="00CF0D33"/>
    <w:rsid w:val="00CF0F3C"/>
    <w:rsid w:val="00CF10F3"/>
    <w:rsid w:val="00CF176D"/>
    <w:rsid w:val="00CF1CEF"/>
    <w:rsid w:val="00CF2436"/>
    <w:rsid w:val="00CF32C0"/>
    <w:rsid w:val="00CF3775"/>
    <w:rsid w:val="00CF5121"/>
    <w:rsid w:val="00CF5171"/>
    <w:rsid w:val="00CF5239"/>
    <w:rsid w:val="00CF5367"/>
    <w:rsid w:val="00CF6285"/>
    <w:rsid w:val="00CF6824"/>
    <w:rsid w:val="00CF6ABB"/>
    <w:rsid w:val="00CF6DC0"/>
    <w:rsid w:val="00CF6FAC"/>
    <w:rsid w:val="00CF711D"/>
    <w:rsid w:val="00CF7DB3"/>
    <w:rsid w:val="00D01548"/>
    <w:rsid w:val="00D02FD2"/>
    <w:rsid w:val="00D0509C"/>
    <w:rsid w:val="00D052EE"/>
    <w:rsid w:val="00D05B4C"/>
    <w:rsid w:val="00D06D92"/>
    <w:rsid w:val="00D10757"/>
    <w:rsid w:val="00D10C55"/>
    <w:rsid w:val="00D13A47"/>
    <w:rsid w:val="00D13C89"/>
    <w:rsid w:val="00D142FD"/>
    <w:rsid w:val="00D14747"/>
    <w:rsid w:val="00D14933"/>
    <w:rsid w:val="00D160C8"/>
    <w:rsid w:val="00D16C54"/>
    <w:rsid w:val="00D16E73"/>
    <w:rsid w:val="00D1784A"/>
    <w:rsid w:val="00D17B01"/>
    <w:rsid w:val="00D20651"/>
    <w:rsid w:val="00D20F98"/>
    <w:rsid w:val="00D22097"/>
    <w:rsid w:val="00D23448"/>
    <w:rsid w:val="00D246BA"/>
    <w:rsid w:val="00D26042"/>
    <w:rsid w:val="00D262F6"/>
    <w:rsid w:val="00D2668D"/>
    <w:rsid w:val="00D26B74"/>
    <w:rsid w:val="00D27032"/>
    <w:rsid w:val="00D27660"/>
    <w:rsid w:val="00D276DE"/>
    <w:rsid w:val="00D27BB0"/>
    <w:rsid w:val="00D27F21"/>
    <w:rsid w:val="00D30B95"/>
    <w:rsid w:val="00D317E5"/>
    <w:rsid w:val="00D3459E"/>
    <w:rsid w:val="00D34719"/>
    <w:rsid w:val="00D35251"/>
    <w:rsid w:val="00D36288"/>
    <w:rsid w:val="00D36830"/>
    <w:rsid w:val="00D36969"/>
    <w:rsid w:val="00D372C0"/>
    <w:rsid w:val="00D40DE2"/>
    <w:rsid w:val="00D4143E"/>
    <w:rsid w:val="00D41CAE"/>
    <w:rsid w:val="00D44671"/>
    <w:rsid w:val="00D44A07"/>
    <w:rsid w:val="00D450D3"/>
    <w:rsid w:val="00D452FD"/>
    <w:rsid w:val="00D4532A"/>
    <w:rsid w:val="00D4591C"/>
    <w:rsid w:val="00D45CD8"/>
    <w:rsid w:val="00D46F7E"/>
    <w:rsid w:val="00D506F5"/>
    <w:rsid w:val="00D509A3"/>
    <w:rsid w:val="00D5117A"/>
    <w:rsid w:val="00D513E4"/>
    <w:rsid w:val="00D52561"/>
    <w:rsid w:val="00D54D1B"/>
    <w:rsid w:val="00D55166"/>
    <w:rsid w:val="00D56278"/>
    <w:rsid w:val="00D56389"/>
    <w:rsid w:val="00D57577"/>
    <w:rsid w:val="00D579BD"/>
    <w:rsid w:val="00D57A56"/>
    <w:rsid w:val="00D60FF9"/>
    <w:rsid w:val="00D6153A"/>
    <w:rsid w:val="00D61D3E"/>
    <w:rsid w:val="00D62623"/>
    <w:rsid w:val="00D6308A"/>
    <w:rsid w:val="00D63B7C"/>
    <w:rsid w:val="00D63DC0"/>
    <w:rsid w:val="00D63EEF"/>
    <w:rsid w:val="00D64817"/>
    <w:rsid w:val="00D64FB1"/>
    <w:rsid w:val="00D66BED"/>
    <w:rsid w:val="00D67616"/>
    <w:rsid w:val="00D67624"/>
    <w:rsid w:val="00D7096D"/>
    <w:rsid w:val="00D71C58"/>
    <w:rsid w:val="00D71C5F"/>
    <w:rsid w:val="00D7200D"/>
    <w:rsid w:val="00D725D5"/>
    <w:rsid w:val="00D72E82"/>
    <w:rsid w:val="00D75156"/>
    <w:rsid w:val="00D76933"/>
    <w:rsid w:val="00D773EE"/>
    <w:rsid w:val="00D77711"/>
    <w:rsid w:val="00D77916"/>
    <w:rsid w:val="00D81503"/>
    <w:rsid w:val="00D85275"/>
    <w:rsid w:val="00D85B57"/>
    <w:rsid w:val="00D86373"/>
    <w:rsid w:val="00D86D47"/>
    <w:rsid w:val="00D87C98"/>
    <w:rsid w:val="00D90F2B"/>
    <w:rsid w:val="00D90FD7"/>
    <w:rsid w:val="00D91C14"/>
    <w:rsid w:val="00D91E44"/>
    <w:rsid w:val="00D92C0F"/>
    <w:rsid w:val="00D92CEC"/>
    <w:rsid w:val="00D92F02"/>
    <w:rsid w:val="00D93E43"/>
    <w:rsid w:val="00D95315"/>
    <w:rsid w:val="00D95427"/>
    <w:rsid w:val="00D9574A"/>
    <w:rsid w:val="00D972E3"/>
    <w:rsid w:val="00D975E7"/>
    <w:rsid w:val="00D97DDA"/>
    <w:rsid w:val="00DA0059"/>
    <w:rsid w:val="00DA0D33"/>
    <w:rsid w:val="00DA25CB"/>
    <w:rsid w:val="00DA3540"/>
    <w:rsid w:val="00DA38CF"/>
    <w:rsid w:val="00DA40A7"/>
    <w:rsid w:val="00DA41BB"/>
    <w:rsid w:val="00DA4368"/>
    <w:rsid w:val="00DA4C5D"/>
    <w:rsid w:val="00DA558C"/>
    <w:rsid w:val="00DA55C9"/>
    <w:rsid w:val="00DA57B9"/>
    <w:rsid w:val="00DA5D24"/>
    <w:rsid w:val="00DA62C8"/>
    <w:rsid w:val="00DA659B"/>
    <w:rsid w:val="00DA67C4"/>
    <w:rsid w:val="00DA6CA0"/>
    <w:rsid w:val="00DA7676"/>
    <w:rsid w:val="00DB1260"/>
    <w:rsid w:val="00DB1BA0"/>
    <w:rsid w:val="00DB21A8"/>
    <w:rsid w:val="00DB2559"/>
    <w:rsid w:val="00DB2AA9"/>
    <w:rsid w:val="00DB2AE3"/>
    <w:rsid w:val="00DB2B44"/>
    <w:rsid w:val="00DB4A8C"/>
    <w:rsid w:val="00DB4FA7"/>
    <w:rsid w:val="00DB52CA"/>
    <w:rsid w:val="00DB61DE"/>
    <w:rsid w:val="00DB6365"/>
    <w:rsid w:val="00DB6FE5"/>
    <w:rsid w:val="00DB7301"/>
    <w:rsid w:val="00DB7573"/>
    <w:rsid w:val="00DC0245"/>
    <w:rsid w:val="00DC034D"/>
    <w:rsid w:val="00DC1645"/>
    <w:rsid w:val="00DC276F"/>
    <w:rsid w:val="00DC2DB9"/>
    <w:rsid w:val="00DC3A29"/>
    <w:rsid w:val="00DC4427"/>
    <w:rsid w:val="00DC45AD"/>
    <w:rsid w:val="00DC52F9"/>
    <w:rsid w:val="00DC607D"/>
    <w:rsid w:val="00DC645A"/>
    <w:rsid w:val="00DC7795"/>
    <w:rsid w:val="00DD0514"/>
    <w:rsid w:val="00DD0818"/>
    <w:rsid w:val="00DD0FEA"/>
    <w:rsid w:val="00DD2C5A"/>
    <w:rsid w:val="00DD2ED4"/>
    <w:rsid w:val="00DD32AA"/>
    <w:rsid w:val="00DD474A"/>
    <w:rsid w:val="00DD4753"/>
    <w:rsid w:val="00DD57F6"/>
    <w:rsid w:val="00DD5932"/>
    <w:rsid w:val="00DD76B3"/>
    <w:rsid w:val="00DD7900"/>
    <w:rsid w:val="00DE0BE1"/>
    <w:rsid w:val="00DE1D29"/>
    <w:rsid w:val="00DE24A3"/>
    <w:rsid w:val="00DE354F"/>
    <w:rsid w:val="00DE3829"/>
    <w:rsid w:val="00DE3D9E"/>
    <w:rsid w:val="00DE4560"/>
    <w:rsid w:val="00DE55E4"/>
    <w:rsid w:val="00DE5833"/>
    <w:rsid w:val="00DE5F79"/>
    <w:rsid w:val="00DE7072"/>
    <w:rsid w:val="00DE7132"/>
    <w:rsid w:val="00DE71A9"/>
    <w:rsid w:val="00DE7538"/>
    <w:rsid w:val="00DE7E4F"/>
    <w:rsid w:val="00DE7E7C"/>
    <w:rsid w:val="00DF0971"/>
    <w:rsid w:val="00DF0C63"/>
    <w:rsid w:val="00DF1CA5"/>
    <w:rsid w:val="00DF2B34"/>
    <w:rsid w:val="00DF309D"/>
    <w:rsid w:val="00DF32A0"/>
    <w:rsid w:val="00DF351A"/>
    <w:rsid w:val="00DF3A6C"/>
    <w:rsid w:val="00DF4923"/>
    <w:rsid w:val="00DF5891"/>
    <w:rsid w:val="00DF5F21"/>
    <w:rsid w:val="00DF65CC"/>
    <w:rsid w:val="00DF6EDB"/>
    <w:rsid w:val="00DF7411"/>
    <w:rsid w:val="00E01127"/>
    <w:rsid w:val="00E022B2"/>
    <w:rsid w:val="00E027D0"/>
    <w:rsid w:val="00E033F6"/>
    <w:rsid w:val="00E037A4"/>
    <w:rsid w:val="00E03BCB"/>
    <w:rsid w:val="00E03DA3"/>
    <w:rsid w:val="00E04D58"/>
    <w:rsid w:val="00E05410"/>
    <w:rsid w:val="00E07738"/>
    <w:rsid w:val="00E07CC0"/>
    <w:rsid w:val="00E07CF0"/>
    <w:rsid w:val="00E10EA9"/>
    <w:rsid w:val="00E113B1"/>
    <w:rsid w:val="00E1321A"/>
    <w:rsid w:val="00E14084"/>
    <w:rsid w:val="00E14445"/>
    <w:rsid w:val="00E14765"/>
    <w:rsid w:val="00E151FD"/>
    <w:rsid w:val="00E1599F"/>
    <w:rsid w:val="00E16242"/>
    <w:rsid w:val="00E162AE"/>
    <w:rsid w:val="00E169C1"/>
    <w:rsid w:val="00E16B61"/>
    <w:rsid w:val="00E17029"/>
    <w:rsid w:val="00E17741"/>
    <w:rsid w:val="00E1789A"/>
    <w:rsid w:val="00E21F44"/>
    <w:rsid w:val="00E21F63"/>
    <w:rsid w:val="00E251B4"/>
    <w:rsid w:val="00E25733"/>
    <w:rsid w:val="00E25CA6"/>
    <w:rsid w:val="00E26513"/>
    <w:rsid w:val="00E26E3C"/>
    <w:rsid w:val="00E318A6"/>
    <w:rsid w:val="00E3256D"/>
    <w:rsid w:val="00E327D9"/>
    <w:rsid w:val="00E327EF"/>
    <w:rsid w:val="00E32D70"/>
    <w:rsid w:val="00E334A0"/>
    <w:rsid w:val="00E3389D"/>
    <w:rsid w:val="00E34054"/>
    <w:rsid w:val="00E35424"/>
    <w:rsid w:val="00E35B0D"/>
    <w:rsid w:val="00E35CD9"/>
    <w:rsid w:val="00E36449"/>
    <w:rsid w:val="00E3659A"/>
    <w:rsid w:val="00E374C6"/>
    <w:rsid w:val="00E40423"/>
    <w:rsid w:val="00E4183B"/>
    <w:rsid w:val="00E425F6"/>
    <w:rsid w:val="00E4319C"/>
    <w:rsid w:val="00E436FE"/>
    <w:rsid w:val="00E440E1"/>
    <w:rsid w:val="00E4453C"/>
    <w:rsid w:val="00E45D16"/>
    <w:rsid w:val="00E45E97"/>
    <w:rsid w:val="00E45EB9"/>
    <w:rsid w:val="00E460DE"/>
    <w:rsid w:val="00E47248"/>
    <w:rsid w:val="00E47D51"/>
    <w:rsid w:val="00E47E20"/>
    <w:rsid w:val="00E52864"/>
    <w:rsid w:val="00E52939"/>
    <w:rsid w:val="00E5341C"/>
    <w:rsid w:val="00E5368F"/>
    <w:rsid w:val="00E54491"/>
    <w:rsid w:val="00E5675E"/>
    <w:rsid w:val="00E5720A"/>
    <w:rsid w:val="00E57D29"/>
    <w:rsid w:val="00E603CF"/>
    <w:rsid w:val="00E605FB"/>
    <w:rsid w:val="00E61071"/>
    <w:rsid w:val="00E62F84"/>
    <w:rsid w:val="00E62FF7"/>
    <w:rsid w:val="00E63CD8"/>
    <w:rsid w:val="00E6517A"/>
    <w:rsid w:val="00E659BA"/>
    <w:rsid w:val="00E65A54"/>
    <w:rsid w:val="00E65ACC"/>
    <w:rsid w:val="00E67575"/>
    <w:rsid w:val="00E678DE"/>
    <w:rsid w:val="00E67C64"/>
    <w:rsid w:val="00E67CD1"/>
    <w:rsid w:val="00E7006F"/>
    <w:rsid w:val="00E70D90"/>
    <w:rsid w:val="00E72371"/>
    <w:rsid w:val="00E72A9A"/>
    <w:rsid w:val="00E7450E"/>
    <w:rsid w:val="00E75970"/>
    <w:rsid w:val="00E768D5"/>
    <w:rsid w:val="00E76DB3"/>
    <w:rsid w:val="00E7725E"/>
    <w:rsid w:val="00E776A0"/>
    <w:rsid w:val="00E777CF"/>
    <w:rsid w:val="00E7793A"/>
    <w:rsid w:val="00E80639"/>
    <w:rsid w:val="00E80AF9"/>
    <w:rsid w:val="00E815DC"/>
    <w:rsid w:val="00E8161F"/>
    <w:rsid w:val="00E81707"/>
    <w:rsid w:val="00E817F2"/>
    <w:rsid w:val="00E82106"/>
    <w:rsid w:val="00E8211D"/>
    <w:rsid w:val="00E84DE5"/>
    <w:rsid w:val="00E8620A"/>
    <w:rsid w:val="00E869E6"/>
    <w:rsid w:val="00E86BE0"/>
    <w:rsid w:val="00E86F33"/>
    <w:rsid w:val="00E873B9"/>
    <w:rsid w:val="00E879E2"/>
    <w:rsid w:val="00E87A1F"/>
    <w:rsid w:val="00E90259"/>
    <w:rsid w:val="00E912BA"/>
    <w:rsid w:val="00E915F0"/>
    <w:rsid w:val="00E9216B"/>
    <w:rsid w:val="00E9280F"/>
    <w:rsid w:val="00E92A70"/>
    <w:rsid w:val="00E94EBA"/>
    <w:rsid w:val="00E95A60"/>
    <w:rsid w:val="00E95ED6"/>
    <w:rsid w:val="00E969EC"/>
    <w:rsid w:val="00E97CF8"/>
    <w:rsid w:val="00E97E09"/>
    <w:rsid w:val="00EA08C8"/>
    <w:rsid w:val="00EA17E4"/>
    <w:rsid w:val="00EA1860"/>
    <w:rsid w:val="00EA1890"/>
    <w:rsid w:val="00EA1E1F"/>
    <w:rsid w:val="00EA28F3"/>
    <w:rsid w:val="00EA2EF8"/>
    <w:rsid w:val="00EA45F1"/>
    <w:rsid w:val="00EA4D1E"/>
    <w:rsid w:val="00EA5669"/>
    <w:rsid w:val="00EA5EF7"/>
    <w:rsid w:val="00EA5F11"/>
    <w:rsid w:val="00EA5F9A"/>
    <w:rsid w:val="00EA63EC"/>
    <w:rsid w:val="00EA65FD"/>
    <w:rsid w:val="00EA68CB"/>
    <w:rsid w:val="00EA6903"/>
    <w:rsid w:val="00EA6CE1"/>
    <w:rsid w:val="00EA756C"/>
    <w:rsid w:val="00EB02B4"/>
    <w:rsid w:val="00EB0462"/>
    <w:rsid w:val="00EB0F42"/>
    <w:rsid w:val="00EB141E"/>
    <w:rsid w:val="00EB20B4"/>
    <w:rsid w:val="00EB24AC"/>
    <w:rsid w:val="00EB2D25"/>
    <w:rsid w:val="00EB2DCA"/>
    <w:rsid w:val="00EB33AB"/>
    <w:rsid w:val="00EB40E7"/>
    <w:rsid w:val="00EB552E"/>
    <w:rsid w:val="00EB5A81"/>
    <w:rsid w:val="00EB7134"/>
    <w:rsid w:val="00EB7648"/>
    <w:rsid w:val="00EB7649"/>
    <w:rsid w:val="00EB76DC"/>
    <w:rsid w:val="00EB79FE"/>
    <w:rsid w:val="00EB7F37"/>
    <w:rsid w:val="00EC0571"/>
    <w:rsid w:val="00EC1188"/>
    <w:rsid w:val="00EC25B0"/>
    <w:rsid w:val="00EC3F13"/>
    <w:rsid w:val="00EC421A"/>
    <w:rsid w:val="00EC593A"/>
    <w:rsid w:val="00EC6285"/>
    <w:rsid w:val="00EC6968"/>
    <w:rsid w:val="00EC7289"/>
    <w:rsid w:val="00EC76AF"/>
    <w:rsid w:val="00EC7AFF"/>
    <w:rsid w:val="00ED0975"/>
    <w:rsid w:val="00ED09F9"/>
    <w:rsid w:val="00ED11CA"/>
    <w:rsid w:val="00ED150E"/>
    <w:rsid w:val="00ED2910"/>
    <w:rsid w:val="00ED2D87"/>
    <w:rsid w:val="00ED4632"/>
    <w:rsid w:val="00ED49B9"/>
    <w:rsid w:val="00ED4E26"/>
    <w:rsid w:val="00ED5325"/>
    <w:rsid w:val="00ED5A33"/>
    <w:rsid w:val="00ED5C12"/>
    <w:rsid w:val="00ED60AB"/>
    <w:rsid w:val="00ED60B2"/>
    <w:rsid w:val="00ED78DA"/>
    <w:rsid w:val="00ED7C02"/>
    <w:rsid w:val="00EE05BF"/>
    <w:rsid w:val="00EE0A41"/>
    <w:rsid w:val="00EE0F3C"/>
    <w:rsid w:val="00EE112C"/>
    <w:rsid w:val="00EE2AE1"/>
    <w:rsid w:val="00EE3184"/>
    <w:rsid w:val="00EE31EE"/>
    <w:rsid w:val="00EE3399"/>
    <w:rsid w:val="00EE46DB"/>
    <w:rsid w:val="00EE4817"/>
    <w:rsid w:val="00EE4DEC"/>
    <w:rsid w:val="00EE50E5"/>
    <w:rsid w:val="00EE53CB"/>
    <w:rsid w:val="00EE59AB"/>
    <w:rsid w:val="00EE5CEF"/>
    <w:rsid w:val="00EE5F07"/>
    <w:rsid w:val="00EE5FE2"/>
    <w:rsid w:val="00EE6370"/>
    <w:rsid w:val="00EE6C45"/>
    <w:rsid w:val="00EE7E85"/>
    <w:rsid w:val="00EE7FA6"/>
    <w:rsid w:val="00EF0B66"/>
    <w:rsid w:val="00EF0ED6"/>
    <w:rsid w:val="00EF138D"/>
    <w:rsid w:val="00EF2400"/>
    <w:rsid w:val="00EF28BC"/>
    <w:rsid w:val="00EF320A"/>
    <w:rsid w:val="00EF325F"/>
    <w:rsid w:val="00EF359B"/>
    <w:rsid w:val="00EF3B5C"/>
    <w:rsid w:val="00EF54F4"/>
    <w:rsid w:val="00EF5958"/>
    <w:rsid w:val="00EF5E1B"/>
    <w:rsid w:val="00EF65F3"/>
    <w:rsid w:val="00EF6708"/>
    <w:rsid w:val="00EF78F0"/>
    <w:rsid w:val="00F00528"/>
    <w:rsid w:val="00F00AD4"/>
    <w:rsid w:val="00F00EBE"/>
    <w:rsid w:val="00F014B7"/>
    <w:rsid w:val="00F01680"/>
    <w:rsid w:val="00F0344E"/>
    <w:rsid w:val="00F039E5"/>
    <w:rsid w:val="00F04B2F"/>
    <w:rsid w:val="00F05DDB"/>
    <w:rsid w:val="00F06D73"/>
    <w:rsid w:val="00F07D3B"/>
    <w:rsid w:val="00F102FE"/>
    <w:rsid w:val="00F105DC"/>
    <w:rsid w:val="00F115FF"/>
    <w:rsid w:val="00F134C7"/>
    <w:rsid w:val="00F134E6"/>
    <w:rsid w:val="00F13E91"/>
    <w:rsid w:val="00F14311"/>
    <w:rsid w:val="00F144C3"/>
    <w:rsid w:val="00F15013"/>
    <w:rsid w:val="00F170FB"/>
    <w:rsid w:val="00F211D0"/>
    <w:rsid w:val="00F222E9"/>
    <w:rsid w:val="00F22A8B"/>
    <w:rsid w:val="00F22AEE"/>
    <w:rsid w:val="00F230B9"/>
    <w:rsid w:val="00F232E0"/>
    <w:rsid w:val="00F24141"/>
    <w:rsid w:val="00F25498"/>
    <w:rsid w:val="00F25FF0"/>
    <w:rsid w:val="00F2639C"/>
    <w:rsid w:val="00F300FF"/>
    <w:rsid w:val="00F301E5"/>
    <w:rsid w:val="00F30753"/>
    <w:rsid w:val="00F30ADF"/>
    <w:rsid w:val="00F31AFA"/>
    <w:rsid w:val="00F32172"/>
    <w:rsid w:val="00F32BB8"/>
    <w:rsid w:val="00F32DE3"/>
    <w:rsid w:val="00F341A2"/>
    <w:rsid w:val="00F34B67"/>
    <w:rsid w:val="00F35FD9"/>
    <w:rsid w:val="00F36129"/>
    <w:rsid w:val="00F362BE"/>
    <w:rsid w:val="00F3644A"/>
    <w:rsid w:val="00F40353"/>
    <w:rsid w:val="00F4078F"/>
    <w:rsid w:val="00F416EC"/>
    <w:rsid w:val="00F42841"/>
    <w:rsid w:val="00F43AD8"/>
    <w:rsid w:val="00F44CF4"/>
    <w:rsid w:val="00F4563F"/>
    <w:rsid w:val="00F46FF3"/>
    <w:rsid w:val="00F47B2C"/>
    <w:rsid w:val="00F50120"/>
    <w:rsid w:val="00F5033C"/>
    <w:rsid w:val="00F5062B"/>
    <w:rsid w:val="00F50A5A"/>
    <w:rsid w:val="00F50F3D"/>
    <w:rsid w:val="00F521D5"/>
    <w:rsid w:val="00F52335"/>
    <w:rsid w:val="00F5262C"/>
    <w:rsid w:val="00F53397"/>
    <w:rsid w:val="00F53A37"/>
    <w:rsid w:val="00F5428B"/>
    <w:rsid w:val="00F55569"/>
    <w:rsid w:val="00F558A6"/>
    <w:rsid w:val="00F56898"/>
    <w:rsid w:val="00F618BC"/>
    <w:rsid w:val="00F64BF9"/>
    <w:rsid w:val="00F65057"/>
    <w:rsid w:val="00F65180"/>
    <w:rsid w:val="00F65801"/>
    <w:rsid w:val="00F666A2"/>
    <w:rsid w:val="00F678DD"/>
    <w:rsid w:val="00F67D2C"/>
    <w:rsid w:val="00F70E57"/>
    <w:rsid w:val="00F721F6"/>
    <w:rsid w:val="00F72582"/>
    <w:rsid w:val="00F731CC"/>
    <w:rsid w:val="00F73713"/>
    <w:rsid w:val="00F73A50"/>
    <w:rsid w:val="00F73D54"/>
    <w:rsid w:val="00F7429B"/>
    <w:rsid w:val="00F74D74"/>
    <w:rsid w:val="00F76465"/>
    <w:rsid w:val="00F76D93"/>
    <w:rsid w:val="00F80B50"/>
    <w:rsid w:val="00F8155F"/>
    <w:rsid w:val="00F81B53"/>
    <w:rsid w:val="00F81E98"/>
    <w:rsid w:val="00F81F95"/>
    <w:rsid w:val="00F82680"/>
    <w:rsid w:val="00F84E4E"/>
    <w:rsid w:val="00F84FD6"/>
    <w:rsid w:val="00F867F9"/>
    <w:rsid w:val="00F86FEF"/>
    <w:rsid w:val="00F87255"/>
    <w:rsid w:val="00F872FD"/>
    <w:rsid w:val="00F877A9"/>
    <w:rsid w:val="00F9052C"/>
    <w:rsid w:val="00F91A84"/>
    <w:rsid w:val="00F91D97"/>
    <w:rsid w:val="00F92912"/>
    <w:rsid w:val="00F92DF6"/>
    <w:rsid w:val="00F9320B"/>
    <w:rsid w:val="00F932E8"/>
    <w:rsid w:val="00F93350"/>
    <w:rsid w:val="00F93A89"/>
    <w:rsid w:val="00F94F05"/>
    <w:rsid w:val="00F95368"/>
    <w:rsid w:val="00F9590B"/>
    <w:rsid w:val="00F96A4E"/>
    <w:rsid w:val="00FA0B84"/>
    <w:rsid w:val="00FA12E2"/>
    <w:rsid w:val="00FA1E50"/>
    <w:rsid w:val="00FA2199"/>
    <w:rsid w:val="00FA27EB"/>
    <w:rsid w:val="00FA2A26"/>
    <w:rsid w:val="00FA351F"/>
    <w:rsid w:val="00FA414E"/>
    <w:rsid w:val="00FA42C8"/>
    <w:rsid w:val="00FA4A70"/>
    <w:rsid w:val="00FA5178"/>
    <w:rsid w:val="00FA53BC"/>
    <w:rsid w:val="00FA5BE4"/>
    <w:rsid w:val="00FA5D65"/>
    <w:rsid w:val="00FA69EA"/>
    <w:rsid w:val="00FA7915"/>
    <w:rsid w:val="00FB02C7"/>
    <w:rsid w:val="00FB16A8"/>
    <w:rsid w:val="00FB182A"/>
    <w:rsid w:val="00FB256B"/>
    <w:rsid w:val="00FB3A06"/>
    <w:rsid w:val="00FB3EE8"/>
    <w:rsid w:val="00FB4435"/>
    <w:rsid w:val="00FB44B6"/>
    <w:rsid w:val="00FB4CF7"/>
    <w:rsid w:val="00FB4EE8"/>
    <w:rsid w:val="00FB5245"/>
    <w:rsid w:val="00FB6139"/>
    <w:rsid w:val="00FB62C0"/>
    <w:rsid w:val="00FB63CB"/>
    <w:rsid w:val="00FB7F3B"/>
    <w:rsid w:val="00FC0367"/>
    <w:rsid w:val="00FC0A96"/>
    <w:rsid w:val="00FC11FC"/>
    <w:rsid w:val="00FC120B"/>
    <w:rsid w:val="00FC24B6"/>
    <w:rsid w:val="00FC27E2"/>
    <w:rsid w:val="00FC2C72"/>
    <w:rsid w:val="00FC3017"/>
    <w:rsid w:val="00FC31BD"/>
    <w:rsid w:val="00FC3548"/>
    <w:rsid w:val="00FC3771"/>
    <w:rsid w:val="00FC650C"/>
    <w:rsid w:val="00FD04EA"/>
    <w:rsid w:val="00FD0D3D"/>
    <w:rsid w:val="00FD1445"/>
    <w:rsid w:val="00FD40CF"/>
    <w:rsid w:val="00FD4DE5"/>
    <w:rsid w:val="00FD5620"/>
    <w:rsid w:val="00FD6015"/>
    <w:rsid w:val="00FD6CF5"/>
    <w:rsid w:val="00FD7137"/>
    <w:rsid w:val="00FE0996"/>
    <w:rsid w:val="00FE0C70"/>
    <w:rsid w:val="00FE1764"/>
    <w:rsid w:val="00FE183F"/>
    <w:rsid w:val="00FE1AD3"/>
    <w:rsid w:val="00FE1F2C"/>
    <w:rsid w:val="00FE21F7"/>
    <w:rsid w:val="00FE277B"/>
    <w:rsid w:val="00FE2C81"/>
    <w:rsid w:val="00FE38D2"/>
    <w:rsid w:val="00FE3E9F"/>
    <w:rsid w:val="00FE53C1"/>
    <w:rsid w:val="00FE64AC"/>
    <w:rsid w:val="00FE71DC"/>
    <w:rsid w:val="00FE7A13"/>
    <w:rsid w:val="00FE7B79"/>
    <w:rsid w:val="00FF0231"/>
    <w:rsid w:val="00FF0986"/>
    <w:rsid w:val="00FF0CE9"/>
    <w:rsid w:val="00FF0DF3"/>
    <w:rsid w:val="00FF1AA9"/>
    <w:rsid w:val="00FF1C58"/>
    <w:rsid w:val="00FF1DFA"/>
    <w:rsid w:val="00FF3373"/>
    <w:rsid w:val="00FF3442"/>
    <w:rsid w:val="00FF4459"/>
    <w:rsid w:val="00FF525A"/>
    <w:rsid w:val="00FF551B"/>
    <w:rsid w:val="00FF60CC"/>
    <w:rsid w:val="00FF7672"/>
    <w:rsid w:val="00FF7E54"/>
    <w:rsid w:val="1586C1AF"/>
    <w:rsid w:val="70B16E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6BDCE"/>
  <w15:chartTrackingRefBased/>
  <w15:docId w15:val="{1B2377B5-AB5B-40B3-85A1-4DE6EB3FF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uiPriority="4" w:qFormat="1"/>
    <w:lsdException w:name="heading 7"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unhideWhenUsed="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iPriority="0" w:qFormat="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A67812"/>
    <w:pPr>
      <w:spacing w:after="40" w:line="200" w:lineRule="exact"/>
    </w:pPr>
    <w:rPr>
      <w:rFonts w:ascii="Calibri" w:eastAsiaTheme="minorEastAsia" w:hAnsi="Calibri"/>
      <w:kern w:val="0"/>
      <w:sz w:val="22"/>
      <w:lang w:val="en-US" w:eastAsia="ja-JP"/>
      <w14:ligatures w14:val="none"/>
    </w:rPr>
  </w:style>
  <w:style w:type="paragraph" w:styleId="Heading1">
    <w:name w:val="heading 1"/>
    <w:basedOn w:val="BodyText"/>
    <w:next w:val="BodyText"/>
    <w:link w:val="Heading1Char"/>
    <w:uiPriority w:val="1"/>
    <w:qFormat/>
    <w:rsid w:val="00EB2DCA"/>
    <w:pPr>
      <w:keepNext/>
      <w:numPr>
        <w:numId w:val="20"/>
      </w:numPr>
      <w:spacing w:before="120" w:after="40" w:line="240" w:lineRule="auto"/>
      <w:ind w:left="792" w:hanging="792"/>
      <w:outlineLvl w:val="0"/>
    </w:pPr>
    <w:rPr>
      <w:rFonts w:cs="Times New Roman (Body CS)"/>
      <w:b/>
      <w:caps/>
      <w:color w:val="1F893E" w:themeColor="accent2" w:themeTint="BF"/>
      <w:sz w:val="26"/>
    </w:rPr>
  </w:style>
  <w:style w:type="paragraph" w:styleId="Heading2">
    <w:name w:val="heading 2"/>
    <w:basedOn w:val="BodyText"/>
    <w:next w:val="BodyText"/>
    <w:link w:val="Heading2Char"/>
    <w:uiPriority w:val="1"/>
    <w:qFormat/>
    <w:rsid w:val="00EB2DCA"/>
    <w:pPr>
      <w:keepNext/>
      <w:numPr>
        <w:ilvl w:val="1"/>
        <w:numId w:val="20"/>
      </w:numPr>
      <w:tabs>
        <w:tab w:val="clear" w:pos="431"/>
      </w:tabs>
      <w:spacing w:before="80" w:after="40" w:line="240" w:lineRule="auto"/>
      <w:ind w:left="792" w:hanging="792"/>
      <w:outlineLvl w:val="1"/>
    </w:pPr>
    <w:rPr>
      <w:rFonts w:cs="Times New Roman (Body CS)"/>
      <w:caps/>
      <w:color w:val="1F893E" w:themeColor="accent2" w:themeTint="BF"/>
      <w:sz w:val="24"/>
    </w:rPr>
  </w:style>
  <w:style w:type="paragraph" w:styleId="Heading3">
    <w:name w:val="heading 3"/>
    <w:basedOn w:val="Heading2"/>
    <w:next w:val="BodyText"/>
    <w:link w:val="Heading3Char"/>
    <w:uiPriority w:val="1"/>
    <w:qFormat/>
    <w:rsid w:val="00EB2DCA"/>
    <w:pPr>
      <w:numPr>
        <w:ilvl w:val="2"/>
      </w:numPr>
      <w:spacing w:before="40" w:after="0"/>
      <w:ind w:left="734" w:hanging="734"/>
      <w:outlineLvl w:val="2"/>
    </w:pPr>
    <w:rPr>
      <w:caps w:val="0"/>
      <w:sz w:val="22"/>
      <w:u w:val="single"/>
    </w:rPr>
  </w:style>
  <w:style w:type="paragraph" w:styleId="Heading4">
    <w:name w:val="heading 4"/>
    <w:basedOn w:val="Heading2"/>
    <w:next w:val="BodyText"/>
    <w:link w:val="Heading4Char"/>
    <w:uiPriority w:val="1"/>
    <w:qFormat/>
    <w:rsid w:val="00EB2DCA"/>
    <w:pPr>
      <w:numPr>
        <w:ilvl w:val="3"/>
      </w:numPr>
      <w:spacing w:before="40" w:after="0"/>
      <w:ind w:left="792" w:hanging="792"/>
      <w:outlineLvl w:val="3"/>
    </w:pPr>
    <w:rPr>
      <w:i/>
      <w:caps w:val="0"/>
      <w:sz w:val="22"/>
    </w:rPr>
  </w:style>
  <w:style w:type="paragraph" w:styleId="Heading5">
    <w:name w:val="heading 5"/>
    <w:next w:val="BodyText"/>
    <w:link w:val="Heading5Char"/>
    <w:uiPriority w:val="1"/>
    <w:qFormat/>
    <w:rsid w:val="00EB2DCA"/>
    <w:pPr>
      <w:keepNext/>
      <w:numPr>
        <w:ilvl w:val="4"/>
        <w:numId w:val="20"/>
      </w:numPr>
      <w:spacing w:before="60" w:after="40"/>
      <w:outlineLvl w:val="4"/>
    </w:pPr>
    <w:rPr>
      <w:rFonts w:ascii="Calibri" w:hAnsi="Calibri"/>
      <w:iCs/>
      <w:caps/>
      <w:sz w:val="22"/>
    </w:rPr>
  </w:style>
  <w:style w:type="paragraph" w:styleId="Heading6">
    <w:name w:val="heading 6"/>
    <w:next w:val="BodyText"/>
    <w:link w:val="Heading6Char"/>
    <w:uiPriority w:val="1"/>
    <w:qFormat/>
    <w:rsid w:val="0010434E"/>
    <w:pPr>
      <w:keepNext/>
      <w:numPr>
        <w:ilvl w:val="5"/>
        <w:numId w:val="20"/>
      </w:numPr>
      <w:spacing w:before="240" w:after="60" w:line="300" w:lineRule="auto"/>
      <w:outlineLvl w:val="5"/>
    </w:pPr>
    <w:rPr>
      <w:rFonts w:asciiTheme="majorHAnsi" w:hAnsiTheme="majorHAnsi"/>
      <w:b/>
      <w:i/>
      <w:sz w:val="20"/>
    </w:rPr>
  </w:style>
  <w:style w:type="paragraph" w:styleId="Heading7">
    <w:name w:val="heading 7"/>
    <w:next w:val="BodyText"/>
    <w:link w:val="Heading7Char"/>
    <w:uiPriority w:val="9"/>
    <w:qFormat/>
    <w:rsid w:val="009C0B38"/>
    <w:pPr>
      <w:keepNext/>
      <w:spacing w:before="240" w:after="60" w:line="300" w:lineRule="auto"/>
      <w:outlineLvl w:val="6"/>
    </w:pPr>
    <w:rPr>
      <w:i/>
      <w:iCs/>
      <w:sz w:val="20"/>
    </w:rPr>
  </w:style>
  <w:style w:type="paragraph" w:styleId="Heading8">
    <w:name w:val="heading 8"/>
    <w:next w:val="Normal"/>
    <w:link w:val="Heading8Char"/>
    <w:uiPriority w:val="9"/>
    <w:qFormat/>
    <w:rsid w:val="006E23BD"/>
    <w:pPr>
      <w:spacing w:after="130" w:line="293" w:lineRule="auto"/>
      <w:outlineLvl w:val="7"/>
    </w:pPr>
    <w:rPr>
      <w:i/>
      <w:iCs/>
      <w:sz w:val="18"/>
    </w:rPr>
  </w:style>
  <w:style w:type="paragraph" w:styleId="Heading9">
    <w:name w:val="heading 9"/>
    <w:basedOn w:val="Normal"/>
    <w:next w:val="Normal"/>
    <w:link w:val="Heading9Char"/>
    <w:uiPriority w:val="9"/>
    <w:unhideWhenUsed/>
    <w:qFormat/>
    <w:rsid w:val="001118B8"/>
    <w:pPr>
      <w:keepNext/>
      <w:keepLines/>
      <w:spacing w:after="0"/>
      <w:outlineLvl w:val="8"/>
    </w:pPr>
    <w:rPr>
      <w:rFonts w:eastAsiaTheme="majorEastAsia" w:cstheme="majorBidi"/>
      <w:color w:val="3E3E3E"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37D29"/>
    <w:pPr>
      <w:tabs>
        <w:tab w:val="center" w:pos="4513"/>
        <w:tab w:val="right" w:pos="9026"/>
      </w:tabs>
      <w:spacing w:after="0" w:line="192" w:lineRule="auto"/>
    </w:pPr>
    <w:rPr>
      <w:rFonts w:eastAsiaTheme="minorHAnsi" w:cs="Times New Roman (Body CS)"/>
      <w:caps/>
      <w:color w:val="82887E" w:themeColor="accent6"/>
      <w:kern w:val="2"/>
      <w:sz w:val="12"/>
      <w:lang w:eastAsia="en-US"/>
      <w14:ligatures w14:val="standardContextual"/>
    </w:rPr>
  </w:style>
  <w:style w:type="character" w:customStyle="1" w:styleId="HeaderChar">
    <w:name w:val="Header Char"/>
    <w:basedOn w:val="DefaultParagraphFont"/>
    <w:link w:val="Header"/>
    <w:uiPriority w:val="99"/>
    <w:semiHidden/>
    <w:rsid w:val="00437D29"/>
    <w:rPr>
      <w:rFonts w:cs="Times New Roman (Body CS)"/>
      <w:caps/>
      <w:color w:val="82887E" w:themeColor="accent6"/>
      <w:sz w:val="12"/>
      <w:lang w:val="en-US"/>
    </w:rPr>
  </w:style>
  <w:style w:type="paragraph" w:styleId="Footer">
    <w:name w:val="footer"/>
    <w:basedOn w:val="Normal"/>
    <w:link w:val="FooterChar"/>
    <w:uiPriority w:val="99"/>
    <w:rsid w:val="00735812"/>
    <w:pPr>
      <w:tabs>
        <w:tab w:val="left" w:pos="3686"/>
        <w:tab w:val="left" w:pos="5432"/>
        <w:tab w:val="right" w:pos="9923"/>
      </w:tabs>
      <w:spacing w:after="0"/>
      <w:ind w:left="1627"/>
      <w:contextualSpacing/>
    </w:pPr>
    <w:rPr>
      <w:rFonts w:eastAsiaTheme="minorHAnsi" w:cs="Times New Roman (Body CS)"/>
      <w:color w:val="82887E" w:themeColor="accent6"/>
      <w:spacing w:val="6"/>
      <w:kern w:val="2"/>
      <w:sz w:val="12"/>
      <w:lang w:eastAsia="en-US"/>
      <w14:ligatures w14:val="standardContextual"/>
    </w:rPr>
  </w:style>
  <w:style w:type="character" w:customStyle="1" w:styleId="FooterChar">
    <w:name w:val="Footer Char"/>
    <w:basedOn w:val="DefaultParagraphFont"/>
    <w:link w:val="Footer"/>
    <w:uiPriority w:val="99"/>
    <w:rsid w:val="00735812"/>
    <w:rPr>
      <w:rFonts w:cs="Times New Roman (Body CS)"/>
      <w:color w:val="82887E" w:themeColor="accent6"/>
      <w:spacing w:val="6"/>
      <w:sz w:val="12"/>
      <w:lang w:val="en-US"/>
    </w:rPr>
  </w:style>
  <w:style w:type="character" w:styleId="PageNumber">
    <w:name w:val="page number"/>
    <w:basedOn w:val="DefaultParagraphFont"/>
    <w:uiPriority w:val="99"/>
    <w:semiHidden/>
    <w:rsid w:val="00C2537D"/>
    <w:rPr>
      <w:rFonts w:asciiTheme="minorHAnsi" w:hAnsiTheme="minorHAnsi"/>
      <w:color w:val="82887E" w:themeColor="accent6"/>
      <w:sz w:val="12"/>
    </w:rPr>
  </w:style>
  <w:style w:type="table" w:styleId="TableGrid">
    <w:name w:val="Table Grid"/>
    <w:basedOn w:val="TableNormal"/>
    <w:uiPriority w:val="39"/>
    <w:rsid w:val="00426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2E5EE0"/>
    <w:rPr>
      <w:rFonts w:ascii="Calibri" w:hAnsi="Calibri" w:cs="Times New Roman (Body CS)"/>
      <w:b/>
      <w:caps/>
      <w:color w:val="1F893E" w:themeColor="accent2" w:themeTint="BF"/>
      <w:sz w:val="26"/>
      <w:lang w:val="en-US"/>
    </w:rPr>
  </w:style>
  <w:style w:type="paragraph" w:customStyle="1" w:styleId="Name">
    <w:name w:val="Name"/>
    <w:basedOn w:val="Normal"/>
    <w:uiPriority w:val="10"/>
    <w:semiHidden/>
    <w:qFormat/>
    <w:rsid w:val="00BE189C"/>
    <w:pPr>
      <w:framePr w:hSpace="181" w:wrap="around" w:vAnchor="page" w:hAnchor="page" w:x="568" w:y="3346"/>
      <w:spacing w:after="0"/>
      <w:suppressOverlap/>
    </w:pPr>
    <w:rPr>
      <w:b/>
    </w:rPr>
  </w:style>
  <w:style w:type="paragraph" w:customStyle="1" w:styleId="Address">
    <w:name w:val="Address"/>
    <w:basedOn w:val="Normal"/>
    <w:uiPriority w:val="11"/>
    <w:semiHidden/>
    <w:qFormat/>
    <w:rsid w:val="00BE189C"/>
    <w:pPr>
      <w:spacing w:after="0"/>
    </w:pPr>
  </w:style>
  <w:style w:type="character" w:customStyle="1" w:styleId="Heading2Char">
    <w:name w:val="Heading 2 Char"/>
    <w:basedOn w:val="DefaultParagraphFont"/>
    <w:link w:val="Heading2"/>
    <w:uiPriority w:val="1"/>
    <w:rsid w:val="002E5EE0"/>
    <w:rPr>
      <w:rFonts w:ascii="Calibri" w:hAnsi="Calibri" w:cs="Times New Roman (Body CS)"/>
      <w:caps/>
      <w:color w:val="1F893E" w:themeColor="accent2" w:themeTint="BF"/>
      <w:lang w:val="en-US"/>
    </w:rPr>
  </w:style>
  <w:style w:type="paragraph" w:styleId="Date">
    <w:name w:val="Date"/>
    <w:basedOn w:val="CoverSubheading"/>
    <w:next w:val="Normal"/>
    <w:link w:val="DateChar"/>
    <w:uiPriority w:val="10"/>
    <w:semiHidden/>
    <w:rsid w:val="00AE178C"/>
    <w:pPr>
      <w:framePr w:wrap="around" w:y="4463"/>
    </w:pPr>
  </w:style>
  <w:style w:type="character" w:customStyle="1" w:styleId="DateChar">
    <w:name w:val="Date Char"/>
    <w:basedOn w:val="DefaultParagraphFont"/>
    <w:link w:val="Date"/>
    <w:uiPriority w:val="10"/>
    <w:semiHidden/>
    <w:rsid w:val="001167A9"/>
    <w:rPr>
      <w:rFonts w:asciiTheme="majorHAnsi" w:hAnsiTheme="majorHAnsi"/>
      <w:sz w:val="18"/>
      <w:szCs w:val="16"/>
    </w:rPr>
  </w:style>
  <w:style w:type="paragraph" w:customStyle="1" w:styleId="Recipient">
    <w:name w:val="Recipient"/>
    <w:basedOn w:val="Normal"/>
    <w:uiPriority w:val="5"/>
    <w:semiHidden/>
    <w:qFormat/>
    <w:rsid w:val="00082B23"/>
    <w:pPr>
      <w:spacing w:after="0"/>
    </w:pPr>
    <w:rPr>
      <w:rFonts w:cs="Times New Roman (Body CS)"/>
      <w:spacing w:val="4"/>
    </w:rPr>
  </w:style>
  <w:style w:type="paragraph" w:customStyle="1" w:styleId="Reference">
    <w:name w:val="Reference"/>
    <w:basedOn w:val="CoverSubheading"/>
    <w:uiPriority w:val="9"/>
    <w:semiHidden/>
    <w:qFormat/>
    <w:rsid w:val="00AE178C"/>
    <w:pPr>
      <w:framePr w:wrap="around" w:y="4463"/>
    </w:pPr>
  </w:style>
  <w:style w:type="paragraph" w:styleId="HTMLAddress">
    <w:name w:val="HTML Address"/>
    <w:basedOn w:val="Normal"/>
    <w:link w:val="HTMLAddressChar"/>
    <w:uiPriority w:val="99"/>
    <w:semiHidden/>
    <w:rsid w:val="0066798D"/>
    <w:pPr>
      <w:spacing w:after="0"/>
    </w:pPr>
    <w:rPr>
      <w:rFonts w:eastAsiaTheme="minorHAnsi"/>
      <w:i/>
      <w:iCs/>
      <w:kern w:val="2"/>
      <w:lang w:eastAsia="en-US"/>
      <w14:ligatures w14:val="standardContextual"/>
    </w:rPr>
  </w:style>
  <w:style w:type="character" w:customStyle="1" w:styleId="HTMLAddressChar">
    <w:name w:val="HTML Address Char"/>
    <w:basedOn w:val="DefaultParagraphFont"/>
    <w:link w:val="HTMLAddress"/>
    <w:uiPriority w:val="99"/>
    <w:semiHidden/>
    <w:rsid w:val="0042629B"/>
    <w:rPr>
      <w:i/>
      <w:iCs/>
      <w:sz w:val="20"/>
      <w:lang w:val="en-US"/>
    </w:rPr>
  </w:style>
  <w:style w:type="paragraph" w:styleId="EndnoteText">
    <w:name w:val="endnote text"/>
    <w:basedOn w:val="Normal"/>
    <w:link w:val="EndnoteTextChar"/>
    <w:uiPriority w:val="99"/>
    <w:semiHidden/>
    <w:rsid w:val="0066798D"/>
    <w:pPr>
      <w:spacing w:after="0"/>
    </w:pPr>
    <w:rPr>
      <w:rFonts w:eastAsiaTheme="minorHAnsi"/>
      <w:kern w:val="2"/>
      <w:szCs w:val="20"/>
      <w:lang w:eastAsia="en-US"/>
      <w14:ligatures w14:val="standardContextual"/>
    </w:rPr>
  </w:style>
  <w:style w:type="character" w:customStyle="1" w:styleId="EndnoteTextChar">
    <w:name w:val="Endnote Text Char"/>
    <w:basedOn w:val="DefaultParagraphFont"/>
    <w:link w:val="EndnoteText"/>
    <w:uiPriority w:val="99"/>
    <w:semiHidden/>
    <w:rsid w:val="0042629B"/>
    <w:rPr>
      <w:sz w:val="20"/>
      <w:szCs w:val="20"/>
      <w:lang w:val="en-US"/>
    </w:rPr>
  </w:style>
  <w:style w:type="paragraph" w:styleId="Title">
    <w:name w:val="Title"/>
    <w:basedOn w:val="BodyText"/>
    <w:next w:val="BodyText"/>
    <w:link w:val="TitleChar"/>
    <w:uiPriority w:val="10"/>
    <w:qFormat/>
    <w:rsid w:val="004A5CE3"/>
    <w:pPr>
      <w:spacing w:after="0" w:line="240" w:lineRule="auto"/>
    </w:pPr>
    <w:rPr>
      <w:rFonts w:ascii="Cambria" w:hAnsi="Cambria"/>
      <w:bCs/>
      <w:sz w:val="72"/>
      <w:szCs w:val="36"/>
    </w:rPr>
  </w:style>
  <w:style w:type="character" w:customStyle="1" w:styleId="TitleChar">
    <w:name w:val="Title Char"/>
    <w:basedOn w:val="DefaultParagraphFont"/>
    <w:link w:val="Title"/>
    <w:uiPriority w:val="10"/>
    <w:rsid w:val="001167A9"/>
    <w:rPr>
      <w:rFonts w:ascii="Cambria" w:hAnsi="Cambria"/>
      <w:bCs/>
      <w:sz w:val="72"/>
      <w:szCs w:val="36"/>
      <w:lang w:val="en-US"/>
    </w:rPr>
  </w:style>
  <w:style w:type="character" w:customStyle="1" w:styleId="Heading4Char">
    <w:name w:val="Heading 4 Char"/>
    <w:basedOn w:val="DefaultParagraphFont"/>
    <w:link w:val="Heading4"/>
    <w:uiPriority w:val="1"/>
    <w:rsid w:val="00F521D5"/>
    <w:rPr>
      <w:rFonts w:ascii="Calibri" w:hAnsi="Calibri" w:cs="Times New Roman (Body CS)"/>
      <w:i/>
      <w:color w:val="1F893E" w:themeColor="accent2" w:themeTint="BF"/>
      <w:sz w:val="22"/>
      <w:lang w:val="en-US"/>
    </w:rPr>
  </w:style>
  <w:style w:type="paragraph" w:customStyle="1" w:styleId="Introduction">
    <w:name w:val="Introduction"/>
    <w:basedOn w:val="Normal"/>
    <w:uiPriority w:val="11"/>
    <w:semiHidden/>
    <w:qFormat/>
    <w:rsid w:val="003D34C1"/>
    <w:pPr>
      <w:spacing w:before="90" w:after="0" w:line="274" w:lineRule="auto"/>
    </w:pPr>
    <w:rPr>
      <w:rFonts w:eastAsiaTheme="minorHAnsi"/>
      <w:kern w:val="2"/>
      <w:sz w:val="28"/>
      <w:szCs w:val="28"/>
      <w:lang w:eastAsia="en-US"/>
      <w14:ligatures w14:val="standardContextual"/>
    </w:rPr>
  </w:style>
  <w:style w:type="character" w:customStyle="1" w:styleId="Heading8Char">
    <w:name w:val="Heading 8 Char"/>
    <w:basedOn w:val="DefaultParagraphFont"/>
    <w:link w:val="Heading8"/>
    <w:uiPriority w:val="9"/>
    <w:rsid w:val="001167A9"/>
    <w:rPr>
      <w:i/>
      <w:iCs/>
      <w:sz w:val="18"/>
    </w:rPr>
  </w:style>
  <w:style w:type="paragraph" w:customStyle="1" w:styleId="BasicParagraph">
    <w:name w:val="[Basic Paragraph]"/>
    <w:basedOn w:val="Normal"/>
    <w:uiPriority w:val="99"/>
    <w:semiHidden/>
    <w:rsid w:val="003D34C1"/>
    <w:pPr>
      <w:autoSpaceDE w:val="0"/>
      <w:autoSpaceDN w:val="0"/>
      <w:adjustRightInd w:val="0"/>
      <w:spacing w:after="0" w:line="288" w:lineRule="auto"/>
      <w:textAlignment w:val="center"/>
    </w:pPr>
    <w:rPr>
      <w:rFonts w:ascii="MinionPro-Regular" w:eastAsiaTheme="minorHAnsi" w:hAnsi="MinionPro-Regular" w:cs="MinionPro-Regular"/>
      <w:color w:val="000000"/>
      <w:lang w:eastAsia="en-US"/>
      <w14:ligatures w14:val="standardContextual"/>
    </w:rPr>
  </w:style>
  <w:style w:type="paragraph" w:styleId="NoSpacing">
    <w:name w:val="No Spacing"/>
    <w:basedOn w:val="BodyText"/>
    <w:uiPriority w:val="9"/>
    <w:semiHidden/>
    <w:qFormat/>
    <w:rsid w:val="00AE178C"/>
    <w:pPr>
      <w:spacing w:after="0"/>
    </w:pPr>
  </w:style>
  <w:style w:type="character" w:customStyle="1" w:styleId="Heading5Char">
    <w:name w:val="Heading 5 Char"/>
    <w:basedOn w:val="DefaultParagraphFont"/>
    <w:link w:val="Heading5"/>
    <w:uiPriority w:val="1"/>
    <w:rsid w:val="003C481B"/>
    <w:rPr>
      <w:rFonts w:ascii="Calibri" w:hAnsi="Calibri"/>
      <w:iCs/>
      <w:caps/>
      <w:sz w:val="22"/>
    </w:rPr>
  </w:style>
  <w:style w:type="paragraph" w:customStyle="1" w:styleId="CoverHeading">
    <w:name w:val="Cover Heading"/>
    <w:link w:val="CoverHeadingChar"/>
    <w:uiPriority w:val="4"/>
    <w:qFormat/>
    <w:rsid w:val="00B71C74"/>
    <w:rPr>
      <w:rFonts w:asciiTheme="majorHAnsi" w:hAnsiTheme="majorHAnsi" w:cs="Times New Roman (Body CS)"/>
      <w:caps/>
      <w:color w:val="018219" w:themeColor="accent1"/>
      <w:sz w:val="18"/>
    </w:rPr>
  </w:style>
  <w:style w:type="character" w:customStyle="1" w:styleId="CoverHeadingChar">
    <w:name w:val="Cover Heading Char"/>
    <w:basedOn w:val="Heading1Char"/>
    <w:link w:val="CoverHeading"/>
    <w:uiPriority w:val="4"/>
    <w:rsid w:val="001167A9"/>
    <w:rPr>
      <w:rFonts w:asciiTheme="majorHAnsi" w:hAnsiTheme="majorHAnsi" w:cs="Times New Roman (Body CS)"/>
      <w:b/>
      <w:caps/>
      <w:color w:val="018219" w:themeColor="accent1"/>
      <w:spacing w:val="8"/>
      <w:sz w:val="18"/>
      <w:lang w:val="en-US"/>
    </w:rPr>
  </w:style>
  <w:style w:type="paragraph" w:customStyle="1" w:styleId="Bullet">
    <w:name w:val="Bullet"/>
    <w:basedOn w:val="Normal"/>
    <w:qFormat/>
    <w:rsid w:val="00B83B84"/>
    <w:pPr>
      <w:numPr>
        <w:numId w:val="16"/>
      </w:numPr>
      <w:spacing w:before="60" w:line="300" w:lineRule="auto"/>
    </w:pPr>
    <w:rPr>
      <w:rFonts w:eastAsiaTheme="minorHAnsi"/>
      <w:kern w:val="2"/>
      <w:lang w:eastAsia="en-US"/>
      <w14:ligatures w14:val="standardContextual"/>
    </w:rPr>
  </w:style>
  <w:style w:type="paragraph" w:styleId="Caption">
    <w:name w:val="caption"/>
    <w:basedOn w:val="Normal"/>
    <w:next w:val="Normal"/>
    <w:uiPriority w:val="35"/>
    <w:qFormat/>
    <w:rsid w:val="0019604C"/>
    <w:pPr>
      <w:keepNext/>
      <w:tabs>
        <w:tab w:val="left" w:pos="1191"/>
      </w:tabs>
      <w:spacing w:before="40"/>
    </w:pPr>
    <w:rPr>
      <w:rFonts w:asciiTheme="majorHAnsi" w:eastAsiaTheme="minorHAnsi" w:hAnsiTheme="majorHAnsi" w:cs="Times New Roman (Body CS)"/>
      <w:caps/>
      <w:color w:val="018219" w:themeColor="accent1"/>
      <w:spacing w:val="4"/>
      <w:kern w:val="2"/>
      <w:szCs w:val="16"/>
      <w:lang w:eastAsia="en-US"/>
      <w14:ligatures w14:val="standardContextual"/>
    </w:rPr>
  </w:style>
  <w:style w:type="paragraph" w:styleId="Subtitle">
    <w:name w:val="Subtitle"/>
    <w:next w:val="BodyText"/>
    <w:link w:val="SubtitleChar"/>
    <w:uiPriority w:val="11"/>
    <w:qFormat/>
    <w:rsid w:val="0069179E"/>
    <w:rPr>
      <w:rFonts w:ascii="Cambria" w:hAnsi="Cambria" w:cs="Times New Roman (Body CS)"/>
      <w:sz w:val="36"/>
    </w:rPr>
  </w:style>
  <w:style w:type="character" w:customStyle="1" w:styleId="SubtitleChar">
    <w:name w:val="Subtitle Char"/>
    <w:basedOn w:val="DefaultParagraphFont"/>
    <w:link w:val="Subtitle"/>
    <w:uiPriority w:val="11"/>
    <w:rsid w:val="001167A9"/>
    <w:rPr>
      <w:rFonts w:ascii="Cambria" w:hAnsi="Cambria" w:cs="Times New Roman (Body CS)"/>
      <w:sz w:val="36"/>
    </w:rPr>
  </w:style>
  <w:style w:type="paragraph" w:customStyle="1" w:styleId="CoverSubheading">
    <w:name w:val="Cover Subheading"/>
    <w:uiPriority w:val="4"/>
    <w:qFormat/>
    <w:rsid w:val="00BC55B1"/>
    <w:pPr>
      <w:framePr w:hSpace="181" w:wrap="around" w:vAnchor="page" w:hAnchor="page" w:x="8931" w:y="5767"/>
      <w:spacing w:line="276" w:lineRule="auto"/>
      <w:suppressOverlap/>
    </w:pPr>
    <w:rPr>
      <w:rFonts w:asciiTheme="majorHAnsi" w:hAnsiTheme="majorHAnsi"/>
      <w:sz w:val="18"/>
      <w:szCs w:val="16"/>
    </w:rPr>
  </w:style>
  <w:style w:type="paragraph" w:customStyle="1" w:styleId="Addressdetails">
    <w:name w:val="Address details"/>
    <w:basedOn w:val="BodyText"/>
    <w:uiPriority w:val="5"/>
    <w:qFormat/>
    <w:rsid w:val="00685D1C"/>
    <w:pPr>
      <w:spacing w:after="0"/>
    </w:pPr>
  </w:style>
  <w:style w:type="paragraph" w:styleId="TOC1">
    <w:name w:val="toc 1"/>
    <w:basedOn w:val="Normal"/>
    <w:next w:val="Normal"/>
    <w:autoRedefine/>
    <w:uiPriority w:val="39"/>
    <w:rsid w:val="00FE7A13"/>
    <w:pPr>
      <w:pBdr>
        <w:top w:val="single" w:sz="4" w:space="5" w:color="D2DED3"/>
        <w:bottom w:val="single" w:sz="4" w:space="5" w:color="D2DED3"/>
        <w:between w:val="single" w:sz="4" w:space="5" w:color="FFFFFF" w:themeColor="background1"/>
      </w:pBdr>
      <w:shd w:val="clear" w:color="auto" w:fill="D2DED3"/>
      <w:tabs>
        <w:tab w:val="right" w:pos="10535"/>
      </w:tabs>
      <w:spacing w:before="120" w:after="0"/>
      <w:ind w:left="567" w:hanging="567"/>
    </w:pPr>
    <w:rPr>
      <w:rFonts w:asciiTheme="majorHAnsi" w:eastAsiaTheme="minorHAnsi" w:hAnsiTheme="majorHAnsi" w:cs="Times New Roman (Body CS)"/>
      <w:caps/>
      <w:noProof/>
      <w:spacing w:val="8"/>
      <w:kern w:val="2"/>
      <w:lang w:eastAsia="en-US"/>
      <w14:ligatures w14:val="standardContextual"/>
    </w:rPr>
  </w:style>
  <w:style w:type="paragraph" w:styleId="TOC2">
    <w:name w:val="toc 2"/>
    <w:basedOn w:val="TOC1"/>
    <w:next w:val="Normal"/>
    <w:autoRedefine/>
    <w:uiPriority w:val="39"/>
    <w:rsid w:val="0044015C"/>
    <w:pPr>
      <w:pBdr>
        <w:top w:val="none" w:sz="0" w:space="0" w:color="auto"/>
        <w:bottom w:val="single" w:sz="4" w:space="4" w:color="B7B2AA" w:themeColor="accent5"/>
        <w:between w:val="single" w:sz="4" w:space="4" w:color="B7B2AA" w:themeColor="accent5"/>
      </w:pBdr>
      <w:shd w:val="clear" w:color="auto" w:fill="auto"/>
      <w:spacing w:before="0"/>
    </w:pPr>
  </w:style>
  <w:style w:type="paragraph" w:styleId="TOCHeading">
    <w:name w:val="TOC Heading"/>
    <w:next w:val="Normal"/>
    <w:uiPriority w:val="39"/>
    <w:semiHidden/>
    <w:qFormat/>
    <w:rsid w:val="00F52335"/>
    <w:pPr>
      <w:spacing w:after="280"/>
    </w:pPr>
    <w:rPr>
      <w:rFonts w:ascii="Verdana" w:hAnsi="Verdana" w:cs="Times New Roman (Body CS)"/>
      <w:caps/>
      <w:color w:val="018219" w:themeColor="accent1"/>
      <w:spacing w:val="8"/>
    </w:rPr>
  </w:style>
  <w:style w:type="paragraph" w:styleId="ListParagraph">
    <w:name w:val="List Paragraph"/>
    <w:basedOn w:val="Normal"/>
    <w:uiPriority w:val="34"/>
    <w:semiHidden/>
    <w:qFormat/>
    <w:rsid w:val="00B770B9"/>
    <w:pPr>
      <w:spacing w:after="130" w:line="300" w:lineRule="auto"/>
      <w:ind w:left="720"/>
      <w:contextualSpacing/>
    </w:pPr>
    <w:rPr>
      <w:rFonts w:eastAsiaTheme="minorHAnsi"/>
      <w:kern w:val="2"/>
      <w:lang w:eastAsia="en-US"/>
      <w14:ligatures w14:val="standardContextual"/>
    </w:rPr>
  </w:style>
  <w:style w:type="table" w:customStyle="1" w:styleId="ERMTable1">
    <w:name w:val="ERM Table 1"/>
    <w:basedOn w:val="TableNormal"/>
    <w:uiPriority w:val="99"/>
    <w:rsid w:val="00DE7E4F"/>
    <w:rPr>
      <w:sz w:val="16"/>
    </w:rPr>
    <w:tblPr>
      <w:tblStyleRowBandSize w:val="1"/>
      <w:tblStyleColBandSize w:val="1"/>
      <w:tblBorders>
        <w:bottom w:val="single" w:sz="4" w:space="0" w:color="B7B2AA" w:themeColor="accent5"/>
        <w:insideH w:val="single" w:sz="4" w:space="0" w:color="B7B2AA" w:themeColor="accent5"/>
        <w:insideV w:val="single" w:sz="4" w:space="0" w:color="B7B2AA" w:themeColor="accent5"/>
      </w:tblBorders>
      <w:tblCellMar>
        <w:top w:w="85" w:type="dxa"/>
        <w:bottom w:w="85" w:type="dxa"/>
      </w:tblCellMar>
    </w:tblPr>
    <w:tblStylePr w:type="firstRow">
      <w:rPr>
        <w:b/>
      </w:rPr>
      <w:tblPr/>
      <w:tcPr>
        <w:tcBorders>
          <w:top w:val="nil"/>
          <w:left w:val="nil"/>
          <w:bottom w:val="single" w:sz="4" w:space="0" w:color="B7B2AA" w:themeColor="accent5"/>
          <w:right w:val="nil"/>
          <w:insideH w:val="nil"/>
          <w:insideV w:val="single" w:sz="4" w:space="0" w:color="B7B2AA" w:themeColor="accent5"/>
          <w:tl2br w:val="nil"/>
          <w:tr2bl w:val="nil"/>
        </w:tcBorders>
        <w:shd w:val="clear" w:color="auto" w:fill="D2DED3"/>
      </w:tcPr>
    </w:tblStylePr>
    <w:tblStylePr w:type="lastRow">
      <w:rPr>
        <w:b w:val="0"/>
      </w:rPr>
    </w:tblStylePr>
    <w:tblStylePr w:type="firstCol">
      <w:rPr>
        <w:b w:val="0"/>
        <w:caps w:val="0"/>
        <w:smallCaps w:val="0"/>
      </w:rPr>
    </w:tblStylePr>
    <w:tblStylePr w:type="band1Vert">
      <w:tblPr/>
      <w:tcPr>
        <w:tcBorders>
          <w:left w:val="nil"/>
          <w:right w:val="nil"/>
          <w:insideV w:val="nil"/>
        </w:tcBorders>
      </w:tcPr>
    </w:tblStylePr>
    <w:tblStylePr w:type="band2Vert">
      <w:tblPr/>
      <w:tcPr>
        <w:tcBorders>
          <w:left w:val="nil"/>
          <w:right w:val="nil"/>
          <w:insideV w:val="nil"/>
        </w:tcBorders>
      </w:tcPr>
    </w:tblStylePr>
    <w:tblStylePr w:type="band1Horz">
      <w:tblPr/>
      <w:tcPr>
        <w:tcBorders>
          <w:top w:val="nil"/>
          <w:left w:val="nil"/>
          <w:bottom w:val="single" w:sz="4" w:space="0" w:color="B7B2AA" w:themeColor="accent5"/>
          <w:right w:val="nil"/>
        </w:tcBorders>
      </w:tcPr>
    </w:tblStylePr>
  </w:style>
  <w:style w:type="paragraph" w:customStyle="1" w:styleId="Line">
    <w:name w:val="Line"/>
    <w:basedOn w:val="Normal"/>
    <w:uiPriority w:val="6"/>
    <w:semiHidden/>
    <w:qFormat/>
    <w:rsid w:val="00C2537D"/>
    <w:pPr>
      <w:pBdr>
        <w:top w:val="single" w:sz="4" w:space="1" w:color="82887E" w:themeColor="accent6"/>
      </w:pBdr>
      <w:spacing w:before="160" w:after="0" w:line="293" w:lineRule="auto"/>
    </w:pPr>
    <w:rPr>
      <w:sz w:val="12"/>
      <w:szCs w:val="12"/>
    </w:rPr>
  </w:style>
  <w:style w:type="paragraph" w:customStyle="1" w:styleId="ListNumberAlpha">
    <w:name w:val="List Number Alpha"/>
    <w:basedOn w:val="Normal"/>
    <w:link w:val="ListNumberAlphaChar"/>
    <w:uiPriority w:val="9"/>
    <w:semiHidden/>
    <w:qFormat/>
    <w:rsid w:val="00A10B48"/>
    <w:pPr>
      <w:numPr>
        <w:ilvl w:val="7"/>
        <w:numId w:val="20"/>
      </w:numPr>
      <w:tabs>
        <w:tab w:val="clear" w:pos="720"/>
        <w:tab w:val="num" w:pos="360"/>
      </w:tabs>
      <w:spacing w:before="60"/>
      <w:ind w:left="0" w:firstLine="0"/>
    </w:pPr>
  </w:style>
  <w:style w:type="character" w:customStyle="1" w:styleId="Heading3Char">
    <w:name w:val="Heading 3 Char"/>
    <w:basedOn w:val="DefaultParagraphFont"/>
    <w:link w:val="Heading3"/>
    <w:uiPriority w:val="1"/>
    <w:rsid w:val="00640CFD"/>
    <w:rPr>
      <w:rFonts w:ascii="Calibri" w:hAnsi="Calibri" w:cs="Times New Roman (Body CS)"/>
      <w:color w:val="1F893E" w:themeColor="accent2" w:themeTint="BF"/>
      <w:sz w:val="22"/>
      <w:u w:val="single"/>
      <w:lang w:val="en-US"/>
    </w:rPr>
  </w:style>
  <w:style w:type="paragraph" w:customStyle="1" w:styleId="NumberedText">
    <w:name w:val="Numbered Text"/>
    <w:qFormat/>
    <w:rsid w:val="00E35B0D"/>
    <w:pPr>
      <w:numPr>
        <w:numId w:val="12"/>
      </w:numPr>
      <w:spacing w:before="60" w:after="60" w:line="300" w:lineRule="auto"/>
    </w:pPr>
    <w:rPr>
      <w:rFonts w:cs="Times New Roman (Body CS)"/>
      <w:color w:val="1C1C1C" w:themeColor="text1"/>
      <w:sz w:val="20"/>
    </w:rPr>
  </w:style>
  <w:style w:type="paragraph" w:styleId="Index1">
    <w:name w:val="index 1"/>
    <w:basedOn w:val="Normal"/>
    <w:next w:val="Normal"/>
    <w:autoRedefine/>
    <w:uiPriority w:val="99"/>
    <w:semiHidden/>
    <w:rsid w:val="002C0F0C"/>
    <w:pPr>
      <w:spacing w:after="0"/>
      <w:ind w:left="180" w:hanging="180"/>
    </w:pPr>
    <w:rPr>
      <w:rFonts w:eastAsiaTheme="minorHAnsi"/>
      <w:kern w:val="2"/>
      <w:lang w:eastAsia="en-US"/>
      <w14:ligatures w14:val="standardContextual"/>
    </w:rPr>
  </w:style>
  <w:style w:type="paragraph" w:styleId="IndexHeading">
    <w:name w:val="index heading"/>
    <w:basedOn w:val="Normal"/>
    <w:next w:val="Index1"/>
    <w:uiPriority w:val="99"/>
    <w:semiHidden/>
    <w:rsid w:val="00351B3E"/>
    <w:pPr>
      <w:spacing w:after="0"/>
    </w:pPr>
    <w:rPr>
      <w:rFonts w:asciiTheme="majorHAnsi" w:eastAsiaTheme="majorEastAsia" w:hAnsiTheme="majorHAnsi" w:cstheme="majorBidi"/>
      <w:b/>
      <w:bCs/>
      <w:caps/>
      <w:spacing w:val="8"/>
      <w:kern w:val="2"/>
      <w:lang w:val="en-GB" w:eastAsia="en-US"/>
      <w14:ligatures w14:val="standardContextual"/>
    </w:rPr>
  </w:style>
  <w:style w:type="paragraph" w:styleId="TableofFigures">
    <w:name w:val="table of figures"/>
    <w:basedOn w:val="TOC2"/>
    <w:next w:val="Normal"/>
    <w:uiPriority w:val="99"/>
    <w:rsid w:val="00770BDE"/>
    <w:pPr>
      <w:keepNext/>
      <w:tabs>
        <w:tab w:val="left" w:pos="1871"/>
      </w:tabs>
      <w:ind w:left="1418" w:hanging="1418"/>
    </w:pPr>
    <w:rPr>
      <w:spacing w:val="6"/>
    </w:rPr>
  </w:style>
  <w:style w:type="paragraph" w:styleId="TableofAuthorities">
    <w:name w:val="table of authorities"/>
    <w:basedOn w:val="Normal"/>
    <w:next w:val="Normal"/>
    <w:uiPriority w:val="99"/>
    <w:semiHidden/>
    <w:rsid w:val="002C0F0C"/>
    <w:pPr>
      <w:spacing w:after="0" w:line="300" w:lineRule="auto"/>
      <w:ind w:left="180" w:hanging="180"/>
    </w:pPr>
    <w:rPr>
      <w:rFonts w:ascii="Verdana" w:eastAsiaTheme="minorHAnsi" w:hAnsi="Verdana"/>
      <w:spacing w:val="6"/>
      <w:kern w:val="2"/>
      <w:sz w:val="16"/>
      <w:lang w:eastAsia="en-US"/>
      <w14:ligatures w14:val="standardContextual"/>
    </w:rPr>
  </w:style>
  <w:style w:type="paragraph" w:customStyle="1" w:styleId="AppendixContentsList">
    <w:name w:val="Appendix Contents List"/>
    <w:uiPriority w:val="20"/>
    <w:semiHidden/>
    <w:qFormat/>
    <w:rsid w:val="00245E4A"/>
    <w:pPr>
      <w:tabs>
        <w:tab w:val="left" w:pos="1418"/>
      </w:tabs>
      <w:spacing w:after="125"/>
    </w:pPr>
    <w:rPr>
      <w:rFonts w:ascii="Verdana" w:hAnsi="Verdana"/>
      <w:caps/>
      <w:spacing w:val="8"/>
      <w:sz w:val="20"/>
      <w:szCs w:val="16"/>
    </w:rPr>
  </w:style>
  <w:style w:type="paragraph" w:styleId="TOC3">
    <w:name w:val="toc 3"/>
    <w:basedOn w:val="AppendixContentsList"/>
    <w:next w:val="Normal"/>
    <w:autoRedefine/>
    <w:uiPriority w:val="39"/>
    <w:rsid w:val="0044015C"/>
    <w:pPr>
      <w:tabs>
        <w:tab w:val="clear" w:pos="1418"/>
        <w:tab w:val="right" w:pos="10535"/>
      </w:tabs>
      <w:spacing w:before="60" w:after="60"/>
      <w:ind w:left="1418" w:hanging="851"/>
      <w:contextualSpacing/>
    </w:pPr>
    <w:rPr>
      <w:rFonts w:asciiTheme="minorHAnsi" w:hAnsiTheme="minorHAnsi" w:cs="Times New Roman (Body CS)"/>
      <w:caps w:val="0"/>
      <w:noProof/>
      <w:spacing w:val="0"/>
      <w:sz w:val="18"/>
    </w:rPr>
  </w:style>
  <w:style w:type="paragraph" w:customStyle="1" w:styleId="Documenttitle">
    <w:name w:val="Document title"/>
    <w:basedOn w:val="Normal"/>
    <w:uiPriority w:val="10"/>
    <w:semiHidden/>
    <w:qFormat/>
    <w:rsid w:val="00082B23"/>
    <w:pPr>
      <w:spacing w:after="0"/>
    </w:pPr>
    <w:rPr>
      <w:rFonts w:cs="Times New Roman (Body CS)"/>
      <w:spacing w:val="4"/>
    </w:rPr>
  </w:style>
  <w:style w:type="paragraph" w:customStyle="1" w:styleId="Version">
    <w:name w:val="Version"/>
    <w:basedOn w:val="Normal"/>
    <w:uiPriority w:val="9"/>
    <w:semiHidden/>
    <w:qFormat/>
    <w:rsid w:val="00082B23"/>
    <w:pPr>
      <w:spacing w:after="0"/>
    </w:pPr>
    <w:rPr>
      <w:rFonts w:cs="Times New Roman (Body CS)"/>
      <w:spacing w:val="4"/>
    </w:rPr>
  </w:style>
  <w:style w:type="paragraph" w:customStyle="1" w:styleId="DocumentSubtitle">
    <w:name w:val="Document Subtitle"/>
    <w:basedOn w:val="Normal"/>
    <w:uiPriority w:val="11"/>
    <w:semiHidden/>
    <w:qFormat/>
    <w:rsid w:val="00082B23"/>
    <w:pPr>
      <w:spacing w:after="0"/>
    </w:pPr>
    <w:rPr>
      <w:rFonts w:cs="Times New Roman (Body CS)"/>
      <w:spacing w:val="4"/>
    </w:rPr>
  </w:style>
  <w:style w:type="character" w:styleId="Hyperlink">
    <w:name w:val="Hyperlink"/>
    <w:basedOn w:val="DefaultParagraphFont"/>
    <w:uiPriority w:val="99"/>
    <w:rsid w:val="00B21A41"/>
    <w:rPr>
      <w:color w:val="1C1C1C" w:themeColor="hyperlink"/>
      <w:u w:val="single"/>
    </w:rPr>
  </w:style>
  <w:style w:type="paragraph" w:customStyle="1" w:styleId="AppendixHeading">
    <w:name w:val="Appendix Heading"/>
    <w:next w:val="BodyText"/>
    <w:uiPriority w:val="6"/>
    <w:qFormat/>
    <w:rsid w:val="00257BA3"/>
    <w:pPr>
      <w:numPr>
        <w:numId w:val="7"/>
      </w:numPr>
      <w:spacing w:before="480" w:after="240"/>
      <w:ind w:left="2835" w:hanging="2835"/>
    </w:pPr>
    <w:rPr>
      <w:rFonts w:asciiTheme="majorHAnsi" w:hAnsiTheme="majorHAnsi" w:cs="Times New Roman (Body CS)"/>
      <w:caps/>
      <w:color w:val="018219" w:themeColor="accent1"/>
      <w:spacing w:val="6"/>
      <w:sz w:val="32"/>
    </w:rPr>
  </w:style>
  <w:style w:type="paragraph" w:styleId="BlockText">
    <w:name w:val="Block Text"/>
    <w:basedOn w:val="Normal"/>
    <w:uiPriority w:val="99"/>
    <w:semiHidden/>
    <w:qFormat/>
    <w:rsid w:val="00B629AC"/>
    <w:pPr>
      <w:pBdr>
        <w:top w:val="single" w:sz="2" w:space="10" w:color="018219" w:themeColor="accent1"/>
        <w:left w:val="single" w:sz="2" w:space="10" w:color="018219" w:themeColor="accent1"/>
        <w:bottom w:val="single" w:sz="2" w:space="10" w:color="018219" w:themeColor="accent1"/>
        <w:right w:val="single" w:sz="2" w:space="10" w:color="018219" w:themeColor="accent1"/>
      </w:pBdr>
      <w:spacing w:after="130" w:line="300" w:lineRule="auto"/>
      <w:ind w:left="1152" w:right="1152"/>
    </w:pPr>
    <w:rPr>
      <w:i/>
      <w:iCs/>
      <w:color w:val="018219" w:themeColor="accent1"/>
      <w:kern w:val="2"/>
      <w:lang w:eastAsia="en-US"/>
      <w14:ligatures w14:val="standardContextual"/>
    </w:rPr>
  </w:style>
  <w:style w:type="character" w:customStyle="1" w:styleId="Heading6Char">
    <w:name w:val="Heading 6 Char"/>
    <w:basedOn w:val="DefaultParagraphFont"/>
    <w:link w:val="Heading6"/>
    <w:uiPriority w:val="9"/>
    <w:rsid w:val="001167A9"/>
    <w:rPr>
      <w:rFonts w:asciiTheme="majorHAnsi" w:hAnsiTheme="majorHAnsi"/>
      <w:b/>
      <w:i/>
      <w:sz w:val="20"/>
    </w:rPr>
  </w:style>
  <w:style w:type="character" w:customStyle="1" w:styleId="Heading7Char">
    <w:name w:val="Heading 7 Char"/>
    <w:basedOn w:val="DefaultParagraphFont"/>
    <w:link w:val="Heading7"/>
    <w:uiPriority w:val="9"/>
    <w:rsid w:val="009C0B38"/>
    <w:rPr>
      <w:i/>
      <w:iCs/>
      <w:sz w:val="20"/>
    </w:rPr>
  </w:style>
  <w:style w:type="paragraph" w:customStyle="1" w:styleId="ListNumberRoman">
    <w:name w:val="List Number Roman"/>
    <w:basedOn w:val="ListNumberAlpha"/>
    <w:link w:val="ListNumberRomanChar"/>
    <w:uiPriority w:val="9"/>
    <w:semiHidden/>
    <w:qFormat/>
    <w:rsid w:val="00A10B48"/>
    <w:pPr>
      <w:numPr>
        <w:ilvl w:val="8"/>
      </w:numPr>
      <w:tabs>
        <w:tab w:val="num" w:pos="360"/>
      </w:tabs>
      <w:ind w:left="1803" w:firstLine="0"/>
    </w:pPr>
  </w:style>
  <w:style w:type="character" w:customStyle="1" w:styleId="ListNumberAlphaChar">
    <w:name w:val="List Number Alpha Char"/>
    <w:basedOn w:val="DefaultParagraphFont"/>
    <w:link w:val="ListNumberAlpha"/>
    <w:uiPriority w:val="9"/>
    <w:semiHidden/>
    <w:rsid w:val="00B01CB8"/>
    <w:rPr>
      <w:rFonts w:eastAsiaTheme="minorEastAsia"/>
      <w:kern w:val="0"/>
      <w:sz w:val="20"/>
      <w:lang w:val="en-US" w:eastAsia="ja-JP"/>
      <w14:ligatures w14:val="none"/>
    </w:rPr>
  </w:style>
  <w:style w:type="character" w:customStyle="1" w:styleId="ListNumberRomanChar">
    <w:name w:val="List Number Roman Char"/>
    <w:basedOn w:val="ListNumberAlphaChar"/>
    <w:link w:val="ListNumberRoman"/>
    <w:uiPriority w:val="9"/>
    <w:semiHidden/>
    <w:rsid w:val="00B01CB8"/>
    <w:rPr>
      <w:rFonts w:eastAsiaTheme="minorEastAsia"/>
      <w:kern w:val="0"/>
      <w:sz w:val="20"/>
      <w:lang w:val="en-US" w:eastAsia="ja-JP"/>
      <w14:ligatures w14:val="none"/>
    </w:rPr>
  </w:style>
  <w:style w:type="numbering" w:customStyle="1" w:styleId="CurrentList1">
    <w:name w:val="Current List1"/>
    <w:uiPriority w:val="99"/>
    <w:rsid w:val="00F9590B"/>
    <w:pPr>
      <w:numPr>
        <w:numId w:val="2"/>
      </w:numPr>
    </w:pPr>
  </w:style>
  <w:style w:type="numbering" w:customStyle="1" w:styleId="CurrentList2">
    <w:name w:val="Current List2"/>
    <w:uiPriority w:val="99"/>
    <w:rsid w:val="00F9590B"/>
    <w:pPr>
      <w:numPr>
        <w:numId w:val="3"/>
      </w:numPr>
    </w:pPr>
  </w:style>
  <w:style w:type="numbering" w:customStyle="1" w:styleId="CurrentList3">
    <w:name w:val="Current List3"/>
    <w:uiPriority w:val="99"/>
    <w:rsid w:val="00F9590B"/>
    <w:pPr>
      <w:numPr>
        <w:numId w:val="4"/>
      </w:numPr>
    </w:pPr>
  </w:style>
  <w:style w:type="paragraph" w:styleId="BodyText">
    <w:name w:val="Body Text"/>
    <w:basedOn w:val="Normal"/>
    <w:link w:val="BodyTextChar"/>
    <w:rsid w:val="006C1EE5"/>
    <w:pPr>
      <w:spacing w:after="120" w:line="300" w:lineRule="auto"/>
    </w:pPr>
    <w:rPr>
      <w:rFonts w:eastAsiaTheme="minorHAnsi"/>
      <w:kern w:val="2"/>
      <w:lang w:eastAsia="en-US"/>
      <w14:ligatures w14:val="standardContextual"/>
    </w:rPr>
  </w:style>
  <w:style w:type="character" w:customStyle="1" w:styleId="BodyTextChar">
    <w:name w:val="Body Text Char"/>
    <w:basedOn w:val="DefaultParagraphFont"/>
    <w:link w:val="BodyText"/>
    <w:rsid w:val="006C1EE5"/>
    <w:rPr>
      <w:sz w:val="20"/>
      <w:lang w:val="en-US"/>
    </w:rPr>
  </w:style>
  <w:style w:type="paragraph" w:customStyle="1" w:styleId="TableTitle">
    <w:name w:val="Table Title"/>
    <w:basedOn w:val="Normal"/>
    <w:uiPriority w:val="2"/>
    <w:semiHidden/>
    <w:unhideWhenUsed/>
    <w:qFormat/>
    <w:rsid w:val="00B825AE"/>
    <w:pPr>
      <w:keepNext/>
      <w:tabs>
        <w:tab w:val="left" w:pos="1191"/>
      </w:tabs>
      <w:spacing w:before="240" w:after="120" w:line="300" w:lineRule="auto"/>
    </w:pPr>
    <w:rPr>
      <w:rFonts w:asciiTheme="majorHAnsi" w:eastAsiaTheme="minorHAnsi" w:hAnsiTheme="majorHAnsi" w:cs="Times New Roman (Body CS)"/>
      <w:caps/>
      <w:color w:val="018219" w:themeColor="accent1"/>
      <w:spacing w:val="4"/>
      <w:kern w:val="2"/>
      <w:szCs w:val="20"/>
      <w:lang w:val="en-GB" w:eastAsia="en-US"/>
      <w14:ligatures w14:val="standardContextual"/>
    </w:rPr>
  </w:style>
  <w:style w:type="paragraph" w:styleId="TOC4">
    <w:name w:val="toc 4"/>
    <w:basedOn w:val="TOC1"/>
    <w:next w:val="Normal"/>
    <w:autoRedefine/>
    <w:uiPriority w:val="39"/>
    <w:rsid w:val="00C94EF7"/>
    <w:pPr>
      <w:pBdr>
        <w:top w:val="none" w:sz="0" w:space="0" w:color="auto"/>
        <w:bottom w:val="none" w:sz="0" w:space="0" w:color="auto"/>
        <w:between w:val="single" w:sz="4" w:space="1" w:color="B7B2AA" w:themeColor="accent5"/>
      </w:pBdr>
      <w:shd w:val="clear" w:color="auto" w:fill="auto"/>
      <w:spacing w:before="300" w:after="60" w:line="300" w:lineRule="auto"/>
      <w:ind w:left="1418" w:hanging="1418"/>
      <w:contextualSpacing/>
    </w:pPr>
    <w:rPr>
      <w:spacing w:val="0"/>
    </w:rPr>
  </w:style>
  <w:style w:type="paragraph" w:styleId="ListNumber">
    <w:name w:val="List Number"/>
    <w:basedOn w:val="NumberedText"/>
    <w:uiPriority w:val="9"/>
    <w:semiHidden/>
    <w:rsid w:val="007C531A"/>
    <w:pPr>
      <w:numPr>
        <w:ilvl w:val="6"/>
        <w:numId w:val="20"/>
      </w:numPr>
    </w:pPr>
  </w:style>
  <w:style w:type="paragraph" w:customStyle="1" w:styleId="Subheading">
    <w:name w:val="Subheading"/>
    <w:next w:val="BodyText"/>
    <w:uiPriority w:val="5"/>
    <w:semiHidden/>
    <w:qFormat/>
    <w:rsid w:val="00591B08"/>
    <w:pPr>
      <w:keepNext/>
      <w:spacing w:before="240" w:line="300" w:lineRule="auto"/>
    </w:pPr>
    <w:rPr>
      <w:i/>
      <w:iCs/>
      <w:sz w:val="20"/>
    </w:rPr>
  </w:style>
  <w:style w:type="numbering" w:customStyle="1" w:styleId="CurrentList4">
    <w:name w:val="Current List4"/>
    <w:uiPriority w:val="99"/>
    <w:rsid w:val="00D34719"/>
    <w:pPr>
      <w:numPr>
        <w:numId w:val="8"/>
      </w:numPr>
    </w:pPr>
  </w:style>
  <w:style w:type="numbering" w:customStyle="1" w:styleId="CurrentList5">
    <w:name w:val="Current List5"/>
    <w:uiPriority w:val="99"/>
    <w:rsid w:val="00D34719"/>
    <w:pPr>
      <w:numPr>
        <w:numId w:val="9"/>
      </w:numPr>
    </w:pPr>
  </w:style>
  <w:style w:type="paragraph" w:customStyle="1" w:styleId="Figureplacement">
    <w:name w:val="Figure placement"/>
    <w:basedOn w:val="BodyText"/>
    <w:next w:val="BodyText"/>
    <w:uiPriority w:val="3"/>
    <w:rsid w:val="00422514"/>
    <w:rPr>
      <w:rFonts w:eastAsiaTheme="minorEastAsia" w:cs="Arial"/>
      <w:kern w:val="0"/>
      <w:szCs w:val="20"/>
      <w14:ligatures w14:val="none"/>
    </w:rPr>
  </w:style>
  <w:style w:type="paragraph" w:customStyle="1" w:styleId="TableandFigureSource">
    <w:name w:val="Table and Figure Source"/>
    <w:basedOn w:val="BodyText"/>
    <w:next w:val="BodyText"/>
    <w:link w:val="TableandFigureSourceChar"/>
    <w:uiPriority w:val="2"/>
    <w:rsid w:val="00807775"/>
    <w:pPr>
      <w:spacing w:before="60" w:after="0" w:line="276" w:lineRule="auto"/>
    </w:pPr>
    <w:rPr>
      <w:rFonts w:eastAsiaTheme="minorEastAsia"/>
      <w:kern w:val="0"/>
      <w:szCs w:val="20"/>
      <w14:ligatures w14:val="none"/>
    </w:rPr>
  </w:style>
  <w:style w:type="paragraph" w:customStyle="1" w:styleId="TableandFigureNote">
    <w:name w:val="Table and Figure Note"/>
    <w:basedOn w:val="TableandFigureSource"/>
    <w:next w:val="BodyText"/>
    <w:link w:val="TableandFigureNoteChar"/>
    <w:uiPriority w:val="2"/>
    <w:rsid w:val="00932B79"/>
    <w:pPr>
      <w:contextualSpacing/>
    </w:pPr>
  </w:style>
  <w:style w:type="character" w:customStyle="1" w:styleId="TableandFigureSourceChar">
    <w:name w:val="Table and Figure Source Char"/>
    <w:basedOn w:val="BodyTextChar"/>
    <w:link w:val="TableandFigureSource"/>
    <w:uiPriority w:val="2"/>
    <w:rsid w:val="00807775"/>
    <w:rPr>
      <w:rFonts w:eastAsiaTheme="minorEastAsia"/>
      <w:kern w:val="0"/>
      <w:sz w:val="18"/>
      <w:szCs w:val="20"/>
      <w:lang w:val="en-US"/>
      <w14:ligatures w14:val="none"/>
    </w:rPr>
  </w:style>
  <w:style w:type="character" w:customStyle="1" w:styleId="TableandFigureNoteChar">
    <w:name w:val="Table and Figure Note Char"/>
    <w:basedOn w:val="TableandFigureSourceChar"/>
    <w:link w:val="TableandFigureNote"/>
    <w:uiPriority w:val="2"/>
    <w:rsid w:val="00932B79"/>
    <w:rPr>
      <w:rFonts w:eastAsiaTheme="minorEastAsia"/>
      <w:kern w:val="0"/>
      <w:sz w:val="18"/>
      <w:szCs w:val="20"/>
      <w:lang w:val="en-US"/>
      <w14:ligatures w14:val="none"/>
    </w:rPr>
  </w:style>
  <w:style w:type="paragraph" w:customStyle="1" w:styleId="BlockQuote">
    <w:name w:val="Block Quote"/>
    <w:basedOn w:val="BodyText"/>
    <w:next w:val="BodyText"/>
    <w:uiPriority w:val="3"/>
    <w:qFormat/>
    <w:rsid w:val="008F7C30"/>
    <w:pPr>
      <w:spacing w:before="240" w:after="240" w:line="240" w:lineRule="auto"/>
      <w:ind w:left="794" w:right="794"/>
    </w:pPr>
  </w:style>
  <w:style w:type="numbering" w:customStyle="1" w:styleId="CurrentList6">
    <w:name w:val="Current List6"/>
    <w:uiPriority w:val="99"/>
    <w:rsid w:val="003E0F3F"/>
    <w:pPr>
      <w:numPr>
        <w:numId w:val="10"/>
      </w:numPr>
    </w:pPr>
  </w:style>
  <w:style w:type="paragraph" w:styleId="FootnoteText">
    <w:name w:val="footnote text"/>
    <w:basedOn w:val="Normal"/>
    <w:link w:val="FootnoteTextChar"/>
    <w:uiPriority w:val="99"/>
    <w:semiHidden/>
    <w:rsid w:val="00581825"/>
    <w:pPr>
      <w:spacing w:after="0"/>
    </w:pPr>
    <w:rPr>
      <w:rFonts w:eastAsiaTheme="minorHAnsi"/>
      <w:kern w:val="2"/>
      <w:szCs w:val="20"/>
      <w:lang w:eastAsia="en-US"/>
      <w14:ligatures w14:val="standardContextual"/>
    </w:rPr>
  </w:style>
  <w:style w:type="character" w:customStyle="1" w:styleId="FootnoteTextChar">
    <w:name w:val="Footnote Text Char"/>
    <w:basedOn w:val="DefaultParagraphFont"/>
    <w:link w:val="FootnoteText"/>
    <w:uiPriority w:val="99"/>
    <w:semiHidden/>
    <w:rsid w:val="00581825"/>
    <w:rPr>
      <w:sz w:val="18"/>
      <w:szCs w:val="20"/>
      <w:lang w:val="en-US"/>
    </w:rPr>
  </w:style>
  <w:style w:type="character" w:styleId="FootnoteReference">
    <w:name w:val="footnote reference"/>
    <w:basedOn w:val="DefaultParagraphFont"/>
    <w:uiPriority w:val="99"/>
    <w:semiHidden/>
    <w:rsid w:val="003E2F1C"/>
    <w:rPr>
      <w:vertAlign w:val="superscript"/>
    </w:rPr>
  </w:style>
  <w:style w:type="numbering" w:customStyle="1" w:styleId="CurrentList7">
    <w:name w:val="Current List7"/>
    <w:uiPriority w:val="99"/>
    <w:rsid w:val="00E5675E"/>
    <w:pPr>
      <w:numPr>
        <w:numId w:val="13"/>
      </w:numPr>
    </w:pPr>
  </w:style>
  <w:style w:type="numbering" w:customStyle="1" w:styleId="CurrentList8">
    <w:name w:val="Current List8"/>
    <w:uiPriority w:val="99"/>
    <w:rsid w:val="00E35B0D"/>
    <w:pPr>
      <w:numPr>
        <w:numId w:val="14"/>
      </w:numPr>
    </w:pPr>
  </w:style>
  <w:style w:type="numbering" w:customStyle="1" w:styleId="CurrentList9">
    <w:name w:val="Current List9"/>
    <w:uiPriority w:val="99"/>
    <w:rsid w:val="00E35B0D"/>
    <w:pPr>
      <w:numPr>
        <w:numId w:val="15"/>
      </w:numPr>
    </w:pPr>
  </w:style>
  <w:style w:type="paragraph" w:customStyle="1" w:styleId="Copyright">
    <w:name w:val="Copyright"/>
    <w:basedOn w:val="BodyText"/>
    <w:uiPriority w:val="5"/>
    <w:qFormat/>
    <w:rsid w:val="009A425F"/>
    <w:pPr>
      <w:spacing w:after="0" w:line="180" w:lineRule="exact"/>
    </w:pPr>
    <w:rPr>
      <w:color w:val="82887E" w:themeColor="accent6"/>
      <w:sz w:val="12"/>
    </w:rPr>
  </w:style>
  <w:style w:type="paragraph" w:customStyle="1" w:styleId="Tabletextleft">
    <w:name w:val="Table text left"/>
    <w:basedOn w:val="Normal"/>
    <w:uiPriority w:val="1"/>
    <w:qFormat/>
    <w:rsid w:val="00770BDE"/>
    <w:pPr>
      <w:spacing w:after="0"/>
    </w:pPr>
    <w:rPr>
      <w:rFonts w:eastAsiaTheme="minorHAnsi" w:cs="Times New Roman (Body CS)"/>
      <w:spacing w:val="4"/>
      <w:kern w:val="2"/>
      <w:lang w:eastAsia="en-US"/>
      <w14:ligatures w14:val="standardContextual"/>
    </w:rPr>
  </w:style>
  <w:style w:type="paragraph" w:customStyle="1" w:styleId="TableBullet1">
    <w:name w:val="Table Bullet 1"/>
    <w:basedOn w:val="Tabletextleft"/>
    <w:uiPriority w:val="1"/>
    <w:qFormat/>
    <w:rsid w:val="00246A3C"/>
    <w:pPr>
      <w:numPr>
        <w:numId w:val="17"/>
      </w:numPr>
      <w:ind w:left="284" w:hanging="284"/>
    </w:pPr>
  </w:style>
  <w:style w:type="paragraph" w:customStyle="1" w:styleId="Tablenumber">
    <w:name w:val="Table number"/>
    <w:basedOn w:val="TableBullet1"/>
    <w:uiPriority w:val="1"/>
    <w:qFormat/>
    <w:rsid w:val="00FB182A"/>
    <w:pPr>
      <w:numPr>
        <w:numId w:val="18"/>
      </w:numPr>
      <w:tabs>
        <w:tab w:val="left" w:pos="284"/>
        <w:tab w:val="left" w:pos="397"/>
      </w:tabs>
      <w:ind w:left="284" w:hanging="284"/>
    </w:pPr>
  </w:style>
  <w:style w:type="paragraph" w:customStyle="1" w:styleId="Tabletextcentered">
    <w:name w:val="Table text centered"/>
    <w:basedOn w:val="Tabletextleft"/>
    <w:uiPriority w:val="1"/>
    <w:qFormat/>
    <w:rsid w:val="00770BDE"/>
    <w:pPr>
      <w:jc w:val="center"/>
    </w:pPr>
  </w:style>
  <w:style w:type="paragraph" w:customStyle="1" w:styleId="Tabletextright">
    <w:name w:val="Table text right"/>
    <w:basedOn w:val="Tabletextleft"/>
    <w:uiPriority w:val="1"/>
    <w:qFormat/>
    <w:rsid w:val="00770BDE"/>
    <w:pPr>
      <w:jc w:val="right"/>
    </w:pPr>
  </w:style>
  <w:style w:type="paragraph" w:customStyle="1" w:styleId="TableBullet2">
    <w:name w:val="Table Bullet 2"/>
    <w:basedOn w:val="TableBullet1"/>
    <w:uiPriority w:val="1"/>
    <w:qFormat/>
    <w:rsid w:val="00246A3C"/>
    <w:pPr>
      <w:numPr>
        <w:numId w:val="19"/>
      </w:numPr>
      <w:ind w:left="568" w:hanging="284"/>
    </w:pPr>
  </w:style>
  <w:style w:type="paragraph" w:customStyle="1" w:styleId="Photoplacement">
    <w:name w:val="Photo placement"/>
    <w:basedOn w:val="Figureplacement"/>
    <w:uiPriority w:val="3"/>
    <w:qFormat/>
    <w:rsid w:val="008F48A6"/>
  </w:style>
  <w:style w:type="paragraph" w:customStyle="1" w:styleId="Referencestext">
    <w:name w:val="References text"/>
    <w:basedOn w:val="BodyText"/>
    <w:uiPriority w:val="3"/>
    <w:qFormat/>
    <w:rsid w:val="00B632C5"/>
    <w:pPr>
      <w:ind w:left="794" w:hanging="794"/>
    </w:pPr>
  </w:style>
  <w:style w:type="character" w:styleId="UnresolvedMention">
    <w:name w:val="Unresolved Mention"/>
    <w:basedOn w:val="DefaultParagraphFont"/>
    <w:uiPriority w:val="99"/>
    <w:semiHidden/>
    <w:rsid w:val="00B632C5"/>
    <w:rPr>
      <w:color w:val="605E5C"/>
      <w:shd w:val="clear" w:color="auto" w:fill="E1DFDD"/>
    </w:rPr>
  </w:style>
  <w:style w:type="paragraph" w:customStyle="1" w:styleId="PageTitle">
    <w:name w:val="Page Title"/>
    <w:basedOn w:val="TableTitle"/>
    <w:uiPriority w:val="4"/>
    <w:qFormat/>
    <w:rsid w:val="00C8569A"/>
    <w:pPr>
      <w:tabs>
        <w:tab w:val="left" w:pos="1134"/>
      </w:tabs>
    </w:pPr>
    <w:rPr>
      <w:spacing w:val="0"/>
    </w:rPr>
  </w:style>
  <w:style w:type="numbering" w:customStyle="1" w:styleId="CurrentList10">
    <w:name w:val="Current List10"/>
    <w:uiPriority w:val="99"/>
    <w:rsid w:val="0050098E"/>
    <w:pPr>
      <w:numPr>
        <w:numId w:val="21"/>
      </w:numPr>
    </w:pPr>
  </w:style>
  <w:style w:type="paragraph" w:styleId="TOC6">
    <w:name w:val="toc 6"/>
    <w:basedOn w:val="Normal"/>
    <w:next w:val="Normal"/>
    <w:autoRedefine/>
    <w:uiPriority w:val="39"/>
    <w:semiHidden/>
    <w:rsid w:val="000E3A7D"/>
    <w:pPr>
      <w:spacing w:line="300" w:lineRule="auto"/>
      <w:ind w:left="1000"/>
    </w:pPr>
    <w:rPr>
      <w:rFonts w:eastAsiaTheme="minorHAnsi"/>
      <w:kern w:val="2"/>
      <w:lang w:eastAsia="en-US"/>
      <w14:ligatures w14:val="standardContextual"/>
    </w:rPr>
  </w:style>
  <w:style w:type="character" w:customStyle="1" w:styleId="Heading9Char">
    <w:name w:val="Heading 9 Char"/>
    <w:basedOn w:val="DefaultParagraphFont"/>
    <w:link w:val="Heading9"/>
    <w:uiPriority w:val="9"/>
    <w:rsid w:val="001118B8"/>
    <w:rPr>
      <w:rFonts w:eastAsiaTheme="majorEastAsia" w:cstheme="majorBidi"/>
      <w:color w:val="3E3E3E" w:themeColor="text1" w:themeTint="D8"/>
      <w:kern w:val="0"/>
      <w:lang w:val="en-US" w:eastAsia="ja-JP"/>
      <w14:ligatures w14:val="none"/>
    </w:rPr>
  </w:style>
  <w:style w:type="character" w:styleId="IntenseEmphasis">
    <w:name w:val="Intense Emphasis"/>
    <w:basedOn w:val="DefaultParagraphFont"/>
    <w:uiPriority w:val="21"/>
    <w:qFormat/>
    <w:rsid w:val="001118B8"/>
    <w:rPr>
      <w:i/>
      <w:iCs/>
      <w:color w:val="006112" w:themeColor="accent1" w:themeShade="BF"/>
    </w:rPr>
  </w:style>
  <w:style w:type="character" w:customStyle="1" w:styleId="QuoteChar">
    <w:name w:val="Quote Char"/>
    <w:basedOn w:val="DefaultParagraphFont"/>
    <w:link w:val="Quote"/>
    <w:uiPriority w:val="29"/>
    <w:rsid w:val="001118B8"/>
    <w:rPr>
      <w:i/>
      <w:iCs/>
      <w:color w:val="545454" w:themeColor="text1" w:themeTint="BF"/>
    </w:rPr>
  </w:style>
  <w:style w:type="paragraph" w:styleId="Quote">
    <w:name w:val="Quote"/>
    <w:basedOn w:val="Normal"/>
    <w:next w:val="Normal"/>
    <w:link w:val="QuoteChar"/>
    <w:uiPriority w:val="29"/>
    <w:qFormat/>
    <w:rsid w:val="001118B8"/>
    <w:pPr>
      <w:spacing w:before="160"/>
      <w:jc w:val="center"/>
    </w:pPr>
    <w:rPr>
      <w:rFonts w:eastAsiaTheme="minorHAnsi"/>
      <w:i/>
      <w:iCs/>
      <w:color w:val="545454" w:themeColor="text1" w:themeTint="BF"/>
      <w:kern w:val="2"/>
      <w:lang w:val="en-GB" w:eastAsia="en-US"/>
      <w14:ligatures w14:val="standardContextual"/>
    </w:rPr>
  </w:style>
  <w:style w:type="character" w:customStyle="1" w:styleId="QuoteChar1">
    <w:name w:val="Quote Char1"/>
    <w:basedOn w:val="DefaultParagraphFont"/>
    <w:uiPriority w:val="29"/>
    <w:semiHidden/>
    <w:rsid w:val="001118B8"/>
    <w:rPr>
      <w:rFonts w:eastAsiaTheme="minorEastAsia"/>
      <w:i/>
      <w:iCs/>
      <w:color w:val="545454" w:themeColor="text1" w:themeTint="BF"/>
      <w:kern w:val="0"/>
      <w:lang w:val="en-US" w:eastAsia="ja-JP"/>
      <w14:ligatures w14:val="none"/>
    </w:rPr>
  </w:style>
  <w:style w:type="character" w:customStyle="1" w:styleId="IntenseQuoteChar">
    <w:name w:val="Intense Quote Char"/>
    <w:basedOn w:val="DefaultParagraphFont"/>
    <w:link w:val="IntenseQuote"/>
    <w:uiPriority w:val="30"/>
    <w:rsid w:val="001118B8"/>
    <w:rPr>
      <w:i/>
      <w:iCs/>
      <w:color w:val="006112" w:themeColor="accent1" w:themeShade="BF"/>
    </w:rPr>
  </w:style>
  <w:style w:type="paragraph" w:styleId="IntenseQuote">
    <w:name w:val="Intense Quote"/>
    <w:basedOn w:val="Normal"/>
    <w:next w:val="Normal"/>
    <w:link w:val="IntenseQuoteChar"/>
    <w:uiPriority w:val="30"/>
    <w:qFormat/>
    <w:rsid w:val="001118B8"/>
    <w:pPr>
      <w:pBdr>
        <w:top w:val="single" w:sz="4" w:space="10" w:color="006112" w:themeColor="accent1" w:themeShade="BF"/>
        <w:bottom w:val="single" w:sz="4" w:space="10" w:color="006112" w:themeColor="accent1" w:themeShade="BF"/>
      </w:pBdr>
      <w:spacing w:before="360" w:after="360"/>
      <w:ind w:left="864" w:right="864"/>
      <w:jc w:val="center"/>
    </w:pPr>
    <w:rPr>
      <w:rFonts w:eastAsiaTheme="minorHAnsi"/>
      <w:i/>
      <w:iCs/>
      <w:color w:val="006112" w:themeColor="accent1" w:themeShade="BF"/>
      <w:kern w:val="2"/>
      <w:lang w:val="en-GB" w:eastAsia="en-US"/>
      <w14:ligatures w14:val="standardContextual"/>
    </w:rPr>
  </w:style>
  <w:style w:type="character" w:customStyle="1" w:styleId="IntenseQuoteChar1">
    <w:name w:val="Intense Quote Char1"/>
    <w:basedOn w:val="DefaultParagraphFont"/>
    <w:uiPriority w:val="30"/>
    <w:semiHidden/>
    <w:rsid w:val="001118B8"/>
    <w:rPr>
      <w:rFonts w:eastAsiaTheme="minorEastAsia"/>
      <w:i/>
      <w:iCs/>
      <w:color w:val="018219" w:themeColor="accent1"/>
      <w:kern w:val="0"/>
      <w:lang w:val="en-US" w:eastAsia="ja-JP"/>
      <w14:ligatures w14:val="none"/>
    </w:rPr>
  </w:style>
  <w:style w:type="character" w:styleId="IntenseReference">
    <w:name w:val="Intense Reference"/>
    <w:basedOn w:val="DefaultParagraphFont"/>
    <w:uiPriority w:val="32"/>
    <w:qFormat/>
    <w:rsid w:val="001118B8"/>
    <w:rPr>
      <w:b/>
      <w:bCs/>
      <w:smallCaps/>
      <w:color w:val="006112" w:themeColor="accent1" w:themeShade="BF"/>
      <w:spacing w:val="5"/>
    </w:rPr>
  </w:style>
  <w:style w:type="table" w:styleId="ListTable6Colorful">
    <w:name w:val="List Table 6 Colorful"/>
    <w:basedOn w:val="TableNormal"/>
    <w:uiPriority w:val="51"/>
    <w:rsid w:val="001118B8"/>
    <w:rPr>
      <w:rFonts w:eastAsiaTheme="minorEastAsia"/>
      <w:color w:val="1C1C1C" w:themeColor="text1"/>
      <w:kern w:val="0"/>
      <w:lang w:val="en-US" w:eastAsia="ja-JP"/>
      <w14:ligatures w14:val="none"/>
    </w:rPr>
    <w:tblPr>
      <w:tblStyleRowBandSize w:val="1"/>
      <w:tblStyleColBandSize w:val="1"/>
      <w:tblBorders>
        <w:top w:val="single" w:sz="4" w:space="0" w:color="1C1C1C" w:themeColor="text1"/>
        <w:bottom w:val="single" w:sz="4" w:space="0" w:color="1C1C1C" w:themeColor="text1"/>
      </w:tblBorders>
    </w:tblPr>
    <w:tblStylePr w:type="firstRow">
      <w:rPr>
        <w:b/>
        <w:bCs/>
      </w:rPr>
      <w:tblPr/>
      <w:tcPr>
        <w:tcBorders>
          <w:bottom w:val="single" w:sz="4" w:space="0" w:color="1C1C1C" w:themeColor="text1"/>
        </w:tcBorders>
      </w:tcPr>
    </w:tblStylePr>
    <w:tblStylePr w:type="lastRow">
      <w:rPr>
        <w:b/>
        <w:bCs/>
      </w:rPr>
      <w:tblPr/>
      <w:tcPr>
        <w:tcBorders>
          <w:top w:val="double" w:sz="4" w:space="0" w:color="1C1C1C" w:themeColor="text1"/>
        </w:tcBorders>
      </w:tcPr>
    </w:tblStylePr>
    <w:tblStylePr w:type="firstCol">
      <w:rPr>
        <w:b/>
        <w:bCs/>
      </w:rPr>
    </w:tblStylePr>
    <w:tblStylePr w:type="lastCol">
      <w:rPr>
        <w:b/>
        <w:bCs/>
      </w:rPr>
    </w:tblStylePr>
    <w:tblStylePr w:type="band1Vert">
      <w:tblPr/>
      <w:tcPr>
        <w:shd w:val="clear" w:color="auto" w:fill="D1D1D1" w:themeFill="text1" w:themeFillTint="33"/>
      </w:tcPr>
    </w:tblStylePr>
    <w:tblStylePr w:type="band1Horz">
      <w:tblPr/>
      <w:tcPr>
        <w:shd w:val="clear" w:color="auto" w:fill="D1D1D1" w:themeFill="text1" w:themeFillTint="33"/>
      </w:tcPr>
    </w:tblStylePr>
  </w:style>
  <w:style w:type="character" w:styleId="CommentReference">
    <w:name w:val="annotation reference"/>
    <w:basedOn w:val="DefaultParagraphFont"/>
    <w:uiPriority w:val="99"/>
    <w:semiHidden/>
    <w:unhideWhenUsed/>
    <w:rsid w:val="001118B8"/>
    <w:rPr>
      <w:sz w:val="16"/>
      <w:szCs w:val="16"/>
    </w:rPr>
  </w:style>
  <w:style w:type="paragraph" w:styleId="CommentText">
    <w:name w:val="annotation text"/>
    <w:basedOn w:val="Normal"/>
    <w:link w:val="CommentTextChar"/>
    <w:uiPriority w:val="99"/>
    <w:unhideWhenUsed/>
    <w:rsid w:val="001118B8"/>
    <w:rPr>
      <w:szCs w:val="20"/>
    </w:rPr>
  </w:style>
  <w:style w:type="character" w:customStyle="1" w:styleId="CommentTextChar">
    <w:name w:val="Comment Text Char"/>
    <w:basedOn w:val="DefaultParagraphFont"/>
    <w:link w:val="CommentText"/>
    <w:uiPriority w:val="99"/>
    <w:rsid w:val="001118B8"/>
    <w:rPr>
      <w:rFonts w:eastAsiaTheme="minorEastAsia"/>
      <w:kern w:val="0"/>
      <w:sz w:val="20"/>
      <w:szCs w:val="20"/>
      <w:lang w:val="en-US" w:eastAsia="ja-JP"/>
      <w14:ligatures w14:val="none"/>
    </w:rPr>
  </w:style>
  <w:style w:type="paragraph" w:styleId="CommentSubject">
    <w:name w:val="annotation subject"/>
    <w:basedOn w:val="CommentText"/>
    <w:next w:val="CommentText"/>
    <w:link w:val="CommentSubjectChar"/>
    <w:uiPriority w:val="99"/>
    <w:semiHidden/>
    <w:unhideWhenUsed/>
    <w:rsid w:val="001118B8"/>
    <w:rPr>
      <w:b/>
      <w:bCs/>
    </w:rPr>
  </w:style>
  <w:style w:type="character" w:customStyle="1" w:styleId="CommentSubjectChar">
    <w:name w:val="Comment Subject Char"/>
    <w:basedOn w:val="CommentTextChar"/>
    <w:link w:val="CommentSubject"/>
    <w:uiPriority w:val="99"/>
    <w:semiHidden/>
    <w:rsid w:val="001118B8"/>
    <w:rPr>
      <w:rFonts w:eastAsiaTheme="minorEastAsia"/>
      <w:b/>
      <w:bCs/>
      <w:kern w:val="0"/>
      <w:sz w:val="20"/>
      <w:szCs w:val="20"/>
      <w:lang w:val="en-US" w:eastAsia="ja-JP"/>
      <w14:ligatures w14:val="none"/>
    </w:rPr>
  </w:style>
  <w:style w:type="table" w:styleId="ListTable2">
    <w:name w:val="List Table 2"/>
    <w:basedOn w:val="TableNormal"/>
    <w:uiPriority w:val="47"/>
    <w:rsid w:val="001118B8"/>
    <w:rPr>
      <w:rFonts w:eastAsiaTheme="minorEastAsia"/>
      <w:kern w:val="0"/>
      <w:lang w:val="en-US" w:eastAsia="ja-JP"/>
      <w14:ligatures w14:val="none"/>
    </w:rPr>
    <w:tblPr>
      <w:tblStyleRowBandSize w:val="1"/>
      <w:tblStyleColBandSize w:val="1"/>
      <w:tblBorders>
        <w:top w:val="single" w:sz="4" w:space="0" w:color="767676" w:themeColor="text1" w:themeTint="99"/>
        <w:bottom w:val="single" w:sz="4" w:space="0" w:color="767676" w:themeColor="text1" w:themeTint="99"/>
        <w:insideH w:val="single" w:sz="4" w:space="0" w:color="76767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D1D1" w:themeFill="text1" w:themeFillTint="33"/>
      </w:tcPr>
    </w:tblStylePr>
    <w:tblStylePr w:type="band1Horz">
      <w:tblPr/>
      <w:tcPr>
        <w:shd w:val="clear" w:color="auto" w:fill="D1D1D1" w:themeFill="text1" w:themeFillTint="33"/>
      </w:tcPr>
    </w:tblStylePr>
  </w:style>
  <w:style w:type="paragraph" w:styleId="Revision">
    <w:name w:val="Revision"/>
    <w:hidden/>
    <w:uiPriority w:val="99"/>
    <w:semiHidden/>
    <w:rsid w:val="00C166C9"/>
    <w:rPr>
      <w:rFonts w:eastAsiaTheme="minorEastAsia"/>
      <w:kern w:val="0"/>
      <w:lang w:val="en-US" w:eastAsia="ja-JP"/>
      <w14:ligatures w14:val="none"/>
    </w:rPr>
  </w:style>
  <w:style w:type="numbering" w:customStyle="1" w:styleId="CurrentList13">
    <w:name w:val="Current List13"/>
    <w:uiPriority w:val="99"/>
    <w:rsid w:val="0071219E"/>
    <w:pPr>
      <w:numPr>
        <w:numId w:val="31"/>
      </w:numPr>
    </w:pPr>
  </w:style>
  <w:style w:type="character" w:styleId="FollowedHyperlink">
    <w:name w:val="FollowedHyperlink"/>
    <w:basedOn w:val="DefaultParagraphFont"/>
    <w:uiPriority w:val="99"/>
    <w:semiHidden/>
    <w:rsid w:val="00370E09"/>
    <w:rPr>
      <w:color w:val="1C1C1C" w:themeColor="followedHyperlink"/>
      <w:u w:val="single"/>
    </w:rPr>
  </w:style>
  <w:style w:type="character" w:styleId="Mention">
    <w:name w:val="Mention"/>
    <w:basedOn w:val="DefaultParagraphFont"/>
    <w:uiPriority w:val="99"/>
    <w:semiHidden/>
    <w:rsid w:val="001E7E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1959389">
      <w:bodyDiv w:val="1"/>
      <w:marLeft w:val="0"/>
      <w:marRight w:val="0"/>
      <w:marTop w:val="0"/>
      <w:marBottom w:val="0"/>
      <w:divBdr>
        <w:top w:val="none" w:sz="0" w:space="0" w:color="auto"/>
        <w:left w:val="none" w:sz="0" w:space="0" w:color="auto"/>
        <w:bottom w:val="none" w:sz="0" w:space="0" w:color="auto"/>
        <w:right w:val="none" w:sz="0" w:space="0" w:color="auto"/>
      </w:divBdr>
    </w:div>
    <w:div w:id="1856844867">
      <w:bodyDiv w:val="1"/>
      <w:marLeft w:val="0"/>
      <w:marRight w:val="0"/>
      <w:marTop w:val="0"/>
      <w:marBottom w:val="0"/>
      <w:divBdr>
        <w:top w:val="none" w:sz="0" w:space="0" w:color="auto"/>
        <w:left w:val="none" w:sz="0" w:space="0" w:color="auto"/>
        <w:bottom w:val="none" w:sz="0" w:space="0" w:color="auto"/>
        <w:right w:val="none" w:sz="0" w:space="0" w:color="auto"/>
      </w:divBdr>
    </w:div>
    <w:div w:id="193215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_rels/footnotes.xml.rels><?xml version="1.0" encoding="UTF-8" standalone="yes"?>
<Relationships xmlns="http://schemas.openxmlformats.org/package/2006/relationships"><Relationship Id="rId13" Type="http://schemas.openxmlformats.org/officeDocument/2006/relationships/hyperlink" Target="https://www.eesi.org/files/eesi_hybrid_bus_032007.pdf" TargetMode="External"/><Relationship Id="rId18" Type="http://schemas.openxmlformats.org/officeDocument/2006/relationships/hyperlink" Target="https://extension.psu.edu/the-economic-value-of-private-forests-and-climate-change-mitigation" TargetMode="External"/><Relationship Id="rId26" Type="http://schemas.openxmlformats.org/officeDocument/2006/relationships/hyperlink" Target="https://www.eia.gov/outlooks/aeo/tables_ref.php" TargetMode="External"/><Relationship Id="rId3" Type="http://schemas.openxmlformats.org/officeDocument/2006/relationships/hyperlink" Target="https://www.regulations.doe.gov/certification-data/CCMS-4-Furnaces.html" TargetMode="External"/><Relationship Id="rId21" Type="http://schemas.openxmlformats.org/officeDocument/2006/relationships/hyperlink" Target="https://www.epa.gov/system/files/documents/2023-03/ghg_emission_factors_hub.pdf" TargetMode="External"/><Relationship Id="rId34" Type="http://schemas.openxmlformats.org/officeDocument/2006/relationships/hyperlink" Target="https://www.eia.gov/consumption/commercial/data/2018/bc/pdf/b5.pdf" TargetMode="External"/><Relationship Id="rId7" Type="http://schemas.openxmlformats.org/officeDocument/2006/relationships/hyperlink" Target="https://www.energysavinglighting.org/benefits-of-led-lighting-in-commercial-buildings/" TargetMode="External"/><Relationship Id="rId12" Type="http://schemas.openxmlformats.org/officeDocument/2006/relationships/hyperlink" Target="https://d16db69sqbolil.cloudfront.net/mpo-website/downloads/Technical-Studies/Central_Indiana_Travel_Survey_2008-2009.pdf" TargetMode="External"/><Relationship Id="rId17" Type="http://schemas.openxmlformats.org/officeDocument/2006/relationships/hyperlink" Target="https://nebr.us/news/hybrid-transit-bus-lower-co2/" TargetMode="External"/><Relationship Id="rId25" Type="http://schemas.openxmlformats.org/officeDocument/2006/relationships/hyperlink" Target="https://www.epa.gov/system/files/documents/2023-12/warm_organic_materials_v16_dec.pdf" TargetMode="External"/><Relationship Id="rId33" Type="http://schemas.openxmlformats.org/officeDocument/2006/relationships/hyperlink" Target="https://www.xome.com/realestate/6280-w-800-n-mccordsville-in-46055-43161547" TargetMode="External"/><Relationship Id="rId2" Type="http://schemas.openxmlformats.org/officeDocument/2006/relationships/hyperlink" Target="https://www.epa.gov/system/files/documents/2023-03/ghg_emission_factors_hub.pdf" TargetMode="External"/><Relationship Id="rId16" Type="http://schemas.openxmlformats.org/officeDocument/2006/relationships/hyperlink" Target="https://ghgprotocol.org/sites/default/files/ghgp/Global-Warming-Potential-Values%20%28Feb%2016%202016%29_1.pdf" TargetMode="External"/><Relationship Id="rId20" Type="http://schemas.openxmlformats.org/officeDocument/2006/relationships/hyperlink" Target="https://valuewetlands.tamu.edu/land-use-goals-and-resources/carbon-storage-and-credits/" TargetMode="External"/><Relationship Id="rId29" Type="http://schemas.openxmlformats.org/officeDocument/2006/relationships/hyperlink" Target="https://www.eia.gov/consumption/commercial/" TargetMode="External"/><Relationship Id="rId1" Type="http://schemas.openxmlformats.org/officeDocument/2006/relationships/hyperlink" Target="https://cee1.org/index.php/program-insights/center-for-equity-and-energy-behavior/" TargetMode="External"/><Relationship Id="rId6" Type="http://schemas.openxmlformats.org/officeDocument/2006/relationships/hyperlink" Target="https://www.eia.gov/consumption/commercial/data/2018/ce/pdf/e1.pdf" TargetMode="External"/><Relationship Id="rId11" Type="http://schemas.openxmlformats.org/officeDocument/2006/relationships/hyperlink" Target="https://www.bts.gov/content/estimated-national-average-vehicle-emissions-rates-vehicle-vehicle-type-using-gasoline-and" TargetMode="External"/><Relationship Id="rId24" Type="http://schemas.openxmlformats.org/officeDocument/2006/relationships/hyperlink" Target="https://www.eia.gov/todayinenergy/detail.php?id=26832" TargetMode="External"/><Relationship Id="rId32" Type="http://schemas.openxmlformats.org/officeDocument/2006/relationships/hyperlink" Target="https://indyartcenter.org/about-us/" TargetMode="External"/><Relationship Id="rId5" Type="http://schemas.openxmlformats.org/officeDocument/2006/relationships/hyperlink" Target="https://www.energystar.gov/products/res_windows_doors_skylights" TargetMode="External"/><Relationship Id="rId15" Type="http://schemas.openxmlformats.org/officeDocument/2006/relationships/hyperlink" Target="https://www.eia.gov/todayinenergy/detail.php?id=26832" TargetMode="External"/><Relationship Id="rId23" Type="http://schemas.openxmlformats.org/officeDocument/2006/relationships/hyperlink" Target="https://afdc.energy.gov/data/search?q=refuse" TargetMode="External"/><Relationship Id="rId28" Type="http://schemas.openxmlformats.org/officeDocument/2006/relationships/hyperlink" Target="https://www.energy.gov/eere/greet" TargetMode="External"/><Relationship Id="rId10" Type="http://schemas.openxmlformats.org/officeDocument/2006/relationships/hyperlink" Target="https://www.energysage.com/electricity/house-watts/how-many-watts-does-an-electric-car-charger-use/" TargetMode="External"/><Relationship Id="rId19" Type="http://schemas.openxmlformats.org/officeDocument/2006/relationships/hyperlink" Target="https://carbon2018.globalchange.gov/chapter/13/" TargetMode="External"/><Relationship Id="rId31" Type="http://schemas.openxmlformats.org/officeDocument/2006/relationships/hyperlink" Target="https://view.officeapps.live.com/op/view.aspx?src=https%3A%2F%2Fwww.eia.gov%2Fconsumption%2Fcommercial%2Fdata%2F2018%2Fbc%2Fxls%2Fb20.xlsx&amp;wdOrigin=BROWSELINK" TargetMode="External"/><Relationship Id="rId4" Type="http://schemas.openxmlformats.org/officeDocument/2006/relationships/hyperlink" Target="https://www.energy.gov/energysaver/update-or-replace-windows" TargetMode="External"/><Relationship Id="rId9" Type="http://schemas.openxmlformats.org/officeDocument/2006/relationships/hyperlink" Target="https://theicct.org/wp-content/uploads/2021/06/ICCT_EV_Charging_Cost_20190813.pdf" TargetMode="External"/><Relationship Id="rId14" Type="http://schemas.openxmlformats.org/officeDocument/2006/relationships/hyperlink" Target="https://www.transportation.gov/sites/dot.gov/files/images/Life%20Cycle%20Cost%20Overview%20for%20Different%20Transit%20Technologies.pdf" TargetMode="External"/><Relationship Id="rId22" Type="http://schemas.openxmlformats.org/officeDocument/2006/relationships/hyperlink" Target="https://www.epa.gov/statelocalenergy/local-greenhouse-gas-inventory-tool" TargetMode="External"/><Relationship Id="rId27" Type="http://schemas.openxmlformats.org/officeDocument/2006/relationships/hyperlink" Target="https://www.eia.gov/outlooks/aeo/pdf/nerc_map.pdf" TargetMode="External"/><Relationship Id="rId30" Type="http://schemas.openxmlformats.org/officeDocument/2006/relationships/hyperlink" Target="https://view.officeapps.live.com/op/view.aspx?src=https%3A%2F%2Fwww.eia.gov%2Fconsumption%2Fcommercial%2Fdata%2F2018%2Fce%2Fxls%2Fc1.xlsx&amp;wdOrigin=BROWSELINK" TargetMode="External"/><Relationship Id="rId35" Type="http://schemas.openxmlformats.org/officeDocument/2006/relationships/hyperlink" Target="https://www.eia.gov/consumption/commercial/data/2018/bc/pdf/b4.pdf" TargetMode="External"/><Relationship Id="rId8" Type="http://schemas.openxmlformats.org/officeDocument/2006/relationships/hyperlink" Target="https://theicct.org/wp-content/uploads/2021/12/charging-up-america-jul202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ma.ardington\AppData\Local\Temp\Templafy\WordVsto\US%20Blank%20template.dotx" TargetMode="External"/></Relationships>
</file>

<file path=word/theme/theme1.xml><?xml version="1.0" encoding="utf-8"?>
<a:theme xmlns:a="http://schemas.openxmlformats.org/drawingml/2006/main" name="Office Theme">
  <a:themeElements>
    <a:clrScheme name="ERM">
      <a:dk1>
        <a:srgbClr val="1C1C1C"/>
      </a:dk1>
      <a:lt1>
        <a:srgbClr val="FFFFFF"/>
      </a:lt1>
      <a:dk2>
        <a:srgbClr val="D1DDD3"/>
      </a:dk2>
      <a:lt2>
        <a:srgbClr val="00FFBE"/>
      </a:lt2>
      <a:accent1>
        <a:srgbClr val="018219"/>
      </a:accent1>
      <a:accent2>
        <a:srgbClr val="0A2C14"/>
      </a:accent2>
      <a:accent3>
        <a:srgbClr val="446D5D"/>
      </a:accent3>
      <a:accent4>
        <a:srgbClr val="82A78D"/>
      </a:accent4>
      <a:accent5>
        <a:srgbClr val="B7B2AA"/>
      </a:accent5>
      <a:accent6>
        <a:srgbClr val="82887E"/>
      </a:accent6>
      <a:hlink>
        <a:srgbClr val="1C1C1C"/>
      </a:hlink>
      <a:folHlink>
        <a:srgbClr val="1C1C1C"/>
      </a:folHlink>
    </a:clrScheme>
    <a:fontScheme name="ERM">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2"/>
        </a:solid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custClrLst>
    <a:custClr name="Mint">
      <a:srgbClr val="00FFBB"/>
    </a:custClr>
    <a:custClr name="Green Alert">
      <a:srgbClr val="00EB00"/>
    </a:custClr>
    <a:custClr name="Yellow Alert">
      <a:srgbClr val="DDFF00"/>
    </a:custClr>
    <a:custClr name="Red Alert">
      <a:srgbClr val="FF3600"/>
    </a:custClr>
    <a:custClr name="Grey Alert">
      <a:srgbClr val="D9D9D9"/>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5E1BCAE634E0D48A8BC64692F246091" ma:contentTypeVersion="15" ma:contentTypeDescription="Create a new document." ma:contentTypeScope="" ma:versionID="a4d66e9df8858e3b717f4bf115edb847">
  <xsd:schema xmlns:xsd="http://www.w3.org/2001/XMLSchema" xmlns:xs="http://www.w3.org/2001/XMLSchema" xmlns:p="http://schemas.microsoft.com/office/2006/metadata/properties" xmlns:ns2="eb91286f-57c2-4f33-b63d-a5bfa7c2537b" xmlns:ns3="e74270bd-479e-48db-880e-0eec695db086" targetNamespace="http://schemas.microsoft.com/office/2006/metadata/properties" ma:root="true" ma:fieldsID="5bc5841b3d3696fa8a7f55d52d068d49" ns2:_="" ns3:_="">
    <xsd:import namespace="eb91286f-57c2-4f33-b63d-a5bfa7c2537b"/>
    <xsd:import namespace="e74270bd-479e-48db-880e-0eec695db0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1286f-57c2-4f33-b63d-a5bfa7c25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cf98923-f688-424c-b29d-669cd3481346"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4270bd-479e-48db-880e-0eec695db0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3e13d7-7ed9-4b37-944a-cd1d7182315c}" ma:internalName="TaxCatchAll" ma:showField="CatchAllData" ma:web="e74270bd-479e-48db-880e-0eec695db0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91286f-57c2-4f33-b63d-a5bfa7c2537b">
      <Terms xmlns="http://schemas.microsoft.com/office/infopath/2007/PartnerControls"/>
    </lcf76f155ced4ddcb4097134ff3c332f>
    <TaxCatchAll xmlns="e74270bd-479e-48db-880e-0eec695db086" xsi:nil="true"/>
  </documentManagement>
</p:properties>
</file>

<file path=customXml/item5.xml><?xml version="1.0" encoding="utf-8"?>
<TemplafyTemplateConfiguration><![CDATA[{"elementsMetadata":[],"transformationConfigurations":[],"templateName":"US Blank template","templateDescription":"","enableDocumentContentUpdater":false,"version":"2.0"}]]></TemplafyTemplateConfiguration>
</file>

<file path=customXml/item6.xml><?xml version="1.0" encoding="utf-8"?>
<TemplafyFormConfiguration><![CDATA[{"formFields":[],"formDataEntries":[]}]]></TemplafyFormConfiguration>
</file>

<file path=customXml/itemProps1.xml><?xml version="1.0" encoding="utf-8"?>
<ds:datastoreItem xmlns:ds="http://schemas.openxmlformats.org/officeDocument/2006/customXml" ds:itemID="{7108702D-A5BE-4668-9159-077BF8666584}">
  <ds:schemaRefs>
    <ds:schemaRef ds:uri="http://schemas.openxmlformats.org/officeDocument/2006/bibliography"/>
  </ds:schemaRefs>
</ds:datastoreItem>
</file>

<file path=customXml/itemProps2.xml><?xml version="1.0" encoding="utf-8"?>
<ds:datastoreItem xmlns:ds="http://schemas.openxmlformats.org/officeDocument/2006/customXml" ds:itemID="{83D08437-2FBC-4F88-B41B-A50FC4E47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1286f-57c2-4f33-b63d-a5bfa7c2537b"/>
    <ds:schemaRef ds:uri="e74270bd-479e-48db-880e-0eec695db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2D395B-7A0A-4765-B3BB-128649B92793}">
  <ds:schemaRefs>
    <ds:schemaRef ds:uri="http://schemas.microsoft.com/sharepoint/v3/contenttype/forms"/>
  </ds:schemaRefs>
</ds:datastoreItem>
</file>

<file path=customXml/itemProps4.xml><?xml version="1.0" encoding="utf-8"?>
<ds:datastoreItem xmlns:ds="http://schemas.openxmlformats.org/officeDocument/2006/customXml" ds:itemID="{55046765-293C-4053-8CF2-3886BEC3D06C}">
  <ds:schemaRefs>
    <ds:schemaRef ds:uri="http://schemas.microsoft.com/office/2006/metadata/properties"/>
    <ds:schemaRef ds:uri="http://schemas.microsoft.com/office/infopath/2007/PartnerControls"/>
    <ds:schemaRef ds:uri="eb91286f-57c2-4f33-b63d-a5bfa7c2537b"/>
    <ds:schemaRef ds:uri="e74270bd-479e-48db-880e-0eec695db086"/>
  </ds:schemaRefs>
</ds:datastoreItem>
</file>

<file path=customXml/itemProps5.xml><?xml version="1.0" encoding="utf-8"?>
<ds:datastoreItem xmlns:ds="http://schemas.openxmlformats.org/officeDocument/2006/customXml" ds:itemID="{6D4C35B2-5435-4097-AFE9-5DCDA3D93F7E}">
  <ds:schemaRefs/>
</ds:datastoreItem>
</file>

<file path=customXml/itemProps6.xml><?xml version="1.0" encoding="utf-8"?>
<ds:datastoreItem xmlns:ds="http://schemas.openxmlformats.org/officeDocument/2006/customXml" ds:itemID="{D22F86F3-B849-4E56-8C07-1370345CDAC3}">
  <ds:schemaRefs/>
</ds:datastoreItem>
</file>

<file path=docMetadata/LabelInfo.xml><?xml version="1.0" encoding="utf-8"?>
<clbl:labelList xmlns:clbl="http://schemas.microsoft.com/office/2020/mipLabelMetadata">
  <clbl:label id="{f2fe6bd3-9c4a-485b-ae69-e18820a88130}" enabled="0" method="" siteId="{f2fe6bd3-9c4a-485b-ae69-e18820a88130}" removed="1"/>
</clbl:labelList>
</file>

<file path=docProps/app.xml><?xml version="1.0" encoding="utf-8"?>
<Properties xmlns="http://schemas.openxmlformats.org/officeDocument/2006/extended-properties" xmlns:vt="http://schemas.openxmlformats.org/officeDocument/2006/docPropsVTypes">
  <Template>US Blank template.dotx</Template>
  <TotalTime>4828</TotalTime>
  <Pages>1</Pages>
  <Words>5106</Words>
  <Characters>29105</Characters>
  <Application>Microsoft Office Word</Application>
  <DocSecurity>4</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34143</CharactersWithSpaces>
  <SharedDoc>false</SharedDoc>
  <HyperlinkBase/>
  <HLinks>
    <vt:vector size="210" baseType="variant">
      <vt:variant>
        <vt:i4>7077997</vt:i4>
      </vt:variant>
      <vt:variant>
        <vt:i4>102</vt:i4>
      </vt:variant>
      <vt:variant>
        <vt:i4>0</vt:i4>
      </vt:variant>
      <vt:variant>
        <vt:i4>5</vt:i4>
      </vt:variant>
      <vt:variant>
        <vt:lpwstr>https://www.eia.gov/consumption/commercial/data/2018/bc/pdf/b4.pdf</vt:lpwstr>
      </vt:variant>
      <vt:variant>
        <vt:lpwstr/>
      </vt:variant>
      <vt:variant>
        <vt:i4>7143533</vt:i4>
      </vt:variant>
      <vt:variant>
        <vt:i4>99</vt:i4>
      </vt:variant>
      <vt:variant>
        <vt:i4>0</vt:i4>
      </vt:variant>
      <vt:variant>
        <vt:i4>5</vt:i4>
      </vt:variant>
      <vt:variant>
        <vt:lpwstr>https://www.eia.gov/consumption/commercial/data/2018/bc/pdf/b5.pdf</vt:lpwstr>
      </vt:variant>
      <vt:variant>
        <vt:lpwstr/>
      </vt:variant>
      <vt:variant>
        <vt:i4>8257590</vt:i4>
      </vt:variant>
      <vt:variant>
        <vt:i4>96</vt:i4>
      </vt:variant>
      <vt:variant>
        <vt:i4>0</vt:i4>
      </vt:variant>
      <vt:variant>
        <vt:i4>5</vt:i4>
      </vt:variant>
      <vt:variant>
        <vt:lpwstr>https://www.xome.com/realestate/6280-w-800-n-mccordsville-in-46055-43161547</vt:lpwstr>
      </vt:variant>
      <vt:variant>
        <vt:lpwstr/>
      </vt:variant>
      <vt:variant>
        <vt:i4>2490428</vt:i4>
      </vt:variant>
      <vt:variant>
        <vt:i4>93</vt:i4>
      </vt:variant>
      <vt:variant>
        <vt:i4>0</vt:i4>
      </vt:variant>
      <vt:variant>
        <vt:i4>5</vt:i4>
      </vt:variant>
      <vt:variant>
        <vt:lpwstr>https://indyartcenter.org/about-us/</vt:lpwstr>
      </vt:variant>
      <vt:variant>
        <vt:lpwstr/>
      </vt:variant>
      <vt:variant>
        <vt:i4>2228269</vt:i4>
      </vt:variant>
      <vt:variant>
        <vt:i4>90</vt:i4>
      </vt:variant>
      <vt:variant>
        <vt:i4>0</vt:i4>
      </vt:variant>
      <vt:variant>
        <vt:i4>5</vt:i4>
      </vt:variant>
      <vt:variant>
        <vt:lpwstr>https://view.officeapps.live.com/op/view.aspx?src=https%3A%2F%2Fwww.eia.gov%2Fconsumption%2Fcommercial%2Fdata%2F2018%2Fbc%2Fxls%2Fb20.xlsx&amp;wdOrigin=BROWSELINK</vt:lpwstr>
      </vt:variant>
      <vt:variant>
        <vt:lpwstr/>
      </vt:variant>
      <vt:variant>
        <vt:i4>1245250</vt:i4>
      </vt:variant>
      <vt:variant>
        <vt:i4>87</vt:i4>
      </vt:variant>
      <vt:variant>
        <vt:i4>0</vt:i4>
      </vt:variant>
      <vt:variant>
        <vt:i4>5</vt:i4>
      </vt:variant>
      <vt:variant>
        <vt:lpwstr>https://view.officeapps.live.com/op/view.aspx?src=https%3A%2F%2Fwww.eia.gov%2Fconsumption%2Fcommercial%2Fdata%2F2018%2Fce%2Fxls%2Fc1.xlsx&amp;wdOrigin=BROWSELINK</vt:lpwstr>
      </vt:variant>
      <vt:variant>
        <vt:lpwstr/>
      </vt:variant>
      <vt:variant>
        <vt:i4>8323123</vt:i4>
      </vt:variant>
      <vt:variant>
        <vt:i4>84</vt:i4>
      </vt:variant>
      <vt:variant>
        <vt:i4>0</vt:i4>
      </vt:variant>
      <vt:variant>
        <vt:i4>5</vt:i4>
      </vt:variant>
      <vt:variant>
        <vt:lpwstr>https://www.eia.gov/consumption/commercial/</vt:lpwstr>
      </vt:variant>
      <vt:variant>
        <vt:lpwstr/>
      </vt:variant>
      <vt:variant>
        <vt:i4>1245259</vt:i4>
      </vt:variant>
      <vt:variant>
        <vt:i4>81</vt:i4>
      </vt:variant>
      <vt:variant>
        <vt:i4>0</vt:i4>
      </vt:variant>
      <vt:variant>
        <vt:i4>5</vt:i4>
      </vt:variant>
      <vt:variant>
        <vt:lpwstr>https://www.energy.gov/eere/greet</vt:lpwstr>
      </vt:variant>
      <vt:variant>
        <vt:lpwstr/>
      </vt:variant>
      <vt:variant>
        <vt:i4>3801103</vt:i4>
      </vt:variant>
      <vt:variant>
        <vt:i4>78</vt:i4>
      </vt:variant>
      <vt:variant>
        <vt:i4>0</vt:i4>
      </vt:variant>
      <vt:variant>
        <vt:i4>5</vt:i4>
      </vt:variant>
      <vt:variant>
        <vt:lpwstr>https://www.eia.gov/outlooks/aeo/pdf/nerc_map.pdf</vt:lpwstr>
      </vt:variant>
      <vt:variant>
        <vt:lpwstr/>
      </vt:variant>
      <vt:variant>
        <vt:i4>4915253</vt:i4>
      </vt:variant>
      <vt:variant>
        <vt:i4>75</vt:i4>
      </vt:variant>
      <vt:variant>
        <vt:i4>0</vt:i4>
      </vt:variant>
      <vt:variant>
        <vt:i4>5</vt:i4>
      </vt:variant>
      <vt:variant>
        <vt:lpwstr>https://www.eia.gov/outlooks/aeo/tables_ref.php</vt:lpwstr>
      </vt:variant>
      <vt:variant>
        <vt:lpwstr/>
      </vt:variant>
      <vt:variant>
        <vt:i4>4653122</vt:i4>
      </vt:variant>
      <vt:variant>
        <vt:i4>72</vt:i4>
      </vt:variant>
      <vt:variant>
        <vt:i4>0</vt:i4>
      </vt:variant>
      <vt:variant>
        <vt:i4>5</vt:i4>
      </vt:variant>
      <vt:variant>
        <vt:lpwstr>https://www.epa.gov/system/files/documents/2023-12/warm_organic_materials_v16_dec.pdf</vt:lpwstr>
      </vt:variant>
      <vt:variant>
        <vt:lpwstr/>
      </vt:variant>
      <vt:variant>
        <vt:i4>5832793</vt:i4>
      </vt:variant>
      <vt:variant>
        <vt:i4>69</vt:i4>
      </vt:variant>
      <vt:variant>
        <vt:i4>0</vt:i4>
      </vt:variant>
      <vt:variant>
        <vt:i4>5</vt:i4>
      </vt:variant>
      <vt:variant>
        <vt:lpwstr>https://www.eia.gov/todayinenergy/detail.php?id=26832</vt:lpwstr>
      </vt:variant>
      <vt:variant>
        <vt:lpwstr/>
      </vt:variant>
      <vt:variant>
        <vt:i4>1769545</vt:i4>
      </vt:variant>
      <vt:variant>
        <vt:i4>66</vt:i4>
      </vt:variant>
      <vt:variant>
        <vt:i4>0</vt:i4>
      </vt:variant>
      <vt:variant>
        <vt:i4>5</vt:i4>
      </vt:variant>
      <vt:variant>
        <vt:lpwstr>https://afdc.energy.gov/data/search?q=refuse</vt:lpwstr>
      </vt:variant>
      <vt:variant>
        <vt:lpwstr/>
      </vt:variant>
      <vt:variant>
        <vt:i4>4980824</vt:i4>
      </vt:variant>
      <vt:variant>
        <vt:i4>63</vt:i4>
      </vt:variant>
      <vt:variant>
        <vt:i4>0</vt:i4>
      </vt:variant>
      <vt:variant>
        <vt:i4>5</vt:i4>
      </vt:variant>
      <vt:variant>
        <vt:lpwstr>https://www.epa.gov/statelocalenergy/local-greenhouse-gas-inventory-tool</vt:lpwstr>
      </vt:variant>
      <vt:variant>
        <vt:lpwstr>:~:text=What%20is%20the%20Local%20Greenhouse,and%20waste%20and%20water%20management.</vt:lpwstr>
      </vt:variant>
      <vt:variant>
        <vt:i4>7209033</vt:i4>
      </vt:variant>
      <vt:variant>
        <vt:i4>60</vt:i4>
      </vt:variant>
      <vt:variant>
        <vt:i4>0</vt:i4>
      </vt:variant>
      <vt:variant>
        <vt:i4>5</vt:i4>
      </vt:variant>
      <vt:variant>
        <vt:lpwstr>https://www.epa.gov/system/files/documents/2023-03/ghg_emission_factors_hub.pdf</vt:lpwstr>
      </vt:variant>
      <vt:variant>
        <vt:lpwstr/>
      </vt:variant>
      <vt:variant>
        <vt:i4>7012456</vt:i4>
      </vt:variant>
      <vt:variant>
        <vt:i4>57</vt:i4>
      </vt:variant>
      <vt:variant>
        <vt:i4>0</vt:i4>
      </vt:variant>
      <vt:variant>
        <vt:i4>5</vt:i4>
      </vt:variant>
      <vt:variant>
        <vt:lpwstr>https://valuewetlands.tamu.edu/land-use-goals-and-resources/carbon-storage-and-credits/</vt:lpwstr>
      </vt:variant>
      <vt:variant>
        <vt:lpwstr/>
      </vt:variant>
      <vt:variant>
        <vt:i4>7798838</vt:i4>
      </vt:variant>
      <vt:variant>
        <vt:i4>54</vt:i4>
      </vt:variant>
      <vt:variant>
        <vt:i4>0</vt:i4>
      </vt:variant>
      <vt:variant>
        <vt:i4>5</vt:i4>
      </vt:variant>
      <vt:variant>
        <vt:lpwstr>https://carbon2018.globalchange.gov/chapter/13/</vt:lpwstr>
      </vt:variant>
      <vt:variant>
        <vt:lpwstr/>
      </vt:variant>
      <vt:variant>
        <vt:i4>4194304</vt:i4>
      </vt:variant>
      <vt:variant>
        <vt:i4>51</vt:i4>
      </vt:variant>
      <vt:variant>
        <vt:i4>0</vt:i4>
      </vt:variant>
      <vt:variant>
        <vt:i4>5</vt:i4>
      </vt:variant>
      <vt:variant>
        <vt:lpwstr>https://extension.psu.edu/the-economic-value-of-private-forests-and-climate-change-mitigation</vt:lpwstr>
      </vt:variant>
      <vt:variant>
        <vt:lpwstr/>
      </vt:variant>
      <vt:variant>
        <vt:i4>6488179</vt:i4>
      </vt:variant>
      <vt:variant>
        <vt:i4>48</vt:i4>
      </vt:variant>
      <vt:variant>
        <vt:i4>0</vt:i4>
      </vt:variant>
      <vt:variant>
        <vt:i4>5</vt:i4>
      </vt:variant>
      <vt:variant>
        <vt:lpwstr>https://nebr.us/news/hybrid-transit-bus-lower-co2/</vt:lpwstr>
      </vt:variant>
      <vt:variant>
        <vt:lpwstr/>
      </vt:variant>
      <vt:variant>
        <vt:i4>4325439</vt:i4>
      </vt:variant>
      <vt:variant>
        <vt:i4>45</vt:i4>
      </vt:variant>
      <vt:variant>
        <vt:i4>0</vt:i4>
      </vt:variant>
      <vt:variant>
        <vt:i4>5</vt:i4>
      </vt:variant>
      <vt:variant>
        <vt:lpwstr>https://ghgprotocol.org/sites/default/files/ghgp/Global-Warming-Potential-Values %28Feb 16 2016%29_1.pdf</vt:lpwstr>
      </vt:variant>
      <vt:variant>
        <vt:lpwstr/>
      </vt:variant>
      <vt:variant>
        <vt:i4>5832793</vt:i4>
      </vt:variant>
      <vt:variant>
        <vt:i4>42</vt:i4>
      </vt:variant>
      <vt:variant>
        <vt:i4>0</vt:i4>
      </vt:variant>
      <vt:variant>
        <vt:i4>5</vt:i4>
      </vt:variant>
      <vt:variant>
        <vt:lpwstr>https://www.eia.gov/todayinenergy/detail.php?id=26832</vt:lpwstr>
      </vt:variant>
      <vt:variant>
        <vt:lpwstr/>
      </vt:variant>
      <vt:variant>
        <vt:i4>65603</vt:i4>
      </vt:variant>
      <vt:variant>
        <vt:i4>39</vt:i4>
      </vt:variant>
      <vt:variant>
        <vt:i4>0</vt:i4>
      </vt:variant>
      <vt:variant>
        <vt:i4>5</vt:i4>
      </vt:variant>
      <vt:variant>
        <vt:lpwstr>https://www.transportation.gov/sites/dot.gov/files/images/Life Cycle Cost Overview for Different Transit Technologies.pdf</vt:lpwstr>
      </vt:variant>
      <vt:variant>
        <vt:lpwstr/>
      </vt:variant>
      <vt:variant>
        <vt:i4>7995480</vt:i4>
      </vt:variant>
      <vt:variant>
        <vt:i4>36</vt:i4>
      </vt:variant>
      <vt:variant>
        <vt:i4>0</vt:i4>
      </vt:variant>
      <vt:variant>
        <vt:i4>5</vt:i4>
      </vt:variant>
      <vt:variant>
        <vt:lpwstr>https://www.eesi.org/files/eesi_hybrid_bus_032007.pdf</vt:lpwstr>
      </vt:variant>
      <vt:variant>
        <vt:lpwstr/>
      </vt:variant>
      <vt:variant>
        <vt:i4>4063343</vt:i4>
      </vt:variant>
      <vt:variant>
        <vt:i4>33</vt:i4>
      </vt:variant>
      <vt:variant>
        <vt:i4>0</vt:i4>
      </vt:variant>
      <vt:variant>
        <vt:i4>5</vt:i4>
      </vt:variant>
      <vt:variant>
        <vt:lpwstr>https://d16db69sqbolil.cloudfront.net/mpo-website/downloads/Technical-Studies/Central_Indiana_Travel_Survey_2008-2009.pdf</vt:lpwstr>
      </vt:variant>
      <vt:variant>
        <vt:lpwstr/>
      </vt:variant>
      <vt:variant>
        <vt:i4>2162725</vt:i4>
      </vt:variant>
      <vt:variant>
        <vt:i4>30</vt:i4>
      </vt:variant>
      <vt:variant>
        <vt:i4>0</vt:i4>
      </vt:variant>
      <vt:variant>
        <vt:i4>5</vt:i4>
      </vt:variant>
      <vt:variant>
        <vt:lpwstr>https://www.bts.gov/content/estimated-national-average-vehicle-emissions-rates-vehicle-vehicle-type-using-gasoline-and</vt:lpwstr>
      </vt:variant>
      <vt:variant>
        <vt:lpwstr/>
      </vt:variant>
      <vt:variant>
        <vt:i4>7536678</vt:i4>
      </vt:variant>
      <vt:variant>
        <vt:i4>27</vt:i4>
      </vt:variant>
      <vt:variant>
        <vt:i4>0</vt:i4>
      </vt:variant>
      <vt:variant>
        <vt:i4>5</vt:i4>
      </vt:variant>
      <vt:variant>
        <vt:lpwstr>https://www.energysage.com/electricity/house-watts/how-many-watts-does-an-electric-car-charger-use/</vt:lpwstr>
      </vt:variant>
      <vt:variant>
        <vt:lpwstr/>
      </vt:variant>
      <vt:variant>
        <vt:i4>5898240</vt:i4>
      </vt:variant>
      <vt:variant>
        <vt:i4>24</vt:i4>
      </vt:variant>
      <vt:variant>
        <vt:i4>0</vt:i4>
      </vt:variant>
      <vt:variant>
        <vt:i4>5</vt:i4>
      </vt:variant>
      <vt:variant>
        <vt:lpwstr>https://theicct.org/wp-content/uploads/2021/06/ICCT_EV_Charging_Cost_20190813.pdf</vt:lpwstr>
      </vt:variant>
      <vt:variant>
        <vt:lpwstr/>
      </vt:variant>
      <vt:variant>
        <vt:i4>3211303</vt:i4>
      </vt:variant>
      <vt:variant>
        <vt:i4>21</vt:i4>
      </vt:variant>
      <vt:variant>
        <vt:i4>0</vt:i4>
      </vt:variant>
      <vt:variant>
        <vt:i4>5</vt:i4>
      </vt:variant>
      <vt:variant>
        <vt:lpwstr>https://theicct.org/wp-content/uploads/2021/12/charging-up-america-jul2021.pdf</vt:lpwstr>
      </vt:variant>
      <vt:variant>
        <vt:lpwstr/>
      </vt:variant>
      <vt:variant>
        <vt:i4>3539058</vt:i4>
      </vt:variant>
      <vt:variant>
        <vt:i4>18</vt:i4>
      </vt:variant>
      <vt:variant>
        <vt:i4>0</vt:i4>
      </vt:variant>
      <vt:variant>
        <vt:i4>5</vt:i4>
      </vt:variant>
      <vt:variant>
        <vt:lpwstr>https://www.energysavinglighting.org/benefits-of-led-lighting-in-commercial-buildings/</vt:lpwstr>
      </vt:variant>
      <vt:variant>
        <vt:lpwstr/>
      </vt:variant>
      <vt:variant>
        <vt:i4>6815852</vt:i4>
      </vt:variant>
      <vt:variant>
        <vt:i4>15</vt:i4>
      </vt:variant>
      <vt:variant>
        <vt:i4>0</vt:i4>
      </vt:variant>
      <vt:variant>
        <vt:i4>5</vt:i4>
      </vt:variant>
      <vt:variant>
        <vt:lpwstr>https://www.eia.gov/consumption/commercial/data/2018/ce/pdf/e1.pdf</vt:lpwstr>
      </vt:variant>
      <vt:variant>
        <vt:lpwstr/>
      </vt:variant>
      <vt:variant>
        <vt:i4>4325418</vt:i4>
      </vt:variant>
      <vt:variant>
        <vt:i4>12</vt:i4>
      </vt:variant>
      <vt:variant>
        <vt:i4>0</vt:i4>
      </vt:variant>
      <vt:variant>
        <vt:i4>5</vt:i4>
      </vt:variant>
      <vt:variant>
        <vt:lpwstr>https://www.energystar.gov/products/res_windows_doors_skylights</vt:lpwstr>
      </vt:variant>
      <vt:variant>
        <vt:lpwstr/>
      </vt:variant>
      <vt:variant>
        <vt:i4>1376268</vt:i4>
      </vt:variant>
      <vt:variant>
        <vt:i4>9</vt:i4>
      </vt:variant>
      <vt:variant>
        <vt:i4>0</vt:i4>
      </vt:variant>
      <vt:variant>
        <vt:i4>5</vt:i4>
      </vt:variant>
      <vt:variant>
        <vt:lpwstr>https://www.energy.gov/energysaver/update-or-replace-windows</vt:lpwstr>
      </vt:variant>
      <vt:variant>
        <vt:lpwstr/>
      </vt:variant>
      <vt:variant>
        <vt:i4>851998</vt:i4>
      </vt:variant>
      <vt:variant>
        <vt:i4>6</vt:i4>
      </vt:variant>
      <vt:variant>
        <vt:i4>0</vt:i4>
      </vt:variant>
      <vt:variant>
        <vt:i4>5</vt:i4>
      </vt:variant>
      <vt:variant>
        <vt:lpwstr>https://www.regulations.doe.gov/certification-data/CCMS-4-Furnaces.html</vt:lpwstr>
      </vt:variant>
      <vt:variant>
        <vt:lpwstr>q=Product_Group_s%3A%22Furnaces%22</vt:lpwstr>
      </vt:variant>
      <vt:variant>
        <vt:i4>7209033</vt:i4>
      </vt:variant>
      <vt:variant>
        <vt:i4>3</vt:i4>
      </vt:variant>
      <vt:variant>
        <vt:i4>0</vt:i4>
      </vt:variant>
      <vt:variant>
        <vt:i4>5</vt:i4>
      </vt:variant>
      <vt:variant>
        <vt:lpwstr>https://www.epa.gov/system/files/documents/2023-03/ghg_emission_factors_hub.pdf</vt:lpwstr>
      </vt:variant>
      <vt:variant>
        <vt:lpwstr/>
      </vt:variant>
      <vt:variant>
        <vt:i4>3801124</vt:i4>
      </vt:variant>
      <vt:variant>
        <vt:i4>0</vt:i4>
      </vt:variant>
      <vt:variant>
        <vt:i4>0</vt:i4>
      </vt:variant>
      <vt:variant>
        <vt:i4>5</vt:i4>
      </vt:variant>
      <vt:variant>
        <vt:lpwstr>https://cee1.org/index.php/program-insights/center-for-equity-and-energy-behavior/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Ardington</dc:creator>
  <cp:keywords/>
  <dc:description/>
  <cp:lastModifiedBy>Michael Leifman</cp:lastModifiedBy>
  <cp:revision>1496</cp:revision>
  <dcterms:created xsi:type="dcterms:W3CDTF">2024-03-07T00:41:00Z</dcterms:created>
  <dcterms:modified xsi:type="dcterms:W3CDTF">2024-03-29T19:25:00Z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erm</vt:lpwstr>
  </property>
  <property fmtid="{D5CDD505-2E9C-101B-9397-08002B2CF9AE}" pid="3" name="TemplafyTemplateId">
    <vt:lpwstr>746893842543804416</vt:lpwstr>
  </property>
  <property fmtid="{D5CDD505-2E9C-101B-9397-08002B2CF9AE}" pid="4" name="TemplafyUserProfileId">
    <vt:lpwstr>727683030243606530</vt:lpwstr>
  </property>
  <property fmtid="{D5CDD505-2E9C-101B-9397-08002B2CF9AE}" pid="5" name="TemplafyFromBlank">
    <vt:bool>false</vt:bool>
  </property>
  <property fmtid="{D5CDD505-2E9C-101B-9397-08002B2CF9AE}" pid="6" name="ContentTypeId">
    <vt:lpwstr>0x01010055E1BCAE634E0D48A8BC64692F246091</vt:lpwstr>
  </property>
  <property fmtid="{D5CDD505-2E9C-101B-9397-08002B2CF9AE}" pid="7" name="MediaServiceImageTags">
    <vt:lpwstr/>
  </property>
</Properties>
</file>