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DF589" w14:textId="5F96C8C2" w:rsidR="005015FC" w:rsidRDefault="005015FC" w:rsidP="00FA6F8D">
      <w:pPr>
        <w:jc w:val="center"/>
      </w:pPr>
      <w:bookmarkStart w:id="0" w:name="_GoBack"/>
      <w:bookmarkEnd w:id="0"/>
      <w:r>
        <w:t>CPRG IMPLEMENTATION GRANTS COMPETITION</w:t>
      </w:r>
    </w:p>
    <w:p w14:paraId="410131AE" w14:textId="36A0AACC" w:rsidR="005015FC" w:rsidRDefault="005015FC" w:rsidP="00FA6F8D">
      <w:pPr>
        <w:jc w:val="center"/>
      </w:pPr>
      <w:r>
        <w:t>COVER PAGE FOR APPLICATION</w:t>
      </w:r>
    </w:p>
    <w:p w14:paraId="65DBC0CB" w14:textId="77777777" w:rsidR="005015FC" w:rsidRDefault="005015FC" w:rsidP="005015FC">
      <w:r>
        <w:t xml:space="preserve">APPLICANT INFORMATION </w:t>
      </w:r>
    </w:p>
    <w:p w14:paraId="3A801638" w14:textId="01AF19A2" w:rsidR="005015FC" w:rsidRDefault="005015FC" w:rsidP="005015FC">
      <w:r>
        <w:t xml:space="preserve">Organization: </w:t>
      </w:r>
      <w:r w:rsidR="00876D3A">
        <w:tab/>
      </w:r>
      <w:r w:rsidR="00876D3A">
        <w:tab/>
      </w:r>
      <w:r w:rsidR="00876D3A">
        <w:tab/>
      </w:r>
      <w:r w:rsidR="00876D3A" w:rsidRPr="00876D3A">
        <w:rPr>
          <w:b/>
          <w:bCs/>
        </w:rPr>
        <w:t>Keweenaw Bay Indian Community</w:t>
      </w:r>
      <w:r w:rsidR="00876D3A">
        <w:tab/>
      </w:r>
      <w:r w:rsidR="00876D3A">
        <w:tab/>
      </w:r>
    </w:p>
    <w:p w14:paraId="5EE14074" w14:textId="7B8567AB" w:rsidR="005015FC" w:rsidRPr="00FA6F8D" w:rsidRDefault="005015FC" w:rsidP="005015FC">
      <w:pPr>
        <w:rPr>
          <w:b/>
          <w:bCs/>
        </w:rPr>
      </w:pPr>
      <w:r>
        <w:t xml:space="preserve">Primary Contact Name: </w:t>
      </w:r>
      <w:r w:rsidR="00876D3A">
        <w:tab/>
      </w:r>
      <w:r w:rsidR="00FA6F8D" w:rsidRPr="00FA6F8D">
        <w:rPr>
          <w:b/>
          <w:bCs/>
        </w:rPr>
        <w:t>Dione Price, Environmental Health Manager</w:t>
      </w:r>
    </w:p>
    <w:p w14:paraId="02728161" w14:textId="477B8CC3" w:rsidR="005015FC" w:rsidRDefault="005015FC" w:rsidP="005015FC">
      <w:r>
        <w:t xml:space="preserve">Phone Number: </w:t>
      </w:r>
      <w:r w:rsidR="00574AE9">
        <w:tab/>
      </w:r>
      <w:r w:rsidR="00574AE9">
        <w:tab/>
      </w:r>
      <w:r w:rsidR="00574AE9" w:rsidRPr="002422BA">
        <w:rPr>
          <w:b/>
          <w:bCs/>
        </w:rPr>
        <w:t>(906) 524-5757</w:t>
      </w:r>
      <w:r w:rsidR="00FA6F8D" w:rsidRPr="002422BA">
        <w:rPr>
          <w:b/>
          <w:bCs/>
        </w:rPr>
        <w:tab/>
      </w:r>
      <w:r w:rsidR="00FA6F8D">
        <w:tab/>
      </w:r>
      <w:r w:rsidR="00FA6F8D">
        <w:tab/>
      </w:r>
    </w:p>
    <w:p w14:paraId="7DDA148A" w14:textId="7F4F9E2C" w:rsidR="005015FC" w:rsidRDefault="005015FC" w:rsidP="005015FC">
      <w:r>
        <w:t xml:space="preserve">Email Address: </w:t>
      </w:r>
      <w:r w:rsidR="002422BA">
        <w:tab/>
      </w:r>
      <w:r w:rsidR="002422BA">
        <w:tab/>
      </w:r>
      <w:r w:rsidR="002422BA" w:rsidRPr="002422BA">
        <w:rPr>
          <w:b/>
          <w:bCs/>
        </w:rPr>
        <w:t>dprice@kbic-nsn.gov</w:t>
      </w:r>
    </w:p>
    <w:p w14:paraId="349D651B" w14:textId="511B0739" w:rsidR="005015FC" w:rsidRDefault="005015FC" w:rsidP="00FA6F8D">
      <w:r>
        <w:t xml:space="preserve">TYPE OF APPLICATION: </w:t>
      </w:r>
      <w:r w:rsidR="00FA6F8D">
        <w:tab/>
      </w:r>
      <w:r w:rsidRPr="00FA6F8D">
        <w:rPr>
          <w:b/>
          <w:bCs/>
        </w:rPr>
        <w:t>Individual Applicant</w:t>
      </w:r>
      <w:r>
        <w:t xml:space="preserve">  </w:t>
      </w:r>
    </w:p>
    <w:p w14:paraId="4F32DE13" w14:textId="61CE4742" w:rsidR="005015FC" w:rsidRPr="0096184E" w:rsidRDefault="005015FC" w:rsidP="005015FC">
      <w:pPr>
        <w:rPr>
          <w:b/>
          <w:bCs/>
        </w:rPr>
      </w:pPr>
      <w:r>
        <w:t xml:space="preserve">FUNDING REQUESTED: </w:t>
      </w:r>
      <w:r w:rsidR="0096184E">
        <w:tab/>
      </w:r>
      <w:r w:rsidR="00D02C67" w:rsidRPr="00D02C67">
        <w:rPr>
          <w:b/>
          <w:bCs/>
        </w:rPr>
        <w:t xml:space="preserve">$43,055,451 </w:t>
      </w:r>
    </w:p>
    <w:p w14:paraId="2161B6BE" w14:textId="1D812D3B" w:rsidR="005015FC" w:rsidRDefault="005015FC" w:rsidP="005015FC">
      <w:r>
        <w:t xml:space="preserve">APPLICATION TITLE: </w:t>
      </w:r>
      <w:r w:rsidR="003D0831">
        <w:tab/>
      </w:r>
      <w:r w:rsidR="003D0831">
        <w:tab/>
      </w:r>
      <w:r w:rsidR="003D0831">
        <w:rPr>
          <w:b/>
          <w:bCs/>
        </w:rPr>
        <w:t>KBIC Climate Pollution Reduction Grant</w:t>
      </w:r>
      <w:r>
        <w:t xml:space="preserve">  </w:t>
      </w:r>
    </w:p>
    <w:p w14:paraId="3CAC6314" w14:textId="77777777" w:rsidR="005015FC" w:rsidRDefault="005015FC" w:rsidP="005015FC"/>
    <w:p w14:paraId="64C61E0E" w14:textId="77777777" w:rsidR="00260F51" w:rsidRDefault="005015FC" w:rsidP="005015FC">
      <w:r>
        <w:t xml:space="preserve">BRIEF DESCRIPTION OF GHG MEASURES: </w:t>
      </w:r>
    </w:p>
    <w:p w14:paraId="0BD33784" w14:textId="248798CF" w:rsidR="005015FC" w:rsidRDefault="003A4F2B" w:rsidP="005015FC">
      <w:r>
        <w:rPr>
          <w:b/>
          <w:bCs/>
        </w:rPr>
        <w:t xml:space="preserve">GHG </w:t>
      </w:r>
      <w:r w:rsidR="006435B9">
        <w:rPr>
          <w:b/>
          <w:bCs/>
        </w:rPr>
        <w:t>will be reduced through energy generation of microgrids and rooftop residential solar</w:t>
      </w:r>
      <w:r w:rsidR="003329F0">
        <w:rPr>
          <w:b/>
          <w:bCs/>
        </w:rPr>
        <w:t xml:space="preserve"> and the reduction of </w:t>
      </w:r>
      <w:r w:rsidR="00A76F5F">
        <w:rPr>
          <w:b/>
          <w:bCs/>
        </w:rPr>
        <w:t xml:space="preserve">consumption by both government and residential buildings.  </w:t>
      </w:r>
      <w:r w:rsidR="006031DE">
        <w:rPr>
          <w:b/>
          <w:bCs/>
        </w:rPr>
        <w:t>In addition, the</w:t>
      </w:r>
      <w:r w:rsidR="003565B1">
        <w:rPr>
          <w:b/>
          <w:bCs/>
        </w:rPr>
        <w:t>re will be charging stations constructed, EV purchased, and carbon sequestration</w:t>
      </w:r>
      <w:r w:rsidR="00966453">
        <w:rPr>
          <w:b/>
          <w:bCs/>
        </w:rPr>
        <w:t xml:space="preserve"> through planting trees.  </w:t>
      </w:r>
    </w:p>
    <w:p w14:paraId="0A56D961" w14:textId="51088E54" w:rsidR="005015FC" w:rsidRDefault="005015FC" w:rsidP="005015FC">
      <w:r>
        <w:t xml:space="preserve">SECTORS: </w:t>
      </w:r>
      <w:r w:rsidR="00422C2C">
        <w:rPr>
          <w:b/>
          <w:bCs/>
        </w:rPr>
        <w:t xml:space="preserve">Power, Commercial &amp; Residential Buildings, </w:t>
      </w:r>
      <w:r w:rsidR="00144EB9">
        <w:rPr>
          <w:b/>
          <w:bCs/>
        </w:rPr>
        <w:t>Transportation</w:t>
      </w:r>
      <w:r w:rsidR="00422C2C">
        <w:rPr>
          <w:b/>
          <w:bCs/>
        </w:rPr>
        <w:t xml:space="preserve">, </w:t>
      </w:r>
      <w:r w:rsidR="007D197A">
        <w:rPr>
          <w:b/>
          <w:bCs/>
        </w:rPr>
        <w:t xml:space="preserve">Forestry </w:t>
      </w:r>
      <w:r>
        <w:t xml:space="preserve"> </w:t>
      </w:r>
    </w:p>
    <w:p w14:paraId="40DE269F" w14:textId="77777777" w:rsidR="005015FC" w:rsidRDefault="005015FC" w:rsidP="005015FC">
      <w:r>
        <w:t xml:space="preserve">EXPECTED TOTAL CUMULATIVE GHG EMISSION REDUCTIONS </w:t>
      </w:r>
    </w:p>
    <w:p w14:paraId="257C6713" w14:textId="371A3075" w:rsidR="005015FC" w:rsidRPr="00E91544" w:rsidRDefault="005015FC" w:rsidP="005015FC">
      <w:r>
        <w:t xml:space="preserve">For all proposed measures combined, provide the estimated cumulative GHG reductions:  Estimated cumulative GHG reductions for 2025-2030 (in metric tons):  </w:t>
      </w:r>
      <w:r w:rsidR="000869C5" w:rsidRPr="00E91544">
        <w:rPr>
          <w:b/>
          <w:bCs/>
        </w:rPr>
        <w:t>6</w:t>
      </w:r>
      <w:r w:rsidR="00B51B6D" w:rsidRPr="00E91544">
        <w:rPr>
          <w:b/>
          <w:bCs/>
        </w:rPr>
        <w:t>,798</w:t>
      </w:r>
      <w:r w:rsidR="00E91544" w:rsidRPr="00E91544">
        <w:rPr>
          <w:b/>
          <w:bCs/>
        </w:rPr>
        <w:t xml:space="preserve"> MT CO</w:t>
      </w:r>
      <w:r w:rsidR="00E91544" w:rsidRPr="00E91544">
        <w:rPr>
          <w:b/>
          <w:bCs/>
          <w:vertAlign w:val="subscript"/>
        </w:rPr>
        <w:t>2</w:t>
      </w:r>
      <w:r w:rsidR="00E91544" w:rsidRPr="00E91544">
        <w:rPr>
          <w:b/>
          <w:bCs/>
        </w:rPr>
        <w:t xml:space="preserve"> equivalents</w:t>
      </w:r>
    </w:p>
    <w:p w14:paraId="308AF80E" w14:textId="74F24452" w:rsidR="005015FC" w:rsidRPr="008179DE" w:rsidRDefault="005015FC" w:rsidP="005015FC">
      <w:pPr>
        <w:rPr>
          <w:b/>
          <w:bCs/>
        </w:rPr>
      </w:pPr>
      <w:r>
        <w:t xml:space="preserve">Estimated cumulative GHG reductions from 2025-2050 (in metric tons):  </w:t>
      </w:r>
      <w:r w:rsidR="00E91544" w:rsidRPr="008179DE">
        <w:rPr>
          <w:b/>
          <w:bCs/>
        </w:rPr>
        <w:t>135,568 MT CO</w:t>
      </w:r>
      <w:r w:rsidR="008179DE" w:rsidRPr="008179DE">
        <w:rPr>
          <w:b/>
          <w:bCs/>
          <w:vertAlign w:val="subscript"/>
        </w:rPr>
        <w:t xml:space="preserve">2 </w:t>
      </w:r>
      <w:r w:rsidR="008179DE" w:rsidRPr="008179DE">
        <w:rPr>
          <w:b/>
          <w:bCs/>
        </w:rPr>
        <w:t>equivalents</w:t>
      </w:r>
    </w:p>
    <w:p w14:paraId="68C9AA51" w14:textId="5A7808A8" w:rsidR="005015FC" w:rsidRDefault="005015FC" w:rsidP="005015FC">
      <w:r>
        <w:t>LOCATIONS:</w:t>
      </w:r>
      <w:r w:rsidRPr="000B65EC">
        <w:rPr>
          <w:b/>
          <w:bCs/>
        </w:rPr>
        <w:t xml:space="preserve"> </w:t>
      </w:r>
      <w:r w:rsidR="0093378D" w:rsidRPr="000B65EC">
        <w:rPr>
          <w:b/>
          <w:bCs/>
        </w:rPr>
        <w:t>L’Anse &amp; Ba</w:t>
      </w:r>
      <w:r w:rsidR="000B65EC" w:rsidRPr="000B65EC">
        <w:rPr>
          <w:b/>
          <w:bCs/>
        </w:rPr>
        <w:t>raga, MI,</w:t>
      </w:r>
      <w:r w:rsidR="000B65EC">
        <w:rPr>
          <w:b/>
          <w:bCs/>
        </w:rPr>
        <w:t xml:space="preserve"> </w:t>
      </w:r>
      <w:r w:rsidR="000B65EC" w:rsidRPr="000B65EC">
        <w:rPr>
          <w:b/>
          <w:bCs/>
        </w:rPr>
        <w:t>Keweenaw Bay Indian Community</w:t>
      </w:r>
      <w:r>
        <w:t xml:space="preserve"> </w:t>
      </w:r>
    </w:p>
    <w:p w14:paraId="2C348FF7" w14:textId="77777777" w:rsidR="005015FC" w:rsidRDefault="005015FC" w:rsidP="005015FC">
      <w:r>
        <w:t xml:space="preserve">APPLICABLE PRIORITY CLIMATE ACTION PLAN(S) (PCAP) ON WHICH MEASURES ARE </w:t>
      </w:r>
      <w:proofErr w:type="gramStart"/>
      <w:r>
        <w:t>BASED  PCAP</w:t>
      </w:r>
      <w:proofErr w:type="gramEnd"/>
      <w:r>
        <w:t xml:space="preserve"> Lead Organization(s):  </w:t>
      </w:r>
    </w:p>
    <w:p w14:paraId="7783C21B" w14:textId="7DD460BF" w:rsidR="005015FC" w:rsidRPr="00036202" w:rsidRDefault="005015FC" w:rsidP="005015FC">
      <w:pPr>
        <w:rPr>
          <w:b/>
          <w:bCs/>
        </w:rPr>
      </w:pPr>
      <w:r>
        <w:t xml:space="preserve">PCAP Title(s):  </w:t>
      </w:r>
      <w:r w:rsidR="00036202">
        <w:rPr>
          <w:b/>
          <w:bCs/>
        </w:rPr>
        <w:t>Keweenaw Bay Indian Community Priority Climate Action Plan</w:t>
      </w:r>
    </w:p>
    <w:p w14:paraId="14BA7BAC" w14:textId="2C9063C3" w:rsidR="005015FC" w:rsidRDefault="005015FC" w:rsidP="005015FC">
      <w:r>
        <w:t xml:space="preserve">PCAP Website link(s) (if applicable):  </w:t>
      </w:r>
      <w:hyperlink r:id="rId4" w:history="1">
        <w:r w:rsidR="00036202" w:rsidRPr="00036202">
          <w:rPr>
            <w:rStyle w:val="Hyperlink"/>
          </w:rPr>
          <w:t>Keweenaw Bay Indian Community Priority Climate Action Plan (epa.gov)</w:t>
        </w:r>
      </w:hyperlink>
    </w:p>
    <w:p w14:paraId="07A99FE9" w14:textId="512744AF" w:rsidR="00317EA5" w:rsidRDefault="005015FC" w:rsidP="005015FC">
      <w:r>
        <w:t>List of GHG reduction measures and PCAP page reference for each measure: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"/>
        <w:gridCol w:w="7159"/>
        <w:gridCol w:w="1251"/>
      </w:tblGrid>
      <w:tr w:rsidR="006A6D94" w:rsidRPr="000243A3" w14:paraId="6AFDCC14" w14:textId="1359B728" w:rsidTr="006A6D94">
        <w:trPr>
          <w:trHeight w:val="264"/>
        </w:trPr>
        <w:tc>
          <w:tcPr>
            <w:tcW w:w="940" w:type="dxa"/>
            <w:noWrap/>
            <w:hideMark/>
          </w:tcPr>
          <w:p w14:paraId="17B46D14" w14:textId="77777777" w:rsidR="006A6D94" w:rsidRPr="000243A3" w:rsidRDefault="006A6D94">
            <w:pPr>
              <w:rPr>
                <w:b/>
                <w:bCs/>
              </w:rPr>
            </w:pPr>
          </w:p>
        </w:tc>
        <w:tc>
          <w:tcPr>
            <w:tcW w:w="7159" w:type="dxa"/>
            <w:noWrap/>
            <w:hideMark/>
          </w:tcPr>
          <w:p w14:paraId="7FC95CE5" w14:textId="77777777" w:rsidR="006A6D94" w:rsidRPr="000243A3" w:rsidRDefault="006A6D94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Reduction Measure</w:t>
            </w:r>
          </w:p>
        </w:tc>
        <w:tc>
          <w:tcPr>
            <w:tcW w:w="1251" w:type="dxa"/>
          </w:tcPr>
          <w:p w14:paraId="73D44727" w14:textId="5F658263" w:rsidR="006A6D94" w:rsidRPr="000243A3" w:rsidRDefault="006A6D94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Page #</w:t>
            </w:r>
          </w:p>
        </w:tc>
      </w:tr>
      <w:tr w:rsidR="006A6D94" w:rsidRPr="000243A3" w14:paraId="740E8813" w14:textId="0C2DE347" w:rsidTr="006A6D94">
        <w:trPr>
          <w:trHeight w:val="264"/>
        </w:trPr>
        <w:tc>
          <w:tcPr>
            <w:tcW w:w="940" w:type="dxa"/>
            <w:noWrap/>
            <w:hideMark/>
          </w:tcPr>
          <w:p w14:paraId="258B0418" w14:textId="77777777" w:rsidR="006A6D94" w:rsidRPr="000243A3" w:rsidRDefault="006A6D94" w:rsidP="00CD41B1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1</w:t>
            </w:r>
          </w:p>
        </w:tc>
        <w:tc>
          <w:tcPr>
            <w:tcW w:w="7159" w:type="dxa"/>
            <w:noWrap/>
            <w:hideMark/>
          </w:tcPr>
          <w:p w14:paraId="6128C4B0" w14:textId="77777777" w:rsidR="006A6D94" w:rsidRPr="000243A3" w:rsidRDefault="006A6D94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Energy Sector-</w:t>
            </w:r>
            <w:proofErr w:type="gramStart"/>
            <w:r w:rsidRPr="000243A3">
              <w:rPr>
                <w:b/>
                <w:bCs/>
              </w:rPr>
              <w:t>Install  2</w:t>
            </w:r>
            <w:proofErr w:type="gramEnd"/>
            <w:r w:rsidRPr="000243A3">
              <w:rPr>
                <w:b/>
                <w:bCs/>
              </w:rPr>
              <w:t>-300 kW Solar PV Microgrid- NRD Complex, Police/Pines</w:t>
            </w:r>
          </w:p>
        </w:tc>
        <w:tc>
          <w:tcPr>
            <w:tcW w:w="1251" w:type="dxa"/>
          </w:tcPr>
          <w:p w14:paraId="5774E100" w14:textId="6EF857D1" w:rsidR="006A6D94" w:rsidRPr="000243A3" w:rsidRDefault="006A6D94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18-</w:t>
            </w:r>
            <w:r w:rsidR="006908D6" w:rsidRPr="000243A3">
              <w:rPr>
                <w:b/>
                <w:bCs/>
              </w:rPr>
              <w:t>20</w:t>
            </w:r>
          </w:p>
        </w:tc>
      </w:tr>
      <w:tr w:rsidR="006A6D94" w:rsidRPr="000243A3" w14:paraId="34E2AF9B" w14:textId="44007DA4" w:rsidTr="006A6D94">
        <w:trPr>
          <w:trHeight w:val="264"/>
        </w:trPr>
        <w:tc>
          <w:tcPr>
            <w:tcW w:w="940" w:type="dxa"/>
            <w:noWrap/>
            <w:hideMark/>
          </w:tcPr>
          <w:p w14:paraId="6C872F92" w14:textId="77777777" w:rsidR="006A6D94" w:rsidRPr="000243A3" w:rsidRDefault="006A6D94" w:rsidP="00CD41B1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2</w:t>
            </w:r>
          </w:p>
        </w:tc>
        <w:tc>
          <w:tcPr>
            <w:tcW w:w="7159" w:type="dxa"/>
            <w:noWrap/>
            <w:hideMark/>
          </w:tcPr>
          <w:p w14:paraId="1938D8D2" w14:textId="77777777" w:rsidR="006A6D94" w:rsidRPr="000243A3" w:rsidRDefault="006A6D94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Energy Sector-Install 4kw w storage Residential homes</w:t>
            </w:r>
          </w:p>
        </w:tc>
        <w:tc>
          <w:tcPr>
            <w:tcW w:w="1251" w:type="dxa"/>
          </w:tcPr>
          <w:p w14:paraId="61E0CA47" w14:textId="77BA7E99" w:rsidR="006A6D94" w:rsidRPr="000243A3" w:rsidRDefault="006908D6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20-21</w:t>
            </w:r>
          </w:p>
        </w:tc>
      </w:tr>
      <w:tr w:rsidR="006A6D94" w:rsidRPr="000243A3" w14:paraId="22310E8B" w14:textId="0EFB42D8" w:rsidTr="006A6D94">
        <w:trPr>
          <w:trHeight w:val="264"/>
        </w:trPr>
        <w:tc>
          <w:tcPr>
            <w:tcW w:w="940" w:type="dxa"/>
            <w:noWrap/>
            <w:hideMark/>
          </w:tcPr>
          <w:p w14:paraId="77779370" w14:textId="77777777" w:rsidR="006A6D94" w:rsidRPr="000243A3" w:rsidRDefault="006A6D94" w:rsidP="00CD41B1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3</w:t>
            </w:r>
          </w:p>
        </w:tc>
        <w:tc>
          <w:tcPr>
            <w:tcW w:w="7159" w:type="dxa"/>
            <w:noWrap/>
            <w:hideMark/>
          </w:tcPr>
          <w:p w14:paraId="4160307D" w14:textId="77777777" w:rsidR="006A6D94" w:rsidRPr="000243A3" w:rsidRDefault="006A6D94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 xml:space="preserve">Building Sector-Weatherize Govt. Buildings </w:t>
            </w:r>
          </w:p>
        </w:tc>
        <w:tc>
          <w:tcPr>
            <w:tcW w:w="1251" w:type="dxa"/>
          </w:tcPr>
          <w:p w14:paraId="58401F6D" w14:textId="79B5FF31" w:rsidR="006A6D94" w:rsidRPr="000243A3" w:rsidRDefault="00905B1B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21</w:t>
            </w:r>
          </w:p>
        </w:tc>
      </w:tr>
      <w:tr w:rsidR="006A6D94" w:rsidRPr="000243A3" w14:paraId="39F32EFE" w14:textId="22B9FC0C" w:rsidTr="006A6D94">
        <w:trPr>
          <w:trHeight w:val="264"/>
        </w:trPr>
        <w:tc>
          <w:tcPr>
            <w:tcW w:w="940" w:type="dxa"/>
            <w:noWrap/>
            <w:hideMark/>
          </w:tcPr>
          <w:p w14:paraId="4F07A9E3" w14:textId="77777777" w:rsidR="006A6D94" w:rsidRPr="000243A3" w:rsidRDefault="006A6D94" w:rsidP="00CD41B1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lastRenderedPageBreak/>
              <w:t>4</w:t>
            </w:r>
          </w:p>
        </w:tc>
        <w:tc>
          <w:tcPr>
            <w:tcW w:w="7159" w:type="dxa"/>
            <w:noWrap/>
            <w:hideMark/>
          </w:tcPr>
          <w:p w14:paraId="740D3690" w14:textId="77777777" w:rsidR="006A6D94" w:rsidRPr="000243A3" w:rsidRDefault="006A6D94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Building Sector-Weatherize Residential Buildings</w:t>
            </w:r>
          </w:p>
        </w:tc>
        <w:tc>
          <w:tcPr>
            <w:tcW w:w="1251" w:type="dxa"/>
          </w:tcPr>
          <w:p w14:paraId="54072935" w14:textId="539704EC" w:rsidR="006A6D94" w:rsidRPr="000243A3" w:rsidRDefault="00905B1B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21-22</w:t>
            </w:r>
          </w:p>
        </w:tc>
      </w:tr>
      <w:tr w:rsidR="006A6D94" w:rsidRPr="000243A3" w14:paraId="2F2D9EA6" w14:textId="51CC7643" w:rsidTr="006A6D94">
        <w:trPr>
          <w:trHeight w:val="264"/>
        </w:trPr>
        <w:tc>
          <w:tcPr>
            <w:tcW w:w="940" w:type="dxa"/>
            <w:noWrap/>
            <w:hideMark/>
          </w:tcPr>
          <w:p w14:paraId="415EA9B4" w14:textId="77777777" w:rsidR="006A6D94" w:rsidRPr="000243A3" w:rsidRDefault="006A6D94" w:rsidP="00CD41B1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5</w:t>
            </w:r>
          </w:p>
        </w:tc>
        <w:tc>
          <w:tcPr>
            <w:tcW w:w="7159" w:type="dxa"/>
            <w:noWrap/>
            <w:hideMark/>
          </w:tcPr>
          <w:p w14:paraId="67A139A7" w14:textId="77777777" w:rsidR="006A6D94" w:rsidRPr="000243A3" w:rsidRDefault="006A6D94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Building Sector-Energy Star Appliances</w:t>
            </w:r>
          </w:p>
        </w:tc>
        <w:tc>
          <w:tcPr>
            <w:tcW w:w="1251" w:type="dxa"/>
          </w:tcPr>
          <w:p w14:paraId="2BE1DB0E" w14:textId="62518AF2" w:rsidR="006A6D94" w:rsidRPr="000243A3" w:rsidRDefault="00905B1B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22-23</w:t>
            </w:r>
          </w:p>
        </w:tc>
      </w:tr>
      <w:tr w:rsidR="006A6D94" w:rsidRPr="000243A3" w14:paraId="4362EFE0" w14:textId="0C2BF9D2" w:rsidTr="006A6D94">
        <w:trPr>
          <w:trHeight w:val="264"/>
        </w:trPr>
        <w:tc>
          <w:tcPr>
            <w:tcW w:w="940" w:type="dxa"/>
            <w:noWrap/>
            <w:hideMark/>
          </w:tcPr>
          <w:p w14:paraId="042C1E20" w14:textId="77777777" w:rsidR="006A6D94" w:rsidRPr="000243A3" w:rsidRDefault="006A6D94" w:rsidP="00CD41B1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6</w:t>
            </w:r>
          </w:p>
        </w:tc>
        <w:tc>
          <w:tcPr>
            <w:tcW w:w="7159" w:type="dxa"/>
            <w:noWrap/>
            <w:hideMark/>
          </w:tcPr>
          <w:p w14:paraId="2B8C609B" w14:textId="77777777" w:rsidR="006A6D94" w:rsidRPr="000243A3" w:rsidRDefault="006A6D94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Building Sector-Electrifying heat equipment</w:t>
            </w:r>
          </w:p>
        </w:tc>
        <w:tc>
          <w:tcPr>
            <w:tcW w:w="1251" w:type="dxa"/>
          </w:tcPr>
          <w:p w14:paraId="0E1BA6C3" w14:textId="213F4066" w:rsidR="006A6D94" w:rsidRPr="000243A3" w:rsidRDefault="00905B1B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23</w:t>
            </w:r>
          </w:p>
        </w:tc>
      </w:tr>
      <w:tr w:rsidR="006A6D94" w:rsidRPr="000243A3" w14:paraId="3D2DD4C9" w14:textId="6BB58FA6" w:rsidTr="006A6D94">
        <w:trPr>
          <w:trHeight w:val="264"/>
        </w:trPr>
        <w:tc>
          <w:tcPr>
            <w:tcW w:w="940" w:type="dxa"/>
            <w:noWrap/>
            <w:hideMark/>
          </w:tcPr>
          <w:p w14:paraId="45994ED9" w14:textId="77777777" w:rsidR="006A6D94" w:rsidRPr="000243A3" w:rsidRDefault="006A6D94" w:rsidP="00CD41B1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7</w:t>
            </w:r>
          </w:p>
        </w:tc>
        <w:tc>
          <w:tcPr>
            <w:tcW w:w="7159" w:type="dxa"/>
            <w:noWrap/>
            <w:hideMark/>
          </w:tcPr>
          <w:p w14:paraId="2572B8F2" w14:textId="77777777" w:rsidR="006A6D94" w:rsidRPr="000243A3" w:rsidRDefault="006A6D94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Building Sector-Utility formation &amp; Code development</w:t>
            </w:r>
          </w:p>
        </w:tc>
        <w:tc>
          <w:tcPr>
            <w:tcW w:w="1251" w:type="dxa"/>
          </w:tcPr>
          <w:p w14:paraId="2F54B83C" w14:textId="2A9AFA22" w:rsidR="006A6D94" w:rsidRPr="000243A3" w:rsidRDefault="00712F35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24</w:t>
            </w:r>
          </w:p>
        </w:tc>
      </w:tr>
      <w:tr w:rsidR="006A6D94" w:rsidRPr="000243A3" w14:paraId="5EFAF727" w14:textId="31FD4D39" w:rsidTr="006A6D94">
        <w:trPr>
          <w:trHeight w:val="264"/>
        </w:trPr>
        <w:tc>
          <w:tcPr>
            <w:tcW w:w="940" w:type="dxa"/>
            <w:noWrap/>
            <w:hideMark/>
          </w:tcPr>
          <w:p w14:paraId="2248F7B1" w14:textId="77777777" w:rsidR="006A6D94" w:rsidRPr="000243A3" w:rsidRDefault="006A6D94" w:rsidP="00CD41B1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8</w:t>
            </w:r>
          </w:p>
        </w:tc>
        <w:tc>
          <w:tcPr>
            <w:tcW w:w="7159" w:type="dxa"/>
            <w:noWrap/>
            <w:hideMark/>
          </w:tcPr>
          <w:p w14:paraId="6452FE84" w14:textId="77777777" w:rsidR="006A6D94" w:rsidRPr="000243A3" w:rsidRDefault="006A6D94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Building Sector-Electrifying heat equipment</w:t>
            </w:r>
          </w:p>
        </w:tc>
        <w:tc>
          <w:tcPr>
            <w:tcW w:w="1251" w:type="dxa"/>
          </w:tcPr>
          <w:p w14:paraId="5D885FB8" w14:textId="5E9C6719" w:rsidR="006A6D94" w:rsidRPr="000243A3" w:rsidRDefault="00712F35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25-25</w:t>
            </w:r>
          </w:p>
        </w:tc>
      </w:tr>
      <w:tr w:rsidR="006A6D94" w:rsidRPr="000243A3" w14:paraId="6A979421" w14:textId="3CF58537" w:rsidTr="006A6D94">
        <w:trPr>
          <w:trHeight w:val="264"/>
        </w:trPr>
        <w:tc>
          <w:tcPr>
            <w:tcW w:w="940" w:type="dxa"/>
            <w:noWrap/>
            <w:hideMark/>
          </w:tcPr>
          <w:p w14:paraId="5CE86DE8" w14:textId="77777777" w:rsidR="006A6D94" w:rsidRPr="000243A3" w:rsidRDefault="006A6D94" w:rsidP="00CD41B1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9</w:t>
            </w:r>
          </w:p>
        </w:tc>
        <w:tc>
          <w:tcPr>
            <w:tcW w:w="7159" w:type="dxa"/>
            <w:noWrap/>
            <w:hideMark/>
          </w:tcPr>
          <w:p w14:paraId="5BCD35D8" w14:textId="77777777" w:rsidR="006A6D94" w:rsidRPr="000243A3" w:rsidRDefault="006A6D94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 xml:space="preserve">Transportation Sector-Replace Fleet with 10 EV </w:t>
            </w:r>
            <w:proofErr w:type="gramStart"/>
            <w:r w:rsidRPr="000243A3">
              <w:rPr>
                <w:b/>
                <w:bCs/>
              </w:rPr>
              <w:t>+  5</w:t>
            </w:r>
            <w:proofErr w:type="gramEnd"/>
            <w:r w:rsidRPr="000243A3">
              <w:rPr>
                <w:b/>
                <w:bCs/>
              </w:rPr>
              <w:t xml:space="preserve"> charging station</w:t>
            </w:r>
          </w:p>
        </w:tc>
        <w:tc>
          <w:tcPr>
            <w:tcW w:w="1251" w:type="dxa"/>
          </w:tcPr>
          <w:p w14:paraId="320467C6" w14:textId="04765A2E" w:rsidR="006A6D94" w:rsidRPr="000243A3" w:rsidRDefault="00712F35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25</w:t>
            </w:r>
          </w:p>
        </w:tc>
      </w:tr>
      <w:tr w:rsidR="006A6D94" w:rsidRPr="000243A3" w14:paraId="0EBD7ABD" w14:textId="5110F4F0" w:rsidTr="006A6D94">
        <w:trPr>
          <w:trHeight w:val="264"/>
        </w:trPr>
        <w:tc>
          <w:tcPr>
            <w:tcW w:w="940" w:type="dxa"/>
            <w:noWrap/>
            <w:hideMark/>
          </w:tcPr>
          <w:p w14:paraId="541AAF12" w14:textId="77777777" w:rsidR="006A6D94" w:rsidRPr="000243A3" w:rsidRDefault="006A6D94" w:rsidP="00CD41B1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10</w:t>
            </w:r>
          </w:p>
        </w:tc>
        <w:tc>
          <w:tcPr>
            <w:tcW w:w="7159" w:type="dxa"/>
            <w:noWrap/>
            <w:hideMark/>
          </w:tcPr>
          <w:p w14:paraId="1EBB33C3" w14:textId="77777777" w:rsidR="006A6D94" w:rsidRPr="000243A3" w:rsidRDefault="006A6D94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Forestry Sector Measures</w:t>
            </w:r>
          </w:p>
        </w:tc>
        <w:tc>
          <w:tcPr>
            <w:tcW w:w="1251" w:type="dxa"/>
          </w:tcPr>
          <w:p w14:paraId="129178DA" w14:textId="7B2F5AB3" w:rsidR="006A6D94" w:rsidRPr="000243A3" w:rsidRDefault="000243A3">
            <w:pPr>
              <w:rPr>
                <w:b/>
                <w:bCs/>
              </w:rPr>
            </w:pPr>
            <w:r w:rsidRPr="000243A3">
              <w:rPr>
                <w:b/>
                <w:bCs/>
              </w:rPr>
              <w:t>26</w:t>
            </w:r>
          </w:p>
        </w:tc>
      </w:tr>
    </w:tbl>
    <w:p w14:paraId="4A501516" w14:textId="77777777" w:rsidR="00CD41B1" w:rsidRPr="000243A3" w:rsidRDefault="00CD41B1" w:rsidP="005015FC">
      <w:pPr>
        <w:rPr>
          <w:b/>
          <w:bCs/>
        </w:rPr>
      </w:pPr>
    </w:p>
    <w:sectPr w:rsidR="00CD41B1" w:rsidRPr="00024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CB2"/>
    <w:rsid w:val="000243A3"/>
    <w:rsid w:val="00036202"/>
    <w:rsid w:val="000869C5"/>
    <w:rsid w:val="000B65EC"/>
    <w:rsid w:val="00120AC1"/>
    <w:rsid w:val="00144EB9"/>
    <w:rsid w:val="002422BA"/>
    <w:rsid w:val="00260F51"/>
    <w:rsid w:val="00317EA5"/>
    <w:rsid w:val="003329F0"/>
    <w:rsid w:val="003565B1"/>
    <w:rsid w:val="003A4F2B"/>
    <w:rsid w:val="003D0831"/>
    <w:rsid w:val="00422C2C"/>
    <w:rsid w:val="005015FC"/>
    <w:rsid w:val="005253A1"/>
    <w:rsid w:val="00574AE9"/>
    <w:rsid w:val="00581CD2"/>
    <w:rsid w:val="005D5751"/>
    <w:rsid w:val="006031DE"/>
    <w:rsid w:val="006435B9"/>
    <w:rsid w:val="00686CB2"/>
    <w:rsid w:val="006908D6"/>
    <w:rsid w:val="006A6D94"/>
    <w:rsid w:val="00706797"/>
    <w:rsid w:val="00712F35"/>
    <w:rsid w:val="007D197A"/>
    <w:rsid w:val="008179DE"/>
    <w:rsid w:val="00860BD5"/>
    <w:rsid w:val="00876D3A"/>
    <w:rsid w:val="00905B1B"/>
    <w:rsid w:val="0093378D"/>
    <w:rsid w:val="0096184E"/>
    <w:rsid w:val="00966453"/>
    <w:rsid w:val="00A76F5F"/>
    <w:rsid w:val="00B11679"/>
    <w:rsid w:val="00B51B6D"/>
    <w:rsid w:val="00B7285D"/>
    <w:rsid w:val="00CD41B1"/>
    <w:rsid w:val="00D02C67"/>
    <w:rsid w:val="00D54C38"/>
    <w:rsid w:val="00E31F2A"/>
    <w:rsid w:val="00E91544"/>
    <w:rsid w:val="00F53363"/>
    <w:rsid w:val="00FA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98036"/>
  <w15:chartTrackingRefBased/>
  <w15:docId w15:val="{8A6422FD-D546-490C-B7C6-01FA6E09A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6C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C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C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C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C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C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C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C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C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C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C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C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C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C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C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C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C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C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6C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6C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C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6C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6C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6C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6C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6C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C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C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6CB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02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620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2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pa.gov/system/files/documents/2024-03/kbic-pc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Smith</dc:creator>
  <cp:keywords/>
  <dc:description/>
  <cp:lastModifiedBy>Cindy Cowell</cp:lastModifiedBy>
  <cp:revision>2</cp:revision>
  <dcterms:created xsi:type="dcterms:W3CDTF">2024-04-02T01:46:00Z</dcterms:created>
  <dcterms:modified xsi:type="dcterms:W3CDTF">2024-04-02T01:46:00Z</dcterms:modified>
</cp:coreProperties>
</file>