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01F898" w14:textId="77777777" w:rsidR="004C510F" w:rsidRDefault="004C510F">
      <w:pPr>
        <w:spacing w:line="240" w:lineRule="auto"/>
        <w:jc w:val="center"/>
        <w:rPr>
          <w:rFonts w:ascii="Calibri" w:eastAsia="Calibri" w:hAnsi="Calibri" w:cs="Calibri"/>
          <w:b/>
          <w:sz w:val="22"/>
          <w:szCs w:val="22"/>
        </w:rPr>
      </w:pPr>
      <w:bookmarkStart w:id="0" w:name="_GoBack"/>
      <w:bookmarkEnd w:id="0"/>
    </w:p>
    <w:p w14:paraId="3901F89A" w14:textId="77777777" w:rsidR="004C510F" w:rsidRDefault="004C510F" w:rsidP="00E51A9F">
      <w:pPr>
        <w:spacing w:line="240" w:lineRule="auto"/>
        <w:rPr>
          <w:rFonts w:ascii="Calibri" w:eastAsia="Calibri" w:hAnsi="Calibri" w:cs="Calibri"/>
          <w:b/>
          <w:sz w:val="22"/>
          <w:szCs w:val="22"/>
        </w:rPr>
      </w:pPr>
    </w:p>
    <w:p w14:paraId="3901F89C" w14:textId="3B68F00E" w:rsidR="004C510F" w:rsidRPr="0086398B" w:rsidRDefault="001411A9" w:rsidP="0086398B">
      <w:pPr>
        <w:spacing w:line="240" w:lineRule="auto"/>
        <w:jc w:val="center"/>
        <w:rPr>
          <w:rFonts w:ascii="Calibri" w:eastAsia="Calibri" w:hAnsi="Calibri" w:cs="Calibri"/>
          <w:b/>
          <w:sz w:val="22"/>
          <w:szCs w:val="22"/>
        </w:rPr>
      </w:pPr>
      <w:r>
        <w:rPr>
          <w:rFonts w:ascii="Calibri" w:eastAsia="Calibri" w:hAnsi="Calibri" w:cs="Calibri"/>
          <w:b/>
          <w:sz w:val="22"/>
          <w:szCs w:val="22"/>
        </w:rPr>
        <w:t>Technical Appendix</w:t>
      </w:r>
      <w:bookmarkStart w:id="1" w:name="_heading=h.21ft09xpa9on" w:colFirst="0" w:colLast="0"/>
      <w:bookmarkEnd w:id="1"/>
    </w:p>
    <w:p w14:paraId="5C99B934" w14:textId="27655CEE" w:rsidR="00F911EB" w:rsidRPr="001121A7" w:rsidRDefault="00751440">
      <w:pPr>
        <w:pStyle w:val="Heading2"/>
        <w:spacing w:line="240" w:lineRule="auto"/>
        <w:rPr>
          <w:rFonts w:ascii="Calibri" w:eastAsia="Calibri" w:hAnsi="Calibri" w:cs="Calibri"/>
          <w:b w:val="0"/>
          <w:sz w:val="22"/>
          <w:szCs w:val="22"/>
        </w:rPr>
      </w:pPr>
      <w:bookmarkStart w:id="2" w:name="_heading=h.9di037cpu7mf" w:colFirst="0" w:colLast="0"/>
      <w:bookmarkEnd w:id="2"/>
      <w:r w:rsidRPr="005819A6">
        <w:rPr>
          <w:rFonts w:ascii="Calibri" w:eastAsia="Calibri" w:hAnsi="Calibri" w:cs="Calibri"/>
          <w:color w:val="FF0000"/>
          <w:sz w:val="22"/>
          <w:szCs w:val="22"/>
        </w:rPr>
        <w:t xml:space="preserve">Measure 1-GHG emission reduction through the production of </w:t>
      </w:r>
      <w:r w:rsidR="002215A8" w:rsidRPr="005819A6">
        <w:rPr>
          <w:rFonts w:ascii="Calibri" w:eastAsia="Calibri" w:hAnsi="Calibri" w:cs="Calibri"/>
          <w:color w:val="FF0000"/>
          <w:sz w:val="22"/>
          <w:szCs w:val="22"/>
        </w:rPr>
        <w:t xml:space="preserve">power through </w:t>
      </w:r>
      <w:r w:rsidRPr="005819A6">
        <w:rPr>
          <w:rFonts w:ascii="Calibri" w:eastAsia="Calibri" w:hAnsi="Calibri" w:cs="Calibri"/>
          <w:color w:val="FF0000"/>
          <w:sz w:val="22"/>
          <w:szCs w:val="22"/>
        </w:rPr>
        <w:t xml:space="preserve">solar PV </w:t>
      </w:r>
      <w:r w:rsidR="004F7C10" w:rsidRPr="005819A6">
        <w:rPr>
          <w:rFonts w:ascii="Calibri" w:eastAsia="Calibri" w:hAnsi="Calibri" w:cs="Calibri"/>
          <w:color w:val="FF0000"/>
          <w:sz w:val="22"/>
          <w:szCs w:val="22"/>
        </w:rPr>
        <w:t xml:space="preserve">systems for three microgrids.  </w:t>
      </w:r>
      <w:r w:rsidR="001411A9" w:rsidRPr="005819A6">
        <w:rPr>
          <w:rFonts w:ascii="Calibri" w:eastAsia="Calibri" w:hAnsi="Calibri" w:cs="Calibri"/>
          <w:color w:val="FF0000"/>
          <w:sz w:val="22"/>
          <w:szCs w:val="22"/>
        </w:rPr>
        <w:t xml:space="preserve"> </w:t>
      </w:r>
      <w:r w:rsidR="007F22B3" w:rsidRPr="001121A7">
        <w:rPr>
          <w:rFonts w:ascii="Calibri" w:eastAsia="Calibri" w:hAnsi="Calibri" w:cs="Calibri"/>
          <w:b w:val="0"/>
          <w:sz w:val="22"/>
          <w:szCs w:val="22"/>
        </w:rPr>
        <w:t xml:space="preserve">Data </w:t>
      </w:r>
      <w:r w:rsidR="00E17E08" w:rsidRPr="001121A7">
        <w:rPr>
          <w:rFonts w:ascii="Calibri" w:eastAsia="Calibri" w:hAnsi="Calibri" w:cs="Calibri"/>
          <w:b w:val="0"/>
          <w:sz w:val="22"/>
          <w:szCs w:val="22"/>
        </w:rPr>
        <w:t xml:space="preserve">on electricity use </w:t>
      </w:r>
      <w:r w:rsidR="00F30962">
        <w:rPr>
          <w:rFonts w:ascii="Calibri" w:eastAsia="Calibri" w:hAnsi="Calibri" w:cs="Calibri"/>
          <w:b w:val="0"/>
          <w:sz w:val="22"/>
          <w:szCs w:val="22"/>
        </w:rPr>
        <w:t xml:space="preserve">for 2020 </w:t>
      </w:r>
      <w:r w:rsidR="00E17E08" w:rsidRPr="001121A7">
        <w:rPr>
          <w:rFonts w:ascii="Calibri" w:eastAsia="Calibri" w:hAnsi="Calibri" w:cs="Calibri"/>
          <w:b w:val="0"/>
          <w:sz w:val="22"/>
          <w:szCs w:val="22"/>
        </w:rPr>
        <w:t>was collected for each</w:t>
      </w:r>
      <w:r w:rsidR="00D64C38" w:rsidRPr="001121A7">
        <w:rPr>
          <w:rFonts w:ascii="Calibri" w:eastAsia="Calibri" w:hAnsi="Calibri" w:cs="Calibri"/>
          <w:b w:val="0"/>
          <w:sz w:val="22"/>
          <w:szCs w:val="22"/>
        </w:rPr>
        <w:t xml:space="preserve"> governmental</w:t>
      </w:r>
      <w:r w:rsidR="00E17E08" w:rsidRPr="001121A7">
        <w:rPr>
          <w:rFonts w:ascii="Calibri" w:eastAsia="Calibri" w:hAnsi="Calibri" w:cs="Calibri"/>
          <w:b w:val="0"/>
          <w:sz w:val="22"/>
          <w:szCs w:val="22"/>
        </w:rPr>
        <w:t xml:space="preserve"> building for 2020</w:t>
      </w:r>
      <w:r w:rsidR="009407EA" w:rsidRPr="001121A7">
        <w:rPr>
          <w:rFonts w:ascii="Calibri" w:eastAsia="Calibri" w:hAnsi="Calibri" w:cs="Calibri"/>
          <w:b w:val="0"/>
          <w:sz w:val="22"/>
          <w:szCs w:val="22"/>
        </w:rPr>
        <w:t xml:space="preserve">.  </w:t>
      </w:r>
      <w:r w:rsidR="000A21AD" w:rsidRPr="001121A7">
        <w:rPr>
          <w:rFonts w:ascii="Calibri" w:eastAsia="Calibri" w:hAnsi="Calibri" w:cs="Calibri"/>
          <w:b w:val="0"/>
          <w:sz w:val="22"/>
          <w:szCs w:val="22"/>
        </w:rPr>
        <w:t xml:space="preserve">The top ten buildings were </w:t>
      </w:r>
      <w:r w:rsidR="00E45C54" w:rsidRPr="001121A7">
        <w:rPr>
          <w:rFonts w:ascii="Calibri" w:eastAsia="Calibri" w:hAnsi="Calibri" w:cs="Calibri"/>
          <w:b w:val="0"/>
          <w:sz w:val="22"/>
          <w:szCs w:val="22"/>
        </w:rPr>
        <w:t xml:space="preserve">looked at for solar PV systems with battery storage to reduce ghg emission.  </w:t>
      </w:r>
      <w:r w:rsidR="00D64C38" w:rsidRPr="001121A7">
        <w:rPr>
          <w:rFonts w:ascii="Calibri" w:eastAsia="Calibri" w:hAnsi="Calibri" w:cs="Calibri"/>
          <w:b w:val="0"/>
          <w:sz w:val="22"/>
          <w:szCs w:val="22"/>
        </w:rPr>
        <w:t xml:space="preserve">Out of the top ten consumers, a grouping was done for buildings in </w:t>
      </w:r>
      <w:r w:rsidR="007E506C" w:rsidRPr="001121A7">
        <w:rPr>
          <w:rFonts w:ascii="Calibri" w:eastAsia="Calibri" w:hAnsi="Calibri" w:cs="Calibri"/>
          <w:b w:val="0"/>
          <w:sz w:val="22"/>
          <w:szCs w:val="22"/>
        </w:rPr>
        <w:t>proximity</w:t>
      </w:r>
      <w:r w:rsidR="001B6F44" w:rsidRPr="001121A7">
        <w:rPr>
          <w:rFonts w:ascii="Calibri" w:eastAsia="Calibri" w:hAnsi="Calibri" w:cs="Calibri"/>
          <w:b w:val="0"/>
          <w:sz w:val="22"/>
          <w:szCs w:val="22"/>
        </w:rPr>
        <w:t>.</w:t>
      </w:r>
      <w:r w:rsidR="007E506C">
        <w:rPr>
          <w:rFonts w:ascii="Calibri" w:eastAsia="Calibri" w:hAnsi="Calibri" w:cs="Calibri"/>
          <w:b w:val="0"/>
          <w:sz w:val="22"/>
          <w:szCs w:val="22"/>
        </w:rPr>
        <w:t xml:space="preserve"> Three microgrids are proposed for measure 1.  </w:t>
      </w:r>
      <w:r w:rsidR="001B6F44" w:rsidRPr="001121A7">
        <w:rPr>
          <w:rFonts w:ascii="Calibri" w:eastAsia="Calibri" w:hAnsi="Calibri" w:cs="Calibri"/>
          <w:b w:val="0"/>
          <w:sz w:val="22"/>
          <w:szCs w:val="22"/>
        </w:rPr>
        <w:t xml:space="preserve">  </w:t>
      </w:r>
    </w:p>
    <w:p w14:paraId="42D0B87F" w14:textId="548ABD74" w:rsidR="004928F8" w:rsidRPr="00AE46E5" w:rsidRDefault="0014434A">
      <w:pPr>
        <w:pStyle w:val="Heading2"/>
        <w:spacing w:line="240" w:lineRule="auto"/>
        <w:rPr>
          <w:rFonts w:ascii="Calibri" w:eastAsia="Calibri" w:hAnsi="Calibri" w:cs="Calibri"/>
          <w:bCs/>
          <w:sz w:val="22"/>
          <w:szCs w:val="22"/>
        </w:rPr>
      </w:pPr>
      <w:r w:rsidRPr="0014434A">
        <w:rPr>
          <w:rFonts w:ascii="Calibri" w:eastAsia="Calibri" w:hAnsi="Calibri" w:cs="Calibri"/>
          <w:bCs/>
          <w:sz w:val="22"/>
          <w:szCs w:val="22"/>
        </w:rPr>
        <w:t>Table1</w:t>
      </w:r>
      <w:r w:rsidR="00AE46E5">
        <w:rPr>
          <w:rFonts w:ascii="Calibri" w:eastAsia="Calibri" w:hAnsi="Calibri" w:cs="Calibri"/>
          <w:bCs/>
          <w:sz w:val="22"/>
          <w:szCs w:val="22"/>
        </w:rPr>
        <w:t xml:space="preserve"> </w:t>
      </w:r>
      <w:r w:rsidR="00AE46E5" w:rsidRPr="005819A6">
        <w:rPr>
          <w:rFonts w:ascii="Calibri" w:eastAsia="Calibri" w:hAnsi="Calibri" w:cs="Calibri"/>
          <w:bCs/>
          <w:sz w:val="22"/>
          <w:szCs w:val="22"/>
        </w:rPr>
        <w:t xml:space="preserve">Buildings </w:t>
      </w:r>
      <w:r w:rsidR="008729AE" w:rsidRPr="005819A6">
        <w:rPr>
          <w:rFonts w:ascii="Calibri" w:eastAsia="Calibri" w:hAnsi="Calibri" w:cs="Calibri"/>
          <w:bCs/>
          <w:sz w:val="22"/>
          <w:szCs w:val="22"/>
        </w:rPr>
        <w:t>served by proposed microgrid</w:t>
      </w:r>
      <w:r w:rsidR="004928F8" w:rsidRPr="001121A7">
        <w:rPr>
          <w:rFonts w:ascii="Calibri" w:eastAsia="Calibri" w:hAnsi="Calibri" w:cs="Calibri"/>
          <w:b w:val="0"/>
          <w:sz w:val="22"/>
          <w:szCs w:val="22"/>
        </w:rPr>
        <w:t>:</w:t>
      </w:r>
    </w:p>
    <w:p w14:paraId="3F77DC5E" w14:textId="7C3EC86E" w:rsidR="00F911EB" w:rsidRDefault="0085074D" w:rsidP="00F911EB">
      <w:pPr>
        <w:rPr>
          <w:rFonts w:ascii="Calibri" w:eastAsia="Calibri" w:hAnsi="Calibri" w:cs="Calibri"/>
          <w:sz w:val="22"/>
          <w:szCs w:val="22"/>
        </w:rPr>
      </w:pPr>
      <w:r w:rsidRPr="001121A7">
        <w:rPr>
          <w:rFonts w:ascii="Calibri" w:eastAsia="Calibri" w:hAnsi="Calibri" w:cs="Calibri"/>
          <w:noProof/>
          <w:sz w:val="22"/>
          <w:szCs w:val="22"/>
        </w:rPr>
        <w:drawing>
          <wp:inline distT="0" distB="0" distL="0" distR="0" wp14:anchorId="1D8B5BFF" wp14:editId="3A99F72B">
            <wp:extent cx="5509260" cy="2148840"/>
            <wp:effectExtent l="0" t="0" r="0" b="3810"/>
            <wp:docPr id="6523048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9260" cy="2148840"/>
                    </a:xfrm>
                    <a:prstGeom prst="rect">
                      <a:avLst/>
                    </a:prstGeom>
                    <a:noFill/>
                    <a:ln>
                      <a:noFill/>
                    </a:ln>
                  </pic:spPr>
                </pic:pic>
              </a:graphicData>
            </a:graphic>
          </wp:inline>
        </w:drawing>
      </w:r>
    </w:p>
    <w:p w14:paraId="670FA08E" w14:textId="79DBCE26" w:rsidR="00D629E5" w:rsidRDefault="0047320C" w:rsidP="00F911EB">
      <w:pPr>
        <w:rPr>
          <w:rFonts w:ascii="Calibri" w:eastAsia="Calibri" w:hAnsi="Calibri" w:cs="Calibri"/>
          <w:sz w:val="22"/>
          <w:szCs w:val="22"/>
        </w:rPr>
      </w:pPr>
      <w:r>
        <w:rPr>
          <w:rFonts w:ascii="Calibri" w:eastAsia="Calibri" w:hAnsi="Calibri" w:cs="Calibri"/>
          <w:b/>
          <w:bCs/>
          <w:sz w:val="22"/>
          <w:szCs w:val="22"/>
        </w:rPr>
        <w:t xml:space="preserve">Table 2 </w:t>
      </w:r>
      <w:r w:rsidRPr="005819A6">
        <w:rPr>
          <w:rFonts w:ascii="Calibri" w:eastAsia="Calibri" w:hAnsi="Calibri" w:cs="Calibri"/>
          <w:b/>
          <w:bCs/>
          <w:sz w:val="22"/>
          <w:szCs w:val="22"/>
        </w:rPr>
        <w:t>Buildings served by t</w:t>
      </w:r>
      <w:r w:rsidR="000C7DB8" w:rsidRPr="005819A6">
        <w:rPr>
          <w:rFonts w:ascii="Calibri" w:eastAsia="Calibri" w:hAnsi="Calibri" w:cs="Calibri"/>
          <w:b/>
          <w:bCs/>
          <w:sz w:val="22"/>
          <w:szCs w:val="22"/>
        </w:rPr>
        <w:t>he second microgrid</w:t>
      </w:r>
      <w:r w:rsidR="000C7DB8">
        <w:rPr>
          <w:rFonts w:ascii="Calibri" w:eastAsia="Calibri" w:hAnsi="Calibri" w:cs="Calibri"/>
          <w:sz w:val="22"/>
          <w:szCs w:val="22"/>
        </w:rPr>
        <w:t>:</w:t>
      </w:r>
    </w:p>
    <w:p w14:paraId="58DFB123" w14:textId="2B61FF53" w:rsidR="000C7DB8" w:rsidRDefault="000C7DB8" w:rsidP="00F911EB">
      <w:pPr>
        <w:rPr>
          <w:rFonts w:ascii="Calibri" w:eastAsia="Calibri" w:hAnsi="Calibri" w:cs="Calibri"/>
          <w:sz w:val="22"/>
          <w:szCs w:val="22"/>
        </w:rPr>
      </w:pPr>
      <w:r w:rsidRPr="000C7DB8">
        <w:rPr>
          <w:rFonts w:eastAsia="Calibri"/>
          <w:noProof/>
        </w:rPr>
        <w:drawing>
          <wp:inline distT="0" distB="0" distL="0" distR="0" wp14:anchorId="5BE90197" wp14:editId="314E0C25">
            <wp:extent cx="5509260" cy="1516380"/>
            <wp:effectExtent l="0" t="0" r="0" b="7620"/>
            <wp:docPr id="8373565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9260" cy="1516380"/>
                    </a:xfrm>
                    <a:prstGeom prst="rect">
                      <a:avLst/>
                    </a:prstGeom>
                    <a:noFill/>
                    <a:ln>
                      <a:noFill/>
                    </a:ln>
                  </pic:spPr>
                </pic:pic>
              </a:graphicData>
            </a:graphic>
          </wp:inline>
        </w:drawing>
      </w:r>
    </w:p>
    <w:p w14:paraId="59E911EF" w14:textId="7EAE9B7E" w:rsidR="000C7DB8" w:rsidRDefault="0047320C" w:rsidP="00F911EB">
      <w:pPr>
        <w:rPr>
          <w:rFonts w:ascii="Calibri" w:eastAsia="Calibri" w:hAnsi="Calibri" w:cs="Calibri"/>
          <w:sz w:val="22"/>
          <w:szCs w:val="22"/>
        </w:rPr>
      </w:pPr>
      <w:r>
        <w:rPr>
          <w:rFonts w:ascii="Calibri" w:eastAsia="Calibri" w:hAnsi="Calibri" w:cs="Calibri"/>
          <w:b/>
          <w:bCs/>
          <w:sz w:val="22"/>
          <w:szCs w:val="22"/>
        </w:rPr>
        <w:t>Table 3</w:t>
      </w:r>
      <w:r w:rsidR="00443455">
        <w:rPr>
          <w:rFonts w:ascii="Calibri" w:eastAsia="Calibri" w:hAnsi="Calibri" w:cs="Calibri"/>
          <w:b/>
          <w:bCs/>
          <w:sz w:val="22"/>
          <w:szCs w:val="22"/>
        </w:rPr>
        <w:t xml:space="preserve"> </w:t>
      </w:r>
      <w:r w:rsidR="00443455">
        <w:rPr>
          <w:rFonts w:ascii="Calibri" w:eastAsia="Calibri" w:hAnsi="Calibri" w:cs="Calibri"/>
          <w:sz w:val="22"/>
          <w:szCs w:val="22"/>
        </w:rPr>
        <w:t>Buildings served by</w:t>
      </w:r>
      <w:r w:rsidR="000C7DB8">
        <w:rPr>
          <w:rFonts w:ascii="Calibri" w:eastAsia="Calibri" w:hAnsi="Calibri" w:cs="Calibri"/>
          <w:sz w:val="22"/>
          <w:szCs w:val="22"/>
        </w:rPr>
        <w:t xml:space="preserve"> </w:t>
      </w:r>
      <w:r w:rsidR="009644E2">
        <w:rPr>
          <w:rFonts w:ascii="Calibri" w:eastAsia="Calibri" w:hAnsi="Calibri" w:cs="Calibri"/>
          <w:sz w:val="22"/>
          <w:szCs w:val="22"/>
        </w:rPr>
        <w:t>third microgrid:</w:t>
      </w:r>
    </w:p>
    <w:p w14:paraId="0C8E7A54" w14:textId="2817BD8F" w:rsidR="009644E2" w:rsidRPr="001121A7" w:rsidRDefault="00852694" w:rsidP="00F911EB">
      <w:pPr>
        <w:rPr>
          <w:rFonts w:ascii="Calibri" w:eastAsia="Calibri" w:hAnsi="Calibri" w:cs="Calibri"/>
          <w:sz w:val="22"/>
          <w:szCs w:val="22"/>
        </w:rPr>
      </w:pPr>
      <w:r w:rsidRPr="00852694">
        <w:rPr>
          <w:rFonts w:eastAsia="Calibri"/>
          <w:noProof/>
        </w:rPr>
        <w:drawing>
          <wp:inline distT="0" distB="0" distL="0" distR="0" wp14:anchorId="1AC1F5D7" wp14:editId="4C77B997">
            <wp:extent cx="5509260" cy="1653540"/>
            <wp:effectExtent l="0" t="0" r="0" b="3810"/>
            <wp:docPr id="181310680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9260" cy="1653540"/>
                    </a:xfrm>
                    <a:prstGeom prst="rect">
                      <a:avLst/>
                    </a:prstGeom>
                    <a:noFill/>
                    <a:ln>
                      <a:noFill/>
                    </a:ln>
                  </pic:spPr>
                </pic:pic>
              </a:graphicData>
            </a:graphic>
          </wp:inline>
        </w:drawing>
      </w:r>
    </w:p>
    <w:p w14:paraId="72ECD4D7" w14:textId="77777777" w:rsidR="00EE0A64" w:rsidRDefault="00EE0A64" w:rsidP="0033302C">
      <w:pPr>
        <w:spacing w:line="240" w:lineRule="auto"/>
        <w:rPr>
          <w:rFonts w:ascii="Calibri" w:eastAsia="Calibri" w:hAnsi="Calibri" w:cs="Calibri"/>
          <w:sz w:val="22"/>
          <w:szCs w:val="22"/>
        </w:rPr>
      </w:pPr>
    </w:p>
    <w:p w14:paraId="6E16596E" w14:textId="25C09BAE" w:rsidR="00EE0A64" w:rsidRPr="007D1EDC" w:rsidRDefault="007D1EDC" w:rsidP="0033302C">
      <w:pPr>
        <w:spacing w:line="240" w:lineRule="auto"/>
        <w:rPr>
          <w:rFonts w:ascii="Calibri" w:eastAsia="Calibri" w:hAnsi="Calibri" w:cs="Calibri"/>
          <w:b/>
          <w:bCs/>
          <w:sz w:val="22"/>
          <w:szCs w:val="22"/>
        </w:rPr>
      </w:pPr>
      <w:r>
        <w:rPr>
          <w:rFonts w:ascii="Calibri" w:eastAsia="Calibri" w:hAnsi="Calibri" w:cs="Calibri"/>
          <w:b/>
          <w:bCs/>
          <w:sz w:val="22"/>
          <w:szCs w:val="22"/>
        </w:rPr>
        <w:t>Table 4 Cloud cover entered</w:t>
      </w:r>
    </w:p>
    <w:p w14:paraId="7E3A7BF7" w14:textId="02AE26E2" w:rsidR="00C6564E" w:rsidRDefault="00B00F8A" w:rsidP="0033302C">
      <w:pPr>
        <w:spacing w:line="240" w:lineRule="auto"/>
        <w:rPr>
          <w:rFonts w:ascii="Calibri" w:eastAsia="Calibri" w:hAnsi="Calibri" w:cs="Calibri"/>
          <w:sz w:val="22"/>
          <w:szCs w:val="22"/>
        </w:rPr>
      </w:pPr>
      <w:r w:rsidRPr="00A5726B">
        <w:rPr>
          <w:rFonts w:eastAsia="Calibri"/>
          <w:noProof/>
        </w:rPr>
        <w:drawing>
          <wp:anchor distT="0" distB="0" distL="114300" distR="114300" simplePos="0" relativeHeight="251658241" behindDoc="1" locked="0" layoutInCell="1" allowOverlap="1" wp14:anchorId="4465EF40" wp14:editId="11B7651D">
            <wp:simplePos x="0" y="0"/>
            <wp:positionH relativeFrom="margin">
              <wp:align>left</wp:align>
            </wp:positionH>
            <wp:positionV relativeFrom="paragraph">
              <wp:posOffset>22860</wp:posOffset>
            </wp:positionV>
            <wp:extent cx="2377440" cy="2240915"/>
            <wp:effectExtent l="0" t="0" r="3810" b="6985"/>
            <wp:wrapTight wrapText="bothSides">
              <wp:wrapPolygon edited="0">
                <wp:start x="0" y="0"/>
                <wp:lineTo x="0" y="21484"/>
                <wp:lineTo x="16615" y="21484"/>
                <wp:lineTo x="21462" y="20933"/>
                <wp:lineTo x="21462" y="0"/>
                <wp:lineTo x="0" y="0"/>
              </wp:wrapPolygon>
            </wp:wrapTight>
            <wp:docPr id="125104216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7440" cy="2240915"/>
                    </a:xfrm>
                    <a:prstGeom prst="rect">
                      <a:avLst/>
                    </a:prstGeom>
                    <a:noFill/>
                    <a:ln>
                      <a:noFill/>
                    </a:ln>
                  </pic:spPr>
                </pic:pic>
              </a:graphicData>
            </a:graphic>
          </wp:anchor>
        </w:drawing>
      </w:r>
      <w:r w:rsidR="001121A7">
        <w:rPr>
          <w:rFonts w:ascii="Calibri" w:eastAsia="Calibri" w:hAnsi="Calibri" w:cs="Calibri"/>
          <w:sz w:val="22"/>
          <w:szCs w:val="22"/>
        </w:rPr>
        <w:t xml:space="preserve">The size of </w:t>
      </w:r>
      <w:r w:rsidR="004C799B">
        <w:rPr>
          <w:rFonts w:ascii="Calibri" w:eastAsia="Calibri" w:hAnsi="Calibri" w:cs="Calibri"/>
          <w:sz w:val="22"/>
          <w:szCs w:val="22"/>
        </w:rPr>
        <w:t>each solar PV system</w:t>
      </w:r>
      <w:r w:rsidR="00C25E78">
        <w:rPr>
          <w:rFonts w:ascii="Calibri" w:eastAsia="Calibri" w:hAnsi="Calibri" w:cs="Calibri"/>
          <w:sz w:val="22"/>
          <w:szCs w:val="22"/>
        </w:rPr>
        <w:t xml:space="preserve"> was chosen by </w:t>
      </w:r>
      <w:r w:rsidR="0060303C">
        <w:rPr>
          <w:rFonts w:ascii="Calibri" w:eastAsia="Calibri" w:hAnsi="Calibri" w:cs="Calibri"/>
          <w:sz w:val="22"/>
          <w:szCs w:val="22"/>
        </w:rPr>
        <w:t>using NREL’s PV Watts calculator</w:t>
      </w:r>
      <w:r w:rsidR="00453B7C">
        <w:rPr>
          <w:rStyle w:val="FootnoteReference"/>
          <w:rFonts w:ascii="Calibri" w:eastAsia="Calibri" w:hAnsi="Calibri" w:cs="Calibri"/>
          <w:sz w:val="22"/>
          <w:szCs w:val="22"/>
        </w:rPr>
        <w:footnoteReference w:id="2"/>
      </w:r>
      <w:r w:rsidR="00453B7C">
        <w:rPr>
          <w:rFonts w:ascii="Calibri" w:eastAsia="Calibri" w:hAnsi="Calibri" w:cs="Calibri"/>
          <w:sz w:val="22"/>
          <w:szCs w:val="22"/>
        </w:rPr>
        <w:t xml:space="preserve">.  </w:t>
      </w:r>
      <w:r w:rsidR="0060303C">
        <w:rPr>
          <w:rFonts w:ascii="Calibri" w:eastAsia="Calibri" w:hAnsi="Calibri" w:cs="Calibri"/>
          <w:sz w:val="22"/>
          <w:szCs w:val="22"/>
        </w:rPr>
        <w:t>I first</w:t>
      </w:r>
      <w:r w:rsidR="0084799E">
        <w:rPr>
          <w:rFonts w:ascii="Calibri" w:eastAsia="Calibri" w:hAnsi="Calibri" w:cs="Calibri"/>
          <w:sz w:val="22"/>
          <w:szCs w:val="22"/>
        </w:rPr>
        <w:t xml:space="preserve"> </w:t>
      </w:r>
      <w:r w:rsidR="00277DE2">
        <w:rPr>
          <w:rFonts w:ascii="Calibri" w:eastAsia="Calibri" w:hAnsi="Calibri" w:cs="Calibri"/>
          <w:sz w:val="22"/>
          <w:szCs w:val="22"/>
        </w:rPr>
        <w:t>enter</w:t>
      </w:r>
      <w:r w:rsidR="0060303C">
        <w:rPr>
          <w:rFonts w:ascii="Calibri" w:eastAsia="Calibri" w:hAnsi="Calibri" w:cs="Calibri"/>
          <w:sz w:val="22"/>
          <w:szCs w:val="22"/>
        </w:rPr>
        <w:t>ed</w:t>
      </w:r>
      <w:r w:rsidR="00277DE2">
        <w:rPr>
          <w:rFonts w:ascii="Calibri" w:eastAsia="Calibri" w:hAnsi="Calibri" w:cs="Calibri"/>
          <w:sz w:val="22"/>
          <w:szCs w:val="22"/>
        </w:rPr>
        <w:t xml:space="preserve"> the address</w:t>
      </w:r>
      <w:r w:rsidR="0097716A">
        <w:rPr>
          <w:rFonts w:ascii="Calibri" w:eastAsia="Calibri" w:hAnsi="Calibri" w:cs="Calibri"/>
          <w:sz w:val="22"/>
          <w:szCs w:val="22"/>
        </w:rPr>
        <w:t xml:space="preserve"> of the Tribal Center </w:t>
      </w:r>
      <w:r w:rsidR="00BB0F32">
        <w:rPr>
          <w:rFonts w:ascii="Calibri" w:eastAsia="Calibri" w:hAnsi="Calibri" w:cs="Calibri"/>
          <w:sz w:val="22"/>
          <w:szCs w:val="22"/>
        </w:rPr>
        <w:t xml:space="preserve">and </w:t>
      </w:r>
      <w:r w:rsidR="00443455">
        <w:rPr>
          <w:rFonts w:ascii="Calibri" w:eastAsia="Calibri" w:hAnsi="Calibri" w:cs="Calibri"/>
          <w:sz w:val="22"/>
          <w:szCs w:val="22"/>
        </w:rPr>
        <w:t>proceeded</w:t>
      </w:r>
      <w:r w:rsidR="00BB0F32">
        <w:rPr>
          <w:rFonts w:ascii="Calibri" w:eastAsia="Calibri" w:hAnsi="Calibri" w:cs="Calibri"/>
          <w:sz w:val="22"/>
          <w:szCs w:val="22"/>
        </w:rPr>
        <w:t xml:space="preserve"> </w:t>
      </w:r>
      <w:r w:rsidR="0033302C">
        <w:rPr>
          <w:rFonts w:ascii="Calibri" w:eastAsia="Calibri" w:hAnsi="Calibri" w:cs="Calibri"/>
          <w:sz w:val="22"/>
          <w:szCs w:val="22"/>
        </w:rPr>
        <w:t>to enter in the degree of tilt at 47 degrees</w:t>
      </w:r>
      <w:r w:rsidR="00C355A6">
        <w:rPr>
          <w:rFonts w:ascii="Calibri" w:eastAsia="Calibri" w:hAnsi="Calibri" w:cs="Calibri"/>
          <w:sz w:val="22"/>
          <w:szCs w:val="22"/>
        </w:rPr>
        <w:t xml:space="preserve"> and cho</w:t>
      </w:r>
      <w:r w:rsidR="00443455">
        <w:rPr>
          <w:rFonts w:ascii="Calibri" w:eastAsia="Calibri" w:hAnsi="Calibri" w:cs="Calibri"/>
          <w:sz w:val="22"/>
          <w:szCs w:val="22"/>
        </w:rPr>
        <w:t>se</w:t>
      </w:r>
      <w:r w:rsidR="00C355A6">
        <w:rPr>
          <w:rFonts w:ascii="Calibri" w:eastAsia="Calibri" w:hAnsi="Calibri" w:cs="Calibri"/>
          <w:sz w:val="22"/>
          <w:szCs w:val="22"/>
        </w:rPr>
        <w:t xml:space="preserve"> bifacial panels and further choos</w:t>
      </w:r>
      <w:r w:rsidR="00EE4D16">
        <w:rPr>
          <w:rFonts w:ascii="Calibri" w:eastAsia="Calibri" w:hAnsi="Calibri" w:cs="Calibri"/>
          <w:sz w:val="22"/>
          <w:szCs w:val="22"/>
        </w:rPr>
        <w:t>e</w:t>
      </w:r>
      <w:r w:rsidR="00C355A6">
        <w:rPr>
          <w:rFonts w:ascii="Calibri" w:eastAsia="Calibri" w:hAnsi="Calibri" w:cs="Calibri"/>
          <w:sz w:val="22"/>
          <w:szCs w:val="22"/>
        </w:rPr>
        <w:t xml:space="preserve"> </w:t>
      </w:r>
      <w:r w:rsidR="008C2D81">
        <w:rPr>
          <w:rFonts w:ascii="Calibri" w:eastAsia="Calibri" w:hAnsi="Calibri" w:cs="Calibri"/>
          <w:sz w:val="22"/>
          <w:szCs w:val="22"/>
        </w:rPr>
        <w:t>a percentage of cloud coverin</w:t>
      </w:r>
      <w:r w:rsidR="00E70524">
        <w:rPr>
          <w:rFonts w:ascii="Calibri" w:eastAsia="Calibri" w:hAnsi="Calibri" w:cs="Calibri"/>
          <w:sz w:val="22"/>
          <w:szCs w:val="22"/>
        </w:rPr>
        <w:t>g for each month</w:t>
      </w:r>
      <w:r w:rsidR="00EE4D16">
        <w:rPr>
          <w:rFonts w:ascii="Calibri" w:eastAsia="Calibri" w:hAnsi="Calibri" w:cs="Calibri"/>
          <w:sz w:val="22"/>
          <w:szCs w:val="22"/>
        </w:rPr>
        <w:t xml:space="preserve"> based upon location in Baraga County, MI</w:t>
      </w:r>
      <w:r w:rsidR="00E70524">
        <w:rPr>
          <w:rFonts w:ascii="Calibri" w:eastAsia="Calibri" w:hAnsi="Calibri" w:cs="Calibri"/>
          <w:sz w:val="22"/>
          <w:szCs w:val="22"/>
        </w:rPr>
        <w:t xml:space="preserve">.  </w:t>
      </w:r>
    </w:p>
    <w:p w14:paraId="74B5A185" w14:textId="77777777" w:rsidR="00C6564E" w:rsidRDefault="00C6564E" w:rsidP="0033302C">
      <w:pPr>
        <w:spacing w:line="240" w:lineRule="auto"/>
        <w:rPr>
          <w:rFonts w:ascii="Calibri" w:eastAsia="Calibri" w:hAnsi="Calibri" w:cs="Calibri"/>
          <w:sz w:val="22"/>
          <w:szCs w:val="22"/>
        </w:rPr>
      </w:pPr>
    </w:p>
    <w:p w14:paraId="306E1B50" w14:textId="77777777" w:rsidR="00C6564E" w:rsidRDefault="00C6564E" w:rsidP="0033302C">
      <w:pPr>
        <w:spacing w:line="240" w:lineRule="auto"/>
        <w:rPr>
          <w:rFonts w:ascii="Calibri" w:eastAsia="Calibri" w:hAnsi="Calibri" w:cs="Calibri"/>
          <w:sz w:val="22"/>
          <w:szCs w:val="22"/>
        </w:rPr>
      </w:pPr>
    </w:p>
    <w:p w14:paraId="159280AA" w14:textId="77777777" w:rsidR="00C6564E" w:rsidRDefault="00C6564E" w:rsidP="0033302C">
      <w:pPr>
        <w:spacing w:line="240" w:lineRule="auto"/>
        <w:rPr>
          <w:rFonts w:ascii="Calibri" w:eastAsia="Calibri" w:hAnsi="Calibri" w:cs="Calibri"/>
          <w:sz w:val="22"/>
          <w:szCs w:val="22"/>
        </w:rPr>
      </w:pPr>
    </w:p>
    <w:p w14:paraId="3EC63ED4" w14:textId="77777777" w:rsidR="00C6564E" w:rsidRDefault="00C6564E" w:rsidP="0033302C">
      <w:pPr>
        <w:spacing w:line="240" w:lineRule="auto"/>
        <w:rPr>
          <w:rFonts w:ascii="Calibri" w:eastAsia="Calibri" w:hAnsi="Calibri" w:cs="Calibri"/>
          <w:sz w:val="22"/>
          <w:szCs w:val="22"/>
        </w:rPr>
      </w:pPr>
    </w:p>
    <w:p w14:paraId="7DCE5F0F" w14:textId="77777777" w:rsidR="00C6564E" w:rsidRDefault="00C6564E" w:rsidP="0033302C">
      <w:pPr>
        <w:spacing w:line="240" w:lineRule="auto"/>
        <w:rPr>
          <w:rFonts w:ascii="Calibri" w:eastAsia="Calibri" w:hAnsi="Calibri" w:cs="Calibri"/>
          <w:sz w:val="22"/>
          <w:szCs w:val="22"/>
        </w:rPr>
      </w:pPr>
    </w:p>
    <w:p w14:paraId="37A28D80" w14:textId="77777777" w:rsidR="00C6564E" w:rsidRDefault="00C6564E" w:rsidP="0033302C">
      <w:pPr>
        <w:spacing w:line="240" w:lineRule="auto"/>
        <w:rPr>
          <w:rFonts w:ascii="Calibri" w:eastAsia="Calibri" w:hAnsi="Calibri" w:cs="Calibri"/>
          <w:sz w:val="22"/>
          <w:szCs w:val="22"/>
        </w:rPr>
      </w:pPr>
    </w:p>
    <w:p w14:paraId="1B2AB255" w14:textId="77777777" w:rsidR="00C6564E" w:rsidRDefault="00C6564E" w:rsidP="0033302C">
      <w:pPr>
        <w:spacing w:line="240" w:lineRule="auto"/>
        <w:rPr>
          <w:rFonts w:ascii="Calibri" w:eastAsia="Calibri" w:hAnsi="Calibri" w:cs="Calibri"/>
          <w:sz w:val="22"/>
          <w:szCs w:val="22"/>
        </w:rPr>
      </w:pPr>
    </w:p>
    <w:p w14:paraId="622CE3A0" w14:textId="77777777" w:rsidR="00C6564E" w:rsidRDefault="00C6564E" w:rsidP="0033302C">
      <w:pPr>
        <w:spacing w:line="240" w:lineRule="auto"/>
        <w:rPr>
          <w:rFonts w:ascii="Calibri" w:eastAsia="Calibri" w:hAnsi="Calibri" w:cs="Calibri"/>
          <w:sz w:val="22"/>
          <w:szCs w:val="22"/>
        </w:rPr>
      </w:pPr>
    </w:p>
    <w:p w14:paraId="07155C3F" w14:textId="77777777" w:rsidR="00C6564E" w:rsidRDefault="00C6564E" w:rsidP="0033302C">
      <w:pPr>
        <w:spacing w:line="240" w:lineRule="auto"/>
        <w:rPr>
          <w:rFonts w:ascii="Calibri" w:eastAsia="Calibri" w:hAnsi="Calibri" w:cs="Calibri"/>
          <w:sz w:val="22"/>
          <w:szCs w:val="22"/>
        </w:rPr>
      </w:pPr>
    </w:p>
    <w:p w14:paraId="62A23187" w14:textId="1EAA1296" w:rsidR="009C57B7" w:rsidRDefault="00C6564E" w:rsidP="009C57B7">
      <w:pPr>
        <w:spacing w:line="240" w:lineRule="auto"/>
        <w:rPr>
          <w:rFonts w:ascii="Calibri" w:eastAsia="Calibri" w:hAnsi="Calibri" w:cs="Calibri"/>
          <w:sz w:val="22"/>
          <w:szCs w:val="22"/>
        </w:rPr>
      </w:pPr>
      <w:r>
        <w:rPr>
          <w:rFonts w:ascii="Calibri" w:eastAsia="Calibri" w:hAnsi="Calibri" w:cs="Calibri"/>
          <w:sz w:val="22"/>
          <w:szCs w:val="22"/>
        </w:rPr>
        <w:t>The</w:t>
      </w:r>
      <w:r w:rsidR="00B46668">
        <w:rPr>
          <w:rFonts w:ascii="Calibri" w:eastAsia="Calibri" w:hAnsi="Calibri" w:cs="Calibri"/>
          <w:sz w:val="22"/>
          <w:szCs w:val="22"/>
        </w:rPr>
        <w:t xml:space="preserve"> size of the system </w:t>
      </w:r>
      <w:r w:rsidR="00066B21">
        <w:rPr>
          <w:rFonts w:ascii="Calibri" w:eastAsia="Calibri" w:hAnsi="Calibri" w:cs="Calibri"/>
          <w:sz w:val="22"/>
          <w:szCs w:val="22"/>
        </w:rPr>
        <w:t>was</w:t>
      </w:r>
      <w:r w:rsidR="00A136EC">
        <w:rPr>
          <w:rFonts w:ascii="Calibri" w:eastAsia="Calibri" w:hAnsi="Calibri" w:cs="Calibri"/>
          <w:sz w:val="22"/>
          <w:szCs w:val="22"/>
        </w:rPr>
        <w:t xml:space="preserve"> changed </w:t>
      </w:r>
      <w:r w:rsidR="00066B21">
        <w:rPr>
          <w:rFonts w:ascii="Calibri" w:eastAsia="Calibri" w:hAnsi="Calibri" w:cs="Calibri"/>
          <w:sz w:val="22"/>
          <w:szCs w:val="22"/>
        </w:rPr>
        <w:t xml:space="preserve">through a trial and error </w:t>
      </w:r>
      <w:r w:rsidR="00B46668">
        <w:rPr>
          <w:rFonts w:ascii="Calibri" w:eastAsia="Calibri" w:hAnsi="Calibri" w:cs="Calibri"/>
          <w:sz w:val="22"/>
          <w:szCs w:val="22"/>
        </w:rPr>
        <w:t xml:space="preserve">until </w:t>
      </w:r>
      <w:r w:rsidR="00A136EC">
        <w:rPr>
          <w:rFonts w:ascii="Calibri" w:eastAsia="Calibri" w:hAnsi="Calibri" w:cs="Calibri"/>
          <w:sz w:val="22"/>
          <w:szCs w:val="22"/>
        </w:rPr>
        <w:t>the AC system Output was</w:t>
      </w:r>
      <w:r w:rsidR="00B46668">
        <w:rPr>
          <w:rFonts w:ascii="Calibri" w:eastAsia="Calibri" w:hAnsi="Calibri" w:cs="Calibri"/>
          <w:sz w:val="22"/>
          <w:szCs w:val="22"/>
        </w:rPr>
        <w:t xml:space="preserve"> close to producing 100% offset of electricity usage.  The system size </w:t>
      </w:r>
      <w:proofErr w:type="spellStart"/>
      <w:r w:rsidR="00B46668">
        <w:rPr>
          <w:rFonts w:ascii="Calibri" w:eastAsia="Calibri" w:hAnsi="Calibri" w:cs="Calibri"/>
          <w:sz w:val="22"/>
          <w:szCs w:val="22"/>
        </w:rPr>
        <w:t>chosed</w:t>
      </w:r>
      <w:proofErr w:type="spellEnd"/>
      <w:r w:rsidR="00B46668">
        <w:rPr>
          <w:rFonts w:ascii="Calibri" w:eastAsia="Calibri" w:hAnsi="Calibri" w:cs="Calibri"/>
          <w:sz w:val="22"/>
          <w:szCs w:val="22"/>
        </w:rPr>
        <w:t xml:space="preserve"> was 2500 kW</w:t>
      </w:r>
      <w:r w:rsidR="009A3202">
        <w:rPr>
          <w:rFonts w:ascii="Calibri" w:eastAsia="Calibri" w:hAnsi="Calibri" w:cs="Calibri"/>
          <w:sz w:val="22"/>
          <w:szCs w:val="22"/>
        </w:rPr>
        <w:t xml:space="preserve">, which is equivalent to 2.5 MW.  </w:t>
      </w:r>
      <w:r w:rsidR="00E70524">
        <w:rPr>
          <w:rFonts w:ascii="Calibri" w:eastAsia="Calibri" w:hAnsi="Calibri" w:cs="Calibri"/>
          <w:sz w:val="22"/>
          <w:szCs w:val="22"/>
        </w:rPr>
        <w:t xml:space="preserve">This was done with </w:t>
      </w:r>
      <w:r w:rsidR="005E7916" w:rsidRPr="005E7916">
        <w:rPr>
          <w:rFonts w:ascii="Calibri" w:eastAsia="Calibri" w:hAnsi="Calibri" w:cs="Calibri"/>
          <w:sz w:val="22"/>
          <w:szCs w:val="22"/>
        </w:rPr>
        <w:t>Dr. Ana Dyreson, Assistant Professor, Mechanical Engineering-Engineering Mechanics, Michigan Technological University</w:t>
      </w:r>
      <w:r w:rsidR="005E7916">
        <w:rPr>
          <w:rFonts w:ascii="Calibri" w:eastAsia="Calibri" w:hAnsi="Calibri" w:cs="Calibri"/>
          <w:sz w:val="22"/>
          <w:szCs w:val="22"/>
        </w:rPr>
        <w:t xml:space="preserve">.  </w:t>
      </w:r>
      <w:r w:rsidR="009C57B7">
        <w:rPr>
          <w:rFonts w:ascii="Calibri" w:eastAsia="Calibri" w:hAnsi="Calibri" w:cs="Calibri"/>
          <w:sz w:val="22"/>
          <w:szCs w:val="22"/>
        </w:rPr>
        <w:t xml:space="preserve">The same process was done for the Natural Resources department complex and Police/Pines Gas Station complex through trial and error until there was an AC system output close to 100% offset of electricity usage.  An assumption of a new building with a </w:t>
      </w:r>
      <w:proofErr w:type="gramStart"/>
      <w:r w:rsidR="009C57B7">
        <w:rPr>
          <w:rFonts w:ascii="Calibri" w:eastAsia="Calibri" w:hAnsi="Calibri" w:cs="Calibri"/>
          <w:sz w:val="22"/>
          <w:szCs w:val="22"/>
        </w:rPr>
        <w:t>75000 kwh</w:t>
      </w:r>
      <w:proofErr w:type="gramEnd"/>
      <w:r w:rsidR="009C57B7">
        <w:rPr>
          <w:rFonts w:ascii="Calibri" w:eastAsia="Calibri" w:hAnsi="Calibri" w:cs="Calibri"/>
          <w:sz w:val="22"/>
          <w:szCs w:val="22"/>
        </w:rPr>
        <w:t xml:space="preserve"> </w:t>
      </w:r>
      <w:r w:rsidR="00B63E0E">
        <w:rPr>
          <w:rFonts w:ascii="Calibri" w:eastAsia="Calibri" w:hAnsi="Calibri" w:cs="Calibri"/>
          <w:sz w:val="22"/>
          <w:szCs w:val="22"/>
        </w:rPr>
        <w:t xml:space="preserve">expected usage </w:t>
      </w:r>
      <w:r w:rsidR="009C57B7">
        <w:rPr>
          <w:rFonts w:ascii="Calibri" w:eastAsia="Calibri" w:hAnsi="Calibri" w:cs="Calibri"/>
          <w:sz w:val="22"/>
          <w:szCs w:val="22"/>
        </w:rPr>
        <w:t xml:space="preserve">was used in the process.  The Tribe recently received news that the building is for sure being funded.  The system size chosen </w:t>
      </w:r>
      <w:r w:rsidR="00B63E0E">
        <w:rPr>
          <w:rFonts w:ascii="Calibri" w:eastAsia="Calibri" w:hAnsi="Calibri" w:cs="Calibri"/>
          <w:sz w:val="22"/>
          <w:szCs w:val="22"/>
        </w:rPr>
        <w:t xml:space="preserve">for the Natural Resources Department and the Police/Pines Gas Station complexes were each </w:t>
      </w:r>
      <w:r w:rsidR="009C57B7">
        <w:rPr>
          <w:rFonts w:ascii="Calibri" w:eastAsia="Calibri" w:hAnsi="Calibri" w:cs="Calibri"/>
          <w:sz w:val="22"/>
          <w:szCs w:val="22"/>
        </w:rPr>
        <w:t xml:space="preserve">300 kW.  </w:t>
      </w:r>
    </w:p>
    <w:p w14:paraId="75BC5EA3" w14:textId="0352F225" w:rsidR="0085074D" w:rsidRDefault="0085074D" w:rsidP="0033302C">
      <w:pPr>
        <w:spacing w:line="240" w:lineRule="auto"/>
        <w:rPr>
          <w:rFonts w:ascii="Calibri" w:eastAsia="Calibri" w:hAnsi="Calibri" w:cs="Calibri"/>
          <w:sz w:val="22"/>
          <w:szCs w:val="22"/>
        </w:rPr>
      </w:pPr>
    </w:p>
    <w:p w14:paraId="0AB329E6" w14:textId="1448E59D" w:rsidR="00A5726B" w:rsidRPr="001121A7" w:rsidRDefault="00A5726B" w:rsidP="0033302C">
      <w:pPr>
        <w:spacing w:line="240" w:lineRule="auto"/>
        <w:rPr>
          <w:rFonts w:ascii="Calibri" w:eastAsia="Calibri" w:hAnsi="Calibri" w:cs="Calibri"/>
          <w:sz w:val="22"/>
          <w:szCs w:val="22"/>
        </w:rPr>
      </w:pPr>
    </w:p>
    <w:p w14:paraId="3901F89E" w14:textId="309B3D1A" w:rsidR="004C510F" w:rsidRPr="00DB4CC6" w:rsidRDefault="00C6105F">
      <w:pPr>
        <w:spacing w:line="240" w:lineRule="auto"/>
        <w:rPr>
          <w:rFonts w:ascii="Calibri" w:eastAsia="Calibri" w:hAnsi="Calibri" w:cs="Calibri"/>
          <w:b/>
          <w:bCs/>
          <w:sz w:val="22"/>
          <w:szCs w:val="22"/>
        </w:rPr>
      </w:pPr>
      <w:r w:rsidRPr="00DB4CC6">
        <w:rPr>
          <w:rFonts w:ascii="Calibri" w:eastAsia="Calibri" w:hAnsi="Calibri" w:cs="Calibri"/>
          <w:b/>
          <w:bCs/>
          <w:sz w:val="22"/>
          <w:szCs w:val="22"/>
        </w:rPr>
        <w:t xml:space="preserve">Tabel 5 </w:t>
      </w:r>
      <w:r w:rsidR="00DB4CC6" w:rsidRPr="00DB4CC6">
        <w:rPr>
          <w:rFonts w:ascii="Calibri" w:eastAsia="Calibri" w:hAnsi="Calibri" w:cs="Calibri"/>
          <w:b/>
          <w:bCs/>
          <w:sz w:val="22"/>
          <w:szCs w:val="22"/>
        </w:rPr>
        <w:t>Microgrid annual kwh</w:t>
      </w:r>
    </w:p>
    <w:p w14:paraId="06D6F340" w14:textId="60D2C4F4" w:rsidR="00B73E6E" w:rsidRDefault="00224C24">
      <w:pPr>
        <w:spacing w:line="240" w:lineRule="auto"/>
        <w:rPr>
          <w:rFonts w:ascii="Calibri" w:eastAsia="Calibri" w:hAnsi="Calibri" w:cs="Calibri"/>
          <w:sz w:val="22"/>
          <w:szCs w:val="22"/>
        </w:rPr>
      </w:pPr>
      <w:r w:rsidRPr="0006681F">
        <w:rPr>
          <w:rFonts w:eastAsia="Calibri"/>
          <w:noProof/>
        </w:rPr>
        <w:drawing>
          <wp:anchor distT="0" distB="0" distL="114300" distR="114300" simplePos="0" relativeHeight="251658240" behindDoc="0" locked="0" layoutInCell="1" allowOverlap="1" wp14:anchorId="515A7B77" wp14:editId="07BDC448">
            <wp:simplePos x="0" y="0"/>
            <wp:positionH relativeFrom="margin">
              <wp:align>left</wp:align>
            </wp:positionH>
            <wp:positionV relativeFrom="paragraph">
              <wp:posOffset>10160</wp:posOffset>
            </wp:positionV>
            <wp:extent cx="2644140" cy="2668905"/>
            <wp:effectExtent l="0" t="0" r="3810" b="0"/>
            <wp:wrapThrough wrapText="bothSides">
              <wp:wrapPolygon edited="0">
                <wp:start x="0" y="0"/>
                <wp:lineTo x="0" y="21430"/>
                <wp:lineTo x="21476" y="21430"/>
                <wp:lineTo x="21476" y="5550"/>
                <wp:lineTo x="21164" y="4625"/>
                <wp:lineTo x="18986" y="3546"/>
                <wp:lineTo x="15562" y="2467"/>
                <wp:lineTo x="18363" y="2467"/>
                <wp:lineTo x="21476" y="1233"/>
                <wp:lineTo x="21476" y="0"/>
                <wp:lineTo x="0" y="0"/>
              </wp:wrapPolygon>
            </wp:wrapThrough>
            <wp:docPr id="1238645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4140" cy="2668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3E6E">
        <w:rPr>
          <w:rFonts w:ascii="Calibri" w:eastAsia="Calibri" w:hAnsi="Calibri" w:cs="Calibri"/>
          <w:sz w:val="22"/>
          <w:szCs w:val="22"/>
        </w:rPr>
        <w:t xml:space="preserve">A report is produced for each of the Solar PV systems that describes the output of energy.  </w:t>
      </w:r>
    </w:p>
    <w:p w14:paraId="6116B630" w14:textId="57B89FAE" w:rsidR="0006681F" w:rsidRDefault="0006681F">
      <w:pPr>
        <w:spacing w:line="240" w:lineRule="auto"/>
        <w:rPr>
          <w:rFonts w:ascii="Calibri" w:eastAsia="Calibri" w:hAnsi="Calibri" w:cs="Calibri"/>
          <w:sz w:val="22"/>
          <w:szCs w:val="22"/>
        </w:rPr>
      </w:pPr>
    </w:p>
    <w:p w14:paraId="22D514C0" w14:textId="27070121" w:rsidR="002E206E" w:rsidRDefault="008344F5" w:rsidP="002E206E">
      <w:pPr>
        <w:spacing w:line="240" w:lineRule="auto"/>
        <w:rPr>
          <w:rFonts w:ascii="Calibri" w:eastAsia="Calibri" w:hAnsi="Calibri" w:cs="Calibri"/>
          <w:sz w:val="22"/>
          <w:szCs w:val="22"/>
        </w:rPr>
      </w:pPr>
      <w:bookmarkStart w:id="3" w:name="_Hlk162837025"/>
      <w:r>
        <w:rPr>
          <w:rFonts w:ascii="Calibri" w:eastAsia="Calibri" w:hAnsi="Calibri" w:cs="Calibri"/>
          <w:sz w:val="22"/>
          <w:szCs w:val="22"/>
        </w:rPr>
        <w:t xml:space="preserve">The Casino Complex </w:t>
      </w:r>
      <w:r w:rsidR="00BC2AA0">
        <w:rPr>
          <w:rFonts w:ascii="Calibri" w:eastAsia="Calibri" w:hAnsi="Calibri" w:cs="Calibri"/>
          <w:sz w:val="22"/>
          <w:szCs w:val="22"/>
        </w:rPr>
        <w:t xml:space="preserve">is </w:t>
      </w:r>
      <w:r w:rsidR="003A551F">
        <w:rPr>
          <w:rFonts w:ascii="Calibri" w:eastAsia="Calibri" w:hAnsi="Calibri" w:cs="Calibri"/>
          <w:sz w:val="22"/>
          <w:szCs w:val="22"/>
        </w:rPr>
        <w:t xml:space="preserve">expected to produce a total of </w:t>
      </w:r>
      <w:bookmarkStart w:id="4" w:name="_Hlk162834696"/>
      <w:r w:rsidR="002E206E" w:rsidRPr="002E206E">
        <w:rPr>
          <w:rFonts w:ascii="Calibri" w:eastAsia="Calibri" w:hAnsi="Calibri" w:cs="Calibri"/>
          <w:sz w:val="22"/>
          <w:szCs w:val="22"/>
        </w:rPr>
        <w:t>2529593</w:t>
      </w:r>
      <w:r w:rsidR="002E206E">
        <w:rPr>
          <w:rFonts w:ascii="Calibri" w:eastAsia="Calibri" w:hAnsi="Calibri" w:cs="Calibri"/>
          <w:sz w:val="22"/>
          <w:szCs w:val="22"/>
        </w:rPr>
        <w:t xml:space="preserve"> kwh </w:t>
      </w:r>
      <w:bookmarkEnd w:id="4"/>
      <w:r w:rsidR="002E206E">
        <w:rPr>
          <w:rFonts w:ascii="Calibri" w:eastAsia="Calibri" w:hAnsi="Calibri" w:cs="Calibri"/>
          <w:sz w:val="22"/>
          <w:szCs w:val="22"/>
        </w:rPr>
        <w:t xml:space="preserve">of electricity for one year.  </w:t>
      </w:r>
      <w:r w:rsidR="00BC2AA0">
        <w:rPr>
          <w:rFonts w:ascii="Calibri" w:eastAsia="Calibri" w:hAnsi="Calibri" w:cs="Calibri"/>
          <w:sz w:val="22"/>
          <w:szCs w:val="22"/>
        </w:rPr>
        <w:t>The</w:t>
      </w:r>
      <w:r w:rsidR="001E23AC">
        <w:rPr>
          <w:rFonts w:ascii="Calibri" w:eastAsia="Calibri" w:hAnsi="Calibri" w:cs="Calibri"/>
          <w:sz w:val="22"/>
          <w:szCs w:val="22"/>
        </w:rPr>
        <w:t xml:space="preserve"> </w:t>
      </w:r>
      <w:r w:rsidR="0071785F">
        <w:rPr>
          <w:rFonts w:ascii="Calibri" w:eastAsia="Calibri" w:hAnsi="Calibri" w:cs="Calibri"/>
          <w:sz w:val="22"/>
          <w:szCs w:val="22"/>
        </w:rPr>
        <w:t>EPA’s Greenhouse Gas equivalency calculator</w:t>
      </w:r>
      <w:r w:rsidR="002B13D0">
        <w:rPr>
          <w:rStyle w:val="FootnoteReference"/>
          <w:rFonts w:ascii="Calibri" w:eastAsia="Calibri" w:hAnsi="Calibri" w:cs="Calibri"/>
          <w:sz w:val="22"/>
          <w:szCs w:val="22"/>
        </w:rPr>
        <w:footnoteReference w:id="3"/>
      </w:r>
      <w:r w:rsidR="0071785F">
        <w:rPr>
          <w:rFonts w:ascii="Calibri" w:eastAsia="Calibri" w:hAnsi="Calibri" w:cs="Calibri"/>
          <w:sz w:val="22"/>
          <w:szCs w:val="22"/>
        </w:rPr>
        <w:t xml:space="preserve"> </w:t>
      </w:r>
      <w:r w:rsidR="00BC2AA0">
        <w:rPr>
          <w:rFonts w:ascii="Calibri" w:eastAsia="Calibri" w:hAnsi="Calibri" w:cs="Calibri"/>
          <w:sz w:val="22"/>
          <w:szCs w:val="22"/>
        </w:rPr>
        <w:t xml:space="preserve">was used </w:t>
      </w:r>
      <w:r w:rsidR="0071785F">
        <w:rPr>
          <w:rFonts w:ascii="Calibri" w:eastAsia="Calibri" w:hAnsi="Calibri" w:cs="Calibri"/>
          <w:sz w:val="22"/>
          <w:szCs w:val="22"/>
        </w:rPr>
        <w:t xml:space="preserve">to </w:t>
      </w:r>
      <w:r w:rsidR="002423E9">
        <w:rPr>
          <w:rFonts w:ascii="Calibri" w:eastAsia="Calibri" w:hAnsi="Calibri" w:cs="Calibri"/>
          <w:sz w:val="22"/>
          <w:szCs w:val="22"/>
        </w:rPr>
        <w:t xml:space="preserve">calculate the </w:t>
      </w:r>
      <w:r w:rsidR="00B82507">
        <w:rPr>
          <w:rFonts w:ascii="Calibri" w:eastAsia="Calibri" w:hAnsi="Calibri" w:cs="Calibri"/>
          <w:sz w:val="22"/>
          <w:szCs w:val="22"/>
        </w:rPr>
        <w:t xml:space="preserve">GHG </w:t>
      </w:r>
      <w:r w:rsidR="002423E9">
        <w:rPr>
          <w:rFonts w:ascii="Calibri" w:eastAsia="Calibri" w:hAnsi="Calibri" w:cs="Calibri"/>
          <w:sz w:val="22"/>
          <w:szCs w:val="22"/>
        </w:rPr>
        <w:t xml:space="preserve">reduction by entering </w:t>
      </w:r>
      <w:r w:rsidR="0089385F" w:rsidRPr="0089385F">
        <w:rPr>
          <w:rFonts w:ascii="Calibri" w:eastAsia="Calibri" w:hAnsi="Calibri" w:cs="Calibri"/>
          <w:sz w:val="22"/>
          <w:szCs w:val="22"/>
        </w:rPr>
        <w:t xml:space="preserve">2529593 kwh </w:t>
      </w:r>
      <w:r w:rsidR="00066B21">
        <w:rPr>
          <w:rFonts w:ascii="Calibri" w:eastAsia="Calibri" w:hAnsi="Calibri" w:cs="Calibri"/>
          <w:sz w:val="22"/>
          <w:szCs w:val="22"/>
        </w:rPr>
        <w:t xml:space="preserve">of electricity </w:t>
      </w:r>
      <w:r w:rsidR="0089385F">
        <w:rPr>
          <w:rFonts w:ascii="Calibri" w:eastAsia="Calibri" w:hAnsi="Calibri" w:cs="Calibri"/>
          <w:sz w:val="22"/>
          <w:szCs w:val="22"/>
        </w:rPr>
        <w:t xml:space="preserve">avoided.  </w:t>
      </w:r>
      <w:r w:rsidR="003A132C">
        <w:rPr>
          <w:rFonts w:ascii="Calibri" w:eastAsia="Calibri" w:hAnsi="Calibri" w:cs="Calibri"/>
          <w:sz w:val="22"/>
          <w:szCs w:val="22"/>
        </w:rPr>
        <w:t>The result was 1,767 MT</w:t>
      </w:r>
      <w:r w:rsidR="00376276">
        <w:rPr>
          <w:rFonts w:ascii="Calibri" w:eastAsia="Calibri" w:hAnsi="Calibri" w:cs="Calibri"/>
          <w:sz w:val="22"/>
          <w:szCs w:val="22"/>
        </w:rPr>
        <w:t xml:space="preserve"> CO</w:t>
      </w:r>
      <w:r w:rsidR="00376276">
        <w:rPr>
          <w:rFonts w:ascii="Calibri" w:eastAsia="Calibri" w:hAnsi="Calibri" w:cs="Calibri"/>
          <w:sz w:val="22"/>
          <w:szCs w:val="22"/>
          <w:vertAlign w:val="subscript"/>
        </w:rPr>
        <w:t>2</w:t>
      </w:r>
      <w:r w:rsidR="00376276">
        <w:rPr>
          <w:rFonts w:ascii="Calibri" w:eastAsia="Calibri" w:hAnsi="Calibri" w:cs="Calibri"/>
          <w:sz w:val="22"/>
          <w:szCs w:val="22"/>
        </w:rPr>
        <w:t xml:space="preserve"> reduction.  </w:t>
      </w:r>
    </w:p>
    <w:bookmarkEnd w:id="3"/>
    <w:p w14:paraId="2646F10D" w14:textId="77777777" w:rsidR="0070295B" w:rsidRDefault="0070295B" w:rsidP="002E206E">
      <w:pPr>
        <w:spacing w:line="240" w:lineRule="auto"/>
        <w:rPr>
          <w:rFonts w:ascii="Calibri" w:eastAsia="Calibri" w:hAnsi="Calibri" w:cs="Calibri"/>
          <w:sz w:val="22"/>
          <w:szCs w:val="22"/>
        </w:rPr>
      </w:pPr>
    </w:p>
    <w:p w14:paraId="292F11E3" w14:textId="77777777" w:rsidR="0004116E" w:rsidRDefault="0004116E" w:rsidP="002E206E">
      <w:pPr>
        <w:spacing w:line="240" w:lineRule="auto"/>
        <w:rPr>
          <w:rFonts w:ascii="Calibri" w:eastAsia="Calibri" w:hAnsi="Calibri" w:cs="Calibri"/>
          <w:sz w:val="22"/>
          <w:szCs w:val="22"/>
        </w:rPr>
      </w:pPr>
    </w:p>
    <w:p w14:paraId="331ED1D2" w14:textId="77777777" w:rsidR="0004116E" w:rsidRDefault="0004116E" w:rsidP="002E206E">
      <w:pPr>
        <w:spacing w:line="240" w:lineRule="auto"/>
        <w:rPr>
          <w:rFonts w:ascii="Calibri" w:eastAsia="Calibri" w:hAnsi="Calibri" w:cs="Calibri"/>
          <w:sz w:val="22"/>
          <w:szCs w:val="22"/>
        </w:rPr>
      </w:pPr>
    </w:p>
    <w:p w14:paraId="6091A9C3" w14:textId="77777777" w:rsidR="0004116E" w:rsidRDefault="0004116E" w:rsidP="002E206E">
      <w:pPr>
        <w:spacing w:line="240" w:lineRule="auto"/>
        <w:rPr>
          <w:rFonts w:ascii="Calibri" w:eastAsia="Calibri" w:hAnsi="Calibri" w:cs="Calibri"/>
          <w:sz w:val="22"/>
          <w:szCs w:val="22"/>
        </w:rPr>
      </w:pPr>
    </w:p>
    <w:p w14:paraId="2E7FBA61" w14:textId="77777777" w:rsidR="0004116E" w:rsidRDefault="0004116E" w:rsidP="002E206E">
      <w:pPr>
        <w:spacing w:line="240" w:lineRule="auto"/>
        <w:rPr>
          <w:rFonts w:ascii="Calibri" w:eastAsia="Calibri" w:hAnsi="Calibri" w:cs="Calibri"/>
          <w:sz w:val="22"/>
          <w:szCs w:val="22"/>
        </w:rPr>
      </w:pPr>
    </w:p>
    <w:p w14:paraId="185E5CCE" w14:textId="77777777" w:rsidR="0004116E" w:rsidRDefault="0004116E" w:rsidP="002E206E">
      <w:pPr>
        <w:spacing w:line="240" w:lineRule="auto"/>
        <w:rPr>
          <w:rFonts w:ascii="Calibri" w:eastAsia="Calibri" w:hAnsi="Calibri" w:cs="Calibri"/>
          <w:sz w:val="22"/>
          <w:szCs w:val="22"/>
        </w:rPr>
      </w:pPr>
    </w:p>
    <w:p w14:paraId="61B213B3" w14:textId="77777777" w:rsidR="0004116E" w:rsidRDefault="0004116E" w:rsidP="002E206E">
      <w:pPr>
        <w:spacing w:line="240" w:lineRule="auto"/>
        <w:rPr>
          <w:rFonts w:ascii="Calibri" w:eastAsia="Calibri" w:hAnsi="Calibri" w:cs="Calibri"/>
          <w:sz w:val="22"/>
          <w:szCs w:val="22"/>
        </w:rPr>
      </w:pPr>
    </w:p>
    <w:p w14:paraId="645BF42E" w14:textId="77777777" w:rsidR="002B12B0" w:rsidRDefault="002B12B0" w:rsidP="002E206E">
      <w:pPr>
        <w:spacing w:line="240" w:lineRule="auto"/>
        <w:rPr>
          <w:rFonts w:ascii="Calibri" w:eastAsia="Calibri" w:hAnsi="Calibri" w:cs="Calibri"/>
          <w:sz w:val="22"/>
          <w:szCs w:val="22"/>
        </w:rPr>
      </w:pPr>
    </w:p>
    <w:p w14:paraId="4643E667" w14:textId="4F2BF4D2" w:rsidR="00BC7989" w:rsidRDefault="00BC7989" w:rsidP="002E206E">
      <w:pPr>
        <w:spacing w:line="240" w:lineRule="auto"/>
        <w:rPr>
          <w:rFonts w:ascii="Calibri" w:eastAsia="Calibri" w:hAnsi="Calibri" w:cs="Calibri"/>
          <w:sz w:val="22"/>
          <w:szCs w:val="22"/>
        </w:rPr>
      </w:pPr>
      <w:r w:rsidRPr="008B6054">
        <w:rPr>
          <w:rFonts w:ascii="Calibri" w:eastAsia="Calibri" w:hAnsi="Calibri" w:cs="Calibri"/>
          <w:b/>
          <w:bCs/>
          <w:sz w:val="22"/>
          <w:szCs w:val="22"/>
        </w:rPr>
        <w:t>Table 6 NRD Microgrid annual kwh</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sidRPr="008B6054">
        <w:rPr>
          <w:rFonts w:ascii="Calibri" w:eastAsia="Calibri" w:hAnsi="Calibri" w:cs="Calibri"/>
          <w:b/>
          <w:bCs/>
          <w:sz w:val="22"/>
          <w:szCs w:val="22"/>
        </w:rPr>
        <w:t>Table 7 Police Microgrid Annual kwh</w:t>
      </w:r>
    </w:p>
    <w:p w14:paraId="36BAF487" w14:textId="77777777" w:rsidR="0004116E" w:rsidRDefault="0004116E" w:rsidP="002E206E">
      <w:pPr>
        <w:spacing w:line="240" w:lineRule="auto"/>
        <w:rPr>
          <w:rFonts w:ascii="Calibri" w:eastAsia="Calibri" w:hAnsi="Calibri" w:cs="Calibri"/>
          <w:sz w:val="22"/>
          <w:szCs w:val="22"/>
        </w:rPr>
      </w:pPr>
    </w:p>
    <w:p w14:paraId="3B925100" w14:textId="72AA9A97" w:rsidR="000918FC" w:rsidRPr="00376276" w:rsidRDefault="00236CC6" w:rsidP="002E206E">
      <w:pPr>
        <w:spacing w:line="240" w:lineRule="auto"/>
        <w:rPr>
          <w:rFonts w:ascii="Calibri" w:eastAsia="Calibri" w:hAnsi="Calibri" w:cs="Calibri"/>
          <w:sz w:val="22"/>
          <w:szCs w:val="22"/>
        </w:rPr>
      </w:pPr>
      <w:r w:rsidRPr="002B2628">
        <w:rPr>
          <w:rFonts w:eastAsia="Calibri"/>
          <w:noProof/>
        </w:rPr>
        <w:drawing>
          <wp:anchor distT="0" distB="0" distL="114300" distR="114300" simplePos="0" relativeHeight="251658242" behindDoc="1" locked="0" layoutInCell="1" allowOverlap="1" wp14:anchorId="5590B27E" wp14:editId="294E2CC3">
            <wp:simplePos x="0" y="0"/>
            <wp:positionH relativeFrom="column">
              <wp:posOffset>3855720</wp:posOffset>
            </wp:positionH>
            <wp:positionV relativeFrom="paragraph">
              <wp:posOffset>40006</wp:posOffset>
            </wp:positionV>
            <wp:extent cx="1630680" cy="2361478"/>
            <wp:effectExtent l="0" t="0" r="7620" b="1270"/>
            <wp:wrapNone/>
            <wp:docPr id="204802303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5638" cy="23686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2895" w:rsidRPr="00A12895">
        <w:rPr>
          <w:rFonts w:eastAsia="Calibri"/>
          <w:noProof/>
        </w:rPr>
        <w:drawing>
          <wp:inline distT="0" distB="0" distL="0" distR="0" wp14:anchorId="68D70762" wp14:editId="6F513C49">
            <wp:extent cx="1738698" cy="2476500"/>
            <wp:effectExtent l="0" t="0" r="0" b="0"/>
            <wp:docPr id="21021590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0159" cy="2507068"/>
                    </a:xfrm>
                    <a:prstGeom prst="rect">
                      <a:avLst/>
                    </a:prstGeom>
                    <a:noFill/>
                    <a:ln>
                      <a:noFill/>
                    </a:ln>
                  </pic:spPr>
                </pic:pic>
              </a:graphicData>
            </a:graphic>
          </wp:inline>
        </w:drawing>
      </w:r>
      <w:r w:rsidR="00BC2AA0">
        <w:rPr>
          <w:rFonts w:ascii="Calibri" w:eastAsia="Calibri" w:hAnsi="Calibri" w:cs="Calibri"/>
          <w:sz w:val="22"/>
          <w:szCs w:val="22"/>
        </w:rPr>
        <w:t xml:space="preserve"> </w:t>
      </w:r>
    </w:p>
    <w:p w14:paraId="66D0F06C" w14:textId="3ACD5A01" w:rsidR="002D14FD" w:rsidRDefault="002B2628" w:rsidP="002B2628">
      <w:pPr>
        <w:spacing w:line="240" w:lineRule="auto"/>
        <w:rPr>
          <w:rFonts w:ascii="Calibri" w:eastAsia="Calibri" w:hAnsi="Calibri" w:cs="Calibri"/>
          <w:sz w:val="22"/>
          <w:szCs w:val="22"/>
        </w:rPr>
      </w:pPr>
      <w:r w:rsidRPr="002B2628">
        <w:rPr>
          <w:rFonts w:ascii="Calibri" w:eastAsia="Calibri" w:hAnsi="Calibri" w:cs="Calibri"/>
          <w:sz w:val="22"/>
          <w:szCs w:val="22"/>
        </w:rPr>
        <w:t xml:space="preserve">The </w:t>
      </w:r>
      <w:r>
        <w:rPr>
          <w:rFonts w:ascii="Calibri" w:eastAsia="Calibri" w:hAnsi="Calibri" w:cs="Calibri"/>
          <w:sz w:val="22"/>
          <w:szCs w:val="22"/>
        </w:rPr>
        <w:t xml:space="preserve">NRD </w:t>
      </w:r>
      <w:r w:rsidR="008B6054">
        <w:rPr>
          <w:rFonts w:ascii="Calibri" w:eastAsia="Calibri" w:hAnsi="Calibri" w:cs="Calibri"/>
          <w:sz w:val="22"/>
          <w:szCs w:val="22"/>
        </w:rPr>
        <w:t xml:space="preserve">Complex </w:t>
      </w:r>
      <w:r w:rsidR="008B6054" w:rsidRPr="002B2628">
        <w:rPr>
          <w:rFonts w:ascii="Calibri" w:eastAsia="Calibri" w:hAnsi="Calibri" w:cs="Calibri"/>
          <w:sz w:val="22"/>
          <w:szCs w:val="22"/>
        </w:rPr>
        <w:t>is</w:t>
      </w:r>
      <w:r w:rsidRPr="002B2628">
        <w:rPr>
          <w:rFonts w:ascii="Calibri" w:eastAsia="Calibri" w:hAnsi="Calibri" w:cs="Calibri"/>
          <w:sz w:val="22"/>
          <w:szCs w:val="22"/>
        </w:rPr>
        <w:t xml:space="preserve"> expected to produce a total of </w:t>
      </w:r>
      <w:bookmarkStart w:id="5" w:name="_Hlk162837145"/>
      <w:r>
        <w:rPr>
          <w:rFonts w:ascii="Calibri" w:eastAsia="Calibri" w:hAnsi="Calibri" w:cs="Calibri"/>
          <w:sz w:val="22"/>
          <w:szCs w:val="22"/>
        </w:rPr>
        <w:t>306</w:t>
      </w:r>
      <w:r w:rsidR="00425724">
        <w:rPr>
          <w:rFonts w:ascii="Calibri" w:eastAsia="Calibri" w:hAnsi="Calibri" w:cs="Calibri"/>
          <w:sz w:val="22"/>
          <w:szCs w:val="22"/>
        </w:rPr>
        <w:t>9</w:t>
      </w:r>
      <w:r>
        <w:rPr>
          <w:rFonts w:ascii="Calibri" w:eastAsia="Calibri" w:hAnsi="Calibri" w:cs="Calibri"/>
          <w:sz w:val="22"/>
          <w:szCs w:val="22"/>
        </w:rPr>
        <w:t>99.4</w:t>
      </w:r>
      <w:r w:rsidRPr="002B2628">
        <w:rPr>
          <w:rFonts w:ascii="Calibri" w:eastAsia="Calibri" w:hAnsi="Calibri" w:cs="Calibri"/>
          <w:sz w:val="22"/>
          <w:szCs w:val="22"/>
        </w:rPr>
        <w:t xml:space="preserve"> </w:t>
      </w:r>
      <w:bookmarkEnd w:id="5"/>
      <w:r w:rsidRPr="002B2628">
        <w:rPr>
          <w:rFonts w:ascii="Calibri" w:eastAsia="Calibri" w:hAnsi="Calibri" w:cs="Calibri"/>
          <w:sz w:val="22"/>
          <w:szCs w:val="22"/>
        </w:rPr>
        <w:t>kwh of electricity for one year.  The EPA’s Greenhouse Gas equivalency calculator</w:t>
      </w:r>
      <w:r w:rsidRPr="002B2628">
        <w:rPr>
          <w:rFonts w:ascii="Calibri" w:eastAsia="Calibri" w:hAnsi="Calibri" w:cs="Calibri"/>
          <w:sz w:val="22"/>
          <w:szCs w:val="22"/>
          <w:vertAlign w:val="superscript"/>
        </w:rPr>
        <w:footnoteReference w:id="4"/>
      </w:r>
      <w:r w:rsidRPr="002B2628">
        <w:rPr>
          <w:rFonts w:ascii="Calibri" w:eastAsia="Calibri" w:hAnsi="Calibri" w:cs="Calibri"/>
          <w:sz w:val="22"/>
          <w:szCs w:val="22"/>
        </w:rPr>
        <w:t xml:space="preserve"> was used to calculate the GHG reduction by entering </w:t>
      </w:r>
      <w:r w:rsidR="008B6054" w:rsidRPr="00472A61">
        <w:rPr>
          <w:rFonts w:ascii="Calibri" w:eastAsia="Calibri" w:hAnsi="Calibri" w:cs="Calibri"/>
          <w:sz w:val="22"/>
          <w:szCs w:val="22"/>
        </w:rPr>
        <w:t>30699.4</w:t>
      </w:r>
      <w:r w:rsidR="008B6054" w:rsidRPr="002B2628">
        <w:rPr>
          <w:rFonts w:ascii="Calibri" w:eastAsia="Calibri" w:hAnsi="Calibri" w:cs="Calibri"/>
          <w:sz w:val="22"/>
          <w:szCs w:val="22"/>
        </w:rPr>
        <w:t xml:space="preserve"> kwh</w:t>
      </w:r>
      <w:r w:rsidRPr="002B2628">
        <w:rPr>
          <w:rFonts w:ascii="Calibri" w:eastAsia="Calibri" w:hAnsi="Calibri" w:cs="Calibri"/>
          <w:sz w:val="22"/>
          <w:szCs w:val="22"/>
        </w:rPr>
        <w:t xml:space="preserve"> of electricity avoided.  The result was </w:t>
      </w:r>
      <w:r w:rsidR="00551746">
        <w:rPr>
          <w:rFonts w:ascii="Calibri" w:eastAsia="Calibri" w:hAnsi="Calibri" w:cs="Calibri"/>
          <w:sz w:val="22"/>
          <w:szCs w:val="22"/>
        </w:rPr>
        <w:t>214</w:t>
      </w:r>
      <w:r w:rsidRPr="002B2628">
        <w:rPr>
          <w:rFonts w:ascii="Calibri" w:eastAsia="Calibri" w:hAnsi="Calibri" w:cs="Calibri"/>
          <w:sz w:val="22"/>
          <w:szCs w:val="22"/>
        </w:rPr>
        <w:t xml:space="preserve"> MT CO</w:t>
      </w:r>
      <w:r w:rsidRPr="002B2628">
        <w:rPr>
          <w:rFonts w:ascii="Calibri" w:eastAsia="Calibri" w:hAnsi="Calibri" w:cs="Calibri"/>
          <w:sz w:val="22"/>
          <w:szCs w:val="22"/>
          <w:vertAlign w:val="subscript"/>
        </w:rPr>
        <w:t>2</w:t>
      </w:r>
      <w:r w:rsidRPr="002B2628">
        <w:rPr>
          <w:rFonts w:ascii="Calibri" w:eastAsia="Calibri" w:hAnsi="Calibri" w:cs="Calibri"/>
          <w:sz w:val="22"/>
          <w:szCs w:val="22"/>
        </w:rPr>
        <w:t xml:space="preserve"> </w:t>
      </w:r>
      <w:r w:rsidR="00B110B4">
        <w:rPr>
          <w:rFonts w:ascii="Calibri" w:eastAsia="Calibri" w:hAnsi="Calibri" w:cs="Calibri"/>
          <w:sz w:val="22"/>
          <w:szCs w:val="22"/>
        </w:rPr>
        <w:t xml:space="preserve">equivalent </w:t>
      </w:r>
      <w:r w:rsidRPr="002B2628">
        <w:rPr>
          <w:rFonts w:ascii="Calibri" w:eastAsia="Calibri" w:hAnsi="Calibri" w:cs="Calibri"/>
          <w:sz w:val="22"/>
          <w:szCs w:val="22"/>
        </w:rPr>
        <w:t xml:space="preserve">reduction.  </w:t>
      </w:r>
      <w:r w:rsidR="00C15DB5">
        <w:rPr>
          <w:rFonts w:ascii="Calibri" w:eastAsia="Calibri" w:hAnsi="Calibri" w:cs="Calibri"/>
          <w:sz w:val="22"/>
          <w:szCs w:val="22"/>
        </w:rPr>
        <w:t>The Police/Pines Gas Station is expected to produce 295</w:t>
      </w:r>
      <w:r w:rsidR="00E504BC">
        <w:rPr>
          <w:rFonts w:ascii="Calibri" w:eastAsia="Calibri" w:hAnsi="Calibri" w:cs="Calibri"/>
          <w:sz w:val="22"/>
          <w:szCs w:val="22"/>
        </w:rPr>
        <w:t xml:space="preserve">576.9 kwh of electricity </w:t>
      </w:r>
      <w:r w:rsidR="007222A7">
        <w:rPr>
          <w:rFonts w:ascii="Calibri" w:eastAsia="Calibri" w:hAnsi="Calibri" w:cs="Calibri"/>
          <w:sz w:val="22"/>
          <w:szCs w:val="22"/>
        </w:rPr>
        <w:t xml:space="preserve">avoided </w:t>
      </w:r>
      <w:r w:rsidR="00E504BC">
        <w:rPr>
          <w:rFonts w:ascii="Calibri" w:eastAsia="Calibri" w:hAnsi="Calibri" w:cs="Calibri"/>
          <w:sz w:val="22"/>
          <w:szCs w:val="22"/>
        </w:rPr>
        <w:t xml:space="preserve">which equates to </w:t>
      </w:r>
      <w:r w:rsidR="0070209B">
        <w:rPr>
          <w:rFonts w:ascii="Calibri" w:eastAsia="Calibri" w:hAnsi="Calibri" w:cs="Calibri"/>
          <w:sz w:val="22"/>
          <w:szCs w:val="22"/>
        </w:rPr>
        <w:t>206</w:t>
      </w:r>
      <w:r w:rsidR="0070209B" w:rsidRPr="002B2628">
        <w:rPr>
          <w:rFonts w:ascii="Calibri" w:eastAsia="Calibri" w:hAnsi="Calibri" w:cs="Calibri"/>
          <w:sz w:val="22"/>
          <w:szCs w:val="22"/>
        </w:rPr>
        <w:t xml:space="preserve"> MT CO</w:t>
      </w:r>
      <w:r w:rsidR="0070209B" w:rsidRPr="002B2628">
        <w:rPr>
          <w:rFonts w:ascii="Calibri" w:eastAsia="Calibri" w:hAnsi="Calibri" w:cs="Calibri"/>
          <w:sz w:val="22"/>
          <w:szCs w:val="22"/>
          <w:vertAlign w:val="subscript"/>
        </w:rPr>
        <w:t>2</w:t>
      </w:r>
      <w:r w:rsidR="0070209B" w:rsidRPr="002B2628">
        <w:rPr>
          <w:rFonts w:ascii="Calibri" w:eastAsia="Calibri" w:hAnsi="Calibri" w:cs="Calibri"/>
          <w:sz w:val="22"/>
          <w:szCs w:val="22"/>
        </w:rPr>
        <w:t xml:space="preserve"> </w:t>
      </w:r>
      <w:r w:rsidR="00B110B4">
        <w:rPr>
          <w:rFonts w:ascii="Calibri" w:eastAsia="Calibri" w:hAnsi="Calibri" w:cs="Calibri"/>
          <w:sz w:val="22"/>
          <w:szCs w:val="22"/>
        </w:rPr>
        <w:t xml:space="preserve">equivalent </w:t>
      </w:r>
      <w:r w:rsidR="0070209B" w:rsidRPr="002B2628">
        <w:rPr>
          <w:rFonts w:ascii="Calibri" w:eastAsia="Calibri" w:hAnsi="Calibri" w:cs="Calibri"/>
          <w:sz w:val="22"/>
          <w:szCs w:val="22"/>
        </w:rPr>
        <w:t>reduction</w:t>
      </w:r>
      <w:r w:rsidR="0070209B">
        <w:rPr>
          <w:rFonts w:ascii="Calibri" w:eastAsia="Calibri" w:hAnsi="Calibri" w:cs="Calibri"/>
          <w:sz w:val="22"/>
          <w:szCs w:val="22"/>
        </w:rPr>
        <w:t>.  Total for 1 year =1767 +</w:t>
      </w:r>
      <w:r w:rsidR="007F436B">
        <w:rPr>
          <w:rFonts w:ascii="Calibri" w:eastAsia="Calibri" w:hAnsi="Calibri" w:cs="Calibri"/>
          <w:sz w:val="22"/>
          <w:szCs w:val="22"/>
        </w:rPr>
        <w:t>214+206=</w:t>
      </w:r>
      <w:r w:rsidR="000167E3">
        <w:rPr>
          <w:rFonts w:ascii="Calibri" w:eastAsia="Calibri" w:hAnsi="Calibri" w:cs="Calibri"/>
          <w:sz w:val="22"/>
          <w:szCs w:val="22"/>
        </w:rPr>
        <w:t>2187</w:t>
      </w:r>
      <w:r w:rsidR="00A31267">
        <w:rPr>
          <w:rFonts w:ascii="Calibri" w:eastAsia="Calibri" w:hAnsi="Calibri" w:cs="Calibri"/>
          <w:sz w:val="22"/>
          <w:szCs w:val="22"/>
        </w:rPr>
        <w:t xml:space="preserve"> MT </w:t>
      </w:r>
      <w:bookmarkStart w:id="6" w:name="_Hlk162838701"/>
      <w:r w:rsidR="00A31267">
        <w:rPr>
          <w:rFonts w:ascii="Calibri" w:eastAsia="Calibri" w:hAnsi="Calibri" w:cs="Calibri"/>
          <w:sz w:val="22"/>
          <w:szCs w:val="22"/>
        </w:rPr>
        <w:t>CO</w:t>
      </w:r>
      <w:r w:rsidR="00A31267">
        <w:rPr>
          <w:rFonts w:ascii="Calibri" w:eastAsia="Calibri" w:hAnsi="Calibri" w:cs="Calibri"/>
          <w:sz w:val="22"/>
          <w:szCs w:val="22"/>
          <w:vertAlign w:val="subscript"/>
        </w:rPr>
        <w:t xml:space="preserve">2 </w:t>
      </w:r>
      <w:r w:rsidR="00B110B4">
        <w:rPr>
          <w:rFonts w:ascii="Calibri" w:eastAsia="Calibri" w:hAnsi="Calibri" w:cs="Calibri"/>
          <w:sz w:val="22"/>
          <w:szCs w:val="22"/>
        </w:rPr>
        <w:t xml:space="preserve">equivalent </w:t>
      </w:r>
      <w:r w:rsidR="00A31267">
        <w:rPr>
          <w:rFonts w:ascii="Calibri" w:eastAsia="Calibri" w:hAnsi="Calibri" w:cs="Calibri"/>
          <w:sz w:val="22"/>
          <w:szCs w:val="22"/>
        </w:rPr>
        <w:t>reduction by 2030</w:t>
      </w:r>
      <w:bookmarkEnd w:id="6"/>
      <w:r w:rsidR="00EE3F14">
        <w:rPr>
          <w:rFonts w:ascii="Calibri" w:eastAsia="Calibri" w:hAnsi="Calibri" w:cs="Calibri"/>
          <w:sz w:val="22"/>
          <w:szCs w:val="22"/>
        </w:rPr>
        <w:t xml:space="preserve">, as </w:t>
      </w:r>
      <w:r w:rsidR="003A20B0">
        <w:rPr>
          <w:rFonts w:ascii="Calibri" w:eastAsia="Calibri" w:hAnsi="Calibri" w:cs="Calibri"/>
          <w:sz w:val="22"/>
          <w:szCs w:val="22"/>
        </w:rPr>
        <w:t xml:space="preserve">it is expected that completion of the microgrids will be complete by </w:t>
      </w:r>
      <w:r w:rsidR="0037480B">
        <w:rPr>
          <w:rFonts w:ascii="Calibri" w:eastAsia="Calibri" w:hAnsi="Calibri" w:cs="Calibri"/>
          <w:sz w:val="22"/>
          <w:szCs w:val="22"/>
        </w:rPr>
        <w:t xml:space="preserve">that </w:t>
      </w:r>
      <w:r w:rsidR="007F66BA">
        <w:rPr>
          <w:rFonts w:ascii="Calibri" w:eastAsia="Calibri" w:hAnsi="Calibri" w:cs="Calibri"/>
          <w:sz w:val="22"/>
          <w:szCs w:val="22"/>
        </w:rPr>
        <w:t>time</w:t>
      </w:r>
      <w:r w:rsidR="0037480B">
        <w:rPr>
          <w:rFonts w:ascii="Calibri" w:eastAsia="Calibri" w:hAnsi="Calibri" w:cs="Calibri"/>
          <w:sz w:val="22"/>
          <w:szCs w:val="22"/>
        </w:rPr>
        <w:t xml:space="preserve"> and be in operation.  The total reduction by 20</w:t>
      </w:r>
      <w:r w:rsidR="00C37CB8">
        <w:rPr>
          <w:rFonts w:ascii="Calibri" w:eastAsia="Calibri" w:hAnsi="Calibri" w:cs="Calibri"/>
          <w:sz w:val="22"/>
          <w:szCs w:val="22"/>
        </w:rPr>
        <w:t xml:space="preserve">50 would be </w:t>
      </w:r>
      <w:r w:rsidR="007F66BA">
        <w:rPr>
          <w:rFonts w:ascii="Calibri" w:eastAsia="Calibri" w:hAnsi="Calibri" w:cs="Calibri"/>
          <w:sz w:val="22"/>
          <w:szCs w:val="22"/>
        </w:rPr>
        <w:t>2187 x 30</w:t>
      </w:r>
      <w:r w:rsidR="00160493">
        <w:rPr>
          <w:rFonts w:ascii="Calibri" w:eastAsia="Calibri" w:hAnsi="Calibri" w:cs="Calibri"/>
          <w:sz w:val="22"/>
          <w:szCs w:val="22"/>
        </w:rPr>
        <w:t xml:space="preserve"> years</w:t>
      </w:r>
      <w:r w:rsidR="007F66BA">
        <w:rPr>
          <w:rFonts w:ascii="Calibri" w:eastAsia="Calibri" w:hAnsi="Calibri" w:cs="Calibri"/>
          <w:sz w:val="22"/>
          <w:szCs w:val="22"/>
        </w:rPr>
        <w:t xml:space="preserve"> =</w:t>
      </w:r>
      <w:r w:rsidR="002D14FD">
        <w:rPr>
          <w:rFonts w:ascii="Calibri" w:eastAsia="Calibri" w:hAnsi="Calibri" w:cs="Calibri"/>
          <w:sz w:val="22"/>
          <w:szCs w:val="22"/>
        </w:rPr>
        <w:t>43,740 MT CO</w:t>
      </w:r>
      <w:r w:rsidR="002D14FD">
        <w:rPr>
          <w:rFonts w:ascii="Calibri" w:eastAsia="Calibri" w:hAnsi="Calibri" w:cs="Calibri"/>
          <w:sz w:val="22"/>
          <w:szCs w:val="22"/>
          <w:vertAlign w:val="subscript"/>
        </w:rPr>
        <w:t xml:space="preserve">2 </w:t>
      </w:r>
      <w:r w:rsidR="00B110B4">
        <w:rPr>
          <w:rFonts w:ascii="Calibri" w:eastAsia="Calibri" w:hAnsi="Calibri" w:cs="Calibri"/>
          <w:sz w:val="22"/>
          <w:szCs w:val="22"/>
        </w:rPr>
        <w:t xml:space="preserve">equivalent </w:t>
      </w:r>
      <w:r w:rsidR="002D14FD">
        <w:rPr>
          <w:rFonts w:ascii="Calibri" w:eastAsia="Calibri" w:hAnsi="Calibri" w:cs="Calibri"/>
          <w:sz w:val="22"/>
          <w:szCs w:val="22"/>
        </w:rPr>
        <w:t xml:space="preserve">reduction.  </w:t>
      </w:r>
    </w:p>
    <w:p w14:paraId="7E13F5AC" w14:textId="77777777" w:rsidR="00313A9D" w:rsidRPr="005819A6" w:rsidRDefault="002D14FD" w:rsidP="002B2628">
      <w:pPr>
        <w:spacing w:line="240" w:lineRule="auto"/>
        <w:rPr>
          <w:rFonts w:ascii="Calibri" w:eastAsia="Calibri" w:hAnsi="Calibri" w:cs="Calibri"/>
          <w:b/>
          <w:bCs/>
          <w:color w:val="FF0000"/>
          <w:sz w:val="22"/>
          <w:szCs w:val="22"/>
        </w:rPr>
      </w:pPr>
      <w:r w:rsidRPr="005819A6">
        <w:rPr>
          <w:rFonts w:ascii="Calibri" w:eastAsia="Calibri" w:hAnsi="Calibri" w:cs="Calibri"/>
          <w:b/>
          <w:bCs/>
          <w:color w:val="FF0000"/>
          <w:sz w:val="22"/>
          <w:szCs w:val="22"/>
        </w:rPr>
        <w:t>Measure 2- I</w:t>
      </w:r>
      <w:r w:rsidR="00313A9D" w:rsidRPr="005819A6">
        <w:rPr>
          <w:rFonts w:ascii="Calibri" w:eastAsia="Calibri" w:hAnsi="Calibri" w:cs="Calibri"/>
          <w:b/>
          <w:bCs/>
          <w:color w:val="FF0000"/>
          <w:sz w:val="22"/>
          <w:szCs w:val="22"/>
        </w:rPr>
        <w:t>nstall 4 kW Solar PV at 700 homes.</w:t>
      </w:r>
    </w:p>
    <w:p w14:paraId="2CD06ABC" w14:textId="1E8E320B" w:rsidR="002B12B0" w:rsidRDefault="009320F0" w:rsidP="00DF2127">
      <w:pPr>
        <w:spacing w:line="240" w:lineRule="auto"/>
        <w:rPr>
          <w:rFonts w:ascii="Calibri" w:eastAsia="Calibri" w:hAnsi="Calibri" w:cs="Calibri"/>
          <w:sz w:val="22"/>
          <w:szCs w:val="22"/>
        </w:rPr>
      </w:pPr>
      <w:r>
        <w:rPr>
          <w:rFonts w:ascii="Calibri" w:eastAsia="Calibri" w:hAnsi="Calibri" w:cs="Calibri"/>
          <w:sz w:val="22"/>
          <w:szCs w:val="22"/>
        </w:rPr>
        <w:t xml:space="preserve">According to </w:t>
      </w:r>
      <w:r w:rsidR="00597AC4">
        <w:rPr>
          <w:rFonts w:ascii="Calibri" w:eastAsia="Calibri" w:hAnsi="Calibri" w:cs="Calibri"/>
          <w:sz w:val="22"/>
          <w:szCs w:val="22"/>
        </w:rPr>
        <w:t>the Keweenaw Bay Indian Community</w:t>
      </w:r>
      <w:r w:rsidR="00B16C6C">
        <w:rPr>
          <w:rFonts w:ascii="Calibri" w:eastAsia="Calibri" w:hAnsi="Calibri" w:cs="Calibri"/>
          <w:sz w:val="22"/>
          <w:szCs w:val="22"/>
        </w:rPr>
        <w:t xml:space="preserve"> enrollment office</w:t>
      </w:r>
      <w:r w:rsidR="00597AC4">
        <w:rPr>
          <w:rFonts w:ascii="Calibri" w:eastAsia="Calibri" w:hAnsi="Calibri" w:cs="Calibri"/>
          <w:sz w:val="22"/>
          <w:szCs w:val="22"/>
        </w:rPr>
        <w:t>, there are 1,1</w:t>
      </w:r>
      <w:r w:rsidR="008E00E1">
        <w:rPr>
          <w:rFonts w:ascii="Calibri" w:eastAsia="Calibri" w:hAnsi="Calibri" w:cs="Calibri"/>
          <w:sz w:val="22"/>
          <w:szCs w:val="22"/>
        </w:rPr>
        <w:t xml:space="preserve">30 members </w:t>
      </w:r>
      <w:r w:rsidR="00B16C6C">
        <w:rPr>
          <w:rFonts w:ascii="Calibri" w:eastAsia="Calibri" w:hAnsi="Calibri" w:cs="Calibri"/>
          <w:sz w:val="22"/>
          <w:szCs w:val="22"/>
        </w:rPr>
        <w:t>located in Baraga County.  There are 8,158 residents in Baraga County</w:t>
      </w:r>
      <w:r w:rsidR="007C7B97">
        <w:rPr>
          <w:rFonts w:ascii="Calibri" w:eastAsia="Calibri" w:hAnsi="Calibri" w:cs="Calibri"/>
          <w:sz w:val="22"/>
          <w:szCs w:val="22"/>
        </w:rPr>
        <w:t xml:space="preserve"> and 5052 housing units</w:t>
      </w:r>
      <w:r w:rsidR="00304F8C">
        <w:rPr>
          <w:rFonts w:ascii="Calibri" w:eastAsia="Calibri" w:hAnsi="Calibri" w:cs="Calibri"/>
          <w:sz w:val="22"/>
          <w:szCs w:val="22"/>
        </w:rPr>
        <w:t>.</w:t>
      </w:r>
      <w:r w:rsidR="00621BF0">
        <w:rPr>
          <w:rStyle w:val="FootnoteReference"/>
          <w:rFonts w:ascii="Calibri" w:eastAsia="Calibri" w:hAnsi="Calibri" w:cs="Calibri"/>
          <w:sz w:val="22"/>
          <w:szCs w:val="22"/>
        </w:rPr>
        <w:footnoteReference w:id="5"/>
      </w:r>
      <w:r w:rsidR="004D1AB2">
        <w:rPr>
          <w:rFonts w:ascii="Calibri" w:eastAsia="Calibri" w:hAnsi="Calibri" w:cs="Calibri"/>
          <w:sz w:val="22"/>
          <w:szCs w:val="22"/>
        </w:rPr>
        <w:t xml:space="preserve">  </w:t>
      </w:r>
      <w:r w:rsidR="00620D5E">
        <w:rPr>
          <w:rFonts w:ascii="Calibri" w:eastAsia="Calibri" w:hAnsi="Calibri" w:cs="Calibri"/>
          <w:sz w:val="22"/>
          <w:szCs w:val="22"/>
        </w:rPr>
        <w:t xml:space="preserve">Using this information, a </w:t>
      </w:r>
      <w:r w:rsidR="00F00F14">
        <w:rPr>
          <w:rFonts w:ascii="Calibri" w:eastAsia="Calibri" w:hAnsi="Calibri" w:cs="Calibri"/>
          <w:sz w:val="22"/>
          <w:szCs w:val="22"/>
        </w:rPr>
        <w:t>calculation</w:t>
      </w:r>
      <w:r w:rsidR="00620D5E">
        <w:rPr>
          <w:rFonts w:ascii="Calibri" w:eastAsia="Calibri" w:hAnsi="Calibri" w:cs="Calibri"/>
          <w:sz w:val="22"/>
          <w:szCs w:val="22"/>
        </w:rPr>
        <w:t xml:space="preserve"> was done t</w:t>
      </w:r>
      <w:r w:rsidR="00F00F14">
        <w:rPr>
          <w:rFonts w:ascii="Calibri" w:eastAsia="Calibri" w:hAnsi="Calibri" w:cs="Calibri"/>
          <w:sz w:val="22"/>
          <w:szCs w:val="22"/>
        </w:rPr>
        <w:t xml:space="preserve">o arrive at an estimated number of Tribal member homes located in Baraga County.  </w:t>
      </w:r>
    </w:p>
    <w:p w14:paraId="6A736F6C" w14:textId="77777777" w:rsidR="00972C03" w:rsidRDefault="00972C03" w:rsidP="00DF2127">
      <w:pPr>
        <w:spacing w:line="240" w:lineRule="auto"/>
        <w:rPr>
          <w:rFonts w:ascii="Calibri" w:eastAsia="Calibri" w:hAnsi="Calibri" w:cs="Calibri"/>
          <w:sz w:val="22"/>
          <w:szCs w:val="22"/>
        </w:rPr>
      </w:pPr>
    </w:p>
    <w:p w14:paraId="62FFD124" w14:textId="77777777" w:rsidR="00972C03" w:rsidRDefault="00972C03" w:rsidP="00DF2127">
      <w:pPr>
        <w:spacing w:line="240" w:lineRule="auto"/>
        <w:rPr>
          <w:rFonts w:ascii="Calibri" w:eastAsia="Calibri" w:hAnsi="Calibri" w:cs="Calibri"/>
          <w:sz w:val="22"/>
          <w:szCs w:val="22"/>
        </w:rPr>
      </w:pPr>
    </w:p>
    <w:p w14:paraId="2FEA087D" w14:textId="77777777" w:rsidR="00972C03" w:rsidRDefault="00972C03" w:rsidP="00DF2127">
      <w:pPr>
        <w:spacing w:line="240" w:lineRule="auto"/>
        <w:rPr>
          <w:rFonts w:ascii="Calibri" w:eastAsia="Calibri" w:hAnsi="Calibri" w:cs="Calibri"/>
          <w:sz w:val="22"/>
          <w:szCs w:val="22"/>
        </w:rPr>
      </w:pPr>
    </w:p>
    <w:p w14:paraId="030E20AB" w14:textId="77777777" w:rsidR="00972C03" w:rsidRDefault="00972C03" w:rsidP="00DF2127">
      <w:pPr>
        <w:spacing w:line="240" w:lineRule="auto"/>
        <w:rPr>
          <w:rFonts w:ascii="Calibri" w:eastAsia="Calibri" w:hAnsi="Calibri" w:cs="Calibri"/>
          <w:sz w:val="22"/>
          <w:szCs w:val="22"/>
        </w:rPr>
      </w:pPr>
    </w:p>
    <w:p w14:paraId="5D71F6BC" w14:textId="77777777" w:rsidR="00972C03" w:rsidRDefault="00972C03" w:rsidP="00DF2127">
      <w:pPr>
        <w:spacing w:line="240" w:lineRule="auto"/>
        <w:rPr>
          <w:rFonts w:ascii="Calibri" w:eastAsia="Calibri" w:hAnsi="Calibri" w:cs="Calibri"/>
          <w:sz w:val="22"/>
          <w:szCs w:val="22"/>
        </w:rPr>
      </w:pPr>
    </w:p>
    <w:p w14:paraId="1EF79638" w14:textId="77777777" w:rsidR="00972C03" w:rsidRDefault="00972C03" w:rsidP="00DF2127">
      <w:pPr>
        <w:spacing w:line="240" w:lineRule="auto"/>
        <w:rPr>
          <w:rFonts w:ascii="Calibri" w:eastAsia="Calibri" w:hAnsi="Calibri" w:cs="Calibri"/>
          <w:sz w:val="22"/>
          <w:szCs w:val="22"/>
        </w:rPr>
      </w:pPr>
    </w:p>
    <w:p w14:paraId="1B11408B" w14:textId="77777777" w:rsidR="00972C03" w:rsidRDefault="00972C03" w:rsidP="00DF2127">
      <w:pPr>
        <w:spacing w:line="240" w:lineRule="auto"/>
        <w:rPr>
          <w:rFonts w:ascii="Calibri" w:eastAsia="Calibri" w:hAnsi="Calibri" w:cs="Calibri"/>
          <w:sz w:val="22"/>
          <w:szCs w:val="22"/>
        </w:rPr>
      </w:pPr>
    </w:p>
    <w:p w14:paraId="318AFB36" w14:textId="77777777" w:rsidR="00972C03" w:rsidRDefault="00972C03" w:rsidP="00DF2127">
      <w:pPr>
        <w:spacing w:line="240" w:lineRule="auto"/>
        <w:rPr>
          <w:rFonts w:ascii="Calibri" w:eastAsia="Calibri" w:hAnsi="Calibri" w:cs="Calibri"/>
          <w:sz w:val="22"/>
          <w:szCs w:val="22"/>
        </w:rPr>
      </w:pPr>
    </w:p>
    <w:p w14:paraId="513099BB" w14:textId="77777777" w:rsidR="00972C03" w:rsidRDefault="00972C03" w:rsidP="00DF2127">
      <w:pPr>
        <w:spacing w:line="240" w:lineRule="auto"/>
        <w:rPr>
          <w:rFonts w:ascii="Calibri" w:eastAsia="Calibri" w:hAnsi="Calibri" w:cs="Calibri"/>
          <w:sz w:val="22"/>
          <w:szCs w:val="22"/>
        </w:rPr>
      </w:pPr>
    </w:p>
    <w:p w14:paraId="525FD469" w14:textId="77777777" w:rsidR="00972C03" w:rsidRDefault="00972C03" w:rsidP="00DF2127">
      <w:pPr>
        <w:spacing w:line="240" w:lineRule="auto"/>
        <w:rPr>
          <w:rFonts w:ascii="Calibri" w:eastAsia="Calibri" w:hAnsi="Calibri" w:cs="Calibri"/>
          <w:sz w:val="22"/>
          <w:szCs w:val="22"/>
        </w:rPr>
      </w:pPr>
    </w:p>
    <w:p w14:paraId="4BA22826" w14:textId="77777777" w:rsidR="00972C03" w:rsidRDefault="00972C03" w:rsidP="00DF2127">
      <w:pPr>
        <w:spacing w:line="240" w:lineRule="auto"/>
        <w:rPr>
          <w:rFonts w:ascii="Calibri" w:eastAsia="Calibri" w:hAnsi="Calibri" w:cs="Calibri"/>
          <w:sz w:val="22"/>
          <w:szCs w:val="22"/>
        </w:rPr>
      </w:pPr>
    </w:p>
    <w:p w14:paraId="24EA20C5" w14:textId="77777777" w:rsidR="00972C03" w:rsidRDefault="00972C03" w:rsidP="00DF2127">
      <w:pPr>
        <w:spacing w:line="240" w:lineRule="auto"/>
        <w:rPr>
          <w:rFonts w:ascii="Calibri" w:eastAsia="Calibri" w:hAnsi="Calibri" w:cs="Calibri"/>
          <w:sz w:val="22"/>
          <w:szCs w:val="22"/>
        </w:rPr>
      </w:pPr>
    </w:p>
    <w:p w14:paraId="743FC1CD" w14:textId="77777777" w:rsidR="00972C03" w:rsidRDefault="00972C03" w:rsidP="00DF2127">
      <w:pPr>
        <w:spacing w:line="240" w:lineRule="auto"/>
        <w:rPr>
          <w:rFonts w:ascii="Calibri" w:eastAsia="Calibri" w:hAnsi="Calibri" w:cs="Calibri"/>
          <w:sz w:val="22"/>
          <w:szCs w:val="22"/>
        </w:rPr>
      </w:pPr>
    </w:p>
    <w:p w14:paraId="4DB061EC" w14:textId="77777777" w:rsidR="00972C03" w:rsidRDefault="00972C03" w:rsidP="00DF2127">
      <w:pPr>
        <w:spacing w:line="240" w:lineRule="auto"/>
        <w:rPr>
          <w:rFonts w:ascii="Calibri" w:eastAsia="Calibri" w:hAnsi="Calibri" w:cs="Calibri"/>
          <w:sz w:val="22"/>
          <w:szCs w:val="22"/>
        </w:rPr>
      </w:pPr>
    </w:p>
    <w:p w14:paraId="3A825638" w14:textId="77777777" w:rsidR="00972C03" w:rsidRDefault="00972C03" w:rsidP="00DF2127">
      <w:pPr>
        <w:spacing w:line="240" w:lineRule="auto"/>
        <w:rPr>
          <w:rFonts w:ascii="Calibri" w:eastAsia="Calibri" w:hAnsi="Calibri" w:cs="Calibri"/>
          <w:sz w:val="22"/>
          <w:szCs w:val="22"/>
        </w:rPr>
      </w:pPr>
    </w:p>
    <w:p w14:paraId="2BD7AFCE" w14:textId="537C8845" w:rsidR="00C8605C" w:rsidRPr="00C8605C" w:rsidRDefault="00C8605C" w:rsidP="00DF2127">
      <w:pPr>
        <w:spacing w:line="240" w:lineRule="auto"/>
        <w:rPr>
          <w:rFonts w:ascii="Calibri" w:eastAsia="Calibri" w:hAnsi="Calibri" w:cs="Calibri"/>
          <w:b/>
          <w:bCs/>
          <w:sz w:val="22"/>
          <w:szCs w:val="22"/>
        </w:rPr>
      </w:pPr>
      <w:r w:rsidRPr="00C8605C">
        <w:rPr>
          <w:rFonts w:ascii="Calibri" w:eastAsia="Calibri" w:hAnsi="Calibri" w:cs="Calibri"/>
          <w:b/>
          <w:bCs/>
          <w:sz w:val="22"/>
          <w:szCs w:val="22"/>
        </w:rPr>
        <w:lastRenderedPageBreak/>
        <w:t>Table 8 Residential Annual kwh</w:t>
      </w:r>
    </w:p>
    <w:p w14:paraId="20707A4D" w14:textId="537C8845" w:rsidR="00604E84" w:rsidRPr="00DF2127" w:rsidRDefault="004D1AB2" w:rsidP="00DF2127">
      <w:pPr>
        <w:spacing w:line="240" w:lineRule="auto"/>
        <w:rPr>
          <w:rFonts w:ascii="Calibri" w:eastAsia="Calibri" w:hAnsi="Calibri" w:cs="Calibri"/>
          <w:sz w:val="22"/>
          <w:szCs w:val="22"/>
        </w:rPr>
      </w:pPr>
      <w:bookmarkStart w:id="7" w:name="_Hlk162847952"/>
      <w:r>
        <w:rPr>
          <w:rFonts w:ascii="Calibri" w:eastAsia="Calibri" w:hAnsi="Calibri" w:cs="Calibri"/>
          <w:sz w:val="22"/>
          <w:szCs w:val="22"/>
        </w:rPr>
        <w:t xml:space="preserve">1,130 </w:t>
      </w:r>
      <w:r w:rsidR="00D43104">
        <w:rPr>
          <w:rFonts w:ascii="Calibri" w:eastAsia="Calibri" w:hAnsi="Calibri" w:cs="Calibri"/>
          <w:sz w:val="22"/>
          <w:szCs w:val="22"/>
        </w:rPr>
        <w:t>÷8158 x 5052</w:t>
      </w:r>
      <w:r w:rsidR="00CF7DE5">
        <w:rPr>
          <w:rFonts w:ascii="Calibri" w:eastAsia="Calibri" w:hAnsi="Calibri" w:cs="Calibri"/>
          <w:sz w:val="22"/>
          <w:szCs w:val="22"/>
        </w:rPr>
        <w:t xml:space="preserve"> = 700 Tribal member homes located in Baraga County.  </w:t>
      </w:r>
      <w:bookmarkEnd w:id="7"/>
      <w:r w:rsidR="00313A9D">
        <w:rPr>
          <w:rFonts w:ascii="Calibri" w:eastAsia="Calibri" w:hAnsi="Calibri" w:cs="Calibri"/>
          <w:sz w:val="22"/>
          <w:szCs w:val="22"/>
        </w:rPr>
        <w:t xml:space="preserve">Using </w:t>
      </w:r>
      <w:r w:rsidR="000C1456">
        <w:rPr>
          <w:rFonts w:ascii="Calibri" w:eastAsia="Calibri" w:hAnsi="Calibri" w:cs="Calibri"/>
          <w:sz w:val="22"/>
          <w:szCs w:val="22"/>
        </w:rPr>
        <w:t xml:space="preserve">NREL PV Watts Calculator and the same assumption of cloud cover </w:t>
      </w:r>
      <w:r w:rsidR="00DF6199">
        <w:rPr>
          <w:rFonts w:ascii="Calibri" w:eastAsia="Calibri" w:hAnsi="Calibri" w:cs="Calibri"/>
          <w:sz w:val="22"/>
          <w:szCs w:val="22"/>
        </w:rPr>
        <w:t xml:space="preserve">with </w:t>
      </w:r>
      <w:r w:rsidR="00B81B29">
        <w:rPr>
          <w:rFonts w:ascii="Calibri" w:eastAsia="Calibri" w:hAnsi="Calibri" w:cs="Calibri"/>
          <w:sz w:val="22"/>
          <w:szCs w:val="22"/>
        </w:rPr>
        <w:t xml:space="preserve">a </w:t>
      </w:r>
      <w:r w:rsidR="002B12B0">
        <w:rPr>
          <w:rFonts w:ascii="Calibri" w:eastAsia="Calibri" w:hAnsi="Calibri" w:cs="Calibri"/>
          <w:sz w:val="22"/>
          <w:szCs w:val="22"/>
        </w:rPr>
        <w:t>4-kW</w:t>
      </w:r>
      <w:r w:rsidR="00B81B29">
        <w:rPr>
          <w:rFonts w:ascii="Calibri" w:eastAsia="Calibri" w:hAnsi="Calibri" w:cs="Calibri"/>
          <w:sz w:val="22"/>
          <w:szCs w:val="22"/>
        </w:rPr>
        <w:t xml:space="preserve"> system </w:t>
      </w:r>
      <w:r w:rsidR="000C1456">
        <w:rPr>
          <w:rFonts w:ascii="Calibri" w:eastAsia="Calibri" w:hAnsi="Calibri" w:cs="Calibri"/>
          <w:sz w:val="22"/>
          <w:szCs w:val="22"/>
        </w:rPr>
        <w:t xml:space="preserve">and </w:t>
      </w:r>
      <w:r w:rsidR="00756E7D">
        <w:rPr>
          <w:rFonts w:ascii="Calibri" w:eastAsia="Calibri" w:hAnsi="Calibri" w:cs="Calibri"/>
          <w:sz w:val="22"/>
          <w:szCs w:val="22"/>
        </w:rPr>
        <w:t>an address of 123 Michigan Ave., Baraga, M</w:t>
      </w:r>
      <w:r w:rsidR="00426605">
        <w:rPr>
          <w:rFonts w:ascii="Calibri" w:eastAsia="Calibri" w:hAnsi="Calibri" w:cs="Calibri"/>
          <w:sz w:val="22"/>
          <w:szCs w:val="22"/>
        </w:rPr>
        <w:t>I</w:t>
      </w:r>
      <w:r w:rsidR="00724755">
        <w:rPr>
          <w:rFonts w:ascii="Calibri" w:eastAsia="Calibri" w:hAnsi="Calibri" w:cs="Calibri"/>
          <w:sz w:val="22"/>
          <w:szCs w:val="22"/>
        </w:rPr>
        <w:t xml:space="preserve"> 49908, the following output was obtained for electricity use avoided.</w:t>
      </w:r>
      <w:r w:rsidR="00724755" w:rsidRPr="00724755">
        <w:rPr>
          <w:rFonts w:eastAsia="Calibri"/>
          <w:noProof/>
        </w:rPr>
        <w:drawing>
          <wp:anchor distT="0" distB="0" distL="114300" distR="114300" simplePos="0" relativeHeight="251658243" behindDoc="0" locked="0" layoutInCell="1" allowOverlap="1" wp14:anchorId="235FE240" wp14:editId="44EC066F">
            <wp:simplePos x="0" y="0"/>
            <wp:positionH relativeFrom="column">
              <wp:posOffset>60960</wp:posOffset>
            </wp:positionH>
            <wp:positionV relativeFrom="paragraph">
              <wp:posOffset>2540</wp:posOffset>
            </wp:positionV>
            <wp:extent cx="1805940" cy="2571750"/>
            <wp:effectExtent l="0" t="0" r="3810" b="0"/>
            <wp:wrapThrough wrapText="bothSides">
              <wp:wrapPolygon edited="0">
                <wp:start x="0" y="0"/>
                <wp:lineTo x="0" y="21440"/>
                <wp:lineTo x="21418" y="21440"/>
                <wp:lineTo x="21418" y="5920"/>
                <wp:lineTo x="19367" y="5120"/>
                <wp:lineTo x="20278" y="3200"/>
                <wp:lineTo x="19595" y="2720"/>
                <wp:lineTo x="18456" y="2560"/>
                <wp:lineTo x="21418" y="1120"/>
                <wp:lineTo x="21418" y="0"/>
                <wp:lineTo x="0" y="0"/>
              </wp:wrapPolygon>
            </wp:wrapThrough>
            <wp:docPr id="542565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5940" cy="2571750"/>
                    </a:xfrm>
                    <a:prstGeom prst="rect">
                      <a:avLst/>
                    </a:prstGeom>
                    <a:noFill/>
                    <a:ln>
                      <a:noFill/>
                    </a:ln>
                  </pic:spPr>
                </pic:pic>
              </a:graphicData>
            </a:graphic>
          </wp:anchor>
        </w:drawing>
      </w:r>
      <w:r w:rsidR="00DF2127">
        <w:rPr>
          <w:rFonts w:ascii="Calibri" w:eastAsia="Calibri" w:hAnsi="Calibri" w:cs="Calibri"/>
          <w:sz w:val="22"/>
          <w:szCs w:val="22"/>
        </w:rPr>
        <w:t xml:space="preserve"> </w:t>
      </w:r>
      <w:r w:rsidR="00055011">
        <w:rPr>
          <w:rFonts w:ascii="Calibri" w:eastAsia="Calibri" w:hAnsi="Calibri" w:cs="Calibri"/>
          <w:bCs/>
          <w:sz w:val="22"/>
          <w:szCs w:val="22"/>
        </w:rPr>
        <w:t xml:space="preserve">3842.149 </w:t>
      </w:r>
      <w:r w:rsidR="00393F17">
        <w:rPr>
          <w:rFonts w:ascii="Calibri" w:eastAsia="Calibri" w:hAnsi="Calibri" w:cs="Calibri"/>
          <w:bCs/>
          <w:sz w:val="22"/>
          <w:szCs w:val="22"/>
        </w:rPr>
        <w:t xml:space="preserve">kwh avoided/home x 700 homes = </w:t>
      </w:r>
      <w:r w:rsidR="0040388E">
        <w:rPr>
          <w:rFonts w:ascii="Calibri" w:eastAsia="Calibri" w:hAnsi="Calibri" w:cs="Calibri"/>
          <w:bCs/>
          <w:sz w:val="22"/>
          <w:szCs w:val="22"/>
        </w:rPr>
        <w:t>2689504 kwh avoided</w:t>
      </w:r>
      <w:r w:rsidR="00DF2127">
        <w:rPr>
          <w:rFonts w:ascii="Calibri" w:eastAsia="Calibri" w:hAnsi="Calibri" w:cs="Calibri"/>
          <w:bCs/>
          <w:sz w:val="22"/>
          <w:szCs w:val="22"/>
        </w:rPr>
        <w:t xml:space="preserve"> </w:t>
      </w:r>
      <w:r w:rsidR="0040388E">
        <w:rPr>
          <w:rFonts w:ascii="Calibri" w:eastAsia="Calibri" w:hAnsi="Calibri" w:cs="Calibri"/>
          <w:bCs/>
          <w:sz w:val="22"/>
          <w:szCs w:val="22"/>
        </w:rPr>
        <w:t xml:space="preserve">which is equivalent to </w:t>
      </w:r>
      <w:r w:rsidR="00FA7661">
        <w:rPr>
          <w:rFonts w:ascii="Calibri" w:eastAsia="Calibri" w:hAnsi="Calibri" w:cs="Calibri"/>
          <w:bCs/>
          <w:sz w:val="22"/>
          <w:szCs w:val="22"/>
        </w:rPr>
        <w:t xml:space="preserve">1,879 MT </w:t>
      </w:r>
      <w:r w:rsidR="00315E42" w:rsidRPr="00315E42">
        <w:rPr>
          <w:rFonts w:ascii="Calibri" w:eastAsia="Calibri" w:hAnsi="Calibri" w:cs="Calibri"/>
          <w:bCs/>
          <w:sz w:val="22"/>
          <w:szCs w:val="22"/>
        </w:rPr>
        <w:t>CO</w:t>
      </w:r>
      <w:r w:rsidR="00315E42" w:rsidRPr="00315E42">
        <w:rPr>
          <w:rFonts w:ascii="Calibri" w:eastAsia="Calibri" w:hAnsi="Calibri" w:cs="Calibri"/>
          <w:bCs/>
          <w:sz w:val="22"/>
          <w:szCs w:val="22"/>
          <w:vertAlign w:val="subscript"/>
        </w:rPr>
        <w:t xml:space="preserve">2 </w:t>
      </w:r>
      <w:r w:rsidR="00841153">
        <w:rPr>
          <w:rFonts w:ascii="Calibri" w:eastAsia="Calibri" w:hAnsi="Calibri" w:cs="Calibri"/>
          <w:bCs/>
          <w:sz w:val="22"/>
          <w:szCs w:val="22"/>
        </w:rPr>
        <w:t xml:space="preserve">equivalent </w:t>
      </w:r>
      <w:r w:rsidR="00315E42" w:rsidRPr="00315E42">
        <w:rPr>
          <w:rFonts w:ascii="Calibri" w:eastAsia="Calibri" w:hAnsi="Calibri" w:cs="Calibri"/>
          <w:bCs/>
          <w:sz w:val="22"/>
          <w:szCs w:val="22"/>
        </w:rPr>
        <w:t>reduction by 2030</w:t>
      </w:r>
      <w:r w:rsidR="00315E42">
        <w:rPr>
          <w:rFonts w:ascii="Calibri" w:eastAsia="Calibri" w:hAnsi="Calibri" w:cs="Calibri"/>
          <w:bCs/>
          <w:sz w:val="22"/>
          <w:szCs w:val="22"/>
        </w:rPr>
        <w:t xml:space="preserve">.  </w:t>
      </w:r>
      <w:r w:rsidR="00A646D8">
        <w:rPr>
          <w:rFonts w:ascii="Calibri" w:eastAsia="Calibri" w:hAnsi="Calibri" w:cs="Calibri"/>
          <w:bCs/>
          <w:sz w:val="22"/>
          <w:szCs w:val="22"/>
        </w:rPr>
        <w:t xml:space="preserve">The total reduction by 2050 would be 1879 x </w:t>
      </w:r>
      <w:r w:rsidR="000132C1">
        <w:rPr>
          <w:rFonts w:ascii="Calibri" w:eastAsia="Calibri" w:hAnsi="Calibri" w:cs="Calibri"/>
          <w:bCs/>
          <w:sz w:val="22"/>
          <w:szCs w:val="22"/>
        </w:rPr>
        <w:t>2</w:t>
      </w:r>
      <w:r w:rsidR="00A646D8">
        <w:rPr>
          <w:rFonts w:ascii="Calibri" w:eastAsia="Calibri" w:hAnsi="Calibri" w:cs="Calibri"/>
          <w:bCs/>
          <w:sz w:val="22"/>
          <w:szCs w:val="22"/>
        </w:rPr>
        <w:t xml:space="preserve">0 years </w:t>
      </w:r>
      <w:r w:rsidR="00160493">
        <w:rPr>
          <w:rFonts w:ascii="Calibri" w:eastAsia="Calibri" w:hAnsi="Calibri" w:cs="Calibri"/>
          <w:bCs/>
          <w:sz w:val="22"/>
          <w:szCs w:val="22"/>
        </w:rPr>
        <w:t xml:space="preserve">= </w:t>
      </w:r>
      <w:r w:rsidR="00401DEF">
        <w:rPr>
          <w:rFonts w:ascii="Calibri" w:eastAsia="Calibri" w:hAnsi="Calibri" w:cs="Calibri"/>
          <w:bCs/>
          <w:sz w:val="22"/>
          <w:szCs w:val="22"/>
        </w:rPr>
        <w:t>37,580</w:t>
      </w:r>
      <w:r w:rsidR="00886554">
        <w:rPr>
          <w:rFonts w:ascii="Calibri" w:eastAsia="Calibri" w:hAnsi="Calibri" w:cs="Calibri"/>
          <w:bCs/>
          <w:sz w:val="22"/>
          <w:szCs w:val="22"/>
        </w:rPr>
        <w:t xml:space="preserve"> MT CO</w:t>
      </w:r>
      <w:r w:rsidR="00886554">
        <w:rPr>
          <w:rFonts w:ascii="Calibri" w:eastAsia="Calibri" w:hAnsi="Calibri" w:cs="Calibri"/>
          <w:bCs/>
          <w:sz w:val="22"/>
          <w:szCs w:val="22"/>
          <w:vertAlign w:val="subscript"/>
        </w:rPr>
        <w:t>2</w:t>
      </w:r>
      <w:r w:rsidR="00841153">
        <w:rPr>
          <w:rFonts w:ascii="Calibri" w:eastAsia="Calibri" w:hAnsi="Calibri" w:cs="Calibri"/>
          <w:bCs/>
          <w:sz w:val="22"/>
          <w:szCs w:val="22"/>
        </w:rPr>
        <w:t xml:space="preserve"> equivalent.</w:t>
      </w:r>
      <w:r w:rsidR="00561853">
        <w:rPr>
          <w:rFonts w:ascii="Calibri" w:eastAsia="Calibri" w:hAnsi="Calibri" w:cs="Calibri"/>
          <w:bCs/>
          <w:sz w:val="22"/>
          <w:szCs w:val="22"/>
        </w:rPr>
        <w:t xml:space="preserve"> </w:t>
      </w:r>
    </w:p>
    <w:p w14:paraId="15C0706A" w14:textId="77777777" w:rsidR="00604E84" w:rsidRDefault="00604E84">
      <w:pPr>
        <w:spacing w:line="240" w:lineRule="auto"/>
        <w:rPr>
          <w:rFonts w:ascii="Calibri" w:eastAsia="Calibri" w:hAnsi="Calibri" w:cs="Calibri"/>
          <w:bCs/>
          <w:sz w:val="22"/>
          <w:szCs w:val="22"/>
        </w:rPr>
      </w:pPr>
    </w:p>
    <w:p w14:paraId="6D51B9FD" w14:textId="77777777" w:rsidR="00604E84" w:rsidRDefault="00604E84">
      <w:pPr>
        <w:spacing w:line="240" w:lineRule="auto"/>
        <w:rPr>
          <w:rFonts w:ascii="Calibri" w:eastAsia="Calibri" w:hAnsi="Calibri" w:cs="Calibri"/>
          <w:bCs/>
          <w:sz w:val="22"/>
          <w:szCs w:val="22"/>
        </w:rPr>
      </w:pPr>
    </w:p>
    <w:p w14:paraId="38BB9EF2" w14:textId="77777777" w:rsidR="00604E84" w:rsidRDefault="00604E84">
      <w:pPr>
        <w:spacing w:line="240" w:lineRule="auto"/>
        <w:rPr>
          <w:rFonts w:ascii="Calibri" w:eastAsia="Calibri" w:hAnsi="Calibri" w:cs="Calibri"/>
          <w:bCs/>
          <w:sz w:val="22"/>
          <w:szCs w:val="22"/>
        </w:rPr>
      </w:pPr>
    </w:p>
    <w:p w14:paraId="33F17B11" w14:textId="77777777" w:rsidR="00604E84" w:rsidRDefault="00604E84">
      <w:pPr>
        <w:spacing w:line="240" w:lineRule="auto"/>
        <w:rPr>
          <w:rFonts w:ascii="Calibri" w:eastAsia="Calibri" w:hAnsi="Calibri" w:cs="Calibri"/>
          <w:bCs/>
          <w:sz w:val="22"/>
          <w:szCs w:val="22"/>
        </w:rPr>
      </w:pPr>
    </w:p>
    <w:p w14:paraId="0CF5DA5B" w14:textId="77777777" w:rsidR="00604E84" w:rsidRDefault="00604E84">
      <w:pPr>
        <w:spacing w:line="240" w:lineRule="auto"/>
        <w:rPr>
          <w:rFonts w:ascii="Calibri" w:eastAsia="Calibri" w:hAnsi="Calibri" w:cs="Calibri"/>
          <w:bCs/>
          <w:sz w:val="22"/>
          <w:szCs w:val="22"/>
        </w:rPr>
      </w:pPr>
    </w:p>
    <w:p w14:paraId="77CEAE62" w14:textId="77777777" w:rsidR="00604E84" w:rsidRDefault="00604E84">
      <w:pPr>
        <w:spacing w:line="240" w:lineRule="auto"/>
        <w:rPr>
          <w:rFonts w:ascii="Calibri" w:eastAsia="Calibri" w:hAnsi="Calibri" w:cs="Calibri"/>
          <w:bCs/>
          <w:sz w:val="22"/>
          <w:szCs w:val="22"/>
        </w:rPr>
      </w:pPr>
    </w:p>
    <w:p w14:paraId="153AF9C0" w14:textId="77777777" w:rsidR="000D5C87" w:rsidRDefault="000D5C87">
      <w:pPr>
        <w:spacing w:line="240" w:lineRule="auto"/>
        <w:rPr>
          <w:rFonts w:ascii="Calibri" w:eastAsia="Calibri" w:hAnsi="Calibri" w:cs="Calibri"/>
          <w:b/>
          <w:color w:val="FF0000"/>
          <w:sz w:val="22"/>
          <w:szCs w:val="22"/>
        </w:rPr>
      </w:pPr>
    </w:p>
    <w:p w14:paraId="2091D277" w14:textId="77777777" w:rsidR="000D5C87" w:rsidRDefault="000D5C87">
      <w:pPr>
        <w:spacing w:line="240" w:lineRule="auto"/>
        <w:rPr>
          <w:rFonts w:ascii="Calibri" w:eastAsia="Calibri" w:hAnsi="Calibri" w:cs="Calibri"/>
          <w:b/>
          <w:color w:val="FF0000"/>
          <w:sz w:val="22"/>
          <w:szCs w:val="22"/>
        </w:rPr>
      </w:pPr>
    </w:p>
    <w:p w14:paraId="6710EEC0" w14:textId="77777777" w:rsidR="000D5C87" w:rsidRDefault="000D5C87">
      <w:pPr>
        <w:spacing w:line="240" w:lineRule="auto"/>
        <w:rPr>
          <w:rFonts w:ascii="Calibri" w:eastAsia="Calibri" w:hAnsi="Calibri" w:cs="Calibri"/>
          <w:b/>
          <w:color w:val="FF0000"/>
          <w:sz w:val="22"/>
          <w:szCs w:val="22"/>
        </w:rPr>
      </w:pPr>
    </w:p>
    <w:p w14:paraId="27837502" w14:textId="77777777" w:rsidR="000D5C87" w:rsidRDefault="000D5C87">
      <w:pPr>
        <w:spacing w:line="240" w:lineRule="auto"/>
        <w:rPr>
          <w:rFonts w:ascii="Calibri" w:eastAsia="Calibri" w:hAnsi="Calibri" w:cs="Calibri"/>
          <w:b/>
          <w:color w:val="FF0000"/>
          <w:sz w:val="22"/>
          <w:szCs w:val="22"/>
        </w:rPr>
      </w:pPr>
    </w:p>
    <w:p w14:paraId="3901F89F" w14:textId="0FA42746" w:rsidR="004C510F" w:rsidRPr="005819A6" w:rsidRDefault="00236CC6">
      <w:pPr>
        <w:spacing w:line="240" w:lineRule="auto"/>
        <w:rPr>
          <w:rFonts w:ascii="Calibri" w:eastAsia="Calibri" w:hAnsi="Calibri" w:cs="Calibri"/>
          <w:bCs/>
          <w:color w:val="FF0000"/>
          <w:sz w:val="22"/>
          <w:szCs w:val="22"/>
        </w:rPr>
      </w:pPr>
      <w:r w:rsidRPr="005819A6">
        <w:rPr>
          <w:rFonts w:ascii="Calibri" w:eastAsia="Calibri" w:hAnsi="Calibri" w:cs="Calibri"/>
          <w:b/>
          <w:color w:val="FF0000"/>
          <w:sz w:val="22"/>
          <w:szCs w:val="22"/>
        </w:rPr>
        <w:t>Measure 3-</w:t>
      </w:r>
      <w:r w:rsidR="009B6E5A" w:rsidRPr="005819A6">
        <w:rPr>
          <w:rFonts w:ascii="Calibri" w:eastAsia="Calibri" w:hAnsi="Calibri" w:cs="Calibri"/>
          <w:b/>
          <w:color w:val="FF0000"/>
          <w:sz w:val="22"/>
          <w:szCs w:val="22"/>
        </w:rPr>
        <w:t xml:space="preserve">Increase building energy efficiency for commercial </w:t>
      </w:r>
      <w:r w:rsidR="00AC573D" w:rsidRPr="005819A6">
        <w:rPr>
          <w:rFonts w:ascii="Calibri" w:eastAsia="Calibri" w:hAnsi="Calibri" w:cs="Calibri"/>
          <w:b/>
          <w:color w:val="FF0000"/>
          <w:sz w:val="22"/>
          <w:szCs w:val="22"/>
        </w:rPr>
        <w:t>buildings.</w:t>
      </w:r>
    </w:p>
    <w:p w14:paraId="155AE25F" w14:textId="77777777" w:rsidR="003E685F" w:rsidRPr="007B3D78" w:rsidRDefault="003E685F">
      <w:pPr>
        <w:spacing w:line="240" w:lineRule="auto"/>
        <w:rPr>
          <w:rFonts w:ascii="Calibri" w:eastAsia="Calibri" w:hAnsi="Calibri" w:cs="Calibri"/>
          <w:bCs/>
          <w:sz w:val="22"/>
          <w:szCs w:val="22"/>
        </w:rPr>
      </w:pPr>
    </w:p>
    <w:p w14:paraId="6F53511F" w14:textId="25FE2704" w:rsidR="005402BB" w:rsidRPr="005402BB" w:rsidRDefault="003B18C7" w:rsidP="005402BB">
      <w:pPr>
        <w:spacing w:line="240" w:lineRule="auto"/>
        <w:rPr>
          <w:rFonts w:ascii="Calibri" w:eastAsia="Calibri" w:hAnsi="Calibri" w:cs="Calibri"/>
          <w:sz w:val="22"/>
          <w:szCs w:val="22"/>
        </w:rPr>
      </w:pPr>
      <w:r>
        <w:rPr>
          <w:rFonts w:ascii="Calibri" w:eastAsia="Calibri" w:hAnsi="Calibri" w:cs="Calibri"/>
          <w:sz w:val="22"/>
          <w:szCs w:val="22"/>
        </w:rPr>
        <w:t xml:space="preserve">There are 51 Tribal government buildings.  </w:t>
      </w:r>
      <w:r w:rsidR="004B433F">
        <w:rPr>
          <w:rFonts w:ascii="Calibri" w:eastAsia="Calibri" w:hAnsi="Calibri" w:cs="Calibri"/>
          <w:sz w:val="22"/>
          <w:szCs w:val="22"/>
        </w:rPr>
        <w:t>Commercial weatherization, NREL SLOPE data on annual electricity</w:t>
      </w:r>
      <w:r w:rsidR="0094130E">
        <w:rPr>
          <w:rStyle w:val="FootnoteReference"/>
          <w:rFonts w:ascii="Calibri" w:eastAsia="Calibri" w:hAnsi="Calibri" w:cs="Calibri"/>
          <w:sz w:val="22"/>
          <w:szCs w:val="22"/>
        </w:rPr>
        <w:footnoteReference w:id="6"/>
      </w:r>
      <w:r w:rsidR="004B433F">
        <w:rPr>
          <w:rFonts w:ascii="Calibri" w:eastAsia="Calibri" w:hAnsi="Calibri" w:cs="Calibri"/>
          <w:sz w:val="22"/>
          <w:szCs w:val="22"/>
        </w:rPr>
        <w:t xml:space="preserve"> and </w:t>
      </w:r>
      <w:r w:rsidR="00C8204B">
        <w:rPr>
          <w:rFonts w:ascii="Calibri" w:eastAsia="Calibri" w:hAnsi="Calibri" w:cs="Calibri"/>
          <w:sz w:val="22"/>
          <w:szCs w:val="22"/>
        </w:rPr>
        <w:t>fuel</w:t>
      </w:r>
      <w:r w:rsidR="004B433F">
        <w:rPr>
          <w:rFonts w:ascii="Calibri" w:eastAsia="Calibri" w:hAnsi="Calibri" w:cs="Calibri"/>
          <w:sz w:val="22"/>
          <w:szCs w:val="22"/>
        </w:rPr>
        <w:t xml:space="preserve"> savings</w:t>
      </w:r>
      <w:r w:rsidR="00A45504">
        <w:rPr>
          <w:rStyle w:val="FootnoteReference"/>
          <w:rFonts w:ascii="Calibri" w:eastAsia="Calibri" w:hAnsi="Calibri" w:cs="Calibri"/>
          <w:sz w:val="22"/>
          <w:szCs w:val="22"/>
        </w:rPr>
        <w:footnoteReference w:id="7"/>
      </w:r>
      <w:r w:rsidR="004B433F">
        <w:rPr>
          <w:rFonts w:ascii="Calibri" w:eastAsia="Calibri" w:hAnsi="Calibri" w:cs="Calibri"/>
          <w:sz w:val="22"/>
          <w:szCs w:val="22"/>
        </w:rPr>
        <w:t xml:space="preserve"> from each upgrade was sourced for the state of Michigan.  </w:t>
      </w:r>
      <w:bookmarkStart w:id="8" w:name="_Hlk162848134"/>
      <w:r w:rsidR="003C1495">
        <w:rPr>
          <w:rFonts w:ascii="Calibri" w:eastAsia="Calibri" w:hAnsi="Calibri" w:cs="Calibri"/>
          <w:sz w:val="22"/>
          <w:szCs w:val="22"/>
        </w:rPr>
        <w:t>It is assumed that the Tribe will complete 100% of its buildings</w:t>
      </w:r>
      <w:r w:rsidR="00891822">
        <w:rPr>
          <w:rFonts w:ascii="Calibri" w:eastAsia="Calibri" w:hAnsi="Calibri" w:cs="Calibri"/>
          <w:sz w:val="22"/>
          <w:szCs w:val="22"/>
        </w:rPr>
        <w:t xml:space="preserve">. By </w:t>
      </w:r>
      <w:bookmarkStart w:id="9" w:name="_Hlk162846592"/>
      <w:r w:rsidR="00B03303">
        <w:rPr>
          <w:rFonts w:ascii="Calibri" w:eastAsia="Calibri" w:hAnsi="Calibri" w:cs="Calibri"/>
          <w:sz w:val="22"/>
          <w:szCs w:val="22"/>
        </w:rPr>
        <w:t>add</w:t>
      </w:r>
      <w:r w:rsidR="00891822">
        <w:rPr>
          <w:rFonts w:ascii="Calibri" w:eastAsia="Calibri" w:hAnsi="Calibri" w:cs="Calibri"/>
          <w:sz w:val="22"/>
          <w:szCs w:val="22"/>
        </w:rPr>
        <w:t>ing</w:t>
      </w:r>
      <w:r w:rsidR="00B03303">
        <w:rPr>
          <w:rFonts w:ascii="Calibri" w:eastAsia="Calibri" w:hAnsi="Calibri" w:cs="Calibri"/>
          <w:sz w:val="22"/>
          <w:szCs w:val="22"/>
        </w:rPr>
        <w:t xml:space="preserve"> window film =1.9% savings, </w:t>
      </w:r>
      <w:r w:rsidR="000C477A">
        <w:rPr>
          <w:rFonts w:ascii="Calibri" w:eastAsia="Calibri" w:hAnsi="Calibri" w:cs="Calibri"/>
          <w:sz w:val="22"/>
          <w:szCs w:val="22"/>
        </w:rPr>
        <w:t>upgrad</w:t>
      </w:r>
      <w:r w:rsidR="00891822">
        <w:rPr>
          <w:rFonts w:ascii="Calibri" w:eastAsia="Calibri" w:hAnsi="Calibri" w:cs="Calibri"/>
          <w:sz w:val="22"/>
          <w:szCs w:val="22"/>
        </w:rPr>
        <w:t>ing</w:t>
      </w:r>
      <w:r w:rsidR="000C477A">
        <w:rPr>
          <w:rFonts w:ascii="Calibri" w:eastAsia="Calibri" w:hAnsi="Calibri" w:cs="Calibri"/>
          <w:sz w:val="22"/>
          <w:szCs w:val="22"/>
        </w:rPr>
        <w:t xml:space="preserve"> wall insulation to R-30=1.7% savings, </w:t>
      </w:r>
      <w:r w:rsidR="00891822">
        <w:rPr>
          <w:rFonts w:ascii="Calibri" w:eastAsia="Calibri" w:hAnsi="Calibri" w:cs="Calibri"/>
          <w:sz w:val="22"/>
          <w:szCs w:val="22"/>
        </w:rPr>
        <w:t xml:space="preserve">and </w:t>
      </w:r>
      <w:r w:rsidR="00A554EA">
        <w:rPr>
          <w:rFonts w:ascii="Calibri" w:eastAsia="Calibri" w:hAnsi="Calibri" w:cs="Calibri"/>
          <w:sz w:val="22"/>
          <w:szCs w:val="22"/>
        </w:rPr>
        <w:t>upgrade roof insulation to R-30 =</w:t>
      </w:r>
      <w:r w:rsidR="00CD70BF">
        <w:rPr>
          <w:rFonts w:ascii="Calibri" w:eastAsia="Calibri" w:hAnsi="Calibri" w:cs="Calibri"/>
          <w:sz w:val="22"/>
          <w:szCs w:val="22"/>
        </w:rPr>
        <w:t>1.4%=</w:t>
      </w:r>
      <w:r w:rsidR="005A06E3">
        <w:rPr>
          <w:rFonts w:ascii="Calibri" w:eastAsia="Calibri" w:hAnsi="Calibri" w:cs="Calibri"/>
          <w:sz w:val="22"/>
          <w:szCs w:val="22"/>
        </w:rPr>
        <w:t xml:space="preserve">5% total savings on </w:t>
      </w:r>
      <w:bookmarkEnd w:id="9"/>
      <w:r w:rsidR="005A06E3">
        <w:rPr>
          <w:rFonts w:ascii="Calibri" w:eastAsia="Calibri" w:hAnsi="Calibri" w:cs="Calibri"/>
          <w:sz w:val="22"/>
          <w:szCs w:val="22"/>
        </w:rPr>
        <w:t xml:space="preserve">electricity.  </w:t>
      </w:r>
      <w:bookmarkEnd w:id="8"/>
      <w:r w:rsidR="005402BB">
        <w:rPr>
          <w:rFonts w:ascii="Calibri" w:eastAsia="Calibri" w:hAnsi="Calibri" w:cs="Calibri"/>
          <w:sz w:val="22"/>
          <w:szCs w:val="22"/>
        </w:rPr>
        <w:t>2,764.5 x .05 =138.225 MT CO</w:t>
      </w:r>
      <w:r w:rsidR="005402BB">
        <w:rPr>
          <w:rFonts w:ascii="Calibri" w:eastAsia="Calibri" w:hAnsi="Calibri" w:cs="Calibri"/>
          <w:sz w:val="22"/>
          <w:szCs w:val="22"/>
          <w:vertAlign w:val="subscript"/>
        </w:rPr>
        <w:t>2</w:t>
      </w:r>
      <w:r w:rsidR="005402BB">
        <w:rPr>
          <w:rFonts w:ascii="Calibri" w:eastAsia="Calibri" w:hAnsi="Calibri" w:cs="Calibri"/>
          <w:sz w:val="22"/>
          <w:szCs w:val="22"/>
        </w:rPr>
        <w:t xml:space="preserve"> equivalent by 2030.  </w:t>
      </w:r>
    </w:p>
    <w:p w14:paraId="761E2EBF" w14:textId="6A5C0EF1" w:rsidR="00891822" w:rsidRDefault="00891822">
      <w:pPr>
        <w:spacing w:line="240" w:lineRule="auto"/>
        <w:rPr>
          <w:rFonts w:ascii="Calibri" w:eastAsia="Calibri" w:hAnsi="Calibri" w:cs="Calibri"/>
          <w:sz w:val="22"/>
          <w:szCs w:val="22"/>
        </w:rPr>
      </w:pPr>
    </w:p>
    <w:p w14:paraId="5FB414C7" w14:textId="76FCBCFE" w:rsidR="005C3A21" w:rsidRPr="00764408" w:rsidRDefault="005C3A21">
      <w:pPr>
        <w:spacing w:line="240" w:lineRule="auto"/>
        <w:rPr>
          <w:rFonts w:ascii="Calibri" w:eastAsia="Calibri" w:hAnsi="Calibri" w:cs="Calibri"/>
          <w:b/>
          <w:bCs/>
          <w:sz w:val="22"/>
          <w:szCs w:val="22"/>
        </w:rPr>
      </w:pPr>
      <w:r w:rsidRPr="00764408">
        <w:rPr>
          <w:rFonts w:ascii="Calibri" w:eastAsia="Calibri" w:hAnsi="Calibri" w:cs="Calibri"/>
          <w:b/>
          <w:bCs/>
          <w:sz w:val="22"/>
          <w:szCs w:val="22"/>
        </w:rPr>
        <w:t>Table 9</w:t>
      </w:r>
      <w:r w:rsidR="00E33ABB" w:rsidRPr="00764408">
        <w:rPr>
          <w:rFonts w:ascii="Calibri" w:eastAsia="Calibri" w:hAnsi="Calibri" w:cs="Calibri"/>
          <w:b/>
          <w:bCs/>
          <w:sz w:val="22"/>
          <w:szCs w:val="22"/>
        </w:rPr>
        <w:t xml:space="preserve"> KBIC GHG emissions from </w:t>
      </w:r>
      <w:r w:rsidR="00764408">
        <w:rPr>
          <w:rFonts w:ascii="Calibri" w:eastAsia="Calibri" w:hAnsi="Calibri" w:cs="Calibri"/>
          <w:b/>
          <w:bCs/>
          <w:sz w:val="22"/>
          <w:szCs w:val="22"/>
        </w:rPr>
        <w:t xml:space="preserve">Building stationary </w:t>
      </w:r>
      <w:r w:rsidR="00E33ABB" w:rsidRPr="00764408">
        <w:rPr>
          <w:rFonts w:ascii="Calibri" w:eastAsia="Calibri" w:hAnsi="Calibri" w:cs="Calibri"/>
          <w:b/>
          <w:bCs/>
          <w:sz w:val="22"/>
          <w:szCs w:val="22"/>
        </w:rPr>
        <w:t>electricity</w:t>
      </w:r>
    </w:p>
    <w:tbl>
      <w:tblPr>
        <w:tblStyle w:val="TableGrid"/>
        <w:tblW w:w="0" w:type="auto"/>
        <w:tblLook w:val="04A0" w:firstRow="1" w:lastRow="0" w:firstColumn="1" w:lastColumn="0" w:noHBand="0" w:noVBand="1"/>
      </w:tblPr>
      <w:tblGrid>
        <w:gridCol w:w="3955"/>
        <w:gridCol w:w="990"/>
        <w:gridCol w:w="810"/>
        <w:gridCol w:w="630"/>
        <w:gridCol w:w="1440"/>
      </w:tblGrid>
      <w:tr w:rsidR="00346584" w:rsidRPr="00346584" w14:paraId="1CAA3B94" w14:textId="77777777" w:rsidTr="00F3174E">
        <w:trPr>
          <w:trHeight w:val="360"/>
        </w:trPr>
        <w:tc>
          <w:tcPr>
            <w:tcW w:w="7825" w:type="dxa"/>
            <w:gridSpan w:val="5"/>
            <w:shd w:val="clear" w:color="auto" w:fill="DAEEF3" w:themeFill="accent5" w:themeFillTint="33"/>
            <w:noWrap/>
            <w:hideMark/>
          </w:tcPr>
          <w:p w14:paraId="403DC48D" w14:textId="77777777" w:rsidR="00346584" w:rsidRPr="00346584" w:rsidRDefault="00346584" w:rsidP="00346584">
            <w:pPr>
              <w:rPr>
                <w:rFonts w:ascii="Calibri" w:eastAsia="Calibri" w:hAnsi="Calibri" w:cs="Calibri"/>
                <w:b/>
                <w:bCs/>
                <w:sz w:val="22"/>
                <w:szCs w:val="22"/>
              </w:rPr>
            </w:pPr>
            <w:bookmarkStart w:id="10" w:name="RANGE!B18"/>
            <w:r w:rsidRPr="00346584">
              <w:rPr>
                <w:rFonts w:ascii="Calibri" w:eastAsia="Calibri" w:hAnsi="Calibri" w:cs="Calibri"/>
                <w:b/>
                <w:bCs/>
                <w:sz w:val="22"/>
                <w:szCs w:val="22"/>
              </w:rPr>
              <w:t>Emissions by Sector (in CO</w:t>
            </w:r>
            <w:r w:rsidRPr="00346584">
              <w:rPr>
                <w:rFonts w:ascii="Calibri" w:eastAsia="Calibri" w:hAnsi="Calibri" w:cs="Calibri"/>
                <w:b/>
                <w:bCs/>
                <w:sz w:val="22"/>
                <w:szCs w:val="22"/>
                <w:vertAlign w:val="subscript"/>
              </w:rPr>
              <w:t>2</w:t>
            </w:r>
            <w:r w:rsidRPr="00346584">
              <w:rPr>
                <w:rFonts w:ascii="Calibri" w:eastAsia="Calibri" w:hAnsi="Calibri" w:cs="Calibri"/>
                <w:b/>
                <w:bCs/>
                <w:sz w:val="22"/>
                <w:szCs w:val="22"/>
              </w:rPr>
              <w:t>e)</w:t>
            </w:r>
            <w:bookmarkEnd w:id="10"/>
          </w:p>
        </w:tc>
      </w:tr>
      <w:tr w:rsidR="00614386" w:rsidRPr="00346584" w14:paraId="3C87FA9A" w14:textId="77777777" w:rsidTr="00F3174E">
        <w:trPr>
          <w:trHeight w:val="312"/>
        </w:trPr>
        <w:tc>
          <w:tcPr>
            <w:tcW w:w="3955" w:type="dxa"/>
            <w:noWrap/>
            <w:hideMark/>
          </w:tcPr>
          <w:p w14:paraId="49BC54E3"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w:t>
            </w:r>
          </w:p>
        </w:tc>
        <w:tc>
          <w:tcPr>
            <w:tcW w:w="990" w:type="dxa"/>
            <w:noWrap/>
            <w:hideMark/>
          </w:tcPr>
          <w:p w14:paraId="5911642D"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CO</w:t>
            </w:r>
            <w:r w:rsidRPr="00346584">
              <w:rPr>
                <w:rFonts w:ascii="Calibri" w:eastAsia="Calibri" w:hAnsi="Calibri" w:cs="Calibri"/>
                <w:b/>
                <w:bCs/>
                <w:sz w:val="22"/>
                <w:szCs w:val="22"/>
                <w:vertAlign w:val="subscript"/>
              </w:rPr>
              <w:t>2</w:t>
            </w:r>
          </w:p>
        </w:tc>
        <w:tc>
          <w:tcPr>
            <w:tcW w:w="810" w:type="dxa"/>
            <w:noWrap/>
            <w:hideMark/>
          </w:tcPr>
          <w:p w14:paraId="0B3CF8C7"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CH</w:t>
            </w:r>
            <w:r w:rsidRPr="00346584">
              <w:rPr>
                <w:rFonts w:ascii="Calibri" w:eastAsia="Calibri" w:hAnsi="Calibri" w:cs="Calibri"/>
                <w:b/>
                <w:bCs/>
                <w:sz w:val="22"/>
                <w:szCs w:val="22"/>
                <w:vertAlign w:val="subscript"/>
              </w:rPr>
              <w:t>4</w:t>
            </w:r>
          </w:p>
        </w:tc>
        <w:tc>
          <w:tcPr>
            <w:tcW w:w="630" w:type="dxa"/>
            <w:noWrap/>
            <w:hideMark/>
          </w:tcPr>
          <w:p w14:paraId="3D20A962"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N</w:t>
            </w:r>
            <w:r w:rsidRPr="00346584">
              <w:rPr>
                <w:rFonts w:ascii="Calibri" w:eastAsia="Calibri" w:hAnsi="Calibri" w:cs="Calibri"/>
                <w:b/>
                <w:bCs/>
                <w:sz w:val="22"/>
                <w:szCs w:val="22"/>
                <w:vertAlign w:val="subscript"/>
              </w:rPr>
              <w:t>2</w:t>
            </w:r>
            <w:r w:rsidRPr="00346584">
              <w:rPr>
                <w:rFonts w:ascii="Calibri" w:eastAsia="Calibri" w:hAnsi="Calibri" w:cs="Calibri"/>
                <w:b/>
                <w:bCs/>
                <w:sz w:val="22"/>
                <w:szCs w:val="22"/>
              </w:rPr>
              <w:t>O</w:t>
            </w:r>
          </w:p>
        </w:tc>
        <w:tc>
          <w:tcPr>
            <w:tcW w:w="1440" w:type="dxa"/>
            <w:noWrap/>
            <w:hideMark/>
          </w:tcPr>
          <w:p w14:paraId="290EEC32"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Total</w:t>
            </w:r>
          </w:p>
        </w:tc>
      </w:tr>
      <w:tr w:rsidR="00614386" w:rsidRPr="00346584" w14:paraId="596857FB" w14:textId="77777777" w:rsidTr="00F3174E">
        <w:trPr>
          <w:trHeight w:val="288"/>
        </w:trPr>
        <w:tc>
          <w:tcPr>
            <w:tcW w:w="3955" w:type="dxa"/>
            <w:noWrap/>
            <w:hideMark/>
          </w:tcPr>
          <w:p w14:paraId="47A5C7E0"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Residential</w:t>
            </w:r>
          </w:p>
        </w:tc>
        <w:tc>
          <w:tcPr>
            <w:tcW w:w="990" w:type="dxa"/>
            <w:noWrap/>
            <w:hideMark/>
          </w:tcPr>
          <w:p w14:paraId="3DF1C5BA"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3,338.7 </w:t>
            </w:r>
          </w:p>
        </w:tc>
        <w:tc>
          <w:tcPr>
            <w:tcW w:w="810" w:type="dxa"/>
            <w:noWrap/>
            <w:hideMark/>
          </w:tcPr>
          <w:p w14:paraId="7F3B32E1"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8.5 </w:t>
            </w:r>
          </w:p>
        </w:tc>
        <w:tc>
          <w:tcPr>
            <w:tcW w:w="630" w:type="dxa"/>
            <w:noWrap/>
            <w:hideMark/>
          </w:tcPr>
          <w:p w14:paraId="1D1BD86D"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11.6 </w:t>
            </w:r>
          </w:p>
        </w:tc>
        <w:tc>
          <w:tcPr>
            <w:tcW w:w="1440" w:type="dxa"/>
            <w:noWrap/>
            <w:hideMark/>
          </w:tcPr>
          <w:p w14:paraId="504A9CA5"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3,358.8 </w:t>
            </w:r>
          </w:p>
        </w:tc>
      </w:tr>
      <w:tr w:rsidR="00614386" w:rsidRPr="00346584" w14:paraId="68EA34AA" w14:textId="77777777" w:rsidTr="00F3174E">
        <w:trPr>
          <w:trHeight w:val="288"/>
        </w:trPr>
        <w:tc>
          <w:tcPr>
            <w:tcW w:w="3955" w:type="dxa"/>
            <w:noWrap/>
            <w:hideMark/>
          </w:tcPr>
          <w:p w14:paraId="1304238F"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Commercial/Institutional</w:t>
            </w:r>
          </w:p>
        </w:tc>
        <w:tc>
          <w:tcPr>
            <w:tcW w:w="990" w:type="dxa"/>
            <w:noWrap/>
            <w:hideMark/>
          </w:tcPr>
          <w:p w14:paraId="20D4E397"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w:t>
            </w:r>
            <w:r w:rsidRPr="00B659C5">
              <w:rPr>
                <w:rFonts w:ascii="Calibri" w:eastAsia="Calibri" w:hAnsi="Calibri" w:cs="Calibri"/>
                <w:sz w:val="22"/>
                <w:szCs w:val="22"/>
                <w:highlight w:val="yellow"/>
              </w:rPr>
              <w:t>2,764.5</w:t>
            </w:r>
            <w:r w:rsidRPr="00346584">
              <w:rPr>
                <w:rFonts w:ascii="Calibri" w:eastAsia="Calibri" w:hAnsi="Calibri" w:cs="Calibri"/>
                <w:sz w:val="22"/>
                <w:szCs w:val="22"/>
              </w:rPr>
              <w:t xml:space="preserve"> </w:t>
            </w:r>
          </w:p>
        </w:tc>
        <w:tc>
          <w:tcPr>
            <w:tcW w:w="810" w:type="dxa"/>
            <w:noWrap/>
            <w:hideMark/>
          </w:tcPr>
          <w:p w14:paraId="222BEC01"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7.0 </w:t>
            </w:r>
          </w:p>
        </w:tc>
        <w:tc>
          <w:tcPr>
            <w:tcW w:w="630" w:type="dxa"/>
            <w:noWrap/>
            <w:hideMark/>
          </w:tcPr>
          <w:p w14:paraId="0A09952B"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9.6 </w:t>
            </w:r>
          </w:p>
        </w:tc>
        <w:tc>
          <w:tcPr>
            <w:tcW w:w="1440" w:type="dxa"/>
            <w:noWrap/>
            <w:hideMark/>
          </w:tcPr>
          <w:p w14:paraId="2CAC4BF1"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2,781.1 </w:t>
            </w:r>
          </w:p>
        </w:tc>
      </w:tr>
      <w:tr w:rsidR="00614386" w:rsidRPr="00346584" w14:paraId="2092F4DE" w14:textId="77777777" w:rsidTr="00F3174E">
        <w:trPr>
          <w:trHeight w:val="288"/>
        </w:trPr>
        <w:tc>
          <w:tcPr>
            <w:tcW w:w="3955" w:type="dxa"/>
            <w:noWrap/>
            <w:hideMark/>
          </w:tcPr>
          <w:p w14:paraId="7BF34EF9"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Industrial</w:t>
            </w:r>
          </w:p>
        </w:tc>
        <w:tc>
          <w:tcPr>
            <w:tcW w:w="990" w:type="dxa"/>
            <w:noWrap/>
            <w:hideMark/>
          </w:tcPr>
          <w:p w14:paraId="402991E8"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 </w:t>
            </w:r>
          </w:p>
        </w:tc>
        <w:tc>
          <w:tcPr>
            <w:tcW w:w="810" w:type="dxa"/>
            <w:noWrap/>
            <w:hideMark/>
          </w:tcPr>
          <w:p w14:paraId="15CF370B"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 </w:t>
            </w:r>
          </w:p>
        </w:tc>
        <w:tc>
          <w:tcPr>
            <w:tcW w:w="630" w:type="dxa"/>
            <w:noWrap/>
            <w:hideMark/>
          </w:tcPr>
          <w:p w14:paraId="497F5898"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 </w:t>
            </w:r>
          </w:p>
        </w:tc>
        <w:tc>
          <w:tcPr>
            <w:tcW w:w="1440" w:type="dxa"/>
            <w:noWrap/>
            <w:hideMark/>
          </w:tcPr>
          <w:p w14:paraId="35769084"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 </w:t>
            </w:r>
          </w:p>
        </w:tc>
      </w:tr>
      <w:tr w:rsidR="00614386" w:rsidRPr="00346584" w14:paraId="45B1C54B" w14:textId="77777777" w:rsidTr="00F3174E">
        <w:trPr>
          <w:trHeight w:val="288"/>
        </w:trPr>
        <w:tc>
          <w:tcPr>
            <w:tcW w:w="3955" w:type="dxa"/>
            <w:noWrap/>
            <w:hideMark/>
          </w:tcPr>
          <w:p w14:paraId="40C8A51E"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Energy Generation</w:t>
            </w:r>
          </w:p>
        </w:tc>
        <w:tc>
          <w:tcPr>
            <w:tcW w:w="990" w:type="dxa"/>
            <w:noWrap/>
            <w:hideMark/>
          </w:tcPr>
          <w:p w14:paraId="6C7339C6"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(18)</w:t>
            </w:r>
          </w:p>
        </w:tc>
        <w:tc>
          <w:tcPr>
            <w:tcW w:w="810" w:type="dxa"/>
            <w:noWrap/>
            <w:hideMark/>
          </w:tcPr>
          <w:p w14:paraId="1B7C64E2"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(0)</w:t>
            </w:r>
          </w:p>
        </w:tc>
        <w:tc>
          <w:tcPr>
            <w:tcW w:w="630" w:type="dxa"/>
            <w:noWrap/>
            <w:hideMark/>
          </w:tcPr>
          <w:p w14:paraId="0E36E0A3"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(0)</w:t>
            </w:r>
          </w:p>
        </w:tc>
        <w:tc>
          <w:tcPr>
            <w:tcW w:w="1440" w:type="dxa"/>
            <w:noWrap/>
            <w:hideMark/>
          </w:tcPr>
          <w:p w14:paraId="6A5478F9" w14:textId="77777777" w:rsidR="00346584" w:rsidRPr="00346584" w:rsidRDefault="00346584" w:rsidP="00346584">
            <w:pPr>
              <w:rPr>
                <w:rFonts w:ascii="Calibri" w:eastAsia="Calibri" w:hAnsi="Calibri" w:cs="Calibri"/>
                <w:sz w:val="22"/>
                <w:szCs w:val="22"/>
              </w:rPr>
            </w:pPr>
            <w:r w:rsidRPr="00346584">
              <w:rPr>
                <w:rFonts w:ascii="Calibri" w:eastAsia="Calibri" w:hAnsi="Calibri" w:cs="Calibri"/>
                <w:sz w:val="22"/>
                <w:szCs w:val="22"/>
              </w:rPr>
              <w:t xml:space="preserve"> (18)</w:t>
            </w:r>
          </w:p>
        </w:tc>
      </w:tr>
      <w:tr w:rsidR="00614386" w:rsidRPr="00346584" w14:paraId="24C6C7D9" w14:textId="77777777" w:rsidTr="00F3174E">
        <w:trPr>
          <w:trHeight w:val="288"/>
        </w:trPr>
        <w:tc>
          <w:tcPr>
            <w:tcW w:w="3955" w:type="dxa"/>
            <w:hideMark/>
          </w:tcPr>
          <w:p w14:paraId="4FEAAA1C"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Total Emissions from Electricity Use</w:t>
            </w:r>
          </w:p>
        </w:tc>
        <w:tc>
          <w:tcPr>
            <w:tcW w:w="990" w:type="dxa"/>
            <w:noWrap/>
            <w:hideMark/>
          </w:tcPr>
          <w:p w14:paraId="788CC22B"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 xml:space="preserve"> 6,085.0 </w:t>
            </w:r>
          </w:p>
        </w:tc>
        <w:tc>
          <w:tcPr>
            <w:tcW w:w="810" w:type="dxa"/>
            <w:noWrap/>
            <w:hideMark/>
          </w:tcPr>
          <w:p w14:paraId="4B01EF32"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 xml:space="preserve"> 15.5 </w:t>
            </w:r>
          </w:p>
        </w:tc>
        <w:tc>
          <w:tcPr>
            <w:tcW w:w="630" w:type="dxa"/>
            <w:noWrap/>
            <w:hideMark/>
          </w:tcPr>
          <w:p w14:paraId="24422982" w14:textId="77777777" w:rsidR="00346584" w:rsidRPr="00346584" w:rsidRDefault="00346584" w:rsidP="00346584">
            <w:pPr>
              <w:rPr>
                <w:rFonts w:ascii="Calibri" w:eastAsia="Calibri" w:hAnsi="Calibri" w:cs="Calibri"/>
                <w:b/>
                <w:bCs/>
                <w:sz w:val="22"/>
                <w:szCs w:val="22"/>
              </w:rPr>
            </w:pPr>
            <w:r w:rsidRPr="00346584">
              <w:rPr>
                <w:rFonts w:ascii="Calibri" w:eastAsia="Calibri" w:hAnsi="Calibri" w:cs="Calibri"/>
                <w:b/>
                <w:bCs/>
                <w:sz w:val="22"/>
                <w:szCs w:val="22"/>
              </w:rPr>
              <w:t xml:space="preserve"> 21.1 </w:t>
            </w:r>
          </w:p>
        </w:tc>
        <w:tc>
          <w:tcPr>
            <w:tcW w:w="1440" w:type="dxa"/>
            <w:noWrap/>
            <w:hideMark/>
          </w:tcPr>
          <w:p w14:paraId="193F19A0" w14:textId="77777777" w:rsidR="00346584" w:rsidRPr="00346584" w:rsidRDefault="00346584" w:rsidP="00346584">
            <w:pPr>
              <w:rPr>
                <w:rFonts w:ascii="Calibri" w:eastAsia="Calibri" w:hAnsi="Calibri" w:cs="Calibri"/>
                <w:b/>
                <w:bCs/>
                <w:sz w:val="22"/>
                <w:szCs w:val="22"/>
              </w:rPr>
            </w:pPr>
            <w:bookmarkStart w:id="11" w:name="RANGE!F40"/>
            <w:r w:rsidRPr="00346584">
              <w:rPr>
                <w:rFonts w:ascii="Calibri" w:eastAsia="Calibri" w:hAnsi="Calibri" w:cs="Calibri"/>
                <w:b/>
                <w:bCs/>
                <w:sz w:val="22"/>
                <w:szCs w:val="22"/>
              </w:rPr>
              <w:t xml:space="preserve"> 6,121.7 </w:t>
            </w:r>
            <w:bookmarkEnd w:id="11"/>
          </w:p>
        </w:tc>
      </w:tr>
    </w:tbl>
    <w:p w14:paraId="555C49D7" w14:textId="4281FB8A" w:rsidR="00635C78" w:rsidRDefault="00635C78">
      <w:pPr>
        <w:spacing w:line="240" w:lineRule="auto"/>
        <w:rPr>
          <w:rFonts w:ascii="Calibri" w:eastAsia="Calibri" w:hAnsi="Calibri" w:cs="Calibri"/>
          <w:sz w:val="22"/>
          <w:szCs w:val="22"/>
        </w:rPr>
      </w:pPr>
    </w:p>
    <w:p w14:paraId="3A79C17D" w14:textId="255BF1F4" w:rsidR="00B4439D" w:rsidRPr="00442855" w:rsidRDefault="00442855">
      <w:pPr>
        <w:spacing w:line="240" w:lineRule="auto"/>
        <w:rPr>
          <w:rFonts w:ascii="Calibri" w:eastAsia="Calibri" w:hAnsi="Calibri" w:cs="Calibri"/>
          <w:b/>
          <w:bCs/>
          <w:sz w:val="22"/>
          <w:szCs w:val="22"/>
        </w:rPr>
      </w:pPr>
      <w:r>
        <w:rPr>
          <w:rFonts w:ascii="Calibri" w:eastAsia="Calibri" w:hAnsi="Calibri" w:cs="Calibri"/>
          <w:b/>
          <w:bCs/>
          <w:sz w:val="22"/>
          <w:szCs w:val="22"/>
        </w:rPr>
        <w:t>Table 10 KBIC GHG emissions from Building</w:t>
      </w:r>
      <w:r w:rsidR="00AC573D">
        <w:rPr>
          <w:rFonts w:ascii="Calibri" w:eastAsia="Calibri" w:hAnsi="Calibri" w:cs="Calibri"/>
          <w:b/>
          <w:bCs/>
          <w:sz w:val="22"/>
          <w:szCs w:val="22"/>
        </w:rPr>
        <w:t xml:space="preserve"> Natural Gas</w:t>
      </w:r>
    </w:p>
    <w:tbl>
      <w:tblPr>
        <w:tblW w:w="7848" w:type="dxa"/>
        <w:tblLook w:val="04A0" w:firstRow="1" w:lastRow="0" w:firstColumn="1" w:lastColumn="0" w:noHBand="0" w:noVBand="1"/>
      </w:tblPr>
      <w:tblGrid>
        <w:gridCol w:w="4840"/>
        <w:gridCol w:w="923"/>
        <w:gridCol w:w="543"/>
        <w:gridCol w:w="611"/>
        <w:gridCol w:w="931"/>
      </w:tblGrid>
      <w:tr w:rsidR="000141AC" w:rsidRPr="000141AC" w14:paraId="05F93D95" w14:textId="77777777" w:rsidTr="00614386">
        <w:trPr>
          <w:trHeight w:val="292"/>
        </w:trPr>
        <w:tc>
          <w:tcPr>
            <w:tcW w:w="7848" w:type="dxa"/>
            <w:gridSpan w:val="5"/>
            <w:tcBorders>
              <w:top w:val="single" w:sz="4" w:space="0" w:color="auto"/>
              <w:left w:val="single" w:sz="4" w:space="0" w:color="auto"/>
              <w:bottom w:val="single" w:sz="4" w:space="0" w:color="auto"/>
              <w:right w:val="single" w:sz="4" w:space="0" w:color="000000"/>
            </w:tcBorders>
            <w:shd w:val="clear" w:color="000000" w:fill="DAEEF3"/>
            <w:noWrap/>
            <w:vAlign w:val="bottom"/>
            <w:hideMark/>
          </w:tcPr>
          <w:p w14:paraId="6006F531" w14:textId="77777777" w:rsidR="000141AC" w:rsidRPr="000141AC" w:rsidRDefault="000141AC" w:rsidP="000141AC">
            <w:pPr>
              <w:spacing w:line="240" w:lineRule="auto"/>
              <w:jc w:val="center"/>
              <w:rPr>
                <w:rFonts w:ascii="Calibri" w:hAnsi="Calibri" w:cs="Calibri"/>
                <w:b/>
                <w:bCs/>
                <w:color w:val="000000"/>
              </w:rPr>
            </w:pPr>
            <w:bookmarkStart w:id="12" w:name="RANGE!B21"/>
            <w:r w:rsidRPr="000141AC">
              <w:rPr>
                <w:rFonts w:ascii="Calibri" w:hAnsi="Calibri" w:cs="Calibri"/>
                <w:b/>
                <w:bCs/>
                <w:color w:val="000000"/>
              </w:rPr>
              <w:t>Emissions by Sector (MT CO</w:t>
            </w:r>
            <w:r w:rsidRPr="000141AC">
              <w:rPr>
                <w:rFonts w:ascii="Calibri" w:hAnsi="Calibri" w:cs="Calibri"/>
                <w:b/>
                <w:bCs/>
                <w:color w:val="000000"/>
                <w:vertAlign w:val="subscript"/>
              </w:rPr>
              <w:t>2</w:t>
            </w:r>
            <w:r w:rsidRPr="000141AC">
              <w:rPr>
                <w:rFonts w:ascii="Calibri" w:hAnsi="Calibri" w:cs="Calibri"/>
                <w:b/>
                <w:bCs/>
                <w:color w:val="000000"/>
              </w:rPr>
              <w:t>e)</w:t>
            </w:r>
            <w:bookmarkEnd w:id="12"/>
          </w:p>
        </w:tc>
      </w:tr>
      <w:tr w:rsidR="000141AC" w:rsidRPr="000141AC" w14:paraId="6B5AB0AE" w14:textId="77777777" w:rsidTr="00614386">
        <w:trPr>
          <w:trHeight w:val="413"/>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14:paraId="45BC3C5E" w14:textId="77777777" w:rsidR="000141AC" w:rsidRPr="000141AC" w:rsidRDefault="000141AC" w:rsidP="000141AC">
            <w:pPr>
              <w:spacing w:line="240" w:lineRule="auto"/>
              <w:rPr>
                <w:rFonts w:ascii="Calibri" w:hAnsi="Calibri" w:cs="Calibri"/>
                <w:b/>
                <w:bCs/>
                <w:color w:val="000000"/>
                <w:sz w:val="22"/>
                <w:szCs w:val="22"/>
              </w:rPr>
            </w:pPr>
            <w:r w:rsidRPr="000141AC">
              <w:rPr>
                <w:rFonts w:ascii="Calibri" w:hAnsi="Calibri" w:cs="Calibri"/>
                <w:b/>
                <w:bCs/>
                <w:color w:val="000000"/>
                <w:sz w:val="22"/>
                <w:szCs w:val="22"/>
              </w:rPr>
              <w:t>Sector</w:t>
            </w:r>
          </w:p>
        </w:tc>
        <w:tc>
          <w:tcPr>
            <w:tcW w:w="923" w:type="dxa"/>
            <w:tcBorders>
              <w:top w:val="nil"/>
              <w:left w:val="nil"/>
              <w:bottom w:val="single" w:sz="4" w:space="0" w:color="auto"/>
              <w:right w:val="nil"/>
            </w:tcBorders>
            <w:shd w:val="clear" w:color="auto" w:fill="auto"/>
            <w:noWrap/>
            <w:vAlign w:val="bottom"/>
            <w:hideMark/>
          </w:tcPr>
          <w:p w14:paraId="6164C7AD" w14:textId="77777777" w:rsidR="000141AC" w:rsidRPr="000141AC" w:rsidRDefault="000141AC" w:rsidP="000141AC">
            <w:pPr>
              <w:spacing w:line="240" w:lineRule="auto"/>
              <w:jc w:val="center"/>
              <w:rPr>
                <w:rFonts w:ascii="Calibri" w:hAnsi="Calibri" w:cs="Calibri"/>
                <w:b/>
                <w:bCs/>
                <w:color w:val="000000"/>
                <w:sz w:val="22"/>
                <w:szCs w:val="22"/>
              </w:rPr>
            </w:pPr>
            <w:r w:rsidRPr="000141AC">
              <w:rPr>
                <w:rFonts w:ascii="Calibri" w:hAnsi="Calibri" w:cs="Calibri"/>
                <w:b/>
                <w:bCs/>
                <w:color w:val="000000"/>
                <w:sz w:val="22"/>
                <w:szCs w:val="22"/>
              </w:rPr>
              <w:t>CO</w:t>
            </w:r>
            <w:r w:rsidRPr="000141AC">
              <w:rPr>
                <w:rFonts w:ascii="Calibri" w:hAnsi="Calibri" w:cs="Calibri"/>
                <w:b/>
                <w:bCs/>
                <w:color w:val="000000"/>
                <w:sz w:val="22"/>
                <w:szCs w:val="22"/>
                <w:vertAlign w:val="subscript"/>
              </w:rPr>
              <w:t>2</w:t>
            </w:r>
          </w:p>
        </w:tc>
        <w:tc>
          <w:tcPr>
            <w:tcW w:w="540" w:type="dxa"/>
            <w:tcBorders>
              <w:top w:val="nil"/>
              <w:left w:val="nil"/>
              <w:bottom w:val="single" w:sz="4" w:space="0" w:color="auto"/>
              <w:right w:val="nil"/>
            </w:tcBorders>
            <w:shd w:val="clear" w:color="auto" w:fill="auto"/>
            <w:noWrap/>
            <w:vAlign w:val="bottom"/>
            <w:hideMark/>
          </w:tcPr>
          <w:p w14:paraId="724D1668" w14:textId="77777777" w:rsidR="000141AC" w:rsidRPr="000141AC" w:rsidRDefault="000141AC" w:rsidP="000141AC">
            <w:pPr>
              <w:spacing w:line="240" w:lineRule="auto"/>
              <w:jc w:val="center"/>
              <w:rPr>
                <w:rFonts w:ascii="Calibri" w:hAnsi="Calibri" w:cs="Calibri"/>
                <w:b/>
                <w:bCs/>
                <w:color w:val="000000"/>
                <w:sz w:val="22"/>
                <w:szCs w:val="22"/>
              </w:rPr>
            </w:pPr>
            <w:r w:rsidRPr="000141AC">
              <w:rPr>
                <w:rFonts w:ascii="Calibri" w:hAnsi="Calibri" w:cs="Calibri"/>
                <w:b/>
                <w:bCs/>
                <w:color w:val="000000"/>
                <w:sz w:val="22"/>
                <w:szCs w:val="22"/>
              </w:rPr>
              <w:t>CH</w:t>
            </w:r>
            <w:r w:rsidRPr="000141AC">
              <w:rPr>
                <w:rFonts w:ascii="Calibri" w:hAnsi="Calibri" w:cs="Calibri"/>
                <w:b/>
                <w:bCs/>
                <w:color w:val="000000"/>
                <w:sz w:val="22"/>
                <w:szCs w:val="22"/>
                <w:vertAlign w:val="subscript"/>
              </w:rPr>
              <w:t>4</w:t>
            </w:r>
          </w:p>
        </w:tc>
        <w:tc>
          <w:tcPr>
            <w:tcW w:w="611" w:type="dxa"/>
            <w:tcBorders>
              <w:top w:val="nil"/>
              <w:left w:val="nil"/>
              <w:bottom w:val="single" w:sz="4" w:space="0" w:color="auto"/>
              <w:right w:val="nil"/>
            </w:tcBorders>
            <w:shd w:val="clear" w:color="auto" w:fill="auto"/>
            <w:noWrap/>
            <w:vAlign w:val="bottom"/>
            <w:hideMark/>
          </w:tcPr>
          <w:p w14:paraId="12617677" w14:textId="77777777" w:rsidR="000141AC" w:rsidRPr="000141AC" w:rsidRDefault="000141AC" w:rsidP="000141AC">
            <w:pPr>
              <w:spacing w:line="240" w:lineRule="auto"/>
              <w:jc w:val="center"/>
              <w:rPr>
                <w:rFonts w:ascii="Calibri" w:hAnsi="Calibri" w:cs="Calibri"/>
                <w:b/>
                <w:bCs/>
                <w:color w:val="000000"/>
                <w:sz w:val="22"/>
                <w:szCs w:val="22"/>
              </w:rPr>
            </w:pPr>
            <w:r w:rsidRPr="000141AC">
              <w:rPr>
                <w:rFonts w:ascii="Calibri" w:hAnsi="Calibri" w:cs="Calibri"/>
                <w:b/>
                <w:bCs/>
                <w:color w:val="000000"/>
                <w:sz w:val="22"/>
                <w:szCs w:val="22"/>
              </w:rPr>
              <w:t>N</w:t>
            </w:r>
            <w:r w:rsidRPr="000141AC">
              <w:rPr>
                <w:rFonts w:ascii="Calibri" w:hAnsi="Calibri" w:cs="Calibri"/>
                <w:b/>
                <w:bCs/>
                <w:color w:val="000000"/>
                <w:sz w:val="22"/>
                <w:szCs w:val="22"/>
                <w:vertAlign w:val="subscript"/>
              </w:rPr>
              <w:t>2</w:t>
            </w:r>
            <w:r w:rsidRPr="000141AC">
              <w:rPr>
                <w:rFonts w:ascii="Calibri" w:hAnsi="Calibri" w:cs="Calibri"/>
                <w:b/>
                <w:bCs/>
                <w:color w:val="000000"/>
                <w:sz w:val="22"/>
                <w:szCs w:val="22"/>
              </w:rPr>
              <w:t>O</w:t>
            </w:r>
          </w:p>
        </w:tc>
        <w:tc>
          <w:tcPr>
            <w:tcW w:w="931" w:type="dxa"/>
            <w:tcBorders>
              <w:top w:val="nil"/>
              <w:left w:val="single" w:sz="4" w:space="0" w:color="auto"/>
              <w:bottom w:val="single" w:sz="4" w:space="0" w:color="auto"/>
              <w:right w:val="single" w:sz="4" w:space="0" w:color="auto"/>
            </w:tcBorders>
            <w:shd w:val="clear" w:color="auto" w:fill="auto"/>
            <w:noWrap/>
            <w:vAlign w:val="bottom"/>
            <w:hideMark/>
          </w:tcPr>
          <w:p w14:paraId="400A6F40" w14:textId="77777777" w:rsidR="000141AC" w:rsidRPr="000141AC" w:rsidRDefault="000141AC" w:rsidP="000141AC">
            <w:pPr>
              <w:spacing w:line="240" w:lineRule="auto"/>
              <w:jc w:val="center"/>
              <w:rPr>
                <w:rFonts w:ascii="Calibri" w:hAnsi="Calibri" w:cs="Calibri"/>
                <w:b/>
                <w:bCs/>
                <w:color w:val="000000"/>
                <w:sz w:val="22"/>
                <w:szCs w:val="22"/>
              </w:rPr>
            </w:pPr>
            <w:r w:rsidRPr="000141AC">
              <w:rPr>
                <w:rFonts w:ascii="Calibri" w:hAnsi="Calibri" w:cs="Calibri"/>
                <w:b/>
                <w:bCs/>
                <w:color w:val="000000"/>
                <w:sz w:val="22"/>
                <w:szCs w:val="22"/>
              </w:rPr>
              <w:t>Total</w:t>
            </w:r>
          </w:p>
        </w:tc>
      </w:tr>
      <w:tr w:rsidR="000141AC" w:rsidRPr="000141AC" w14:paraId="1B984DDC" w14:textId="77777777" w:rsidTr="00614386">
        <w:trPr>
          <w:trHeight w:val="253"/>
        </w:trPr>
        <w:tc>
          <w:tcPr>
            <w:tcW w:w="4840" w:type="dxa"/>
            <w:tcBorders>
              <w:top w:val="nil"/>
              <w:left w:val="single" w:sz="4" w:space="0" w:color="auto"/>
              <w:bottom w:val="nil"/>
              <w:right w:val="single" w:sz="4" w:space="0" w:color="auto"/>
            </w:tcBorders>
            <w:shd w:val="clear" w:color="auto" w:fill="auto"/>
            <w:noWrap/>
            <w:vAlign w:val="bottom"/>
            <w:hideMark/>
          </w:tcPr>
          <w:p w14:paraId="1138F987" w14:textId="77777777" w:rsidR="000141AC" w:rsidRPr="000141AC" w:rsidRDefault="000141AC" w:rsidP="000141AC">
            <w:pPr>
              <w:spacing w:line="240" w:lineRule="auto"/>
              <w:rPr>
                <w:rFonts w:ascii="Calibri" w:hAnsi="Calibri" w:cs="Calibri"/>
                <w:color w:val="000000"/>
                <w:sz w:val="22"/>
                <w:szCs w:val="22"/>
              </w:rPr>
            </w:pPr>
            <w:r w:rsidRPr="000141AC">
              <w:rPr>
                <w:rFonts w:ascii="Calibri" w:hAnsi="Calibri" w:cs="Calibri"/>
                <w:color w:val="000000"/>
                <w:sz w:val="22"/>
                <w:szCs w:val="22"/>
              </w:rPr>
              <w:t>Residential</w:t>
            </w:r>
          </w:p>
        </w:tc>
        <w:tc>
          <w:tcPr>
            <w:tcW w:w="923" w:type="dxa"/>
            <w:tcBorders>
              <w:top w:val="nil"/>
              <w:left w:val="nil"/>
              <w:bottom w:val="nil"/>
              <w:right w:val="nil"/>
            </w:tcBorders>
            <w:shd w:val="clear" w:color="auto" w:fill="auto"/>
            <w:noWrap/>
            <w:vAlign w:val="bottom"/>
            <w:hideMark/>
          </w:tcPr>
          <w:p w14:paraId="51C95C53"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1,209 </w:t>
            </w:r>
          </w:p>
        </w:tc>
        <w:tc>
          <w:tcPr>
            <w:tcW w:w="540" w:type="dxa"/>
            <w:tcBorders>
              <w:top w:val="nil"/>
              <w:left w:val="nil"/>
              <w:bottom w:val="nil"/>
              <w:right w:val="nil"/>
            </w:tcBorders>
            <w:shd w:val="clear" w:color="auto" w:fill="auto"/>
            <w:noWrap/>
            <w:vAlign w:val="bottom"/>
            <w:hideMark/>
          </w:tcPr>
          <w:p w14:paraId="34E7C368"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3 </w:t>
            </w:r>
          </w:p>
        </w:tc>
        <w:tc>
          <w:tcPr>
            <w:tcW w:w="611" w:type="dxa"/>
            <w:tcBorders>
              <w:top w:val="nil"/>
              <w:left w:val="nil"/>
              <w:bottom w:val="nil"/>
              <w:right w:val="nil"/>
            </w:tcBorders>
            <w:shd w:val="clear" w:color="auto" w:fill="auto"/>
            <w:noWrap/>
            <w:vAlign w:val="bottom"/>
            <w:hideMark/>
          </w:tcPr>
          <w:p w14:paraId="3A402BCC"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1 </w:t>
            </w:r>
          </w:p>
        </w:tc>
        <w:tc>
          <w:tcPr>
            <w:tcW w:w="931" w:type="dxa"/>
            <w:tcBorders>
              <w:top w:val="nil"/>
              <w:left w:val="single" w:sz="4" w:space="0" w:color="auto"/>
              <w:bottom w:val="nil"/>
              <w:right w:val="single" w:sz="4" w:space="0" w:color="auto"/>
            </w:tcBorders>
            <w:shd w:val="clear" w:color="auto" w:fill="auto"/>
            <w:noWrap/>
            <w:vAlign w:val="bottom"/>
            <w:hideMark/>
          </w:tcPr>
          <w:p w14:paraId="4ADD01BB"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1,213 </w:t>
            </w:r>
          </w:p>
        </w:tc>
      </w:tr>
      <w:tr w:rsidR="000141AC" w:rsidRPr="000141AC" w14:paraId="086AFACD" w14:textId="77777777" w:rsidTr="00614386">
        <w:trPr>
          <w:trHeight w:val="253"/>
        </w:trPr>
        <w:tc>
          <w:tcPr>
            <w:tcW w:w="4840" w:type="dxa"/>
            <w:tcBorders>
              <w:top w:val="nil"/>
              <w:left w:val="single" w:sz="4" w:space="0" w:color="auto"/>
              <w:bottom w:val="nil"/>
              <w:right w:val="single" w:sz="4" w:space="0" w:color="auto"/>
            </w:tcBorders>
            <w:shd w:val="clear" w:color="auto" w:fill="auto"/>
            <w:noWrap/>
            <w:vAlign w:val="bottom"/>
            <w:hideMark/>
          </w:tcPr>
          <w:p w14:paraId="3CEFAC1E" w14:textId="77777777" w:rsidR="000141AC" w:rsidRPr="000141AC" w:rsidRDefault="000141AC" w:rsidP="000141AC">
            <w:pPr>
              <w:spacing w:line="240" w:lineRule="auto"/>
              <w:rPr>
                <w:rFonts w:ascii="Calibri" w:hAnsi="Calibri" w:cs="Calibri"/>
                <w:color w:val="000000"/>
                <w:sz w:val="22"/>
                <w:szCs w:val="22"/>
              </w:rPr>
            </w:pPr>
            <w:r w:rsidRPr="000141AC">
              <w:rPr>
                <w:rFonts w:ascii="Calibri" w:hAnsi="Calibri" w:cs="Calibri"/>
                <w:color w:val="000000"/>
                <w:sz w:val="22"/>
                <w:szCs w:val="22"/>
              </w:rPr>
              <w:t>Commercial/Institutional</w:t>
            </w:r>
          </w:p>
        </w:tc>
        <w:tc>
          <w:tcPr>
            <w:tcW w:w="923" w:type="dxa"/>
            <w:tcBorders>
              <w:top w:val="nil"/>
              <w:left w:val="nil"/>
              <w:bottom w:val="nil"/>
              <w:right w:val="nil"/>
            </w:tcBorders>
            <w:shd w:val="clear" w:color="auto" w:fill="auto"/>
            <w:noWrap/>
            <w:vAlign w:val="bottom"/>
            <w:hideMark/>
          </w:tcPr>
          <w:p w14:paraId="51AAC168"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w:t>
            </w:r>
            <w:r w:rsidRPr="000141AC">
              <w:rPr>
                <w:rFonts w:ascii="Calibri" w:hAnsi="Calibri" w:cs="Calibri"/>
                <w:color w:val="000000"/>
                <w:sz w:val="22"/>
                <w:szCs w:val="22"/>
                <w:highlight w:val="yellow"/>
              </w:rPr>
              <w:t>1,000</w:t>
            </w:r>
            <w:r w:rsidRPr="000141AC">
              <w:rPr>
                <w:rFonts w:ascii="Calibri" w:hAnsi="Calibri" w:cs="Calibri"/>
                <w:color w:val="000000"/>
                <w:sz w:val="22"/>
                <w:szCs w:val="22"/>
              </w:rPr>
              <w:t xml:space="preserve"> </w:t>
            </w:r>
          </w:p>
        </w:tc>
        <w:tc>
          <w:tcPr>
            <w:tcW w:w="540" w:type="dxa"/>
            <w:tcBorders>
              <w:top w:val="nil"/>
              <w:left w:val="nil"/>
              <w:bottom w:val="nil"/>
              <w:right w:val="nil"/>
            </w:tcBorders>
            <w:shd w:val="clear" w:color="auto" w:fill="auto"/>
            <w:noWrap/>
            <w:vAlign w:val="bottom"/>
            <w:hideMark/>
          </w:tcPr>
          <w:p w14:paraId="1ECA89B3"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2 </w:t>
            </w:r>
          </w:p>
        </w:tc>
        <w:tc>
          <w:tcPr>
            <w:tcW w:w="611" w:type="dxa"/>
            <w:tcBorders>
              <w:top w:val="nil"/>
              <w:left w:val="nil"/>
              <w:bottom w:val="nil"/>
              <w:right w:val="nil"/>
            </w:tcBorders>
            <w:shd w:val="clear" w:color="auto" w:fill="auto"/>
            <w:noWrap/>
            <w:vAlign w:val="bottom"/>
            <w:hideMark/>
          </w:tcPr>
          <w:p w14:paraId="5B11667A"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1 </w:t>
            </w:r>
          </w:p>
        </w:tc>
        <w:tc>
          <w:tcPr>
            <w:tcW w:w="931" w:type="dxa"/>
            <w:tcBorders>
              <w:top w:val="nil"/>
              <w:left w:val="single" w:sz="4" w:space="0" w:color="auto"/>
              <w:bottom w:val="nil"/>
              <w:right w:val="single" w:sz="4" w:space="0" w:color="auto"/>
            </w:tcBorders>
            <w:shd w:val="clear" w:color="auto" w:fill="auto"/>
            <w:noWrap/>
            <w:vAlign w:val="bottom"/>
            <w:hideMark/>
          </w:tcPr>
          <w:p w14:paraId="459536FA"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1,003 </w:t>
            </w:r>
          </w:p>
        </w:tc>
      </w:tr>
      <w:tr w:rsidR="000141AC" w:rsidRPr="000141AC" w14:paraId="6D1C3FC5" w14:textId="77777777" w:rsidTr="00614386">
        <w:trPr>
          <w:trHeight w:val="253"/>
        </w:trPr>
        <w:tc>
          <w:tcPr>
            <w:tcW w:w="4840" w:type="dxa"/>
            <w:tcBorders>
              <w:top w:val="nil"/>
              <w:left w:val="single" w:sz="4" w:space="0" w:color="auto"/>
              <w:bottom w:val="nil"/>
              <w:right w:val="single" w:sz="4" w:space="0" w:color="auto"/>
            </w:tcBorders>
            <w:shd w:val="clear" w:color="auto" w:fill="auto"/>
            <w:noWrap/>
            <w:vAlign w:val="bottom"/>
            <w:hideMark/>
          </w:tcPr>
          <w:p w14:paraId="0B24461E" w14:textId="77777777" w:rsidR="000141AC" w:rsidRPr="000141AC" w:rsidRDefault="000141AC" w:rsidP="000141AC">
            <w:pPr>
              <w:spacing w:line="240" w:lineRule="auto"/>
              <w:rPr>
                <w:rFonts w:ascii="Calibri" w:hAnsi="Calibri" w:cs="Calibri"/>
                <w:color w:val="000000"/>
                <w:sz w:val="22"/>
                <w:szCs w:val="22"/>
              </w:rPr>
            </w:pPr>
            <w:r w:rsidRPr="000141AC">
              <w:rPr>
                <w:rFonts w:ascii="Calibri" w:hAnsi="Calibri" w:cs="Calibri"/>
                <w:color w:val="000000"/>
                <w:sz w:val="22"/>
                <w:szCs w:val="22"/>
              </w:rPr>
              <w:lastRenderedPageBreak/>
              <w:t>Industrial</w:t>
            </w:r>
          </w:p>
        </w:tc>
        <w:tc>
          <w:tcPr>
            <w:tcW w:w="923" w:type="dxa"/>
            <w:tcBorders>
              <w:top w:val="nil"/>
              <w:left w:val="nil"/>
              <w:bottom w:val="nil"/>
              <w:right w:val="nil"/>
            </w:tcBorders>
            <w:shd w:val="clear" w:color="auto" w:fill="auto"/>
            <w:noWrap/>
            <w:vAlign w:val="bottom"/>
            <w:hideMark/>
          </w:tcPr>
          <w:p w14:paraId="09A2B6DB"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c>
          <w:tcPr>
            <w:tcW w:w="540" w:type="dxa"/>
            <w:tcBorders>
              <w:top w:val="nil"/>
              <w:left w:val="nil"/>
              <w:bottom w:val="nil"/>
              <w:right w:val="nil"/>
            </w:tcBorders>
            <w:shd w:val="clear" w:color="auto" w:fill="auto"/>
            <w:noWrap/>
            <w:vAlign w:val="bottom"/>
            <w:hideMark/>
          </w:tcPr>
          <w:p w14:paraId="424DADC0"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c>
          <w:tcPr>
            <w:tcW w:w="611" w:type="dxa"/>
            <w:tcBorders>
              <w:top w:val="nil"/>
              <w:left w:val="nil"/>
              <w:bottom w:val="nil"/>
              <w:right w:val="nil"/>
            </w:tcBorders>
            <w:shd w:val="clear" w:color="auto" w:fill="auto"/>
            <w:noWrap/>
            <w:vAlign w:val="bottom"/>
            <w:hideMark/>
          </w:tcPr>
          <w:p w14:paraId="390F6F73"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c>
          <w:tcPr>
            <w:tcW w:w="931" w:type="dxa"/>
            <w:tcBorders>
              <w:top w:val="nil"/>
              <w:left w:val="single" w:sz="4" w:space="0" w:color="auto"/>
              <w:bottom w:val="nil"/>
              <w:right w:val="single" w:sz="4" w:space="0" w:color="auto"/>
            </w:tcBorders>
            <w:shd w:val="clear" w:color="auto" w:fill="auto"/>
            <w:noWrap/>
            <w:vAlign w:val="bottom"/>
            <w:hideMark/>
          </w:tcPr>
          <w:p w14:paraId="20335A4F"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r>
      <w:tr w:rsidR="000141AC" w:rsidRPr="000141AC" w14:paraId="084C7F13" w14:textId="77777777" w:rsidTr="00614386">
        <w:trPr>
          <w:trHeight w:val="253"/>
        </w:trPr>
        <w:tc>
          <w:tcPr>
            <w:tcW w:w="4840" w:type="dxa"/>
            <w:tcBorders>
              <w:top w:val="nil"/>
              <w:left w:val="single" w:sz="4" w:space="0" w:color="auto"/>
              <w:bottom w:val="nil"/>
              <w:right w:val="single" w:sz="4" w:space="0" w:color="auto"/>
            </w:tcBorders>
            <w:shd w:val="clear" w:color="auto" w:fill="auto"/>
            <w:noWrap/>
            <w:vAlign w:val="bottom"/>
            <w:hideMark/>
          </w:tcPr>
          <w:p w14:paraId="6FC755CF" w14:textId="77777777" w:rsidR="000141AC" w:rsidRPr="000141AC" w:rsidRDefault="000141AC" w:rsidP="000141AC">
            <w:pPr>
              <w:spacing w:line="240" w:lineRule="auto"/>
              <w:rPr>
                <w:rFonts w:ascii="Calibri" w:hAnsi="Calibri" w:cs="Calibri"/>
                <w:color w:val="000000"/>
                <w:sz w:val="22"/>
                <w:szCs w:val="22"/>
              </w:rPr>
            </w:pPr>
            <w:r w:rsidRPr="000141AC">
              <w:rPr>
                <w:rFonts w:ascii="Calibri" w:hAnsi="Calibri" w:cs="Calibri"/>
                <w:color w:val="000000"/>
                <w:sz w:val="22"/>
                <w:szCs w:val="22"/>
              </w:rPr>
              <w:t>Energy Generation</w:t>
            </w:r>
          </w:p>
        </w:tc>
        <w:tc>
          <w:tcPr>
            <w:tcW w:w="923" w:type="dxa"/>
            <w:tcBorders>
              <w:top w:val="nil"/>
              <w:left w:val="nil"/>
              <w:bottom w:val="nil"/>
              <w:right w:val="nil"/>
            </w:tcBorders>
            <w:shd w:val="clear" w:color="auto" w:fill="auto"/>
            <w:noWrap/>
            <w:vAlign w:val="bottom"/>
            <w:hideMark/>
          </w:tcPr>
          <w:p w14:paraId="4D33E01B"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c>
          <w:tcPr>
            <w:tcW w:w="540" w:type="dxa"/>
            <w:tcBorders>
              <w:top w:val="nil"/>
              <w:left w:val="nil"/>
              <w:bottom w:val="nil"/>
              <w:right w:val="nil"/>
            </w:tcBorders>
            <w:shd w:val="clear" w:color="auto" w:fill="auto"/>
            <w:noWrap/>
            <w:vAlign w:val="bottom"/>
            <w:hideMark/>
          </w:tcPr>
          <w:p w14:paraId="5A295A07"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c>
          <w:tcPr>
            <w:tcW w:w="611" w:type="dxa"/>
            <w:tcBorders>
              <w:top w:val="nil"/>
              <w:left w:val="nil"/>
              <w:bottom w:val="nil"/>
              <w:right w:val="nil"/>
            </w:tcBorders>
            <w:shd w:val="clear" w:color="auto" w:fill="auto"/>
            <w:noWrap/>
            <w:vAlign w:val="bottom"/>
            <w:hideMark/>
          </w:tcPr>
          <w:p w14:paraId="7F6F9FCC"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c>
          <w:tcPr>
            <w:tcW w:w="931" w:type="dxa"/>
            <w:tcBorders>
              <w:top w:val="nil"/>
              <w:left w:val="single" w:sz="4" w:space="0" w:color="auto"/>
              <w:bottom w:val="nil"/>
              <w:right w:val="single" w:sz="4" w:space="0" w:color="auto"/>
            </w:tcBorders>
            <w:shd w:val="clear" w:color="auto" w:fill="auto"/>
            <w:noWrap/>
            <w:vAlign w:val="bottom"/>
            <w:hideMark/>
          </w:tcPr>
          <w:p w14:paraId="78524C78" w14:textId="77777777" w:rsidR="000141AC" w:rsidRPr="000141AC" w:rsidRDefault="000141AC" w:rsidP="000141AC">
            <w:pPr>
              <w:spacing w:line="240" w:lineRule="auto"/>
              <w:jc w:val="center"/>
              <w:rPr>
                <w:rFonts w:ascii="Calibri" w:hAnsi="Calibri" w:cs="Calibri"/>
                <w:color w:val="000000"/>
                <w:sz w:val="22"/>
                <w:szCs w:val="22"/>
              </w:rPr>
            </w:pPr>
            <w:r w:rsidRPr="000141AC">
              <w:rPr>
                <w:rFonts w:ascii="Calibri" w:hAnsi="Calibri" w:cs="Calibri"/>
                <w:color w:val="000000"/>
                <w:sz w:val="22"/>
                <w:szCs w:val="22"/>
              </w:rPr>
              <w:t xml:space="preserve"> - </w:t>
            </w:r>
          </w:p>
        </w:tc>
      </w:tr>
      <w:tr w:rsidR="000141AC" w:rsidRPr="000141AC" w14:paraId="318C94FF" w14:textId="77777777" w:rsidTr="00614386">
        <w:trPr>
          <w:trHeight w:val="523"/>
        </w:trPr>
        <w:tc>
          <w:tcPr>
            <w:tcW w:w="48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B3A988" w14:textId="0F6E3506" w:rsidR="000141AC" w:rsidRPr="000141AC" w:rsidRDefault="000141AC" w:rsidP="000141AC">
            <w:pPr>
              <w:spacing w:line="240" w:lineRule="auto"/>
              <w:rPr>
                <w:rFonts w:ascii="Calibri" w:hAnsi="Calibri" w:cs="Calibri"/>
                <w:b/>
                <w:bCs/>
                <w:color w:val="000000"/>
                <w:sz w:val="22"/>
                <w:szCs w:val="22"/>
              </w:rPr>
            </w:pPr>
            <w:r w:rsidRPr="000141AC">
              <w:rPr>
                <w:rFonts w:ascii="Calibri" w:hAnsi="Calibri" w:cs="Calibri"/>
                <w:b/>
                <w:bCs/>
                <w:color w:val="000000"/>
                <w:sz w:val="22"/>
                <w:szCs w:val="22"/>
              </w:rPr>
              <w:t>Total Stationary Combustion Emissions</w:t>
            </w:r>
            <w:r w:rsidR="00614386">
              <w:rPr>
                <w:rFonts w:ascii="Calibri" w:hAnsi="Calibri" w:cs="Calibri"/>
                <w:b/>
                <w:bCs/>
                <w:color w:val="000000"/>
                <w:sz w:val="22"/>
                <w:szCs w:val="22"/>
              </w:rPr>
              <w:t xml:space="preserve"> Heat</w:t>
            </w:r>
          </w:p>
        </w:tc>
        <w:tc>
          <w:tcPr>
            <w:tcW w:w="923" w:type="dxa"/>
            <w:tcBorders>
              <w:top w:val="single" w:sz="4" w:space="0" w:color="auto"/>
              <w:left w:val="nil"/>
              <w:bottom w:val="single" w:sz="4" w:space="0" w:color="auto"/>
              <w:right w:val="nil"/>
            </w:tcBorders>
            <w:shd w:val="clear" w:color="auto" w:fill="auto"/>
            <w:noWrap/>
            <w:vAlign w:val="center"/>
            <w:hideMark/>
          </w:tcPr>
          <w:p w14:paraId="7C7BB7FF" w14:textId="77777777" w:rsidR="000141AC" w:rsidRPr="000141AC" w:rsidRDefault="000141AC" w:rsidP="000141AC">
            <w:pPr>
              <w:spacing w:line="240" w:lineRule="auto"/>
              <w:jc w:val="center"/>
              <w:rPr>
                <w:rFonts w:ascii="Calibri" w:hAnsi="Calibri" w:cs="Calibri"/>
                <w:b/>
                <w:bCs/>
                <w:color w:val="000000"/>
                <w:sz w:val="22"/>
                <w:szCs w:val="22"/>
              </w:rPr>
            </w:pPr>
            <w:r w:rsidRPr="000141AC">
              <w:rPr>
                <w:rFonts w:ascii="Calibri" w:hAnsi="Calibri" w:cs="Calibri"/>
                <w:b/>
                <w:bCs/>
                <w:color w:val="000000"/>
                <w:sz w:val="22"/>
                <w:szCs w:val="22"/>
              </w:rPr>
              <w:t xml:space="preserve"> 2,210 </w:t>
            </w:r>
          </w:p>
        </w:tc>
        <w:tc>
          <w:tcPr>
            <w:tcW w:w="540" w:type="dxa"/>
            <w:tcBorders>
              <w:top w:val="single" w:sz="4" w:space="0" w:color="auto"/>
              <w:left w:val="nil"/>
              <w:bottom w:val="single" w:sz="4" w:space="0" w:color="auto"/>
              <w:right w:val="nil"/>
            </w:tcBorders>
            <w:shd w:val="clear" w:color="auto" w:fill="auto"/>
            <w:noWrap/>
            <w:vAlign w:val="center"/>
            <w:hideMark/>
          </w:tcPr>
          <w:p w14:paraId="314E9990" w14:textId="77777777" w:rsidR="000141AC" w:rsidRPr="000141AC" w:rsidRDefault="000141AC" w:rsidP="000141AC">
            <w:pPr>
              <w:spacing w:line="240" w:lineRule="auto"/>
              <w:jc w:val="center"/>
              <w:rPr>
                <w:rFonts w:ascii="Calibri" w:hAnsi="Calibri" w:cs="Calibri"/>
                <w:b/>
                <w:bCs/>
                <w:color w:val="000000"/>
                <w:sz w:val="22"/>
                <w:szCs w:val="22"/>
              </w:rPr>
            </w:pPr>
            <w:r w:rsidRPr="000141AC">
              <w:rPr>
                <w:rFonts w:ascii="Calibri" w:hAnsi="Calibri" w:cs="Calibri"/>
                <w:b/>
                <w:bCs/>
                <w:color w:val="000000"/>
                <w:sz w:val="22"/>
                <w:szCs w:val="22"/>
              </w:rPr>
              <w:t xml:space="preserve"> 5 </w:t>
            </w:r>
          </w:p>
        </w:tc>
        <w:tc>
          <w:tcPr>
            <w:tcW w:w="611" w:type="dxa"/>
            <w:tcBorders>
              <w:top w:val="single" w:sz="4" w:space="0" w:color="auto"/>
              <w:left w:val="nil"/>
              <w:bottom w:val="single" w:sz="4" w:space="0" w:color="auto"/>
              <w:right w:val="nil"/>
            </w:tcBorders>
            <w:shd w:val="clear" w:color="auto" w:fill="auto"/>
            <w:noWrap/>
            <w:vAlign w:val="center"/>
            <w:hideMark/>
          </w:tcPr>
          <w:p w14:paraId="2F6600C1" w14:textId="77777777" w:rsidR="000141AC" w:rsidRPr="000141AC" w:rsidRDefault="000141AC" w:rsidP="000141AC">
            <w:pPr>
              <w:spacing w:line="240" w:lineRule="auto"/>
              <w:jc w:val="center"/>
              <w:rPr>
                <w:rFonts w:ascii="Calibri" w:hAnsi="Calibri" w:cs="Calibri"/>
                <w:b/>
                <w:bCs/>
                <w:color w:val="000000"/>
                <w:sz w:val="22"/>
                <w:szCs w:val="22"/>
              </w:rPr>
            </w:pPr>
            <w:r w:rsidRPr="000141AC">
              <w:rPr>
                <w:rFonts w:ascii="Calibri" w:hAnsi="Calibri" w:cs="Calibri"/>
                <w:b/>
                <w:bCs/>
                <w:color w:val="000000"/>
                <w:sz w:val="22"/>
                <w:szCs w:val="22"/>
              </w:rPr>
              <w:t xml:space="preserve"> 1 </w:t>
            </w:r>
          </w:p>
        </w:tc>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7C4FA" w14:textId="77777777" w:rsidR="000141AC" w:rsidRPr="000141AC" w:rsidRDefault="000141AC" w:rsidP="000141AC">
            <w:pPr>
              <w:spacing w:line="240" w:lineRule="auto"/>
              <w:jc w:val="center"/>
              <w:rPr>
                <w:rFonts w:ascii="Calibri" w:hAnsi="Calibri" w:cs="Calibri"/>
                <w:b/>
                <w:bCs/>
                <w:color w:val="000000"/>
                <w:sz w:val="22"/>
                <w:szCs w:val="22"/>
              </w:rPr>
            </w:pPr>
            <w:bookmarkStart w:id="13" w:name="RANGE!F43"/>
            <w:r w:rsidRPr="000141AC">
              <w:rPr>
                <w:rFonts w:ascii="Calibri" w:hAnsi="Calibri" w:cs="Calibri"/>
                <w:b/>
                <w:bCs/>
                <w:color w:val="000000"/>
                <w:sz w:val="22"/>
                <w:szCs w:val="22"/>
              </w:rPr>
              <w:t xml:space="preserve"> 2,216 </w:t>
            </w:r>
            <w:bookmarkEnd w:id="13"/>
          </w:p>
        </w:tc>
      </w:tr>
    </w:tbl>
    <w:p w14:paraId="7025258B" w14:textId="77777777" w:rsidR="00B4439D" w:rsidRDefault="00B4439D">
      <w:pPr>
        <w:spacing w:line="240" w:lineRule="auto"/>
        <w:rPr>
          <w:rFonts w:ascii="Calibri" w:eastAsia="Calibri" w:hAnsi="Calibri" w:cs="Calibri"/>
          <w:sz w:val="22"/>
          <w:szCs w:val="22"/>
          <w:vertAlign w:val="subscript"/>
        </w:rPr>
      </w:pPr>
    </w:p>
    <w:p w14:paraId="040D0E2E" w14:textId="77777777" w:rsidR="00013B23" w:rsidRDefault="00013B23" w:rsidP="00013B23">
      <w:pPr>
        <w:spacing w:line="240" w:lineRule="auto"/>
        <w:rPr>
          <w:rFonts w:ascii="Calibri" w:eastAsia="Calibri" w:hAnsi="Calibri" w:cs="Calibri"/>
          <w:sz w:val="22"/>
          <w:szCs w:val="22"/>
        </w:rPr>
      </w:pPr>
      <w:r>
        <w:rPr>
          <w:rFonts w:ascii="Calibri" w:eastAsia="Calibri" w:hAnsi="Calibri" w:cs="Calibri"/>
          <w:sz w:val="22"/>
          <w:szCs w:val="22"/>
        </w:rPr>
        <w:t xml:space="preserve">The same measures have potential of </w:t>
      </w:r>
      <w:r w:rsidRPr="00891822">
        <w:rPr>
          <w:rFonts w:ascii="Calibri" w:eastAsia="Calibri" w:hAnsi="Calibri" w:cs="Calibri"/>
          <w:sz w:val="22"/>
          <w:szCs w:val="22"/>
        </w:rPr>
        <w:t>adding window film =</w:t>
      </w:r>
      <w:r>
        <w:rPr>
          <w:rFonts w:ascii="Calibri" w:eastAsia="Calibri" w:hAnsi="Calibri" w:cs="Calibri"/>
          <w:sz w:val="22"/>
          <w:szCs w:val="22"/>
        </w:rPr>
        <w:t>6.2</w:t>
      </w:r>
      <w:r w:rsidRPr="00891822">
        <w:rPr>
          <w:rFonts w:ascii="Calibri" w:eastAsia="Calibri" w:hAnsi="Calibri" w:cs="Calibri"/>
          <w:sz w:val="22"/>
          <w:szCs w:val="22"/>
        </w:rPr>
        <w:t>% savings, upgrading wall insulation to R-30=</w:t>
      </w:r>
      <w:r>
        <w:rPr>
          <w:rFonts w:ascii="Calibri" w:eastAsia="Calibri" w:hAnsi="Calibri" w:cs="Calibri"/>
          <w:sz w:val="22"/>
          <w:szCs w:val="22"/>
        </w:rPr>
        <w:t>5.4</w:t>
      </w:r>
      <w:r w:rsidRPr="00891822">
        <w:rPr>
          <w:rFonts w:ascii="Calibri" w:eastAsia="Calibri" w:hAnsi="Calibri" w:cs="Calibri"/>
          <w:sz w:val="22"/>
          <w:szCs w:val="22"/>
        </w:rPr>
        <w:t>% savings, and upgrade roof insulation to R-30 =</w:t>
      </w:r>
      <w:r>
        <w:rPr>
          <w:rFonts w:ascii="Calibri" w:eastAsia="Calibri" w:hAnsi="Calibri" w:cs="Calibri"/>
          <w:sz w:val="22"/>
          <w:szCs w:val="22"/>
        </w:rPr>
        <w:t>-2.4</w:t>
      </w:r>
      <w:r w:rsidRPr="00891822">
        <w:rPr>
          <w:rFonts w:ascii="Calibri" w:eastAsia="Calibri" w:hAnsi="Calibri" w:cs="Calibri"/>
          <w:sz w:val="22"/>
          <w:szCs w:val="22"/>
        </w:rPr>
        <w:t>%=</w:t>
      </w:r>
      <w:r>
        <w:rPr>
          <w:rFonts w:ascii="Calibri" w:eastAsia="Calibri" w:hAnsi="Calibri" w:cs="Calibri"/>
          <w:sz w:val="22"/>
          <w:szCs w:val="22"/>
        </w:rPr>
        <w:t>9.2</w:t>
      </w:r>
      <w:r w:rsidRPr="00891822">
        <w:rPr>
          <w:rFonts w:ascii="Calibri" w:eastAsia="Calibri" w:hAnsi="Calibri" w:cs="Calibri"/>
          <w:sz w:val="22"/>
          <w:szCs w:val="22"/>
        </w:rPr>
        <w:t>% total savings on</w:t>
      </w:r>
      <w:r>
        <w:rPr>
          <w:rFonts w:ascii="Calibri" w:eastAsia="Calibri" w:hAnsi="Calibri" w:cs="Calibri"/>
          <w:sz w:val="22"/>
          <w:szCs w:val="22"/>
        </w:rPr>
        <w:t xml:space="preserve"> natural gas.</w:t>
      </w:r>
    </w:p>
    <w:p w14:paraId="2F652FE8" w14:textId="56991BC8" w:rsidR="008A2CED" w:rsidRPr="005402BB" w:rsidRDefault="005665F7">
      <w:pPr>
        <w:spacing w:line="240" w:lineRule="auto"/>
        <w:rPr>
          <w:rFonts w:ascii="Calibri" w:eastAsia="Calibri" w:hAnsi="Calibri" w:cs="Calibri"/>
          <w:sz w:val="22"/>
          <w:szCs w:val="22"/>
        </w:rPr>
      </w:pPr>
      <w:r>
        <w:rPr>
          <w:rFonts w:ascii="Calibri" w:eastAsia="Calibri" w:hAnsi="Calibri" w:cs="Calibri"/>
          <w:sz w:val="22"/>
          <w:szCs w:val="22"/>
        </w:rPr>
        <w:t xml:space="preserve">1000 x .092 =92 </w:t>
      </w:r>
      <w:bookmarkStart w:id="14" w:name="_Hlk162847201"/>
      <w:r w:rsidR="00F82092">
        <w:rPr>
          <w:rFonts w:ascii="Calibri" w:eastAsia="Calibri" w:hAnsi="Calibri" w:cs="Calibri"/>
          <w:sz w:val="22"/>
          <w:szCs w:val="22"/>
        </w:rPr>
        <w:t>MT CO</w:t>
      </w:r>
      <w:r w:rsidR="00184671">
        <w:rPr>
          <w:rFonts w:ascii="Calibri" w:eastAsia="Calibri" w:hAnsi="Calibri" w:cs="Calibri"/>
          <w:sz w:val="22"/>
          <w:szCs w:val="22"/>
          <w:vertAlign w:val="subscript"/>
        </w:rPr>
        <w:t>2</w:t>
      </w:r>
      <w:bookmarkEnd w:id="14"/>
      <w:r w:rsidR="005402BB">
        <w:rPr>
          <w:rFonts w:ascii="Calibri" w:eastAsia="Calibri" w:hAnsi="Calibri" w:cs="Calibri"/>
          <w:sz w:val="22"/>
          <w:szCs w:val="22"/>
        </w:rPr>
        <w:t xml:space="preserve"> equivalent by 2030.  </w:t>
      </w:r>
    </w:p>
    <w:p w14:paraId="4122DFA6" w14:textId="77777777" w:rsidR="00184671" w:rsidRDefault="00184671">
      <w:pPr>
        <w:spacing w:line="240" w:lineRule="auto"/>
        <w:rPr>
          <w:rFonts w:ascii="Calibri" w:eastAsia="Calibri" w:hAnsi="Calibri" w:cs="Calibri"/>
          <w:sz w:val="22"/>
          <w:szCs w:val="22"/>
          <w:vertAlign w:val="subscript"/>
        </w:rPr>
      </w:pPr>
    </w:p>
    <w:p w14:paraId="5278C7DE" w14:textId="2E36433A" w:rsidR="00184671" w:rsidRDefault="00184671">
      <w:pPr>
        <w:spacing w:line="240" w:lineRule="auto"/>
        <w:rPr>
          <w:rFonts w:ascii="Calibri" w:eastAsia="Calibri" w:hAnsi="Calibri" w:cs="Calibri"/>
          <w:sz w:val="22"/>
          <w:szCs w:val="22"/>
        </w:rPr>
      </w:pPr>
      <w:r>
        <w:rPr>
          <w:rFonts w:ascii="Calibri" w:eastAsia="Calibri" w:hAnsi="Calibri" w:cs="Calibri"/>
          <w:sz w:val="22"/>
          <w:szCs w:val="22"/>
        </w:rPr>
        <w:t>Total</w:t>
      </w:r>
      <w:r w:rsidR="008D107A" w:rsidRPr="008D107A">
        <w:t xml:space="preserve"> </w:t>
      </w:r>
      <w:bookmarkStart w:id="15" w:name="_Hlk162847281"/>
      <w:r w:rsidR="008D107A" w:rsidRPr="008D107A">
        <w:rPr>
          <w:rFonts w:ascii="Calibri" w:eastAsia="Calibri" w:hAnsi="Calibri" w:cs="Calibri"/>
          <w:sz w:val="22"/>
          <w:szCs w:val="22"/>
        </w:rPr>
        <w:t>MT CO</w:t>
      </w:r>
      <w:r w:rsidR="008D107A" w:rsidRPr="00E70A8D">
        <w:rPr>
          <w:rFonts w:ascii="Calibri" w:eastAsia="Calibri" w:hAnsi="Calibri" w:cs="Calibri"/>
          <w:sz w:val="22"/>
          <w:szCs w:val="22"/>
          <w:vertAlign w:val="subscript"/>
        </w:rPr>
        <w:t>2</w:t>
      </w:r>
      <w:r w:rsidR="008D107A">
        <w:rPr>
          <w:rFonts w:ascii="Calibri" w:eastAsia="Calibri" w:hAnsi="Calibri" w:cs="Calibri"/>
          <w:sz w:val="22"/>
          <w:szCs w:val="22"/>
        </w:rPr>
        <w:t xml:space="preserve"> </w:t>
      </w:r>
      <w:bookmarkEnd w:id="15"/>
      <w:r w:rsidR="008D107A">
        <w:rPr>
          <w:rFonts w:ascii="Calibri" w:eastAsia="Calibri" w:hAnsi="Calibri" w:cs="Calibri"/>
          <w:sz w:val="22"/>
          <w:szCs w:val="22"/>
        </w:rPr>
        <w:t>for</w:t>
      </w:r>
      <w:r>
        <w:rPr>
          <w:rFonts w:ascii="Calibri" w:eastAsia="Calibri" w:hAnsi="Calibri" w:cs="Calibri"/>
          <w:sz w:val="22"/>
          <w:szCs w:val="22"/>
        </w:rPr>
        <w:t xml:space="preserve"> Weatherization of 51 Buildings by </w:t>
      </w:r>
      <w:r w:rsidR="008D107A">
        <w:rPr>
          <w:rFonts w:ascii="Calibri" w:eastAsia="Calibri" w:hAnsi="Calibri" w:cs="Calibri"/>
          <w:sz w:val="22"/>
          <w:szCs w:val="22"/>
        </w:rPr>
        <w:t>2030</w:t>
      </w:r>
      <w:r w:rsidR="00EA0513">
        <w:rPr>
          <w:rFonts w:ascii="Calibri" w:eastAsia="Calibri" w:hAnsi="Calibri" w:cs="Calibri"/>
          <w:sz w:val="22"/>
          <w:szCs w:val="22"/>
        </w:rPr>
        <w:t xml:space="preserve"> </w:t>
      </w:r>
      <w:r w:rsidR="0019636C">
        <w:rPr>
          <w:rFonts w:ascii="Calibri" w:eastAsia="Calibri" w:hAnsi="Calibri" w:cs="Calibri"/>
          <w:sz w:val="22"/>
          <w:szCs w:val="22"/>
        </w:rPr>
        <w:t xml:space="preserve">is the sum of electricity avoidance </w:t>
      </w:r>
      <w:r w:rsidR="00EA0513">
        <w:rPr>
          <w:rFonts w:ascii="Calibri" w:eastAsia="Calibri" w:hAnsi="Calibri" w:cs="Calibri"/>
          <w:sz w:val="22"/>
          <w:szCs w:val="22"/>
        </w:rPr>
        <w:t xml:space="preserve">138.225 + </w:t>
      </w:r>
      <w:r w:rsidR="0019636C">
        <w:rPr>
          <w:rFonts w:ascii="Calibri" w:eastAsia="Calibri" w:hAnsi="Calibri" w:cs="Calibri"/>
          <w:sz w:val="22"/>
          <w:szCs w:val="22"/>
        </w:rPr>
        <w:t xml:space="preserve">natural gas avoidance </w:t>
      </w:r>
      <w:r w:rsidR="00EA0513">
        <w:rPr>
          <w:rFonts w:ascii="Calibri" w:eastAsia="Calibri" w:hAnsi="Calibri" w:cs="Calibri"/>
          <w:sz w:val="22"/>
          <w:szCs w:val="22"/>
        </w:rPr>
        <w:t>92</w:t>
      </w:r>
      <w:r w:rsidR="008D107A">
        <w:rPr>
          <w:rFonts w:ascii="Calibri" w:eastAsia="Calibri" w:hAnsi="Calibri" w:cs="Calibri"/>
          <w:sz w:val="22"/>
          <w:szCs w:val="22"/>
        </w:rPr>
        <w:t xml:space="preserve"> =230.225</w:t>
      </w:r>
      <w:r w:rsidR="00E70A8D">
        <w:rPr>
          <w:rFonts w:ascii="Calibri" w:eastAsia="Calibri" w:hAnsi="Calibri" w:cs="Calibri"/>
          <w:sz w:val="22"/>
          <w:szCs w:val="22"/>
        </w:rPr>
        <w:t>/year</w:t>
      </w:r>
      <w:r w:rsidR="0019636C">
        <w:rPr>
          <w:rFonts w:ascii="Calibri" w:eastAsia="Calibri" w:hAnsi="Calibri" w:cs="Calibri"/>
          <w:sz w:val="22"/>
          <w:szCs w:val="22"/>
        </w:rPr>
        <w:t xml:space="preserve">.  </w:t>
      </w:r>
      <w:r w:rsidR="008D107A">
        <w:rPr>
          <w:rFonts w:ascii="Calibri" w:eastAsia="Calibri" w:hAnsi="Calibri" w:cs="Calibri"/>
          <w:sz w:val="22"/>
          <w:szCs w:val="22"/>
        </w:rPr>
        <w:t xml:space="preserve"> </w:t>
      </w:r>
    </w:p>
    <w:p w14:paraId="75FDD8FD" w14:textId="4AA190E4" w:rsidR="008D107A" w:rsidRPr="00184671" w:rsidRDefault="008D107A">
      <w:pPr>
        <w:spacing w:line="240" w:lineRule="auto"/>
        <w:rPr>
          <w:rFonts w:ascii="Calibri" w:eastAsia="Calibri" w:hAnsi="Calibri" w:cs="Calibri"/>
          <w:sz w:val="22"/>
          <w:szCs w:val="22"/>
        </w:rPr>
      </w:pPr>
      <w:r>
        <w:rPr>
          <w:rFonts w:ascii="Calibri" w:eastAsia="Calibri" w:hAnsi="Calibri" w:cs="Calibri"/>
          <w:sz w:val="22"/>
          <w:szCs w:val="22"/>
        </w:rPr>
        <w:t xml:space="preserve">Total </w:t>
      </w:r>
      <w:r w:rsidR="00E70A8D">
        <w:rPr>
          <w:rFonts w:ascii="Calibri" w:eastAsia="Calibri" w:hAnsi="Calibri" w:cs="Calibri"/>
          <w:sz w:val="22"/>
          <w:szCs w:val="22"/>
        </w:rPr>
        <w:t xml:space="preserve">by 2050 = 230.225/year x </w:t>
      </w:r>
      <w:r w:rsidR="00AB0A10">
        <w:rPr>
          <w:rFonts w:ascii="Calibri" w:eastAsia="Calibri" w:hAnsi="Calibri" w:cs="Calibri"/>
          <w:sz w:val="22"/>
          <w:szCs w:val="22"/>
        </w:rPr>
        <w:t>20</w:t>
      </w:r>
      <w:r w:rsidR="009F55CD">
        <w:rPr>
          <w:rFonts w:ascii="Calibri" w:eastAsia="Calibri" w:hAnsi="Calibri" w:cs="Calibri"/>
          <w:sz w:val="22"/>
          <w:szCs w:val="22"/>
        </w:rPr>
        <w:t xml:space="preserve"> years</w:t>
      </w:r>
      <w:r w:rsidR="00AB0A10">
        <w:rPr>
          <w:rFonts w:ascii="Calibri" w:eastAsia="Calibri" w:hAnsi="Calibri" w:cs="Calibri"/>
          <w:sz w:val="22"/>
          <w:szCs w:val="22"/>
        </w:rPr>
        <w:t xml:space="preserve">=4,604.5 </w:t>
      </w:r>
      <w:r w:rsidR="00AB0A10" w:rsidRPr="008D107A">
        <w:rPr>
          <w:rFonts w:ascii="Calibri" w:eastAsia="Calibri" w:hAnsi="Calibri" w:cs="Calibri"/>
          <w:sz w:val="22"/>
          <w:szCs w:val="22"/>
        </w:rPr>
        <w:t>MT CO</w:t>
      </w:r>
      <w:r w:rsidR="00AB0A10" w:rsidRPr="00E70A8D">
        <w:rPr>
          <w:rFonts w:ascii="Calibri" w:eastAsia="Calibri" w:hAnsi="Calibri" w:cs="Calibri"/>
          <w:sz w:val="22"/>
          <w:szCs w:val="22"/>
          <w:vertAlign w:val="subscript"/>
        </w:rPr>
        <w:t>2</w:t>
      </w:r>
    </w:p>
    <w:p w14:paraId="4195D5B2" w14:textId="77777777" w:rsidR="00984C78" w:rsidRPr="005819A6" w:rsidRDefault="00984C78">
      <w:pPr>
        <w:spacing w:line="240" w:lineRule="auto"/>
        <w:rPr>
          <w:rFonts w:ascii="Calibri" w:eastAsia="Calibri" w:hAnsi="Calibri" w:cs="Calibri"/>
          <w:b/>
          <w:bCs/>
          <w:color w:val="FF0000"/>
          <w:sz w:val="22"/>
          <w:szCs w:val="22"/>
        </w:rPr>
      </w:pPr>
      <w:r w:rsidRPr="005819A6">
        <w:rPr>
          <w:rFonts w:ascii="Calibri" w:eastAsia="Calibri" w:hAnsi="Calibri" w:cs="Calibri"/>
          <w:b/>
          <w:bCs/>
          <w:color w:val="FF0000"/>
          <w:sz w:val="22"/>
          <w:szCs w:val="22"/>
        </w:rPr>
        <w:t xml:space="preserve">Measure 4-Increase building energy efficiency for residential buildings. </w:t>
      </w:r>
    </w:p>
    <w:p w14:paraId="4B3F3ACF" w14:textId="1628A972" w:rsidR="00E32350" w:rsidRDefault="00042414">
      <w:pPr>
        <w:spacing w:line="240" w:lineRule="auto"/>
        <w:rPr>
          <w:rFonts w:ascii="Calibri" w:eastAsia="Calibri" w:hAnsi="Calibri" w:cs="Calibri"/>
          <w:sz w:val="22"/>
          <w:szCs w:val="22"/>
        </w:rPr>
      </w:pPr>
      <w:r w:rsidRPr="00042414">
        <w:rPr>
          <w:rFonts w:ascii="Calibri" w:eastAsia="Calibri" w:hAnsi="Calibri" w:cs="Calibri"/>
          <w:sz w:val="22"/>
          <w:szCs w:val="22"/>
        </w:rPr>
        <w:t>According to the Keweenaw Bay Indian Community enrollment office, there are 1,130 members located in Baraga County.  There are 8,158 residents in Baraga County and 5052 housing units.</w:t>
      </w:r>
      <w:r w:rsidRPr="00042414">
        <w:rPr>
          <w:rFonts w:ascii="Calibri" w:eastAsia="Calibri" w:hAnsi="Calibri" w:cs="Calibri"/>
          <w:sz w:val="22"/>
          <w:szCs w:val="22"/>
          <w:vertAlign w:val="superscript"/>
        </w:rPr>
        <w:footnoteReference w:id="8"/>
      </w:r>
      <w:r w:rsidRPr="00042414">
        <w:rPr>
          <w:rFonts w:ascii="Calibri" w:eastAsia="Calibri" w:hAnsi="Calibri" w:cs="Calibri"/>
          <w:sz w:val="22"/>
          <w:szCs w:val="22"/>
        </w:rPr>
        <w:t xml:space="preserve">  </w:t>
      </w:r>
      <w:r w:rsidR="00144534" w:rsidRPr="00144534">
        <w:rPr>
          <w:rFonts w:ascii="Calibri" w:eastAsia="Calibri" w:hAnsi="Calibri" w:cs="Calibri"/>
          <w:sz w:val="22"/>
          <w:szCs w:val="22"/>
        </w:rPr>
        <w:t xml:space="preserve">1,130 ÷8158 x 5052 = 700 Tribal member homes located in Baraga County.  </w:t>
      </w:r>
      <w:r w:rsidR="00573FDA">
        <w:rPr>
          <w:rFonts w:ascii="Calibri" w:eastAsia="Calibri" w:hAnsi="Calibri" w:cs="Calibri"/>
          <w:sz w:val="22"/>
          <w:szCs w:val="22"/>
        </w:rPr>
        <w:t xml:space="preserve">It </w:t>
      </w:r>
      <w:r w:rsidR="004578DE" w:rsidRPr="004578DE">
        <w:rPr>
          <w:rFonts w:ascii="Calibri" w:eastAsia="Calibri" w:hAnsi="Calibri" w:cs="Calibri"/>
          <w:sz w:val="22"/>
          <w:szCs w:val="22"/>
        </w:rPr>
        <w:t xml:space="preserve">is assumed that the Tribe will complete 100% of its </w:t>
      </w:r>
      <w:r w:rsidR="00115A69">
        <w:rPr>
          <w:rFonts w:ascii="Calibri" w:eastAsia="Calibri" w:hAnsi="Calibri" w:cs="Calibri"/>
          <w:sz w:val="22"/>
          <w:szCs w:val="22"/>
        </w:rPr>
        <w:t>700 Tribal member residential homes</w:t>
      </w:r>
      <w:r w:rsidR="00573FDA">
        <w:rPr>
          <w:rFonts w:ascii="Calibri" w:eastAsia="Calibri" w:hAnsi="Calibri" w:cs="Calibri"/>
          <w:sz w:val="22"/>
          <w:szCs w:val="22"/>
        </w:rPr>
        <w:t xml:space="preserve"> and achieve the same </w:t>
      </w:r>
      <w:r w:rsidR="004578DE" w:rsidRPr="004578DE">
        <w:rPr>
          <w:rFonts w:ascii="Calibri" w:eastAsia="Calibri" w:hAnsi="Calibri" w:cs="Calibri"/>
          <w:sz w:val="22"/>
          <w:szCs w:val="22"/>
        </w:rPr>
        <w:t>5% total savings on electricity</w:t>
      </w:r>
      <w:r w:rsidR="00255133">
        <w:rPr>
          <w:rFonts w:ascii="Calibri" w:eastAsia="Calibri" w:hAnsi="Calibri" w:cs="Calibri"/>
          <w:sz w:val="22"/>
          <w:szCs w:val="22"/>
        </w:rPr>
        <w:t xml:space="preserve"> and 9.2% of natural gas</w:t>
      </w:r>
      <w:r w:rsidR="000F7071">
        <w:rPr>
          <w:rFonts w:ascii="Calibri" w:eastAsia="Calibri" w:hAnsi="Calibri" w:cs="Calibri"/>
          <w:sz w:val="22"/>
          <w:szCs w:val="22"/>
        </w:rPr>
        <w:t xml:space="preserve"> as the commercial retrofits</w:t>
      </w:r>
      <w:r w:rsidR="004578DE" w:rsidRPr="004578DE">
        <w:rPr>
          <w:rFonts w:ascii="Calibri" w:eastAsia="Calibri" w:hAnsi="Calibri" w:cs="Calibri"/>
          <w:sz w:val="22"/>
          <w:szCs w:val="22"/>
        </w:rPr>
        <w:t xml:space="preserve">.  </w:t>
      </w:r>
    </w:p>
    <w:p w14:paraId="00D327CB" w14:textId="617CEAD3" w:rsidR="009F55CD" w:rsidRPr="000C5D03" w:rsidRDefault="00A66909">
      <w:pPr>
        <w:spacing w:line="240" w:lineRule="auto"/>
        <w:rPr>
          <w:rFonts w:ascii="Calibri" w:eastAsia="Calibri" w:hAnsi="Calibri" w:cs="Calibri"/>
          <w:sz w:val="22"/>
          <w:szCs w:val="22"/>
        </w:rPr>
      </w:pPr>
      <w:r>
        <w:rPr>
          <w:rFonts w:ascii="Calibri" w:eastAsia="Calibri" w:hAnsi="Calibri" w:cs="Calibri"/>
          <w:sz w:val="22"/>
          <w:szCs w:val="22"/>
        </w:rPr>
        <w:t>Electricity savings (</w:t>
      </w:r>
      <w:r w:rsidR="009F55CD">
        <w:rPr>
          <w:rFonts w:ascii="Calibri" w:eastAsia="Calibri" w:hAnsi="Calibri" w:cs="Calibri"/>
          <w:sz w:val="22"/>
          <w:szCs w:val="22"/>
        </w:rPr>
        <w:t>3338.7 x .05 =</w:t>
      </w:r>
      <w:r w:rsidR="00D77E75">
        <w:rPr>
          <w:rFonts w:ascii="Calibri" w:eastAsia="Calibri" w:hAnsi="Calibri" w:cs="Calibri"/>
          <w:sz w:val="22"/>
          <w:szCs w:val="22"/>
        </w:rPr>
        <w:t>166.</w:t>
      </w:r>
      <w:proofErr w:type="gramStart"/>
      <w:r w:rsidR="00D77E75">
        <w:rPr>
          <w:rFonts w:ascii="Calibri" w:eastAsia="Calibri" w:hAnsi="Calibri" w:cs="Calibri"/>
          <w:sz w:val="22"/>
          <w:szCs w:val="22"/>
        </w:rPr>
        <w:t>935</w:t>
      </w:r>
      <w:r>
        <w:rPr>
          <w:rFonts w:ascii="Calibri" w:eastAsia="Calibri" w:hAnsi="Calibri" w:cs="Calibri"/>
          <w:sz w:val="22"/>
          <w:szCs w:val="22"/>
        </w:rPr>
        <w:t>)</w:t>
      </w:r>
      <w:r w:rsidR="00D77E75">
        <w:rPr>
          <w:rFonts w:ascii="Calibri" w:eastAsia="Calibri" w:hAnsi="Calibri" w:cs="Calibri"/>
          <w:sz w:val="22"/>
          <w:szCs w:val="22"/>
        </w:rPr>
        <w:t>+</w:t>
      </w:r>
      <w:proofErr w:type="gramEnd"/>
      <w:r w:rsidR="00D77E75">
        <w:rPr>
          <w:rFonts w:ascii="Calibri" w:eastAsia="Calibri" w:hAnsi="Calibri" w:cs="Calibri"/>
          <w:sz w:val="22"/>
          <w:szCs w:val="22"/>
        </w:rPr>
        <w:t xml:space="preserve"> </w:t>
      </w:r>
      <w:r>
        <w:rPr>
          <w:rFonts w:ascii="Calibri" w:eastAsia="Calibri" w:hAnsi="Calibri" w:cs="Calibri"/>
          <w:sz w:val="22"/>
          <w:szCs w:val="22"/>
        </w:rPr>
        <w:t>Natural Gas savings (1209 x .092</w:t>
      </w:r>
      <w:r w:rsidR="00792240">
        <w:rPr>
          <w:rFonts w:ascii="Calibri" w:eastAsia="Calibri" w:hAnsi="Calibri" w:cs="Calibri"/>
          <w:sz w:val="22"/>
          <w:szCs w:val="22"/>
        </w:rPr>
        <w:t>=111.228)=278.163 MT CO</w:t>
      </w:r>
      <w:r w:rsidR="000C5D03">
        <w:rPr>
          <w:rFonts w:ascii="Calibri" w:eastAsia="Calibri" w:hAnsi="Calibri" w:cs="Calibri"/>
          <w:sz w:val="22"/>
          <w:szCs w:val="22"/>
          <w:vertAlign w:val="subscript"/>
        </w:rPr>
        <w:t xml:space="preserve">2 </w:t>
      </w:r>
      <w:r w:rsidR="000C5D03">
        <w:rPr>
          <w:rFonts w:ascii="Calibri" w:eastAsia="Calibri" w:hAnsi="Calibri" w:cs="Calibri"/>
          <w:sz w:val="22"/>
          <w:szCs w:val="22"/>
        </w:rPr>
        <w:t xml:space="preserve">by 2030.  Total reduction by 2050 </w:t>
      </w:r>
      <w:r w:rsidR="006C27C7">
        <w:rPr>
          <w:rFonts w:ascii="Calibri" w:eastAsia="Calibri" w:hAnsi="Calibri" w:cs="Calibri"/>
          <w:sz w:val="22"/>
          <w:szCs w:val="22"/>
        </w:rPr>
        <w:t>= 278.163 x 20=5,563.26</w:t>
      </w:r>
    </w:p>
    <w:p w14:paraId="31794868" w14:textId="77777777" w:rsidR="008C7556" w:rsidRPr="005819A6" w:rsidRDefault="006E4037">
      <w:pPr>
        <w:spacing w:line="240" w:lineRule="auto"/>
        <w:rPr>
          <w:rFonts w:ascii="Calibri" w:eastAsia="Calibri" w:hAnsi="Calibri" w:cs="Calibri"/>
          <w:b/>
          <w:bCs/>
          <w:color w:val="FF0000"/>
          <w:sz w:val="22"/>
          <w:szCs w:val="22"/>
        </w:rPr>
      </w:pPr>
      <w:r w:rsidRPr="005819A6">
        <w:rPr>
          <w:rFonts w:ascii="Calibri" w:eastAsia="Calibri" w:hAnsi="Calibri" w:cs="Calibri"/>
          <w:b/>
          <w:bCs/>
          <w:color w:val="FF0000"/>
          <w:sz w:val="22"/>
          <w:szCs w:val="22"/>
        </w:rPr>
        <w:t xml:space="preserve">Measure </w:t>
      </w:r>
      <w:r w:rsidR="008C7556" w:rsidRPr="005819A6">
        <w:rPr>
          <w:rFonts w:ascii="Calibri" w:eastAsia="Calibri" w:hAnsi="Calibri" w:cs="Calibri"/>
          <w:b/>
          <w:bCs/>
          <w:color w:val="FF0000"/>
          <w:sz w:val="22"/>
          <w:szCs w:val="22"/>
        </w:rPr>
        <w:t xml:space="preserve">5-Increase building energy efficiency for residential buildings by installing high energy appliances.  </w:t>
      </w:r>
    </w:p>
    <w:p w14:paraId="4485E0C4" w14:textId="77777777" w:rsidR="008C7556" w:rsidRDefault="008C7556">
      <w:pPr>
        <w:spacing w:line="240" w:lineRule="auto"/>
        <w:rPr>
          <w:rFonts w:ascii="Calibri" w:eastAsia="Calibri" w:hAnsi="Calibri" w:cs="Calibri"/>
          <w:sz w:val="22"/>
          <w:szCs w:val="22"/>
        </w:rPr>
      </w:pPr>
    </w:p>
    <w:p w14:paraId="2420460E" w14:textId="77777777" w:rsidR="008C7556" w:rsidRDefault="008C7556" w:rsidP="008C7556">
      <w:pPr>
        <w:pStyle w:val="Default"/>
        <w:rPr>
          <w:color w:val="E61E28"/>
          <w:sz w:val="22"/>
          <w:szCs w:val="22"/>
        </w:rPr>
      </w:pPr>
      <w:r>
        <w:rPr>
          <w:i/>
          <w:iCs/>
          <w:color w:val="E61E28"/>
          <w:sz w:val="22"/>
          <w:szCs w:val="22"/>
        </w:rPr>
        <w:t xml:space="preserve">Installation of High-Efficiency Appliances </w:t>
      </w:r>
    </w:p>
    <w:p w14:paraId="0D325C15" w14:textId="77777777" w:rsidR="00B332F8" w:rsidRDefault="008C7556" w:rsidP="008C7556">
      <w:pPr>
        <w:spacing w:line="240" w:lineRule="auto"/>
        <w:rPr>
          <w:b/>
          <w:bCs/>
          <w:sz w:val="22"/>
          <w:szCs w:val="22"/>
        </w:rPr>
      </w:pPr>
      <w:r>
        <w:rPr>
          <w:sz w:val="22"/>
          <w:szCs w:val="22"/>
        </w:rPr>
        <w:t>Residential electricity use is made up of many components, including appliances used daily for cooking, cleaning, and cooling. These appliances include refrigerators, dishwashers, washing machines, clothes dryers, and air conditioning, among others. Installing newer appliances that are more energy- and water-efficient or abide by higher efficiency standards and certifications, such as EnergyStar rating, can help conserve energy and reduce emissions</w:t>
      </w:r>
      <w:r w:rsidR="00B332F8">
        <w:rPr>
          <w:sz w:val="22"/>
          <w:szCs w:val="22"/>
        </w:rPr>
        <w:t xml:space="preserve">. </w:t>
      </w:r>
      <w:r w:rsidR="00B332F8" w:rsidRPr="00B332F8">
        <w:rPr>
          <w:b/>
          <w:bCs/>
          <w:sz w:val="22"/>
          <w:szCs w:val="22"/>
        </w:rPr>
        <w:t xml:space="preserve"> </w:t>
      </w:r>
    </w:p>
    <w:p w14:paraId="7B9F1612" w14:textId="60033BBD" w:rsidR="008C7556" w:rsidRDefault="00B332F8" w:rsidP="008C7556">
      <w:pPr>
        <w:spacing w:line="240" w:lineRule="auto"/>
        <w:rPr>
          <w:sz w:val="22"/>
          <w:szCs w:val="22"/>
        </w:rPr>
      </w:pPr>
      <w:r>
        <w:rPr>
          <w:b/>
          <w:bCs/>
          <w:sz w:val="22"/>
          <w:szCs w:val="22"/>
        </w:rPr>
        <w:t>Emissions Methodology</w:t>
      </w:r>
      <w:r>
        <w:rPr>
          <w:sz w:val="22"/>
          <w:szCs w:val="22"/>
        </w:rPr>
        <w:t>: To estimate the emissions reductions for high-efficiency appliances, the energy savings from each appliance and percent contribution to residential electricity were used to generate a percent energy reduction per appliance, then summed to get an overall percentage estimate for total energy and therefore emissions reduction potential. The basis for energy savings per appliance came from the DOE’s resources for various appliances (see table below), and an appliance’s contribution to residential electricity used was sourced from the EIA’s 2020 Residential Energy Consumption Survey</w:t>
      </w:r>
      <w:r w:rsidR="008C7556">
        <w:rPr>
          <w:sz w:val="22"/>
          <w:szCs w:val="22"/>
        </w:rPr>
        <w:t>.</w:t>
      </w:r>
      <w:r w:rsidR="00E02FDF">
        <w:rPr>
          <w:rStyle w:val="FootnoteReference"/>
          <w:sz w:val="22"/>
          <w:szCs w:val="22"/>
        </w:rPr>
        <w:footnoteReference w:id="9"/>
      </w:r>
      <w:r w:rsidR="008C7556">
        <w:rPr>
          <w:sz w:val="22"/>
          <w:szCs w:val="22"/>
        </w:rPr>
        <w:t xml:space="preserve"> </w:t>
      </w:r>
    </w:p>
    <w:p w14:paraId="287EEDF7" w14:textId="39989362" w:rsidR="004541C2" w:rsidRDefault="004541C2" w:rsidP="008C7556">
      <w:pPr>
        <w:spacing w:line="240" w:lineRule="auto"/>
        <w:rPr>
          <w:sz w:val="22"/>
          <w:szCs w:val="22"/>
        </w:rPr>
      </w:pPr>
      <w:r>
        <w:rPr>
          <w:sz w:val="22"/>
          <w:szCs w:val="22"/>
        </w:rPr>
        <w:t xml:space="preserve">Energy savings per appliance </w:t>
      </w:r>
      <w:r w:rsidR="00814BE4">
        <w:rPr>
          <w:sz w:val="22"/>
          <w:szCs w:val="22"/>
        </w:rPr>
        <w:t xml:space="preserve">= </w:t>
      </w:r>
      <w:r w:rsidR="00930874">
        <w:rPr>
          <w:sz w:val="22"/>
          <w:szCs w:val="22"/>
        </w:rPr>
        <w:t>energy savings from installing higher efficiency appliance % x appliances %</w:t>
      </w:r>
      <w:r w:rsidR="0040724D">
        <w:rPr>
          <w:sz w:val="22"/>
          <w:szCs w:val="22"/>
        </w:rPr>
        <w:t xml:space="preserve"> contribution </w:t>
      </w:r>
      <w:r w:rsidR="00E03A96">
        <w:rPr>
          <w:sz w:val="22"/>
          <w:szCs w:val="22"/>
        </w:rPr>
        <w:t>to overall residential electricity</w:t>
      </w:r>
    </w:p>
    <w:p w14:paraId="6EE9A4D9" w14:textId="77777777" w:rsidR="00263655" w:rsidRDefault="00CB3A33" w:rsidP="008C7556">
      <w:pPr>
        <w:spacing w:line="240" w:lineRule="auto"/>
        <w:rPr>
          <w:sz w:val="22"/>
          <w:szCs w:val="22"/>
        </w:rPr>
      </w:pPr>
      <w:r>
        <w:rPr>
          <w:sz w:val="22"/>
          <w:szCs w:val="22"/>
        </w:rPr>
        <w:t xml:space="preserve">Total Energy savings is </w:t>
      </w:r>
      <w:r w:rsidR="00FD75AA">
        <w:rPr>
          <w:sz w:val="22"/>
          <w:szCs w:val="22"/>
        </w:rPr>
        <w:t>the sum</w:t>
      </w:r>
      <w:r>
        <w:rPr>
          <w:sz w:val="22"/>
          <w:szCs w:val="22"/>
        </w:rPr>
        <w:t xml:space="preserve"> of each appliance</w:t>
      </w:r>
      <w:r w:rsidR="00BA6241">
        <w:rPr>
          <w:sz w:val="22"/>
          <w:szCs w:val="22"/>
        </w:rPr>
        <w:t xml:space="preserve">. </w:t>
      </w:r>
    </w:p>
    <w:p w14:paraId="15B51B94" w14:textId="67EE4303" w:rsidR="00E5215E" w:rsidRPr="008557EE" w:rsidRDefault="00E5215E" w:rsidP="008C7556">
      <w:pPr>
        <w:spacing w:line="240" w:lineRule="auto"/>
        <w:rPr>
          <w:b/>
          <w:bCs/>
          <w:sz w:val="22"/>
          <w:szCs w:val="22"/>
        </w:rPr>
      </w:pPr>
      <w:r w:rsidRPr="008557EE">
        <w:rPr>
          <w:b/>
          <w:bCs/>
          <w:sz w:val="22"/>
          <w:szCs w:val="22"/>
        </w:rPr>
        <w:t>Table 11 Energy savings of each appliance type</w:t>
      </w:r>
      <w:r w:rsidR="008557EE" w:rsidRPr="008557EE">
        <w:rPr>
          <w:b/>
          <w:bCs/>
          <w:sz w:val="22"/>
          <w:szCs w:val="22"/>
        </w:rPr>
        <w:t xml:space="preserve"> and contribution</w:t>
      </w:r>
    </w:p>
    <w:p w14:paraId="5DFBCA18" w14:textId="4F9A2BA5" w:rsidR="000E4B63" w:rsidRDefault="000E4B63" w:rsidP="008C7556">
      <w:pPr>
        <w:spacing w:line="240" w:lineRule="auto"/>
        <w:rPr>
          <w:sz w:val="22"/>
          <w:szCs w:val="22"/>
        </w:rPr>
      </w:pPr>
    </w:p>
    <w:tbl>
      <w:tblPr>
        <w:tblStyle w:val="TableGrid"/>
        <w:tblW w:w="0" w:type="auto"/>
        <w:tblLook w:val="04A0" w:firstRow="1" w:lastRow="0" w:firstColumn="1" w:lastColumn="0" w:noHBand="0" w:noVBand="1"/>
      </w:tblPr>
      <w:tblGrid>
        <w:gridCol w:w="1555"/>
        <w:gridCol w:w="3093"/>
        <w:gridCol w:w="2625"/>
        <w:gridCol w:w="2077"/>
      </w:tblGrid>
      <w:tr w:rsidR="00E77E8C" w:rsidRPr="00240A9B" w14:paraId="33E039E7" w14:textId="77777777" w:rsidTr="000E4B63">
        <w:tc>
          <w:tcPr>
            <w:tcW w:w="1552" w:type="dxa"/>
            <w:shd w:val="clear" w:color="auto" w:fill="DAEEF3" w:themeFill="accent5" w:themeFillTint="33"/>
          </w:tcPr>
          <w:p w14:paraId="1D7EE01C" w14:textId="20955C4A" w:rsidR="00E77E8C" w:rsidRPr="00240A9B" w:rsidRDefault="00E77E8C" w:rsidP="008C7556">
            <w:pPr>
              <w:rPr>
                <w:rFonts w:ascii="Calibri" w:hAnsi="Calibri" w:cs="Calibri"/>
                <w:sz w:val="22"/>
                <w:szCs w:val="22"/>
              </w:rPr>
            </w:pPr>
          </w:p>
        </w:tc>
        <w:tc>
          <w:tcPr>
            <w:tcW w:w="3086" w:type="dxa"/>
            <w:shd w:val="clear" w:color="auto" w:fill="DAEEF3" w:themeFill="accent5" w:themeFillTint="33"/>
          </w:tcPr>
          <w:p w14:paraId="121CA0A7" w14:textId="77777777" w:rsidR="00E77E8C" w:rsidRPr="00240A9B" w:rsidRDefault="00E77E8C" w:rsidP="008C7556">
            <w:pPr>
              <w:rPr>
                <w:rFonts w:ascii="Calibri" w:hAnsi="Calibri" w:cs="Calibri"/>
                <w:sz w:val="22"/>
                <w:szCs w:val="22"/>
              </w:rPr>
            </w:pPr>
          </w:p>
        </w:tc>
        <w:tc>
          <w:tcPr>
            <w:tcW w:w="2583" w:type="dxa"/>
            <w:shd w:val="clear" w:color="auto" w:fill="DAEEF3" w:themeFill="accent5" w:themeFillTint="33"/>
          </w:tcPr>
          <w:p w14:paraId="27684B58" w14:textId="12564187" w:rsidR="00E77E8C" w:rsidRPr="00240A9B" w:rsidRDefault="00E77E8C" w:rsidP="008C7556">
            <w:pPr>
              <w:rPr>
                <w:rFonts w:ascii="Calibri" w:hAnsi="Calibri" w:cs="Calibri"/>
                <w:sz w:val="22"/>
                <w:szCs w:val="22"/>
              </w:rPr>
            </w:pPr>
          </w:p>
        </w:tc>
        <w:tc>
          <w:tcPr>
            <w:tcW w:w="2129" w:type="dxa"/>
            <w:shd w:val="clear" w:color="auto" w:fill="DAEEF3" w:themeFill="accent5" w:themeFillTint="33"/>
          </w:tcPr>
          <w:p w14:paraId="671F3925" w14:textId="77777777" w:rsidR="00E77E8C" w:rsidRPr="00240A9B" w:rsidRDefault="00E77E8C" w:rsidP="008C7556">
            <w:pPr>
              <w:rPr>
                <w:rFonts w:ascii="Calibri" w:hAnsi="Calibri" w:cs="Calibri"/>
                <w:sz w:val="22"/>
                <w:szCs w:val="22"/>
              </w:rPr>
            </w:pPr>
          </w:p>
        </w:tc>
      </w:tr>
      <w:tr w:rsidR="00B10A3C" w:rsidRPr="00240A9B" w14:paraId="7C945561" w14:textId="77777777" w:rsidTr="00E669DA">
        <w:trPr>
          <w:trHeight w:val="405"/>
        </w:trPr>
        <w:tc>
          <w:tcPr>
            <w:tcW w:w="0" w:type="auto"/>
          </w:tcPr>
          <w:p w14:paraId="7B302D54" w14:textId="77777777" w:rsidR="00B10A3C" w:rsidRPr="00240A9B" w:rsidRDefault="00B10A3C">
            <w:pPr>
              <w:pStyle w:val="Default"/>
              <w:rPr>
                <w:rFonts w:ascii="Calibri" w:hAnsi="Calibri" w:cs="Calibri"/>
                <w:sz w:val="22"/>
                <w:szCs w:val="22"/>
              </w:rPr>
            </w:pPr>
            <w:r w:rsidRPr="00240A9B">
              <w:rPr>
                <w:rFonts w:ascii="Calibri" w:hAnsi="Calibri" w:cs="Calibri"/>
                <w:b/>
                <w:bCs/>
                <w:sz w:val="22"/>
                <w:szCs w:val="22"/>
              </w:rPr>
              <w:t xml:space="preserve">Appliance </w:t>
            </w:r>
          </w:p>
        </w:tc>
        <w:tc>
          <w:tcPr>
            <w:tcW w:w="0" w:type="auto"/>
          </w:tcPr>
          <w:p w14:paraId="0247D99E" w14:textId="77777777" w:rsidR="00B10A3C" w:rsidRPr="00240A9B" w:rsidRDefault="00B10A3C">
            <w:pPr>
              <w:pStyle w:val="Default"/>
              <w:rPr>
                <w:rFonts w:ascii="Calibri" w:hAnsi="Calibri" w:cs="Calibri"/>
                <w:sz w:val="22"/>
                <w:szCs w:val="22"/>
              </w:rPr>
            </w:pPr>
            <w:r w:rsidRPr="00240A9B">
              <w:rPr>
                <w:rFonts w:ascii="Calibri" w:hAnsi="Calibri" w:cs="Calibri"/>
                <w:b/>
                <w:bCs/>
                <w:sz w:val="22"/>
                <w:szCs w:val="22"/>
              </w:rPr>
              <w:t xml:space="preserve">Energy Savings from Installing Higher-Efficiency Appliances </w:t>
            </w:r>
          </w:p>
        </w:tc>
        <w:tc>
          <w:tcPr>
            <w:tcW w:w="0" w:type="auto"/>
          </w:tcPr>
          <w:p w14:paraId="19743DAB" w14:textId="0F056A13" w:rsidR="00B10A3C" w:rsidRPr="00240A9B" w:rsidRDefault="00B10A3C">
            <w:pPr>
              <w:pStyle w:val="Default"/>
              <w:rPr>
                <w:rFonts w:ascii="Calibri" w:hAnsi="Calibri" w:cs="Calibri"/>
                <w:sz w:val="22"/>
                <w:szCs w:val="22"/>
              </w:rPr>
            </w:pPr>
            <w:r w:rsidRPr="00240A9B">
              <w:rPr>
                <w:rFonts w:ascii="Calibri" w:hAnsi="Calibri" w:cs="Calibri"/>
                <w:b/>
                <w:bCs/>
                <w:sz w:val="22"/>
                <w:szCs w:val="22"/>
              </w:rPr>
              <w:t xml:space="preserve">Appliance’s Contribution to Scope 2 Energy </w:t>
            </w:r>
            <w:r w:rsidR="006C44A7" w:rsidRPr="00240A9B">
              <w:rPr>
                <w:rStyle w:val="FootnoteReference"/>
                <w:rFonts w:ascii="Calibri" w:hAnsi="Calibri" w:cs="Calibri"/>
                <w:b/>
                <w:bCs/>
                <w:sz w:val="22"/>
                <w:szCs w:val="22"/>
              </w:rPr>
              <w:footnoteReference w:id="10"/>
            </w:r>
          </w:p>
        </w:tc>
        <w:tc>
          <w:tcPr>
            <w:tcW w:w="0" w:type="auto"/>
          </w:tcPr>
          <w:p w14:paraId="1B6E969A" w14:textId="77777777" w:rsidR="00B10A3C" w:rsidRPr="00240A9B" w:rsidRDefault="00B10A3C">
            <w:pPr>
              <w:pStyle w:val="Default"/>
              <w:rPr>
                <w:rFonts w:ascii="Calibri" w:hAnsi="Calibri" w:cs="Calibri"/>
                <w:sz w:val="22"/>
                <w:szCs w:val="22"/>
              </w:rPr>
            </w:pPr>
            <w:r w:rsidRPr="00240A9B">
              <w:rPr>
                <w:rFonts w:ascii="Calibri" w:hAnsi="Calibri" w:cs="Calibri"/>
                <w:b/>
                <w:bCs/>
                <w:sz w:val="22"/>
                <w:szCs w:val="22"/>
              </w:rPr>
              <w:t xml:space="preserve">Total Energy Savings for Electricity </w:t>
            </w:r>
          </w:p>
        </w:tc>
      </w:tr>
      <w:tr w:rsidR="00E77E8C" w:rsidRPr="00240A9B" w14:paraId="3EFFC132" w14:textId="77777777" w:rsidTr="000E4B63">
        <w:tc>
          <w:tcPr>
            <w:tcW w:w="1552" w:type="dxa"/>
          </w:tcPr>
          <w:p w14:paraId="3C1A1741" w14:textId="77777777" w:rsidR="00E77E8C" w:rsidRPr="00240A9B" w:rsidRDefault="00E77E8C" w:rsidP="008C7556">
            <w:pPr>
              <w:rPr>
                <w:rFonts w:ascii="Calibri" w:hAnsi="Calibri" w:cs="Calibri"/>
                <w:sz w:val="22"/>
                <w:szCs w:val="22"/>
              </w:rPr>
            </w:pPr>
          </w:p>
        </w:tc>
        <w:tc>
          <w:tcPr>
            <w:tcW w:w="3086" w:type="dxa"/>
          </w:tcPr>
          <w:p w14:paraId="5E14D735" w14:textId="77777777" w:rsidR="00E77E8C" w:rsidRPr="00240A9B" w:rsidRDefault="00E77E8C" w:rsidP="008C7556">
            <w:pPr>
              <w:rPr>
                <w:rFonts w:ascii="Calibri" w:hAnsi="Calibri" w:cs="Calibri"/>
                <w:sz w:val="22"/>
                <w:szCs w:val="22"/>
              </w:rPr>
            </w:pPr>
          </w:p>
        </w:tc>
        <w:tc>
          <w:tcPr>
            <w:tcW w:w="2583" w:type="dxa"/>
          </w:tcPr>
          <w:p w14:paraId="4FFAE544" w14:textId="5A6B3674" w:rsidR="00E77E8C" w:rsidRPr="00240A9B" w:rsidRDefault="00E77E8C" w:rsidP="008C7556">
            <w:pPr>
              <w:rPr>
                <w:rFonts w:ascii="Calibri" w:hAnsi="Calibri" w:cs="Calibri"/>
                <w:sz w:val="22"/>
                <w:szCs w:val="22"/>
              </w:rPr>
            </w:pPr>
          </w:p>
        </w:tc>
        <w:tc>
          <w:tcPr>
            <w:tcW w:w="2129" w:type="dxa"/>
          </w:tcPr>
          <w:p w14:paraId="673A3492" w14:textId="77777777" w:rsidR="00E77E8C" w:rsidRPr="00240A9B" w:rsidRDefault="00E77E8C" w:rsidP="008C7556">
            <w:pPr>
              <w:rPr>
                <w:rFonts w:ascii="Calibri" w:hAnsi="Calibri" w:cs="Calibri"/>
                <w:sz w:val="22"/>
                <w:szCs w:val="22"/>
              </w:rPr>
            </w:pPr>
          </w:p>
        </w:tc>
      </w:tr>
      <w:tr w:rsidR="00E669DA" w:rsidRPr="00240A9B" w14:paraId="5F5E17E6" w14:textId="77777777" w:rsidTr="00E669DA">
        <w:trPr>
          <w:trHeight w:val="164"/>
        </w:trPr>
        <w:tc>
          <w:tcPr>
            <w:tcW w:w="0" w:type="auto"/>
          </w:tcPr>
          <w:p w14:paraId="1F2DF130"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Refrigerator </w:t>
            </w:r>
          </w:p>
        </w:tc>
        <w:tc>
          <w:tcPr>
            <w:tcW w:w="0" w:type="auto"/>
          </w:tcPr>
          <w:p w14:paraId="408A907C" w14:textId="3664CF09" w:rsidR="00E669DA" w:rsidRPr="00240A9B" w:rsidRDefault="00E669DA">
            <w:pPr>
              <w:pStyle w:val="Default"/>
              <w:rPr>
                <w:rFonts w:ascii="Calibri" w:hAnsi="Calibri" w:cs="Calibri"/>
                <w:sz w:val="22"/>
                <w:szCs w:val="22"/>
              </w:rPr>
            </w:pPr>
            <w:r w:rsidRPr="00240A9B">
              <w:rPr>
                <w:rFonts w:ascii="Calibri" w:hAnsi="Calibri" w:cs="Calibri"/>
                <w:sz w:val="22"/>
                <w:szCs w:val="22"/>
              </w:rPr>
              <w:t>12.0%</w:t>
            </w:r>
            <w:r w:rsidR="00BF0D9E" w:rsidRPr="00240A9B">
              <w:rPr>
                <w:rStyle w:val="FootnoteReference"/>
                <w:rFonts w:ascii="Calibri" w:hAnsi="Calibri" w:cs="Calibri"/>
                <w:sz w:val="22"/>
                <w:szCs w:val="22"/>
              </w:rPr>
              <w:footnoteReference w:id="11"/>
            </w:r>
          </w:p>
        </w:tc>
        <w:tc>
          <w:tcPr>
            <w:tcW w:w="0" w:type="auto"/>
          </w:tcPr>
          <w:p w14:paraId="1ED5BAEB"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0.7% </w:t>
            </w:r>
          </w:p>
        </w:tc>
        <w:tc>
          <w:tcPr>
            <w:tcW w:w="0" w:type="auto"/>
          </w:tcPr>
          <w:p w14:paraId="087082FF"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0.1% </w:t>
            </w:r>
          </w:p>
        </w:tc>
      </w:tr>
      <w:tr w:rsidR="00E669DA" w:rsidRPr="00240A9B" w14:paraId="19A22D1C" w14:textId="77777777" w:rsidTr="00E669DA">
        <w:trPr>
          <w:trHeight w:val="164"/>
        </w:trPr>
        <w:tc>
          <w:tcPr>
            <w:tcW w:w="0" w:type="auto"/>
          </w:tcPr>
          <w:p w14:paraId="37C7B34A"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Dishwasher </w:t>
            </w:r>
          </w:p>
        </w:tc>
        <w:tc>
          <w:tcPr>
            <w:tcW w:w="0" w:type="auto"/>
          </w:tcPr>
          <w:p w14:paraId="0335E478" w14:textId="0A6D310C" w:rsidR="00E669DA" w:rsidRPr="00240A9B" w:rsidRDefault="00E669DA">
            <w:pPr>
              <w:pStyle w:val="Default"/>
              <w:rPr>
                <w:rFonts w:ascii="Calibri" w:hAnsi="Calibri" w:cs="Calibri"/>
                <w:sz w:val="22"/>
                <w:szCs w:val="22"/>
              </w:rPr>
            </w:pPr>
            <w:r w:rsidRPr="00240A9B">
              <w:rPr>
                <w:rFonts w:ascii="Calibri" w:hAnsi="Calibri" w:cs="Calibri"/>
                <w:sz w:val="22"/>
                <w:szCs w:val="22"/>
              </w:rPr>
              <w:t>9.0%</w:t>
            </w:r>
            <w:r w:rsidR="00592827" w:rsidRPr="00240A9B">
              <w:rPr>
                <w:rStyle w:val="FootnoteReference"/>
                <w:rFonts w:ascii="Calibri" w:hAnsi="Calibri" w:cs="Calibri"/>
                <w:sz w:val="22"/>
                <w:szCs w:val="22"/>
              </w:rPr>
              <w:footnoteReference w:id="12"/>
            </w:r>
          </w:p>
        </w:tc>
        <w:tc>
          <w:tcPr>
            <w:tcW w:w="0" w:type="auto"/>
          </w:tcPr>
          <w:p w14:paraId="458A871E"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7.9% </w:t>
            </w:r>
          </w:p>
        </w:tc>
        <w:tc>
          <w:tcPr>
            <w:tcW w:w="0" w:type="auto"/>
          </w:tcPr>
          <w:p w14:paraId="6E6E543A"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0.7% </w:t>
            </w:r>
          </w:p>
        </w:tc>
      </w:tr>
      <w:tr w:rsidR="00E669DA" w:rsidRPr="00240A9B" w14:paraId="497EB487" w14:textId="77777777" w:rsidTr="00E669DA">
        <w:trPr>
          <w:trHeight w:val="164"/>
        </w:trPr>
        <w:tc>
          <w:tcPr>
            <w:tcW w:w="0" w:type="auto"/>
          </w:tcPr>
          <w:p w14:paraId="7DA93E58"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Washing Machine </w:t>
            </w:r>
          </w:p>
        </w:tc>
        <w:tc>
          <w:tcPr>
            <w:tcW w:w="0" w:type="auto"/>
          </w:tcPr>
          <w:p w14:paraId="60C9B87E" w14:textId="2F5DE9D0" w:rsidR="00E669DA" w:rsidRPr="00240A9B" w:rsidRDefault="00E669DA">
            <w:pPr>
              <w:pStyle w:val="Default"/>
              <w:rPr>
                <w:rFonts w:ascii="Calibri" w:hAnsi="Calibri" w:cs="Calibri"/>
                <w:sz w:val="22"/>
                <w:szCs w:val="22"/>
              </w:rPr>
            </w:pPr>
            <w:r w:rsidRPr="00240A9B">
              <w:rPr>
                <w:rFonts w:ascii="Calibri" w:hAnsi="Calibri" w:cs="Calibri"/>
                <w:sz w:val="22"/>
                <w:szCs w:val="22"/>
              </w:rPr>
              <w:t>25.0%</w:t>
            </w:r>
            <w:r w:rsidR="003258CE" w:rsidRPr="00240A9B">
              <w:rPr>
                <w:rStyle w:val="FootnoteReference"/>
                <w:rFonts w:ascii="Calibri" w:hAnsi="Calibri" w:cs="Calibri"/>
                <w:sz w:val="22"/>
                <w:szCs w:val="22"/>
              </w:rPr>
              <w:footnoteReference w:id="13"/>
            </w:r>
          </w:p>
        </w:tc>
        <w:tc>
          <w:tcPr>
            <w:tcW w:w="0" w:type="auto"/>
          </w:tcPr>
          <w:p w14:paraId="35B7A3CC"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0.5% </w:t>
            </w:r>
          </w:p>
        </w:tc>
        <w:tc>
          <w:tcPr>
            <w:tcW w:w="0" w:type="auto"/>
          </w:tcPr>
          <w:p w14:paraId="6113A3C5"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0.1% </w:t>
            </w:r>
          </w:p>
        </w:tc>
      </w:tr>
      <w:tr w:rsidR="00E669DA" w:rsidRPr="00240A9B" w14:paraId="3146A3AD" w14:textId="77777777" w:rsidTr="00E669DA">
        <w:trPr>
          <w:trHeight w:val="164"/>
        </w:trPr>
        <w:tc>
          <w:tcPr>
            <w:tcW w:w="0" w:type="auto"/>
          </w:tcPr>
          <w:p w14:paraId="1CE07177"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Clothes Dryer </w:t>
            </w:r>
          </w:p>
        </w:tc>
        <w:tc>
          <w:tcPr>
            <w:tcW w:w="0" w:type="auto"/>
          </w:tcPr>
          <w:p w14:paraId="696DB493" w14:textId="56D70CD4" w:rsidR="00E669DA" w:rsidRPr="00240A9B" w:rsidRDefault="00E669DA">
            <w:pPr>
              <w:pStyle w:val="Default"/>
              <w:rPr>
                <w:rFonts w:ascii="Calibri" w:hAnsi="Calibri" w:cs="Calibri"/>
                <w:sz w:val="22"/>
                <w:szCs w:val="22"/>
              </w:rPr>
            </w:pPr>
            <w:r w:rsidRPr="00240A9B">
              <w:rPr>
                <w:rFonts w:ascii="Calibri" w:hAnsi="Calibri" w:cs="Calibri"/>
                <w:sz w:val="22"/>
                <w:szCs w:val="22"/>
              </w:rPr>
              <w:t>20.0%</w:t>
            </w:r>
            <w:r w:rsidR="003258CE" w:rsidRPr="00240A9B">
              <w:rPr>
                <w:rStyle w:val="FootnoteReference"/>
                <w:rFonts w:ascii="Calibri" w:hAnsi="Calibri" w:cs="Calibri"/>
                <w:sz w:val="22"/>
                <w:szCs w:val="22"/>
              </w:rPr>
              <w:footnoteReference w:id="14"/>
            </w:r>
          </w:p>
        </w:tc>
        <w:tc>
          <w:tcPr>
            <w:tcW w:w="0" w:type="auto"/>
          </w:tcPr>
          <w:p w14:paraId="30B55D25"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4.3% </w:t>
            </w:r>
          </w:p>
        </w:tc>
        <w:tc>
          <w:tcPr>
            <w:tcW w:w="0" w:type="auto"/>
          </w:tcPr>
          <w:p w14:paraId="38C323F1"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0.9% </w:t>
            </w:r>
          </w:p>
        </w:tc>
      </w:tr>
      <w:tr w:rsidR="00E669DA" w:rsidRPr="00240A9B" w14:paraId="3B424BBE" w14:textId="77777777" w:rsidTr="00E669DA">
        <w:trPr>
          <w:trHeight w:val="164"/>
        </w:trPr>
        <w:tc>
          <w:tcPr>
            <w:tcW w:w="0" w:type="auto"/>
          </w:tcPr>
          <w:p w14:paraId="7E01F67D"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Air Conditioning </w:t>
            </w:r>
          </w:p>
        </w:tc>
        <w:tc>
          <w:tcPr>
            <w:tcW w:w="0" w:type="auto"/>
          </w:tcPr>
          <w:p w14:paraId="2C5A2707" w14:textId="5372ADD0" w:rsidR="00E669DA" w:rsidRPr="00240A9B" w:rsidRDefault="00E669DA">
            <w:pPr>
              <w:pStyle w:val="Default"/>
              <w:rPr>
                <w:rFonts w:ascii="Calibri" w:hAnsi="Calibri" w:cs="Calibri"/>
                <w:sz w:val="22"/>
                <w:szCs w:val="22"/>
              </w:rPr>
            </w:pPr>
            <w:r w:rsidRPr="00240A9B">
              <w:rPr>
                <w:rFonts w:ascii="Calibri" w:hAnsi="Calibri" w:cs="Calibri"/>
                <w:sz w:val="22"/>
                <w:szCs w:val="22"/>
              </w:rPr>
              <w:t>20.0%</w:t>
            </w:r>
            <w:r w:rsidR="006E686F" w:rsidRPr="00240A9B">
              <w:rPr>
                <w:rStyle w:val="FootnoteReference"/>
                <w:rFonts w:ascii="Calibri" w:hAnsi="Calibri" w:cs="Calibri"/>
                <w:sz w:val="22"/>
                <w:szCs w:val="22"/>
              </w:rPr>
              <w:footnoteReference w:id="15"/>
            </w:r>
          </w:p>
        </w:tc>
        <w:tc>
          <w:tcPr>
            <w:tcW w:w="0" w:type="auto"/>
          </w:tcPr>
          <w:p w14:paraId="1997F6B6"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19.4% </w:t>
            </w:r>
          </w:p>
        </w:tc>
        <w:tc>
          <w:tcPr>
            <w:tcW w:w="0" w:type="auto"/>
          </w:tcPr>
          <w:p w14:paraId="75E05C4F" w14:textId="77777777" w:rsidR="00E669DA" w:rsidRPr="00240A9B" w:rsidRDefault="00E669DA">
            <w:pPr>
              <w:pStyle w:val="Default"/>
              <w:rPr>
                <w:rFonts w:ascii="Calibri" w:hAnsi="Calibri" w:cs="Calibri"/>
                <w:sz w:val="22"/>
                <w:szCs w:val="22"/>
              </w:rPr>
            </w:pPr>
            <w:r w:rsidRPr="00240A9B">
              <w:rPr>
                <w:rFonts w:ascii="Calibri" w:hAnsi="Calibri" w:cs="Calibri"/>
                <w:sz w:val="22"/>
                <w:szCs w:val="22"/>
              </w:rPr>
              <w:t xml:space="preserve">3.9% </w:t>
            </w:r>
          </w:p>
        </w:tc>
      </w:tr>
      <w:tr w:rsidR="00E77E8C" w:rsidRPr="00240A9B" w14:paraId="14ADEA3E" w14:textId="77777777" w:rsidTr="000E4B63">
        <w:tc>
          <w:tcPr>
            <w:tcW w:w="1552" w:type="dxa"/>
          </w:tcPr>
          <w:p w14:paraId="7BD76458" w14:textId="77777777" w:rsidR="00E77E8C" w:rsidRPr="00240A9B" w:rsidRDefault="00E77E8C" w:rsidP="008C7556">
            <w:pPr>
              <w:rPr>
                <w:rFonts w:ascii="Calibri" w:hAnsi="Calibri" w:cs="Calibri"/>
                <w:sz w:val="22"/>
                <w:szCs w:val="22"/>
              </w:rPr>
            </w:pPr>
          </w:p>
        </w:tc>
        <w:tc>
          <w:tcPr>
            <w:tcW w:w="3086" w:type="dxa"/>
          </w:tcPr>
          <w:p w14:paraId="58E96CC2" w14:textId="77777777" w:rsidR="00E77E8C" w:rsidRPr="00240A9B" w:rsidRDefault="00E77E8C" w:rsidP="008C7556">
            <w:pPr>
              <w:rPr>
                <w:rFonts w:ascii="Calibri" w:hAnsi="Calibri" w:cs="Calibri"/>
                <w:sz w:val="22"/>
                <w:szCs w:val="22"/>
              </w:rPr>
            </w:pPr>
          </w:p>
        </w:tc>
        <w:tc>
          <w:tcPr>
            <w:tcW w:w="2583" w:type="dxa"/>
          </w:tcPr>
          <w:p w14:paraId="1131732A" w14:textId="46811EB1" w:rsidR="00E77E8C" w:rsidRPr="00240A9B" w:rsidRDefault="000E4B63" w:rsidP="008C7556">
            <w:pPr>
              <w:rPr>
                <w:rFonts w:ascii="Calibri" w:hAnsi="Calibri" w:cs="Calibri"/>
                <w:sz w:val="22"/>
                <w:szCs w:val="22"/>
              </w:rPr>
            </w:pPr>
            <w:r w:rsidRPr="00240A9B">
              <w:rPr>
                <w:rFonts w:ascii="Calibri" w:hAnsi="Calibri" w:cs="Calibri"/>
                <w:sz w:val="22"/>
                <w:szCs w:val="22"/>
              </w:rPr>
              <w:t>Total</w:t>
            </w:r>
          </w:p>
        </w:tc>
        <w:tc>
          <w:tcPr>
            <w:tcW w:w="2129" w:type="dxa"/>
          </w:tcPr>
          <w:p w14:paraId="311BDB04" w14:textId="60FE668F" w:rsidR="00E77E8C" w:rsidRPr="00240A9B" w:rsidRDefault="000E4B63" w:rsidP="008C7556">
            <w:pPr>
              <w:rPr>
                <w:rFonts w:ascii="Calibri" w:hAnsi="Calibri" w:cs="Calibri"/>
                <w:sz w:val="22"/>
                <w:szCs w:val="22"/>
              </w:rPr>
            </w:pPr>
            <w:r w:rsidRPr="00240A9B">
              <w:rPr>
                <w:rFonts w:ascii="Calibri" w:hAnsi="Calibri" w:cs="Calibri"/>
                <w:sz w:val="22"/>
                <w:szCs w:val="22"/>
              </w:rPr>
              <w:t>6%</w:t>
            </w:r>
          </w:p>
        </w:tc>
      </w:tr>
    </w:tbl>
    <w:p w14:paraId="0F4B68BE" w14:textId="77777777" w:rsidR="00E02FDF" w:rsidRPr="00240A9B" w:rsidRDefault="00E02FDF" w:rsidP="008C7556">
      <w:pPr>
        <w:spacing w:line="240" w:lineRule="auto"/>
        <w:rPr>
          <w:rFonts w:ascii="Calibri" w:hAnsi="Calibri" w:cs="Calibri"/>
          <w:sz w:val="22"/>
          <w:szCs w:val="22"/>
        </w:rPr>
      </w:pPr>
    </w:p>
    <w:p w14:paraId="2C705086" w14:textId="634D1C61" w:rsidR="003E77B6" w:rsidRPr="00240A9B" w:rsidRDefault="00B332F8" w:rsidP="008C7556">
      <w:pPr>
        <w:spacing w:line="240" w:lineRule="auto"/>
        <w:rPr>
          <w:rFonts w:ascii="Calibri" w:eastAsia="Calibri" w:hAnsi="Calibri" w:cs="Calibri"/>
          <w:sz w:val="22"/>
          <w:szCs w:val="22"/>
        </w:rPr>
      </w:pPr>
      <w:r w:rsidRPr="00240A9B">
        <w:rPr>
          <w:rFonts w:ascii="Calibri" w:eastAsia="Calibri" w:hAnsi="Calibri" w:cs="Calibri"/>
          <w:sz w:val="22"/>
          <w:szCs w:val="22"/>
        </w:rPr>
        <w:t>333</w:t>
      </w:r>
      <w:r w:rsidR="009036E1" w:rsidRPr="00240A9B">
        <w:rPr>
          <w:rFonts w:ascii="Calibri" w:eastAsia="Calibri" w:hAnsi="Calibri" w:cs="Calibri"/>
          <w:sz w:val="22"/>
          <w:szCs w:val="22"/>
        </w:rPr>
        <w:t xml:space="preserve">8.7 </w:t>
      </w:r>
      <w:r w:rsidR="007F6E49" w:rsidRPr="00240A9B">
        <w:rPr>
          <w:rFonts w:ascii="Calibri" w:eastAsia="Calibri" w:hAnsi="Calibri" w:cs="Calibri"/>
          <w:sz w:val="22"/>
          <w:szCs w:val="22"/>
        </w:rPr>
        <w:t xml:space="preserve">x .06 </w:t>
      </w:r>
      <w:proofErr w:type="gramStart"/>
      <w:r w:rsidR="007F6E49" w:rsidRPr="00240A9B">
        <w:rPr>
          <w:rFonts w:ascii="Calibri" w:eastAsia="Calibri" w:hAnsi="Calibri" w:cs="Calibri"/>
          <w:sz w:val="22"/>
          <w:szCs w:val="22"/>
        </w:rPr>
        <w:t xml:space="preserve">= </w:t>
      </w:r>
      <w:r w:rsidR="001411A9" w:rsidRPr="00240A9B">
        <w:rPr>
          <w:rFonts w:ascii="Calibri" w:eastAsia="Calibri" w:hAnsi="Calibri" w:cs="Calibri"/>
          <w:sz w:val="22"/>
          <w:szCs w:val="22"/>
        </w:rPr>
        <w:t xml:space="preserve"> </w:t>
      </w:r>
      <w:r w:rsidR="008D5235" w:rsidRPr="00240A9B">
        <w:rPr>
          <w:rFonts w:ascii="Calibri" w:eastAsia="Calibri" w:hAnsi="Calibri" w:cs="Calibri"/>
          <w:sz w:val="22"/>
          <w:szCs w:val="22"/>
        </w:rPr>
        <w:t>200.32</w:t>
      </w:r>
      <w:proofErr w:type="gramEnd"/>
      <w:r w:rsidR="008D5235" w:rsidRPr="00240A9B">
        <w:rPr>
          <w:rFonts w:ascii="Calibri" w:eastAsia="Calibri" w:hAnsi="Calibri" w:cs="Calibri"/>
          <w:sz w:val="22"/>
          <w:szCs w:val="22"/>
        </w:rPr>
        <w:t xml:space="preserve"> MT CO</w:t>
      </w:r>
      <w:r w:rsidR="003E77B6" w:rsidRPr="00240A9B">
        <w:rPr>
          <w:rFonts w:ascii="Calibri" w:eastAsia="Calibri" w:hAnsi="Calibri" w:cs="Calibri"/>
          <w:sz w:val="22"/>
          <w:szCs w:val="22"/>
        </w:rPr>
        <w:t xml:space="preserve">2 reduction by 2030 for installation of residential energy star appliances.  </w:t>
      </w:r>
    </w:p>
    <w:p w14:paraId="5516CE5F" w14:textId="77777777" w:rsidR="00323AF0" w:rsidRDefault="003E77B6" w:rsidP="008C7556">
      <w:pPr>
        <w:spacing w:line="240" w:lineRule="auto"/>
        <w:rPr>
          <w:rFonts w:ascii="Calibri" w:eastAsia="Calibri" w:hAnsi="Calibri" w:cs="Calibri"/>
          <w:sz w:val="22"/>
          <w:szCs w:val="22"/>
        </w:rPr>
      </w:pPr>
      <w:r w:rsidRPr="00240A9B">
        <w:rPr>
          <w:rFonts w:ascii="Calibri" w:eastAsia="Calibri" w:hAnsi="Calibri" w:cs="Calibri"/>
          <w:sz w:val="22"/>
          <w:szCs w:val="22"/>
        </w:rPr>
        <w:t>200.32 x 20</w:t>
      </w:r>
      <w:r w:rsidR="00323AF0" w:rsidRPr="00240A9B">
        <w:rPr>
          <w:rFonts w:ascii="Calibri" w:eastAsia="Calibri" w:hAnsi="Calibri" w:cs="Calibri"/>
          <w:sz w:val="22"/>
          <w:szCs w:val="22"/>
        </w:rPr>
        <w:t xml:space="preserve"> years =4006.44 MT CO2 reduction by 2050.  </w:t>
      </w:r>
    </w:p>
    <w:p w14:paraId="323C53DF" w14:textId="0D5C8696" w:rsidR="00861773" w:rsidRPr="005819A6" w:rsidRDefault="00CB79A3" w:rsidP="008C7556">
      <w:pPr>
        <w:spacing w:line="240" w:lineRule="auto"/>
        <w:rPr>
          <w:rFonts w:ascii="Calibri" w:eastAsia="Calibri" w:hAnsi="Calibri" w:cs="Calibri"/>
          <w:b/>
          <w:bCs/>
          <w:color w:val="FF0000"/>
          <w:sz w:val="22"/>
          <w:szCs w:val="22"/>
        </w:rPr>
      </w:pPr>
      <w:r w:rsidRPr="005819A6">
        <w:rPr>
          <w:rFonts w:ascii="Calibri" w:eastAsia="Calibri" w:hAnsi="Calibri" w:cs="Calibri"/>
          <w:b/>
          <w:bCs/>
          <w:color w:val="FF0000"/>
          <w:sz w:val="22"/>
          <w:szCs w:val="22"/>
        </w:rPr>
        <w:t>Measure 6-Increase building energy efficiency for residential buildings by electr</w:t>
      </w:r>
      <w:r w:rsidR="00E54E94" w:rsidRPr="005819A6">
        <w:rPr>
          <w:rFonts w:ascii="Calibri" w:eastAsia="Calibri" w:hAnsi="Calibri" w:cs="Calibri"/>
          <w:b/>
          <w:bCs/>
          <w:color w:val="FF0000"/>
          <w:sz w:val="22"/>
          <w:szCs w:val="22"/>
        </w:rPr>
        <w:t xml:space="preserve">ifying heat </w:t>
      </w:r>
      <w:r w:rsidR="001C4265" w:rsidRPr="005819A6">
        <w:rPr>
          <w:rFonts w:ascii="Calibri" w:eastAsia="Calibri" w:hAnsi="Calibri" w:cs="Calibri"/>
          <w:b/>
          <w:bCs/>
          <w:color w:val="FF0000"/>
          <w:sz w:val="22"/>
          <w:szCs w:val="22"/>
        </w:rPr>
        <w:t>equipment.</w:t>
      </w:r>
    </w:p>
    <w:p w14:paraId="4F24D686" w14:textId="0A6A01FE" w:rsidR="00323AF0" w:rsidRDefault="0057739C" w:rsidP="008C7556">
      <w:pPr>
        <w:spacing w:line="240" w:lineRule="auto"/>
        <w:rPr>
          <w:sz w:val="22"/>
          <w:szCs w:val="22"/>
        </w:rPr>
      </w:pPr>
      <w:r>
        <w:rPr>
          <w:sz w:val="22"/>
          <w:szCs w:val="22"/>
        </w:rPr>
        <w:t>Residential and commercial heating can be a large source of emissions. Many buildings are heated using combustion-based equipment and if the system is older, it can often be inefficient, leading to further energy consumption. Transitioning from combustible fuels for heating involves replacing existing equipment with all-</w:t>
      </w:r>
      <w:r w:rsidR="000E0045" w:rsidRPr="000E0045">
        <w:rPr>
          <w:sz w:val="22"/>
          <w:szCs w:val="22"/>
        </w:rPr>
        <w:t xml:space="preserve"> </w:t>
      </w:r>
      <w:r w:rsidR="000E0045">
        <w:rPr>
          <w:sz w:val="22"/>
          <w:szCs w:val="22"/>
        </w:rPr>
        <w:t>electric systems, such as heat pumps. Heat pumps are significantly more efficient than other heating systems due to their ability to utilize existing heat, making them a valuable heating choice for higher efficiency and emissions reductions.</w:t>
      </w:r>
    </w:p>
    <w:p w14:paraId="2BE6F2AE" w14:textId="1297E4BD" w:rsidR="0007784F" w:rsidRDefault="0007784F" w:rsidP="0007784F">
      <w:pPr>
        <w:pStyle w:val="Default"/>
        <w:rPr>
          <w:sz w:val="22"/>
          <w:szCs w:val="22"/>
        </w:rPr>
      </w:pPr>
      <w:r>
        <w:rPr>
          <w:b/>
          <w:bCs/>
          <w:sz w:val="22"/>
          <w:szCs w:val="22"/>
        </w:rPr>
        <w:t>Emissions Methodology</w:t>
      </w:r>
      <w:r>
        <w:rPr>
          <w:sz w:val="22"/>
          <w:szCs w:val="22"/>
        </w:rPr>
        <w:t>: To quantify the reduction of Scope 1 emissions through electrification of heating equipment, a standard</w:t>
      </w:r>
      <w:r w:rsidR="006D7231">
        <w:rPr>
          <w:sz w:val="22"/>
          <w:szCs w:val="22"/>
        </w:rPr>
        <w:t xml:space="preserve"> Coefficient of Performance or</w:t>
      </w:r>
      <w:r>
        <w:rPr>
          <w:sz w:val="22"/>
          <w:szCs w:val="22"/>
        </w:rPr>
        <w:t xml:space="preserve"> COP for typical heating systems was applied for each of the following fuel uses: natural gas (0.8), fuel oil (0.6), propane (0.8), wood stove (0.7), and electric heat pump (3.97). While there are electric resistance heating systems with a</w:t>
      </w:r>
      <w:r w:rsidR="006D7231">
        <w:rPr>
          <w:sz w:val="22"/>
          <w:szCs w:val="22"/>
        </w:rPr>
        <w:t xml:space="preserve"> COP </w:t>
      </w:r>
      <w:r>
        <w:rPr>
          <w:sz w:val="22"/>
          <w:szCs w:val="22"/>
        </w:rPr>
        <w:t xml:space="preserve">of 1.0, this reduction measure focuses on upgrading existing combustion heating systems to heat pump systems, which are significantly more efficient than electrical resistance and combine both heating and cooling capabilities in one system. </w:t>
      </w:r>
    </w:p>
    <w:p w14:paraId="55F8C3DE" w14:textId="0CDFC93D" w:rsidR="0007784F" w:rsidRDefault="0007784F" w:rsidP="0007784F">
      <w:pPr>
        <w:pStyle w:val="Default"/>
        <w:rPr>
          <w:sz w:val="22"/>
          <w:szCs w:val="22"/>
        </w:rPr>
      </w:pPr>
      <w:r>
        <w:rPr>
          <w:sz w:val="22"/>
          <w:szCs w:val="22"/>
        </w:rPr>
        <w:t xml:space="preserve">To calculate the percent reduction in Scope 1 emissions, </w:t>
      </w:r>
      <w:r w:rsidR="003F115D">
        <w:rPr>
          <w:sz w:val="22"/>
          <w:szCs w:val="22"/>
        </w:rPr>
        <w:t>the Tribe’s</w:t>
      </w:r>
      <w:r>
        <w:rPr>
          <w:sz w:val="22"/>
          <w:szCs w:val="22"/>
        </w:rPr>
        <w:t xml:space="preserve"> total natural gas (</w:t>
      </w:r>
      <w:proofErr w:type="spellStart"/>
      <w:r>
        <w:rPr>
          <w:sz w:val="22"/>
          <w:szCs w:val="22"/>
        </w:rPr>
        <w:t>therms</w:t>
      </w:r>
      <w:proofErr w:type="spellEnd"/>
      <w:r>
        <w:rPr>
          <w:sz w:val="22"/>
          <w:szCs w:val="22"/>
        </w:rPr>
        <w:t xml:space="preserve">) calculated in the GHG Inventory are converted from their respective units to kWh usage so that the energy used for heating by different systems can be compared. The fuel usage for each fuel type becomes the baseline values to compare any reductions from electrification. </w:t>
      </w:r>
    </w:p>
    <w:p w14:paraId="437F0081" w14:textId="3B35F825" w:rsidR="0007784F" w:rsidRDefault="0007784F" w:rsidP="0007784F">
      <w:pPr>
        <w:pStyle w:val="Default"/>
        <w:rPr>
          <w:sz w:val="22"/>
          <w:szCs w:val="22"/>
        </w:rPr>
      </w:pPr>
      <w:r>
        <w:rPr>
          <w:sz w:val="22"/>
          <w:szCs w:val="22"/>
        </w:rPr>
        <w:t>To calculate the energy needed for an electric heat pump to match the same amount of heating as the baseline fuel system, the energy used for each fuel type is multiplied by the respective fuel-based COP and divided by the electric heat pump COP. The electric heat pump COP used is 3.97</w:t>
      </w:r>
      <w:r w:rsidR="003732F9">
        <w:rPr>
          <w:rStyle w:val="FootnoteReference"/>
          <w:sz w:val="22"/>
          <w:szCs w:val="22"/>
        </w:rPr>
        <w:footnoteReference w:id="16"/>
      </w:r>
      <w:r>
        <w:rPr>
          <w:sz w:val="22"/>
          <w:szCs w:val="22"/>
        </w:rPr>
        <w:t xml:space="preserve">, representative of high-performing heat pumps in the Midwest climate. </w:t>
      </w:r>
    </w:p>
    <w:p w14:paraId="7726EE91" w14:textId="392242F6" w:rsidR="00421C2F" w:rsidRDefault="0007784F" w:rsidP="0007784F">
      <w:pPr>
        <w:spacing w:line="240" w:lineRule="auto"/>
        <w:rPr>
          <w:sz w:val="22"/>
          <w:szCs w:val="22"/>
        </w:rPr>
      </w:pPr>
      <w:r>
        <w:rPr>
          <w:sz w:val="22"/>
          <w:szCs w:val="22"/>
        </w:rPr>
        <w:t>This energy use from electrification is then converted into kWh for comparison with the baseline. A percent reduction in energy use is calculated for each fuel type by comparing the baseline energy use and “electrified</w:t>
      </w:r>
      <w:r w:rsidR="001F02A3" w:rsidRPr="001F02A3">
        <w:rPr>
          <w:sz w:val="22"/>
          <w:szCs w:val="22"/>
        </w:rPr>
        <w:t xml:space="preserve"> </w:t>
      </w:r>
      <w:r w:rsidR="001F02A3">
        <w:rPr>
          <w:sz w:val="22"/>
          <w:szCs w:val="22"/>
        </w:rPr>
        <w:t>equivalent” energy use. This percent reduction of energy for each heating system conversion is equal to the percent reduction of emissions.</w:t>
      </w:r>
    </w:p>
    <w:p w14:paraId="6956EEC6" w14:textId="77777777" w:rsidR="00CC7E22" w:rsidRDefault="00CC7E22" w:rsidP="0007784F">
      <w:pPr>
        <w:spacing w:line="240" w:lineRule="auto"/>
        <w:rPr>
          <w:sz w:val="22"/>
          <w:szCs w:val="22"/>
        </w:rPr>
      </w:pPr>
    </w:p>
    <w:p w14:paraId="67A2C9F3" w14:textId="35A14178" w:rsidR="008557EE" w:rsidRPr="00536E56" w:rsidRDefault="008557EE" w:rsidP="0007784F">
      <w:pPr>
        <w:spacing w:line="240" w:lineRule="auto"/>
        <w:rPr>
          <w:b/>
          <w:bCs/>
          <w:sz w:val="22"/>
          <w:szCs w:val="22"/>
        </w:rPr>
      </w:pPr>
      <w:r w:rsidRPr="00536E56">
        <w:rPr>
          <w:b/>
          <w:bCs/>
          <w:sz w:val="22"/>
          <w:szCs w:val="22"/>
        </w:rPr>
        <w:t xml:space="preserve">Table 12 KBIC </w:t>
      </w:r>
      <w:r w:rsidR="00536E56" w:rsidRPr="00536E56">
        <w:rPr>
          <w:b/>
          <w:bCs/>
          <w:sz w:val="22"/>
          <w:szCs w:val="22"/>
        </w:rPr>
        <w:t>Building emission by sector in mcf</w:t>
      </w:r>
    </w:p>
    <w:tbl>
      <w:tblPr>
        <w:tblpPr w:leftFromText="180" w:rightFromText="180" w:vertAnchor="text" w:horzAnchor="margin" w:tblpY="187"/>
        <w:tblW w:w="3406" w:type="dxa"/>
        <w:tblLook w:val="04A0" w:firstRow="1" w:lastRow="0" w:firstColumn="1" w:lastColumn="0" w:noHBand="0" w:noVBand="1"/>
      </w:tblPr>
      <w:tblGrid>
        <w:gridCol w:w="2520"/>
        <w:gridCol w:w="886"/>
      </w:tblGrid>
      <w:tr w:rsidR="00CC7E22" w:rsidRPr="00766EB0" w14:paraId="450A8684" w14:textId="77777777" w:rsidTr="00CC7E22">
        <w:trPr>
          <w:trHeight w:val="307"/>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0B117" w14:textId="77777777" w:rsidR="00CC7E22" w:rsidRPr="00766EB0" w:rsidRDefault="00CC7E22" w:rsidP="00CC7E22">
            <w:pPr>
              <w:spacing w:line="240" w:lineRule="auto"/>
              <w:jc w:val="center"/>
              <w:rPr>
                <w:rFonts w:ascii="Calibri" w:hAnsi="Calibri" w:cs="Calibri"/>
                <w:b/>
                <w:bCs/>
                <w:color w:val="000000"/>
                <w:sz w:val="22"/>
                <w:szCs w:val="22"/>
              </w:rPr>
            </w:pPr>
            <w:r w:rsidRPr="00766EB0">
              <w:rPr>
                <w:rFonts w:ascii="Calibri" w:hAnsi="Calibri" w:cs="Calibri"/>
                <w:b/>
                <w:bCs/>
                <w:color w:val="000000"/>
                <w:sz w:val="22"/>
                <w:szCs w:val="22"/>
              </w:rPr>
              <w:lastRenderedPageBreak/>
              <w:t> </w:t>
            </w:r>
          </w:p>
        </w:tc>
        <w:tc>
          <w:tcPr>
            <w:tcW w:w="886" w:type="dxa"/>
            <w:tcBorders>
              <w:top w:val="single" w:sz="4" w:space="0" w:color="auto"/>
              <w:left w:val="nil"/>
              <w:bottom w:val="single" w:sz="4" w:space="0" w:color="auto"/>
              <w:right w:val="single" w:sz="4" w:space="0" w:color="auto"/>
            </w:tcBorders>
            <w:shd w:val="clear" w:color="auto" w:fill="auto"/>
            <w:vAlign w:val="center"/>
            <w:hideMark/>
          </w:tcPr>
          <w:p w14:paraId="11069839" w14:textId="5A9DDA78" w:rsidR="00CC7E22" w:rsidRPr="00766EB0" w:rsidRDefault="00CC7E22" w:rsidP="00CC7E22">
            <w:pPr>
              <w:spacing w:line="240" w:lineRule="auto"/>
              <w:jc w:val="center"/>
              <w:rPr>
                <w:rFonts w:ascii="Calibri" w:hAnsi="Calibri" w:cs="Calibri"/>
                <w:color w:val="000000"/>
                <w:sz w:val="22"/>
                <w:szCs w:val="22"/>
              </w:rPr>
            </w:pPr>
            <w:r w:rsidRPr="00766EB0">
              <w:rPr>
                <w:rFonts w:ascii="Calibri" w:hAnsi="Calibri" w:cs="Calibri"/>
                <w:color w:val="000000"/>
                <w:sz w:val="22"/>
                <w:szCs w:val="22"/>
              </w:rPr>
              <w:t>Natural Gas</w:t>
            </w:r>
            <w:r w:rsidR="005C3A21">
              <w:rPr>
                <w:rFonts w:ascii="Calibri" w:hAnsi="Calibri" w:cs="Calibri"/>
                <w:color w:val="000000"/>
                <w:sz w:val="22"/>
                <w:szCs w:val="22"/>
              </w:rPr>
              <w:t xml:space="preserve"> mcf</w:t>
            </w:r>
          </w:p>
        </w:tc>
      </w:tr>
      <w:tr w:rsidR="00CC7E22" w:rsidRPr="00766EB0" w14:paraId="476F8EB9" w14:textId="77777777" w:rsidTr="00CC7E22">
        <w:trPr>
          <w:trHeight w:val="94"/>
        </w:trPr>
        <w:tc>
          <w:tcPr>
            <w:tcW w:w="2520" w:type="dxa"/>
            <w:tcBorders>
              <w:top w:val="nil"/>
              <w:left w:val="single" w:sz="4" w:space="0" w:color="auto"/>
              <w:bottom w:val="nil"/>
              <w:right w:val="single" w:sz="4" w:space="0" w:color="auto"/>
            </w:tcBorders>
            <w:shd w:val="clear" w:color="auto" w:fill="auto"/>
            <w:noWrap/>
            <w:vAlign w:val="bottom"/>
            <w:hideMark/>
          </w:tcPr>
          <w:p w14:paraId="3FD75E8E" w14:textId="77777777" w:rsidR="00CC7E22" w:rsidRPr="00766EB0" w:rsidRDefault="00CC7E22" w:rsidP="00CC7E22">
            <w:pPr>
              <w:spacing w:line="240" w:lineRule="auto"/>
              <w:rPr>
                <w:rFonts w:ascii="Calibri" w:hAnsi="Calibri" w:cs="Calibri"/>
                <w:b/>
                <w:bCs/>
                <w:color w:val="000000"/>
                <w:sz w:val="22"/>
                <w:szCs w:val="22"/>
              </w:rPr>
            </w:pPr>
            <w:r w:rsidRPr="00766EB0">
              <w:rPr>
                <w:rFonts w:ascii="Calibri" w:hAnsi="Calibri" w:cs="Calibri"/>
                <w:b/>
                <w:bCs/>
                <w:color w:val="000000"/>
                <w:sz w:val="22"/>
                <w:szCs w:val="22"/>
              </w:rPr>
              <w:t>Residential</w:t>
            </w:r>
          </w:p>
        </w:tc>
        <w:tc>
          <w:tcPr>
            <w:tcW w:w="886" w:type="dxa"/>
            <w:tcBorders>
              <w:top w:val="nil"/>
              <w:left w:val="nil"/>
              <w:bottom w:val="nil"/>
              <w:right w:val="single" w:sz="4" w:space="0" w:color="auto"/>
            </w:tcBorders>
            <w:shd w:val="clear" w:color="auto" w:fill="auto"/>
            <w:noWrap/>
            <w:vAlign w:val="bottom"/>
            <w:hideMark/>
          </w:tcPr>
          <w:p w14:paraId="445336F1" w14:textId="77777777" w:rsidR="00CC7E22" w:rsidRPr="00766EB0" w:rsidRDefault="00CC7E22" w:rsidP="00CC7E22">
            <w:pPr>
              <w:spacing w:line="240" w:lineRule="auto"/>
              <w:jc w:val="center"/>
              <w:rPr>
                <w:rFonts w:ascii="Calibri" w:hAnsi="Calibri" w:cs="Calibri"/>
                <w:color w:val="000000"/>
                <w:sz w:val="22"/>
                <w:szCs w:val="22"/>
              </w:rPr>
            </w:pPr>
            <w:r w:rsidRPr="00766EB0">
              <w:rPr>
                <w:rFonts w:ascii="Calibri" w:hAnsi="Calibri" w:cs="Calibri"/>
                <w:color w:val="000000"/>
                <w:sz w:val="22"/>
                <w:szCs w:val="22"/>
              </w:rPr>
              <w:t xml:space="preserve">              22,041 </w:t>
            </w:r>
          </w:p>
        </w:tc>
      </w:tr>
      <w:tr w:rsidR="00CC7E22" w:rsidRPr="00766EB0" w14:paraId="13F56483" w14:textId="77777777" w:rsidTr="00CC7E22">
        <w:trPr>
          <w:trHeight w:val="94"/>
        </w:trPr>
        <w:tc>
          <w:tcPr>
            <w:tcW w:w="2520" w:type="dxa"/>
            <w:tcBorders>
              <w:top w:val="nil"/>
              <w:left w:val="single" w:sz="4" w:space="0" w:color="auto"/>
              <w:bottom w:val="nil"/>
              <w:right w:val="single" w:sz="4" w:space="0" w:color="auto"/>
            </w:tcBorders>
            <w:shd w:val="clear" w:color="auto" w:fill="auto"/>
            <w:noWrap/>
            <w:vAlign w:val="bottom"/>
            <w:hideMark/>
          </w:tcPr>
          <w:p w14:paraId="1DC31A83" w14:textId="77777777" w:rsidR="00CC7E22" w:rsidRPr="00766EB0" w:rsidRDefault="00CC7E22" w:rsidP="00CC7E22">
            <w:pPr>
              <w:spacing w:line="240" w:lineRule="auto"/>
              <w:rPr>
                <w:rFonts w:ascii="Calibri" w:hAnsi="Calibri" w:cs="Calibri"/>
                <w:b/>
                <w:bCs/>
                <w:color w:val="000000"/>
                <w:sz w:val="22"/>
                <w:szCs w:val="22"/>
              </w:rPr>
            </w:pPr>
            <w:r w:rsidRPr="00766EB0">
              <w:rPr>
                <w:rFonts w:ascii="Calibri" w:hAnsi="Calibri" w:cs="Calibri"/>
                <w:b/>
                <w:bCs/>
                <w:color w:val="000000"/>
                <w:sz w:val="22"/>
                <w:szCs w:val="22"/>
              </w:rPr>
              <w:t>Commercial/Institutional</w:t>
            </w:r>
          </w:p>
        </w:tc>
        <w:tc>
          <w:tcPr>
            <w:tcW w:w="886" w:type="dxa"/>
            <w:tcBorders>
              <w:top w:val="nil"/>
              <w:left w:val="nil"/>
              <w:bottom w:val="nil"/>
              <w:right w:val="single" w:sz="4" w:space="0" w:color="auto"/>
            </w:tcBorders>
            <w:shd w:val="clear" w:color="auto" w:fill="auto"/>
            <w:noWrap/>
            <w:vAlign w:val="bottom"/>
            <w:hideMark/>
          </w:tcPr>
          <w:p w14:paraId="60DCDC1E" w14:textId="77777777" w:rsidR="00CC7E22" w:rsidRPr="00766EB0" w:rsidRDefault="00CC7E22" w:rsidP="00CC7E22">
            <w:pPr>
              <w:spacing w:line="240" w:lineRule="auto"/>
              <w:jc w:val="center"/>
              <w:rPr>
                <w:rFonts w:ascii="Calibri" w:hAnsi="Calibri" w:cs="Calibri"/>
                <w:color w:val="000000"/>
                <w:sz w:val="22"/>
                <w:szCs w:val="22"/>
              </w:rPr>
            </w:pPr>
            <w:r w:rsidRPr="00766EB0">
              <w:rPr>
                <w:rFonts w:ascii="Calibri" w:hAnsi="Calibri" w:cs="Calibri"/>
                <w:color w:val="000000"/>
                <w:sz w:val="22"/>
                <w:szCs w:val="22"/>
              </w:rPr>
              <w:t xml:space="preserve">              18,234 </w:t>
            </w:r>
          </w:p>
        </w:tc>
      </w:tr>
      <w:tr w:rsidR="00CC7E22" w:rsidRPr="00766EB0" w14:paraId="51D71144" w14:textId="77777777" w:rsidTr="00CC7E22">
        <w:trPr>
          <w:trHeight w:val="94"/>
        </w:trPr>
        <w:tc>
          <w:tcPr>
            <w:tcW w:w="2520" w:type="dxa"/>
            <w:tcBorders>
              <w:top w:val="nil"/>
              <w:left w:val="single" w:sz="4" w:space="0" w:color="auto"/>
              <w:bottom w:val="nil"/>
              <w:right w:val="single" w:sz="4" w:space="0" w:color="auto"/>
            </w:tcBorders>
            <w:shd w:val="clear" w:color="auto" w:fill="auto"/>
            <w:noWrap/>
            <w:vAlign w:val="bottom"/>
            <w:hideMark/>
          </w:tcPr>
          <w:p w14:paraId="481DA17F" w14:textId="77777777" w:rsidR="00CC7E22" w:rsidRPr="00766EB0" w:rsidRDefault="00CC7E22" w:rsidP="00CC7E22">
            <w:pPr>
              <w:spacing w:line="240" w:lineRule="auto"/>
              <w:rPr>
                <w:rFonts w:ascii="Calibri" w:hAnsi="Calibri" w:cs="Calibri"/>
                <w:b/>
                <w:bCs/>
                <w:color w:val="000000"/>
                <w:sz w:val="22"/>
                <w:szCs w:val="22"/>
              </w:rPr>
            </w:pPr>
            <w:r w:rsidRPr="00766EB0">
              <w:rPr>
                <w:rFonts w:ascii="Calibri" w:hAnsi="Calibri" w:cs="Calibri"/>
                <w:b/>
                <w:bCs/>
                <w:color w:val="000000"/>
                <w:sz w:val="22"/>
                <w:szCs w:val="22"/>
              </w:rPr>
              <w:t>Industrial</w:t>
            </w:r>
          </w:p>
        </w:tc>
        <w:tc>
          <w:tcPr>
            <w:tcW w:w="886" w:type="dxa"/>
            <w:tcBorders>
              <w:top w:val="nil"/>
              <w:left w:val="nil"/>
              <w:bottom w:val="nil"/>
              <w:right w:val="single" w:sz="4" w:space="0" w:color="auto"/>
            </w:tcBorders>
            <w:shd w:val="clear" w:color="auto" w:fill="auto"/>
            <w:noWrap/>
            <w:vAlign w:val="bottom"/>
            <w:hideMark/>
          </w:tcPr>
          <w:p w14:paraId="33C96FE9" w14:textId="77777777" w:rsidR="00CC7E22" w:rsidRPr="00766EB0" w:rsidRDefault="00CC7E22" w:rsidP="00CC7E22">
            <w:pPr>
              <w:spacing w:line="240" w:lineRule="auto"/>
              <w:jc w:val="center"/>
              <w:rPr>
                <w:rFonts w:ascii="Calibri" w:hAnsi="Calibri" w:cs="Calibri"/>
                <w:color w:val="000000"/>
                <w:sz w:val="22"/>
                <w:szCs w:val="22"/>
              </w:rPr>
            </w:pPr>
            <w:r w:rsidRPr="00766EB0">
              <w:rPr>
                <w:rFonts w:ascii="Calibri" w:hAnsi="Calibri" w:cs="Calibri"/>
                <w:color w:val="000000"/>
                <w:sz w:val="22"/>
                <w:szCs w:val="22"/>
              </w:rPr>
              <w:t xml:space="preserve">                       -   </w:t>
            </w:r>
          </w:p>
        </w:tc>
      </w:tr>
      <w:tr w:rsidR="00CC7E22" w:rsidRPr="00766EB0" w14:paraId="132F9032" w14:textId="77777777" w:rsidTr="00CC7E22">
        <w:trPr>
          <w:trHeight w:val="94"/>
        </w:trPr>
        <w:tc>
          <w:tcPr>
            <w:tcW w:w="2520" w:type="dxa"/>
            <w:tcBorders>
              <w:top w:val="nil"/>
              <w:left w:val="single" w:sz="4" w:space="0" w:color="auto"/>
              <w:bottom w:val="nil"/>
              <w:right w:val="single" w:sz="4" w:space="0" w:color="auto"/>
            </w:tcBorders>
            <w:shd w:val="clear" w:color="auto" w:fill="auto"/>
            <w:noWrap/>
            <w:vAlign w:val="bottom"/>
            <w:hideMark/>
          </w:tcPr>
          <w:p w14:paraId="42BE2C74" w14:textId="77777777" w:rsidR="00CC7E22" w:rsidRPr="00766EB0" w:rsidRDefault="00CC7E22" w:rsidP="00CC7E22">
            <w:pPr>
              <w:spacing w:line="240" w:lineRule="auto"/>
              <w:rPr>
                <w:rFonts w:ascii="Calibri" w:hAnsi="Calibri" w:cs="Calibri"/>
                <w:b/>
                <w:bCs/>
                <w:color w:val="000000"/>
                <w:sz w:val="22"/>
                <w:szCs w:val="22"/>
              </w:rPr>
            </w:pPr>
            <w:r w:rsidRPr="00766EB0">
              <w:rPr>
                <w:rFonts w:ascii="Calibri" w:hAnsi="Calibri" w:cs="Calibri"/>
                <w:b/>
                <w:bCs/>
                <w:color w:val="000000"/>
                <w:sz w:val="22"/>
                <w:szCs w:val="22"/>
              </w:rPr>
              <w:t>Energy Generation</w:t>
            </w:r>
          </w:p>
        </w:tc>
        <w:tc>
          <w:tcPr>
            <w:tcW w:w="886" w:type="dxa"/>
            <w:tcBorders>
              <w:top w:val="nil"/>
              <w:left w:val="nil"/>
              <w:bottom w:val="nil"/>
              <w:right w:val="single" w:sz="4" w:space="0" w:color="auto"/>
            </w:tcBorders>
            <w:shd w:val="clear" w:color="auto" w:fill="auto"/>
            <w:noWrap/>
            <w:vAlign w:val="bottom"/>
            <w:hideMark/>
          </w:tcPr>
          <w:p w14:paraId="14BC3450" w14:textId="77777777" w:rsidR="00CC7E22" w:rsidRPr="00766EB0" w:rsidRDefault="00CC7E22" w:rsidP="00CC7E22">
            <w:pPr>
              <w:spacing w:line="240" w:lineRule="auto"/>
              <w:jc w:val="center"/>
              <w:rPr>
                <w:rFonts w:ascii="Calibri" w:hAnsi="Calibri" w:cs="Calibri"/>
                <w:color w:val="000000"/>
                <w:sz w:val="22"/>
                <w:szCs w:val="22"/>
              </w:rPr>
            </w:pPr>
            <w:r w:rsidRPr="00766EB0">
              <w:rPr>
                <w:rFonts w:ascii="Calibri" w:hAnsi="Calibri" w:cs="Calibri"/>
                <w:color w:val="000000"/>
                <w:sz w:val="22"/>
                <w:szCs w:val="22"/>
              </w:rPr>
              <w:t xml:space="preserve">                       -   </w:t>
            </w:r>
          </w:p>
        </w:tc>
      </w:tr>
      <w:tr w:rsidR="00CC7E22" w:rsidRPr="00766EB0" w14:paraId="089AC68A" w14:textId="77777777" w:rsidTr="00CC7E22">
        <w:trPr>
          <w:trHeight w:val="94"/>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B8B4F" w14:textId="77777777" w:rsidR="00CC7E22" w:rsidRPr="00766EB0" w:rsidRDefault="00CC7E22" w:rsidP="00CC7E22">
            <w:pPr>
              <w:spacing w:line="240" w:lineRule="auto"/>
              <w:rPr>
                <w:rFonts w:ascii="Calibri" w:hAnsi="Calibri" w:cs="Calibri"/>
                <w:b/>
                <w:bCs/>
                <w:color w:val="000000"/>
                <w:sz w:val="22"/>
                <w:szCs w:val="22"/>
              </w:rPr>
            </w:pPr>
            <w:r w:rsidRPr="00766EB0">
              <w:rPr>
                <w:rFonts w:ascii="Calibri" w:hAnsi="Calibri" w:cs="Calibri"/>
                <w:b/>
                <w:bCs/>
                <w:color w:val="000000"/>
                <w:sz w:val="22"/>
                <w:szCs w:val="22"/>
              </w:rPr>
              <w:t>Total</w:t>
            </w:r>
          </w:p>
        </w:tc>
        <w:tc>
          <w:tcPr>
            <w:tcW w:w="886" w:type="dxa"/>
            <w:tcBorders>
              <w:top w:val="single" w:sz="4" w:space="0" w:color="auto"/>
              <w:left w:val="nil"/>
              <w:bottom w:val="single" w:sz="4" w:space="0" w:color="auto"/>
              <w:right w:val="single" w:sz="4" w:space="0" w:color="auto"/>
            </w:tcBorders>
            <w:shd w:val="clear" w:color="auto" w:fill="auto"/>
            <w:noWrap/>
            <w:vAlign w:val="bottom"/>
            <w:hideMark/>
          </w:tcPr>
          <w:p w14:paraId="0FDC1192" w14:textId="77777777" w:rsidR="00CC7E22" w:rsidRPr="00766EB0" w:rsidRDefault="00CC7E22" w:rsidP="00CC7E22">
            <w:pPr>
              <w:spacing w:line="240" w:lineRule="auto"/>
              <w:jc w:val="center"/>
              <w:rPr>
                <w:rFonts w:ascii="Calibri" w:hAnsi="Calibri" w:cs="Calibri"/>
                <w:color w:val="000000"/>
                <w:sz w:val="22"/>
                <w:szCs w:val="22"/>
              </w:rPr>
            </w:pPr>
            <w:r w:rsidRPr="00766EB0">
              <w:rPr>
                <w:rFonts w:ascii="Calibri" w:hAnsi="Calibri" w:cs="Calibri"/>
                <w:color w:val="000000"/>
                <w:sz w:val="22"/>
                <w:szCs w:val="22"/>
              </w:rPr>
              <w:t xml:space="preserve">              40,275 </w:t>
            </w:r>
          </w:p>
        </w:tc>
      </w:tr>
    </w:tbl>
    <w:p w14:paraId="1573FB4B" w14:textId="77777777" w:rsidR="00D907BC" w:rsidRDefault="00D907BC" w:rsidP="00386CAE">
      <w:pPr>
        <w:spacing w:line="240" w:lineRule="auto"/>
        <w:rPr>
          <w:rFonts w:ascii="Calibri" w:eastAsia="Calibri" w:hAnsi="Calibri" w:cs="Calibri"/>
          <w:sz w:val="22"/>
          <w:szCs w:val="22"/>
        </w:rPr>
      </w:pPr>
    </w:p>
    <w:p w14:paraId="2FA648FA" w14:textId="2A31136F" w:rsidR="00020464" w:rsidRDefault="00395AA8" w:rsidP="00386CAE">
      <w:pPr>
        <w:spacing w:line="240" w:lineRule="auto"/>
        <w:rPr>
          <w:rFonts w:ascii="Calibri" w:eastAsia="Calibri" w:hAnsi="Calibri" w:cs="Calibri"/>
          <w:sz w:val="22"/>
          <w:szCs w:val="22"/>
        </w:rPr>
      </w:pPr>
      <w:r>
        <w:rPr>
          <w:rFonts w:ascii="Calibri" w:eastAsia="Calibri" w:hAnsi="Calibri" w:cs="Calibri"/>
          <w:sz w:val="22"/>
          <w:szCs w:val="22"/>
        </w:rPr>
        <w:t>The Tribe</w:t>
      </w:r>
      <w:r w:rsidR="00D907BC">
        <w:rPr>
          <w:rFonts w:ascii="Calibri" w:eastAsia="Calibri" w:hAnsi="Calibri" w:cs="Calibri"/>
          <w:sz w:val="22"/>
          <w:szCs w:val="22"/>
        </w:rPr>
        <w:t xml:space="preserve">’s </w:t>
      </w:r>
      <w:r w:rsidR="008D0EF5">
        <w:rPr>
          <w:rFonts w:ascii="Calibri" w:eastAsia="Calibri" w:hAnsi="Calibri" w:cs="Calibri"/>
          <w:sz w:val="22"/>
          <w:szCs w:val="22"/>
        </w:rPr>
        <w:t>natural gas inventory for residential</w:t>
      </w:r>
      <w:r w:rsidR="00D907BC">
        <w:rPr>
          <w:rFonts w:ascii="Calibri" w:eastAsia="Calibri" w:hAnsi="Calibri" w:cs="Calibri"/>
          <w:sz w:val="22"/>
          <w:szCs w:val="22"/>
        </w:rPr>
        <w:t xml:space="preserve"> is shown to the left</w:t>
      </w:r>
      <w:r w:rsidR="008D0EF5">
        <w:rPr>
          <w:rFonts w:ascii="Calibri" w:eastAsia="Calibri" w:hAnsi="Calibri" w:cs="Calibri"/>
          <w:sz w:val="22"/>
          <w:szCs w:val="22"/>
        </w:rPr>
        <w:t xml:space="preserve">. </w:t>
      </w:r>
      <w:r w:rsidR="008A16B9">
        <w:rPr>
          <w:rFonts w:ascii="Calibri" w:eastAsia="Calibri" w:hAnsi="Calibri" w:cs="Calibri"/>
          <w:sz w:val="22"/>
          <w:szCs w:val="22"/>
        </w:rPr>
        <w:t xml:space="preserve">The annual use is </w:t>
      </w:r>
      <w:r w:rsidR="00AF29B5">
        <w:rPr>
          <w:rFonts w:ascii="Calibri" w:eastAsia="Calibri" w:hAnsi="Calibri" w:cs="Calibri"/>
          <w:sz w:val="22"/>
          <w:szCs w:val="22"/>
        </w:rPr>
        <w:t xml:space="preserve">22, 041 mcf.  </w:t>
      </w:r>
      <w:r w:rsidR="00775E82">
        <w:rPr>
          <w:rFonts w:ascii="Calibri" w:eastAsia="Calibri" w:hAnsi="Calibri" w:cs="Calibri"/>
          <w:sz w:val="22"/>
          <w:szCs w:val="22"/>
        </w:rPr>
        <w:t xml:space="preserve">As stated in previous sections, there are estimated to be 700 Tribal homes located in Baraga County.  </w:t>
      </w:r>
      <w:r w:rsidR="00AF29B5">
        <w:rPr>
          <w:rFonts w:ascii="Calibri" w:eastAsia="Calibri" w:hAnsi="Calibri" w:cs="Calibri"/>
          <w:sz w:val="22"/>
          <w:szCs w:val="22"/>
        </w:rPr>
        <w:t>The Tribe plans to electrify up to 100 homes</w:t>
      </w:r>
      <w:r w:rsidR="003D1D0B">
        <w:rPr>
          <w:rFonts w:ascii="Calibri" w:eastAsia="Calibri" w:hAnsi="Calibri" w:cs="Calibri"/>
          <w:sz w:val="22"/>
          <w:szCs w:val="22"/>
        </w:rPr>
        <w:t xml:space="preserve"> or 1/</w:t>
      </w:r>
      <w:r w:rsidR="00473419">
        <w:rPr>
          <w:rFonts w:ascii="Calibri" w:eastAsia="Calibri" w:hAnsi="Calibri" w:cs="Calibri"/>
          <w:sz w:val="22"/>
          <w:szCs w:val="22"/>
        </w:rPr>
        <w:t>7 of 22,041 mcf =</w:t>
      </w:r>
      <w:r w:rsidR="008C7870">
        <w:rPr>
          <w:rFonts w:ascii="Calibri" w:eastAsia="Calibri" w:hAnsi="Calibri" w:cs="Calibri"/>
          <w:sz w:val="22"/>
          <w:szCs w:val="22"/>
        </w:rPr>
        <w:t>3,14</w:t>
      </w:r>
      <w:r w:rsidR="007616FB">
        <w:rPr>
          <w:rFonts w:ascii="Calibri" w:eastAsia="Calibri" w:hAnsi="Calibri" w:cs="Calibri"/>
          <w:sz w:val="22"/>
          <w:szCs w:val="22"/>
        </w:rPr>
        <w:t>9 mcf</w:t>
      </w:r>
      <w:r w:rsidR="00AF29B5">
        <w:rPr>
          <w:rFonts w:ascii="Calibri" w:eastAsia="Calibri" w:hAnsi="Calibri" w:cs="Calibri"/>
          <w:sz w:val="22"/>
          <w:szCs w:val="22"/>
        </w:rPr>
        <w:t xml:space="preserve">.  </w:t>
      </w:r>
    </w:p>
    <w:p w14:paraId="45B14E19" w14:textId="3A89D66D" w:rsidR="00395AA8" w:rsidRDefault="003E3D37" w:rsidP="00386CAE">
      <w:pPr>
        <w:spacing w:line="240" w:lineRule="auto"/>
        <w:rPr>
          <w:rFonts w:ascii="Calibri" w:eastAsia="Calibri" w:hAnsi="Calibri" w:cs="Calibri"/>
          <w:sz w:val="22"/>
          <w:szCs w:val="22"/>
        </w:rPr>
      </w:pPr>
      <w:r>
        <w:rPr>
          <w:rFonts w:ascii="Calibri" w:eastAsia="Calibri" w:hAnsi="Calibri" w:cs="Calibri"/>
          <w:sz w:val="22"/>
          <w:szCs w:val="22"/>
        </w:rPr>
        <w:t xml:space="preserve">The </w:t>
      </w:r>
      <w:r w:rsidR="007616FB">
        <w:rPr>
          <w:rFonts w:ascii="Calibri" w:eastAsia="Calibri" w:hAnsi="Calibri" w:cs="Calibri"/>
          <w:sz w:val="22"/>
          <w:szCs w:val="22"/>
        </w:rPr>
        <w:t xml:space="preserve">calculated </w:t>
      </w:r>
      <w:r w:rsidR="00075DC0">
        <w:rPr>
          <w:rFonts w:ascii="Calibri" w:eastAsia="Calibri" w:hAnsi="Calibri" w:cs="Calibri"/>
          <w:sz w:val="22"/>
          <w:szCs w:val="22"/>
        </w:rPr>
        <w:t>reduction is the 3149</w:t>
      </w:r>
      <w:r w:rsidR="006C38FF">
        <w:rPr>
          <w:rFonts w:ascii="Calibri" w:eastAsia="Calibri" w:hAnsi="Calibri" w:cs="Calibri"/>
          <w:sz w:val="22"/>
          <w:szCs w:val="22"/>
        </w:rPr>
        <w:t xml:space="preserve"> mcf</w:t>
      </w:r>
      <w:r w:rsidR="00643D4F">
        <w:rPr>
          <w:rFonts w:ascii="Calibri" w:eastAsia="Calibri" w:hAnsi="Calibri" w:cs="Calibri"/>
          <w:sz w:val="22"/>
          <w:szCs w:val="22"/>
        </w:rPr>
        <w:t xml:space="preserve"> </w:t>
      </w:r>
      <w:r w:rsidR="0022384C">
        <w:rPr>
          <w:rFonts w:ascii="Calibri" w:eastAsia="Calibri" w:hAnsi="Calibri" w:cs="Calibri"/>
          <w:sz w:val="22"/>
          <w:szCs w:val="22"/>
        </w:rPr>
        <w:t>x 10.73</w:t>
      </w:r>
      <w:r w:rsidR="007000EE">
        <w:rPr>
          <w:rFonts w:ascii="Calibri" w:eastAsia="Calibri" w:hAnsi="Calibri" w:cs="Calibri"/>
          <w:sz w:val="22"/>
          <w:szCs w:val="22"/>
        </w:rPr>
        <w:t xml:space="preserve"> </w:t>
      </w:r>
      <w:proofErr w:type="spellStart"/>
      <w:r w:rsidR="007000EE">
        <w:rPr>
          <w:rFonts w:ascii="Calibri" w:eastAsia="Calibri" w:hAnsi="Calibri" w:cs="Calibri"/>
          <w:sz w:val="22"/>
          <w:szCs w:val="22"/>
        </w:rPr>
        <w:t>therms</w:t>
      </w:r>
      <w:proofErr w:type="spellEnd"/>
      <w:r w:rsidR="007000EE">
        <w:rPr>
          <w:rFonts w:ascii="Calibri" w:eastAsia="Calibri" w:hAnsi="Calibri" w:cs="Calibri"/>
          <w:sz w:val="22"/>
          <w:szCs w:val="22"/>
        </w:rPr>
        <w:t xml:space="preserve">/mcf </w:t>
      </w:r>
      <w:r w:rsidR="00020464">
        <w:rPr>
          <w:rFonts w:ascii="Calibri" w:eastAsia="Calibri" w:hAnsi="Calibri" w:cs="Calibri"/>
          <w:sz w:val="22"/>
          <w:szCs w:val="22"/>
        </w:rPr>
        <w:t>x</w:t>
      </w:r>
      <w:r w:rsidR="0013514E">
        <w:rPr>
          <w:rFonts w:ascii="Calibri" w:eastAsia="Calibri" w:hAnsi="Calibri" w:cs="Calibri"/>
          <w:sz w:val="22"/>
          <w:szCs w:val="22"/>
        </w:rPr>
        <w:t xml:space="preserve"> 29.3 kwh/</w:t>
      </w:r>
      <w:proofErr w:type="spellStart"/>
      <w:r w:rsidR="0013514E">
        <w:rPr>
          <w:rFonts w:ascii="Calibri" w:eastAsia="Calibri" w:hAnsi="Calibri" w:cs="Calibri"/>
          <w:sz w:val="22"/>
          <w:szCs w:val="22"/>
        </w:rPr>
        <w:t>therm</w:t>
      </w:r>
      <w:proofErr w:type="spellEnd"/>
      <w:r w:rsidR="008D0EF5">
        <w:rPr>
          <w:rFonts w:ascii="Calibri" w:eastAsia="Calibri" w:hAnsi="Calibri" w:cs="Calibri"/>
          <w:sz w:val="22"/>
          <w:szCs w:val="22"/>
        </w:rPr>
        <w:t xml:space="preserve"> </w:t>
      </w:r>
      <w:r w:rsidR="00ED0000">
        <w:rPr>
          <w:rFonts w:ascii="Calibri" w:eastAsia="Calibri" w:hAnsi="Calibri" w:cs="Calibri"/>
          <w:sz w:val="22"/>
          <w:szCs w:val="22"/>
        </w:rPr>
        <w:t>x .8</w:t>
      </w:r>
      <w:r w:rsidR="00167B0B">
        <w:rPr>
          <w:rFonts w:ascii="Calibri" w:eastAsia="Calibri" w:hAnsi="Calibri" w:cs="Calibri"/>
          <w:sz w:val="22"/>
          <w:szCs w:val="22"/>
        </w:rPr>
        <w:t xml:space="preserve"> COP/3.97 COP </w:t>
      </w:r>
      <w:r w:rsidR="003D1D0B">
        <w:rPr>
          <w:rFonts w:ascii="Calibri" w:eastAsia="Calibri" w:hAnsi="Calibri" w:cs="Calibri"/>
          <w:sz w:val="22"/>
          <w:szCs w:val="22"/>
        </w:rPr>
        <w:t>=</w:t>
      </w:r>
      <w:r w:rsidR="00937166">
        <w:rPr>
          <w:rFonts w:ascii="Calibri" w:eastAsia="Calibri" w:hAnsi="Calibri" w:cs="Calibri"/>
          <w:sz w:val="22"/>
          <w:szCs w:val="22"/>
        </w:rPr>
        <w:t>199,498</w:t>
      </w:r>
      <w:r w:rsidR="00236289">
        <w:rPr>
          <w:rFonts w:ascii="Calibri" w:eastAsia="Calibri" w:hAnsi="Calibri" w:cs="Calibri"/>
          <w:sz w:val="22"/>
          <w:szCs w:val="22"/>
        </w:rPr>
        <w:t xml:space="preserve"> kwh.  </w:t>
      </w:r>
      <w:r w:rsidR="0022384C">
        <w:rPr>
          <w:rFonts w:ascii="Calibri" w:eastAsia="Calibri" w:hAnsi="Calibri" w:cs="Calibri"/>
          <w:sz w:val="22"/>
          <w:szCs w:val="22"/>
        </w:rPr>
        <w:t>Using</w:t>
      </w:r>
      <w:r w:rsidR="007B5654">
        <w:rPr>
          <w:rFonts w:ascii="Calibri" w:eastAsia="Calibri" w:hAnsi="Calibri" w:cs="Calibri"/>
          <w:sz w:val="22"/>
          <w:szCs w:val="22"/>
        </w:rPr>
        <w:t xml:space="preserve"> the </w:t>
      </w:r>
      <w:r w:rsidR="00137F9D">
        <w:rPr>
          <w:rFonts w:ascii="Calibri" w:eastAsia="Calibri" w:hAnsi="Calibri" w:cs="Calibri"/>
          <w:sz w:val="22"/>
          <w:szCs w:val="22"/>
        </w:rPr>
        <w:t>EPA GHG equivalency calculator</w:t>
      </w:r>
      <w:r w:rsidR="00C016E3">
        <w:rPr>
          <w:rStyle w:val="FootnoteReference"/>
          <w:rFonts w:ascii="Calibri" w:eastAsia="Calibri" w:hAnsi="Calibri" w:cs="Calibri"/>
          <w:sz w:val="22"/>
          <w:szCs w:val="22"/>
        </w:rPr>
        <w:footnoteReference w:id="17"/>
      </w:r>
      <w:r w:rsidR="00137F9D">
        <w:rPr>
          <w:rFonts w:ascii="Calibri" w:eastAsia="Calibri" w:hAnsi="Calibri" w:cs="Calibri"/>
          <w:sz w:val="22"/>
          <w:szCs w:val="22"/>
        </w:rPr>
        <w:t xml:space="preserve">= 139 MT </w:t>
      </w:r>
      <w:bookmarkStart w:id="16" w:name="_Hlk162861125"/>
      <w:r w:rsidR="00137F9D">
        <w:rPr>
          <w:rFonts w:ascii="Calibri" w:eastAsia="Calibri" w:hAnsi="Calibri" w:cs="Calibri"/>
          <w:sz w:val="22"/>
          <w:szCs w:val="22"/>
        </w:rPr>
        <w:t>CO</w:t>
      </w:r>
      <w:r w:rsidR="005744D8">
        <w:rPr>
          <w:rFonts w:ascii="Calibri" w:eastAsia="Calibri" w:hAnsi="Calibri" w:cs="Calibri"/>
          <w:sz w:val="22"/>
          <w:szCs w:val="22"/>
          <w:vertAlign w:val="subscript"/>
        </w:rPr>
        <w:t xml:space="preserve">2 </w:t>
      </w:r>
      <w:r w:rsidR="00772B41">
        <w:rPr>
          <w:rFonts w:ascii="Calibri" w:eastAsia="Calibri" w:hAnsi="Calibri" w:cs="Calibri"/>
          <w:sz w:val="22"/>
          <w:szCs w:val="22"/>
        </w:rPr>
        <w:t xml:space="preserve">equivalent </w:t>
      </w:r>
      <w:bookmarkEnd w:id="16"/>
      <w:r w:rsidR="005744D8">
        <w:rPr>
          <w:rFonts w:ascii="Calibri" w:eastAsia="Calibri" w:hAnsi="Calibri" w:cs="Calibri"/>
          <w:sz w:val="22"/>
          <w:szCs w:val="22"/>
        </w:rPr>
        <w:t>by 2030.</w:t>
      </w:r>
      <w:r w:rsidR="00B110B4">
        <w:rPr>
          <w:rFonts w:ascii="Calibri" w:eastAsia="Calibri" w:hAnsi="Calibri" w:cs="Calibri"/>
          <w:sz w:val="22"/>
          <w:szCs w:val="22"/>
        </w:rPr>
        <w:t xml:space="preserve"> </w:t>
      </w:r>
      <w:r w:rsidR="004A1265">
        <w:rPr>
          <w:rFonts w:ascii="Calibri" w:eastAsia="Calibri" w:hAnsi="Calibri" w:cs="Calibri"/>
          <w:sz w:val="22"/>
          <w:szCs w:val="22"/>
        </w:rPr>
        <w:t xml:space="preserve">To calculate </w:t>
      </w:r>
      <w:r w:rsidR="00F82885">
        <w:rPr>
          <w:rFonts w:ascii="Calibri" w:eastAsia="Calibri" w:hAnsi="Calibri" w:cs="Calibri"/>
          <w:sz w:val="22"/>
          <w:szCs w:val="22"/>
        </w:rPr>
        <w:t>reductions by 205</w:t>
      </w:r>
      <w:r w:rsidR="004A1265">
        <w:rPr>
          <w:rFonts w:ascii="Calibri" w:eastAsia="Calibri" w:hAnsi="Calibri" w:cs="Calibri"/>
          <w:sz w:val="22"/>
          <w:szCs w:val="22"/>
        </w:rPr>
        <w:t xml:space="preserve">0:  </w:t>
      </w:r>
      <w:r w:rsidR="00F82885">
        <w:rPr>
          <w:rFonts w:ascii="Calibri" w:eastAsia="Calibri" w:hAnsi="Calibri" w:cs="Calibri"/>
          <w:sz w:val="22"/>
          <w:szCs w:val="22"/>
        </w:rPr>
        <w:t xml:space="preserve">139 MT </w:t>
      </w:r>
      <w:r w:rsidR="00FA276B">
        <w:rPr>
          <w:rFonts w:ascii="Calibri" w:eastAsia="Calibri" w:hAnsi="Calibri" w:cs="Calibri"/>
          <w:sz w:val="22"/>
          <w:szCs w:val="22"/>
        </w:rPr>
        <w:t>CO</w:t>
      </w:r>
      <w:r w:rsidR="00FA276B">
        <w:rPr>
          <w:rFonts w:ascii="Calibri" w:eastAsia="Calibri" w:hAnsi="Calibri" w:cs="Calibri"/>
          <w:sz w:val="22"/>
          <w:szCs w:val="22"/>
          <w:vertAlign w:val="subscript"/>
        </w:rPr>
        <w:t xml:space="preserve">2 </w:t>
      </w:r>
      <w:r w:rsidR="00FA276B">
        <w:rPr>
          <w:rFonts w:ascii="Calibri" w:eastAsia="Calibri" w:hAnsi="Calibri" w:cs="Calibri"/>
          <w:sz w:val="22"/>
          <w:szCs w:val="22"/>
        </w:rPr>
        <w:t>equivalent x 20</w:t>
      </w:r>
      <w:r w:rsidR="00F33810">
        <w:rPr>
          <w:rFonts w:ascii="Calibri" w:eastAsia="Calibri" w:hAnsi="Calibri" w:cs="Calibri"/>
          <w:sz w:val="22"/>
          <w:szCs w:val="22"/>
        </w:rPr>
        <w:t xml:space="preserve"> years </w:t>
      </w:r>
      <w:r w:rsidR="00FA276B">
        <w:rPr>
          <w:rFonts w:ascii="Calibri" w:eastAsia="Calibri" w:hAnsi="Calibri" w:cs="Calibri"/>
          <w:sz w:val="22"/>
          <w:szCs w:val="22"/>
        </w:rPr>
        <w:t>=</w:t>
      </w:r>
      <w:r w:rsidR="00F33810">
        <w:rPr>
          <w:rFonts w:ascii="Calibri" w:eastAsia="Calibri" w:hAnsi="Calibri" w:cs="Calibri"/>
          <w:sz w:val="22"/>
          <w:szCs w:val="22"/>
        </w:rPr>
        <w:t>2,780 CO</w:t>
      </w:r>
      <w:r w:rsidR="00F33810">
        <w:rPr>
          <w:rFonts w:ascii="Calibri" w:eastAsia="Calibri" w:hAnsi="Calibri" w:cs="Calibri"/>
          <w:sz w:val="22"/>
          <w:szCs w:val="22"/>
          <w:vertAlign w:val="subscript"/>
        </w:rPr>
        <w:t xml:space="preserve">2 </w:t>
      </w:r>
      <w:r w:rsidR="00F33810">
        <w:rPr>
          <w:rFonts w:ascii="Calibri" w:eastAsia="Calibri" w:hAnsi="Calibri" w:cs="Calibri"/>
          <w:sz w:val="22"/>
          <w:szCs w:val="22"/>
        </w:rPr>
        <w:t>equivalent.</w:t>
      </w:r>
    </w:p>
    <w:p w14:paraId="418D60FE" w14:textId="77777777" w:rsidR="00CC7E22" w:rsidRDefault="00CC7E22" w:rsidP="00C97A74">
      <w:pPr>
        <w:spacing w:line="240" w:lineRule="auto"/>
        <w:rPr>
          <w:rFonts w:ascii="Calibri" w:eastAsia="Calibri" w:hAnsi="Calibri" w:cs="Calibri"/>
          <w:b/>
          <w:bCs/>
          <w:sz w:val="22"/>
          <w:szCs w:val="22"/>
        </w:rPr>
      </w:pPr>
    </w:p>
    <w:p w14:paraId="037748D9" w14:textId="77777777" w:rsidR="00CC7E22" w:rsidRDefault="00CC7E22" w:rsidP="00C97A74">
      <w:pPr>
        <w:spacing w:line="240" w:lineRule="auto"/>
        <w:rPr>
          <w:rFonts w:ascii="Calibri" w:eastAsia="Calibri" w:hAnsi="Calibri" w:cs="Calibri"/>
          <w:b/>
          <w:bCs/>
          <w:sz w:val="22"/>
          <w:szCs w:val="22"/>
        </w:rPr>
      </w:pPr>
    </w:p>
    <w:p w14:paraId="32C4FB71" w14:textId="77777777" w:rsidR="00CC7E22" w:rsidRDefault="00CC7E22" w:rsidP="00C97A74">
      <w:pPr>
        <w:spacing w:line="240" w:lineRule="auto"/>
        <w:rPr>
          <w:rFonts w:ascii="Calibri" w:eastAsia="Calibri" w:hAnsi="Calibri" w:cs="Calibri"/>
          <w:b/>
          <w:bCs/>
          <w:sz w:val="22"/>
          <w:szCs w:val="22"/>
        </w:rPr>
      </w:pPr>
    </w:p>
    <w:p w14:paraId="41BC8EA6" w14:textId="77777777" w:rsidR="00536E56" w:rsidRDefault="00536E56" w:rsidP="00C97A74">
      <w:pPr>
        <w:spacing w:line="240" w:lineRule="auto"/>
        <w:rPr>
          <w:rFonts w:ascii="Calibri" w:eastAsia="Calibri" w:hAnsi="Calibri" w:cs="Calibri"/>
          <w:b/>
          <w:bCs/>
          <w:sz w:val="22"/>
          <w:szCs w:val="22"/>
        </w:rPr>
      </w:pPr>
    </w:p>
    <w:p w14:paraId="52700DB4" w14:textId="03CA6FA8" w:rsidR="00536E56" w:rsidRPr="005819A6" w:rsidRDefault="00536E56" w:rsidP="00C97A74">
      <w:pPr>
        <w:spacing w:line="240" w:lineRule="auto"/>
        <w:rPr>
          <w:rFonts w:ascii="Calibri" w:eastAsia="Calibri" w:hAnsi="Calibri" w:cs="Calibri"/>
          <w:b/>
          <w:bCs/>
          <w:color w:val="FF0000"/>
          <w:sz w:val="22"/>
          <w:szCs w:val="22"/>
        </w:rPr>
      </w:pPr>
      <w:r w:rsidRPr="005819A6">
        <w:rPr>
          <w:rFonts w:ascii="Calibri" w:eastAsia="Calibri" w:hAnsi="Calibri" w:cs="Calibri"/>
          <w:b/>
          <w:bCs/>
          <w:color w:val="FF0000"/>
          <w:sz w:val="22"/>
          <w:szCs w:val="22"/>
        </w:rPr>
        <w:t>Measure 7-</w:t>
      </w:r>
      <w:r w:rsidR="005353DE" w:rsidRPr="005819A6">
        <w:rPr>
          <w:rFonts w:ascii="Calibri" w:eastAsia="Calibri" w:hAnsi="Calibri" w:cs="Calibri"/>
          <w:b/>
          <w:bCs/>
          <w:color w:val="FF0000"/>
          <w:sz w:val="22"/>
          <w:szCs w:val="22"/>
        </w:rPr>
        <w:t>Increase building energy efficiency by adopting Freen Building</w:t>
      </w:r>
      <w:r w:rsidR="00F31B69" w:rsidRPr="005819A6">
        <w:rPr>
          <w:rFonts w:ascii="Calibri" w:eastAsia="Calibri" w:hAnsi="Calibri" w:cs="Calibri"/>
          <w:b/>
          <w:bCs/>
          <w:color w:val="FF0000"/>
          <w:sz w:val="22"/>
          <w:szCs w:val="22"/>
        </w:rPr>
        <w:t xml:space="preserve"> Standards for major renovations; layout framework for Tribal Utility formation.</w:t>
      </w:r>
    </w:p>
    <w:p w14:paraId="6FC7A569" w14:textId="77777777" w:rsidR="00481B3B" w:rsidRDefault="00481B3B" w:rsidP="00481B3B">
      <w:pPr>
        <w:pStyle w:val="Default"/>
        <w:rPr>
          <w:color w:val="E61E28"/>
          <w:sz w:val="22"/>
          <w:szCs w:val="22"/>
        </w:rPr>
      </w:pPr>
      <w:r>
        <w:rPr>
          <w:color w:val="E61E28"/>
          <w:sz w:val="22"/>
          <w:szCs w:val="22"/>
        </w:rPr>
        <w:t xml:space="preserve">Introduce New Building Standards </w:t>
      </w:r>
    </w:p>
    <w:p w14:paraId="5921A9E6" w14:textId="77777777" w:rsidR="00481B3B" w:rsidRDefault="00481B3B" w:rsidP="00481B3B">
      <w:pPr>
        <w:pStyle w:val="Default"/>
        <w:rPr>
          <w:color w:val="E61E28"/>
          <w:sz w:val="22"/>
          <w:szCs w:val="22"/>
        </w:rPr>
      </w:pPr>
      <w:r>
        <w:rPr>
          <w:i/>
          <w:iCs/>
          <w:color w:val="E61E28"/>
          <w:sz w:val="22"/>
          <w:szCs w:val="22"/>
        </w:rPr>
        <w:t xml:space="preserve">Adopt Green Building Standards for Major Renovations </w:t>
      </w:r>
    </w:p>
    <w:p w14:paraId="7B7FC706" w14:textId="77777777" w:rsidR="00481B3B" w:rsidRDefault="00481B3B" w:rsidP="00481B3B">
      <w:pPr>
        <w:pStyle w:val="Default"/>
        <w:rPr>
          <w:sz w:val="22"/>
          <w:szCs w:val="22"/>
        </w:rPr>
      </w:pPr>
      <w:r>
        <w:rPr>
          <w:sz w:val="22"/>
          <w:szCs w:val="22"/>
        </w:rPr>
        <w:t xml:space="preserve">Green building standards are a comprehensive way to upgrade building systems for greater energy efficiency. Implementing energy codes and minimum efficiency standards facilitates emissions reduction for existing buildings and new construction. Green buildings tend to have HVAC (heating, ventilation, and air conditioning) and MEP (mechanical, electrical, plumbing) systems that are more efficient, more insulation, better window constructions, and can be all-electric. </w:t>
      </w:r>
    </w:p>
    <w:p w14:paraId="0506DFE6" w14:textId="700335A6" w:rsidR="00140628" w:rsidRDefault="00481B3B" w:rsidP="00481B3B">
      <w:pPr>
        <w:spacing w:line="240" w:lineRule="auto"/>
        <w:rPr>
          <w:sz w:val="22"/>
          <w:szCs w:val="22"/>
        </w:rPr>
      </w:pPr>
      <w:r>
        <w:rPr>
          <w:b/>
          <w:bCs/>
          <w:sz w:val="22"/>
          <w:szCs w:val="22"/>
        </w:rPr>
        <w:t>Baseline emissions</w:t>
      </w:r>
      <w:r>
        <w:rPr>
          <w:sz w:val="22"/>
          <w:szCs w:val="22"/>
        </w:rPr>
        <w:t>: All Buildings Scope 1+2 emissions for the Tribes are the baseline for this reduction measure.</w:t>
      </w:r>
    </w:p>
    <w:p w14:paraId="73795569" w14:textId="77777777" w:rsidR="001B1B74" w:rsidRDefault="001B1B74" w:rsidP="001B1B74">
      <w:pPr>
        <w:pStyle w:val="Default"/>
        <w:rPr>
          <w:sz w:val="22"/>
          <w:szCs w:val="22"/>
        </w:rPr>
      </w:pPr>
      <w:r>
        <w:rPr>
          <w:b/>
          <w:bCs/>
          <w:sz w:val="22"/>
          <w:szCs w:val="22"/>
        </w:rPr>
        <w:t>Key assumptions</w:t>
      </w:r>
      <w:r>
        <w:rPr>
          <w:sz w:val="22"/>
          <w:szCs w:val="22"/>
        </w:rPr>
        <w:t xml:space="preserve">: </w:t>
      </w:r>
    </w:p>
    <w:p w14:paraId="10CE8659" w14:textId="6FFA882B" w:rsidR="001B1B74" w:rsidRDefault="001B1B74" w:rsidP="001B1B74">
      <w:pPr>
        <w:pStyle w:val="Default"/>
        <w:ind w:left="720"/>
        <w:rPr>
          <w:sz w:val="22"/>
          <w:szCs w:val="22"/>
        </w:rPr>
      </w:pPr>
      <w:r>
        <w:rPr>
          <w:sz w:val="22"/>
          <w:szCs w:val="22"/>
        </w:rPr>
        <w:t xml:space="preserve">•Adoption of green building codes for major renovation projects save </w:t>
      </w:r>
      <w:r w:rsidR="00CF2EA4">
        <w:rPr>
          <w:sz w:val="22"/>
          <w:szCs w:val="22"/>
        </w:rPr>
        <w:t xml:space="preserve">10.7 % </w:t>
      </w:r>
      <w:r w:rsidR="001A6C68">
        <w:rPr>
          <w:sz w:val="22"/>
          <w:szCs w:val="22"/>
        </w:rPr>
        <w:t xml:space="preserve">for MI </w:t>
      </w:r>
      <w:r w:rsidR="001A6C68">
        <w:rPr>
          <w:rStyle w:val="FootnoteReference"/>
          <w:sz w:val="22"/>
          <w:szCs w:val="22"/>
        </w:rPr>
        <w:footnoteReference w:id="18"/>
      </w:r>
      <w:r>
        <w:rPr>
          <w:sz w:val="22"/>
          <w:szCs w:val="22"/>
        </w:rPr>
        <w:t>estimated by the USDOE.</w:t>
      </w:r>
    </w:p>
    <w:p w14:paraId="2E0884B4" w14:textId="77777777" w:rsidR="006A179D" w:rsidRDefault="006A179D" w:rsidP="001B1B74">
      <w:pPr>
        <w:pStyle w:val="Default"/>
        <w:ind w:left="720"/>
        <w:rPr>
          <w:sz w:val="22"/>
          <w:szCs w:val="22"/>
        </w:rPr>
      </w:pPr>
    </w:p>
    <w:p w14:paraId="4BA13881" w14:textId="519DFDCB" w:rsidR="006A179D" w:rsidRPr="006A179D" w:rsidRDefault="006A179D" w:rsidP="001B1B74">
      <w:pPr>
        <w:pStyle w:val="Default"/>
        <w:ind w:left="720"/>
        <w:rPr>
          <w:b/>
          <w:bCs/>
          <w:sz w:val="22"/>
          <w:szCs w:val="22"/>
        </w:rPr>
      </w:pPr>
      <w:r>
        <w:rPr>
          <w:b/>
          <w:bCs/>
          <w:sz w:val="22"/>
          <w:szCs w:val="22"/>
        </w:rPr>
        <w:t xml:space="preserve">Table 13 Emission </w:t>
      </w:r>
      <w:r w:rsidR="00EB54DD">
        <w:rPr>
          <w:b/>
          <w:bCs/>
          <w:sz w:val="22"/>
          <w:szCs w:val="22"/>
        </w:rPr>
        <w:t>Factors by Building type</w:t>
      </w:r>
    </w:p>
    <w:tbl>
      <w:tblPr>
        <w:tblStyle w:val="TableGrid"/>
        <w:tblW w:w="0" w:type="auto"/>
        <w:tblInd w:w="-113" w:type="dxa"/>
        <w:tblLook w:val="04A0" w:firstRow="1" w:lastRow="0" w:firstColumn="1" w:lastColumn="0" w:noHBand="0" w:noVBand="1"/>
      </w:tblPr>
      <w:tblGrid>
        <w:gridCol w:w="2854"/>
        <w:gridCol w:w="2895"/>
        <w:gridCol w:w="2881"/>
      </w:tblGrid>
      <w:tr w:rsidR="00C70E10" w14:paraId="60E41640" w14:textId="77777777" w:rsidTr="002715B1">
        <w:tc>
          <w:tcPr>
            <w:tcW w:w="2854" w:type="dxa"/>
          </w:tcPr>
          <w:p w14:paraId="12558015" w14:textId="77777777" w:rsidR="009C59D5" w:rsidRDefault="009C59D5" w:rsidP="001B1B74">
            <w:pPr>
              <w:pStyle w:val="Default"/>
              <w:rPr>
                <w:sz w:val="22"/>
                <w:szCs w:val="22"/>
              </w:rPr>
            </w:pPr>
          </w:p>
        </w:tc>
        <w:tc>
          <w:tcPr>
            <w:tcW w:w="2895" w:type="dxa"/>
          </w:tcPr>
          <w:p w14:paraId="751F4F70" w14:textId="5B08091E" w:rsidR="009C59D5" w:rsidRPr="002715B1" w:rsidRDefault="00146E5B" w:rsidP="001B1B74">
            <w:pPr>
              <w:pStyle w:val="Default"/>
              <w:rPr>
                <w:b/>
                <w:bCs/>
                <w:sz w:val="22"/>
                <w:szCs w:val="22"/>
              </w:rPr>
            </w:pPr>
            <w:r w:rsidRPr="002715B1">
              <w:rPr>
                <w:b/>
                <w:bCs/>
                <w:sz w:val="22"/>
                <w:szCs w:val="22"/>
              </w:rPr>
              <w:t>Number of Buildings</w:t>
            </w:r>
            <w:r w:rsidR="00C70E10" w:rsidRPr="002715B1">
              <w:rPr>
                <w:b/>
                <w:bCs/>
                <w:sz w:val="22"/>
                <w:szCs w:val="22"/>
              </w:rPr>
              <w:t>/units</w:t>
            </w:r>
          </w:p>
        </w:tc>
        <w:tc>
          <w:tcPr>
            <w:tcW w:w="2881" w:type="dxa"/>
          </w:tcPr>
          <w:p w14:paraId="21B971A3" w14:textId="77777777" w:rsidR="002715B1" w:rsidRPr="002715B1" w:rsidRDefault="002715B1" w:rsidP="002715B1">
            <w:pPr>
              <w:pStyle w:val="Default"/>
              <w:rPr>
                <w:rFonts w:ascii="Calibri" w:hAnsi="Calibri" w:cs="Calibri"/>
                <w:sz w:val="22"/>
                <w:szCs w:val="22"/>
              </w:rPr>
            </w:pPr>
            <w:r w:rsidRPr="002715B1">
              <w:rPr>
                <w:rFonts w:ascii="Calibri" w:hAnsi="Calibri" w:cs="Calibri"/>
                <w:b/>
                <w:bCs/>
                <w:sz w:val="22"/>
                <w:szCs w:val="22"/>
              </w:rPr>
              <w:t xml:space="preserve">Emissions factor (Metric Tons CO2e/Building or Unit) </w:t>
            </w:r>
          </w:p>
          <w:p w14:paraId="4D37632A" w14:textId="2461737F" w:rsidR="009C59D5" w:rsidRDefault="009C59D5" w:rsidP="001B1B74">
            <w:pPr>
              <w:pStyle w:val="Default"/>
              <w:rPr>
                <w:sz w:val="22"/>
                <w:szCs w:val="22"/>
              </w:rPr>
            </w:pPr>
          </w:p>
        </w:tc>
      </w:tr>
      <w:tr w:rsidR="00C70E10" w14:paraId="647BAF53" w14:textId="77777777" w:rsidTr="002715B1">
        <w:tc>
          <w:tcPr>
            <w:tcW w:w="2854" w:type="dxa"/>
          </w:tcPr>
          <w:p w14:paraId="293686D8" w14:textId="78AFD0FF" w:rsidR="009C59D5" w:rsidRPr="002715B1" w:rsidRDefault="00A04901" w:rsidP="001B1B74">
            <w:pPr>
              <w:pStyle w:val="Default"/>
              <w:rPr>
                <w:b/>
                <w:bCs/>
                <w:sz w:val="22"/>
                <w:szCs w:val="22"/>
              </w:rPr>
            </w:pPr>
            <w:r w:rsidRPr="002715B1">
              <w:rPr>
                <w:b/>
                <w:bCs/>
                <w:sz w:val="22"/>
                <w:szCs w:val="22"/>
              </w:rPr>
              <w:t>Residential Homes</w:t>
            </w:r>
          </w:p>
        </w:tc>
        <w:tc>
          <w:tcPr>
            <w:tcW w:w="2895" w:type="dxa"/>
          </w:tcPr>
          <w:p w14:paraId="2BDFCE08" w14:textId="1172A487" w:rsidR="009C59D5" w:rsidRDefault="00A04901" w:rsidP="001B1B74">
            <w:pPr>
              <w:pStyle w:val="Default"/>
              <w:rPr>
                <w:sz w:val="22"/>
                <w:szCs w:val="22"/>
              </w:rPr>
            </w:pPr>
            <w:r>
              <w:rPr>
                <w:sz w:val="22"/>
                <w:szCs w:val="22"/>
              </w:rPr>
              <w:t>700</w:t>
            </w:r>
          </w:p>
        </w:tc>
        <w:tc>
          <w:tcPr>
            <w:tcW w:w="2881" w:type="dxa"/>
          </w:tcPr>
          <w:p w14:paraId="43EFE046" w14:textId="792DE6E9" w:rsidR="009C59D5" w:rsidRDefault="00602FFD" w:rsidP="001B1B74">
            <w:pPr>
              <w:pStyle w:val="Default"/>
              <w:rPr>
                <w:sz w:val="22"/>
                <w:szCs w:val="22"/>
              </w:rPr>
            </w:pPr>
            <w:r>
              <w:rPr>
                <w:sz w:val="22"/>
                <w:szCs w:val="22"/>
              </w:rPr>
              <w:t xml:space="preserve">6.5 </w:t>
            </w:r>
          </w:p>
        </w:tc>
      </w:tr>
      <w:tr w:rsidR="00C70E10" w14:paraId="349B63DD" w14:textId="77777777" w:rsidTr="002715B1">
        <w:tc>
          <w:tcPr>
            <w:tcW w:w="2854" w:type="dxa"/>
          </w:tcPr>
          <w:p w14:paraId="7801F172" w14:textId="68ABC0A1" w:rsidR="009C59D5" w:rsidRPr="002715B1" w:rsidRDefault="00C70E10" w:rsidP="001B1B74">
            <w:pPr>
              <w:pStyle w:val="Default"/>
              <w:rPr>
                <w:b/>
                <w:bCs/>
                <w:sz w:val="22"/>
                <w:szCs w:val="22"/>
              </w:rPr>
            </w:pPr>
            <w:r w:rsidRPr="002715B1">
              <w:rPr>
                <w:b/>
                <w:bCs/>
                <w:sz w:val="22"/>
                <w:szCs w:val="22"/>
              </w:rPr>
              <w:t>Multi-family</w:t>
            </w:r>
          </w:p>
        </w:tc>
        <w:tc>
          <w:tcPr>
            <w:tcW w:w="2895" w:type="dxa"/>
          </w:tcPr>
          <w:p w14:paraId="7D988AA3" w14:textId="58436ABD" w:rsidR="009C59D5" w:rsidRDefault="00C70E10" w:rsidP="001B1B74">
            <w:pPr>
              <w:pStyle w:val="Default"/>
              <w:rPr>
                <w:sz w:val="22"/>
                <w:szCs w:val="22"/>
              </w:rPr>
            </w:pPr>
            <w:r>
              <w:rPr>
                <w:sz w:val="22"/>
                <w:szCs w:val="22"/>
              </w:rPr>
              <w:t>20</w:t>
            </w:r>
          </w:p>
        </w:tc>
        <w:tc>
          <w:tcPr>
            <w:tcW w:w="2881" w:type="dxa"/>
          </w:tcPr>
          <w:p w14:paraId="600B8287" w14:textId="1471E91F" w:rsidR="009C59D5" w:rsidRDefault="00B3744A" w:rsidP="001B1B74">
            <w:pPr>
              <w:pStyle w:val="Default"/>
              <w:rPr>
                <w:sz w:val="22"/>
                <w:szCs w:val="22"/>
              </w:rPr>
            </w:pPr>
            <w:r>
              <w:rPr>
                <w:sz w:val="22"/>
                <w:szCs w:val="22"/>
              </w:rPr>
              <w:t>6.5</w:t>
            </w:r>
          </w:p>
        </w:tc>
      </w:tr>
      <w:tr w:rsidR="00C70E10" w14:paraId="4D083286" w14:textId="77777777" w:rsidTr="002715B1">
        <w:tc>
          <w:tcPr>
            <w:tcW w:w="2854" w:type="dxa"/>
          </w:tcPr>
          <w:p w14:paraId="4852E190" w14:textId="59E8803E" w:rsidR="009C59D5" w:rsidRPr="002715B1" w:rsidRDefault="00C70E10" w:rsidP="001B1B74">
            <w:pPr>
              <w:pStyle w:val="Default"/>
              <w:rPr>
                <w:b/>
                <w:bCs/>
                <w:sz w:val="22"/>
                <w:szCs w:val="22"/>
              </w:rPr>
            </w:pPr>
            <w:r w:rsidRPr="002715B1">
              <w:rPr>
                <w:b/>
                <w:bCs/>
                <w:sz w:val="22"/>
                <w:szCs w:val="22"/>
              </w:rPr>
              <w:t>Commercial</w:t>
            </w:r>
          </w:p>
        </w:tc>
        <w:tc>
          <w:tcPr>
            <w:tcW w:w="2895" w:type="dxa"/>
          </w:tcPr>
          <w:p w14:paraId="2EA427B5" w14:textId="53413511" w:rsidR="009C59D5" w:rsidRDefault="00C70E10" w:rsidP="001B1B74">
            <w:pPr>
              <w:pStyle w:val="Default"/>
              <w:rPr>
                <w:sz w:val="22"/>
                <w:szCs w:val="22"/>
              </w:rPr>
            </w:pPr>
            <w:r>
              <w:rPr>
                <w:sz w:val="22"/>
                <w:szCs w:val="22"/>
              </w:rPr>
              <w:t>51</w:t>
            </w:r>
          </w:p>
        </w:tc>
        <w:tc>
          <w:tcPr>
            <w:tcW w:w="2881" w:type="dxa"/>
          </w:tcPr>
          <w:p w14:paraId="6A940EC9" w14:textId="52A49A48" w:rsidR="009C59D5" w:rsidRDefault="00797245" w:rsidP="001B1B74">
            <w:pPr>
              <w:pStyle w:val="Default"/>
              <w:rPr>
                <w:sz w:val="22"/>
                <w:szCs w:val="22"/>
              </w:rPr>
            </w:pPr>
            <w:r>
              <w:rPr>
                <w:sz w:val="22"/>
                <w:szCs w:val="22"/>
              </w:rPr>
              <w:t>73.8</w:t>
            </w:r>
          </w:p>
        </w:tc>
      </w:tr>
    </w:tbl>
    <w:p w14:paraId="4AF9FAD3" w14:textId="77777777" w:rsidR="009C59D5" w:rsidRDefault="009C59D5" w:rsidP="001B1B74">
      <w:pPr>
        <w:pStyle w:val="Default"/>
        <w:ind w:left="720"/>
        <w:rPr>
          <w:sz w:val="22"/>
          <w:szCs w:val="22"/>
        </w:rPr>
      </w:pPr>
    </w:p>
    <w:p w14:paraId="58F6CD35" w14:textId="15BDF19C" w:rsidR="001B1B74" w:rsidRDefault="004E53DF" w:rsidP="00481B3B">
      <w:pPr>
        <w:spacing w:line="240" w:lineRule="auto"/>
        <w:rPr>
          <w:rFonts w:ascii="Calibri" w:eastAsia="Calibri" w:hAnsi="Calibri" w:cs="Calibri"/>
          <w:sz w:val="22"/>
          <w:szCs w:val="22"/>
        </w:rPr>
      </w:pPr>
      <w:r w:rsidRPr="004E53DF">
        <w:rPr>
          <w:rFonts w:ascii="Calibri" w:eastAsia="Calibri" w:hAnsi="Calibri" w:cs="Calibri"/>
          <w:b/>
          <w:bCs/>
          <w:sz w:val="22"/>
          <w:szCs w:val="22"/>
        </w:rPr>
        <w:t xml:space="preserve">Emissions Methodology: </w:t>
      </w:r>
      <w:r w:rsidRPr="004E53DF">
        <w:rPr>
          <w:rFonts w:ascii="Calibri" w:eastAsia="Calibri" w:hAnsi="Calibri" w:cs="Calibri"/>
          <w:sz w:val="22"/>
          <w:szCs w:val="22"/>
        </w:rPr>
        <w:t xml:space="preserve">The Scope 1+2 emissions from all buildings in the Tribe is divided by number of total number of buildings to get a scaling factor. </w:t>
      </w:r>
      <w:r w:rsidR="00EB3BBB">
        <w:rPr>
          <w:rFonts w:ascii="Calibri" w:eastAsia="Calibri" w:hAnsi="Calibri" w:cs="Calibri"/>
          <w:sz w:val="22"/>
          <w:szCs w:val="22"/>
        </w:rPr>
        <w:t xml:space="preserve">Residential factor </w:t>
      </w:r>
      <w:proofErr w:type="gramStart"/>
      <w:r w:rsidR="00EB3BBB">
        <w:rPr>
          <w:rFonts w:ascii="Calibri" w:eastAsia="Calibri" w:hAnsi="Calibri" w:cs="Calibri"/>
          <w:sz w:val="22"/>
          <w:szCs w:val="22"/>
        </w:rPr>
        <w:t>=(</w:t>
      </w:r>
      <w:proofErr w:type="gramEnd"/>
      <w:r w:rsidR="00EB3BBB">
        <w:rPr>
          <w:rFonts w:ascii="Calibri" w:eastAsia="Calibri" w:hAnsi="Calibri" w:cs="Calibri"/>
          <w:sz w:val="22"/>
          <w:szCs w:val="22"/>
        </w:rPr>
        <w:t>1209+</w:t>
      </w:r>
      <w:r w:rsidR="000F052B">
        <w:rPr>
          <w:rFonts w:ascii="Calibri" w:eastAsia="Calibri" w:hAnsi="Calibri" w:cs="Calibri"/>
          <w:sz w:val="22"/>
          <w:szCs w:val="22"/>
        </w:rPr>
        <w:t xml:space="preserve"> </w:t>
      </w:r>
      <w:r w:rsidR="005B4148">
        <w:rPr>
          <w:rFonts w:ascii="Calibri" w:eastAsia="Calibri" w:hAnsi="Calibri" w:cs="Calibri"/>
          <w:sz w:val="22"/>
          <w:szCs w:val="22"/>
        </w:rPr>
        <w:t>333</w:t>
      </w:r>
      <w:r w:rsidR="00EC3029">
        <w:rPr>
          <w:rFonts w:ascii="Calibri" w:eastAsia="Calibri" w:hAnsi="Calibri" w:cs="Calibri"/>
          <w:sz w:val="22"/>
          <w:szCs w:val="22"/>
        </w:rPr>
        <w:t>8.7) ÷ 700</w:t>
      </w:r>
      <w:r w:rsidR="004F45C5">
        <w:rPr>
          <w:rFonts w:ascii="Calibri" w:eastAsia="Calibri" w:hAnsi="Calibri" w:cs="Calibri"/>
          <w:sz w:val="22"/>
          <w:szCs w:val="22"/>
        </w:rPr>
        <w:t xml:space="preserve"> </w:t>
      </w:r>
      <w:r w:rsidR="000F052B">
        <w:rPr>
          <w:rFonts w:ascii="Calibri" w:eastAsia="Calibri" w:hAnsi="Calibri" w:cs="Calibri"/>
          <w:sz w:val="22"/>
          <w:szCs w:val="22"/>
        </w:rPr>
        <w:t>Commercial =(1000+</w:t>
      </w:r>
      <w:r w:rsidR="00BC6191">
        <w:rPr>
          <w:rFonts w:ascii="Calibri" w:eastAsia="Calibri" w:hAnsi="Calibri" w:cs="Calibri"/>
          <w:sz w:val="22"/>
          <w:szCs w:val="22"/>
        </w:rPr>
        <w:t>2764.5) ÷ 51</w:t>
      </w:r>
      <w:r w:rsidR="00797245">
        <w:rPr>
          <w:rFonts w:ascii="Calibri" w:eastAsia="Calibri" w:hAnsi="Calibri" w:cs="Calibri"/>
          <w:sz w:val="22"/>
          <w:szCs w:val="22"/>
        </w:rPr>
        <w:t xml:space="preserve"> =</w:t>
      </w:r>
      <w:r w:rsidRPr="004E53DF">
        <w:rPr>
          <w:rFonts w:ascii="Calibri" w:eastAsia="Calibri" w:hAnsi="Calibri" w:cs="Calibri"/>
          <w:sz w:val="22"/>
          <w:szCs w:val="22"/>
        </w:rPr>
        <w:t>This factor is used to calculate baseline emissions from the planned number of buildings to be renovated and adopt green building standards. The baseline emissions are then multiplied by the percent savings estimate from the DOE to calculate the emissions reduction from green building standards.</w:t>
      </w:r>
    </w:p>
    <w:p w14:paraId="487D9C0E" w14:textId="793A40A5" w:rsidR="00372212" w:rsidRDefault="00372212" w:rsidP="00481B3B">
      <w:pPr>
        <w:spacing w:line="240" w:lineRule="auto"/>
        <w:rPr>
          <w:rFonts w:ascii="Calibri" w:eastAsia="Calibri" w:hAnsi="Calibri" w:cs="Calibri"/>
          <w:sz w:val="22"/>
          <w:szCs w:val="22"/>
        </w:rPr>
      </w:pPr>
      <w:r>
        <w:rPr>
          <w:rFonts w:ascii="Calibri" w:eastAsia="Calibri" w:hAnsi="Calibri" w:cs="Calibri"/>
          <w:sz w:val="22"/>
          <w:szCs w:val="22"/>
        </w:rPr>
        <w:t>Emissions calculation</w:t>
      </w:r>
      <w:r w:rsidR="00034659">
        <w:rPr>
          <w:rFonts w:ascii="Calibri" w:eastAsia="Calibri" w:hAnsi="Calibri" w:cs="Calibri"/>
          <w:sz w:val="22"/>
          <w:szCs w:val="22"/>
        </w:rPr>
        <w:t>:</w:t>
      </w:r>
    </w:p>
    <w:p w14:paraId="01F1C8AC" w14:textId="11BB06F0" w:rsidR="00034659" w:rsidRDefault="00A20CED" w:rsidP="00481B3B">
      <w:pPr>
        <w:spacing w:line="240" w:lineRule="auto"/>
        <w:rPr>
          <w:rFonts w:ascii="Calibri" w:eastAsia="Calibri" w:hAnsi="Calibri" w:cs="Calibri"/>
          <w:sz w:val="22"/>
          <w:szCs w:val="22"/>
        </w:rPr>
      </w:pPr>
      <w:r>
        <w:rPr>
          <w:rFonts w:ascii="Calibri" w:eastAsia="Calibri" w:hAnsi="Calibri" w:cs="Calibri"/>
          <w:sz w:val="22"/>
          <w:szCs w:val="22"/>
        </w:rPr>
        <w:lastRenderedPageBreak/>
        <w:t>[</w:t>
      </w:r>
      <w:r w:rsidR="00034659">
        <w:rPr>
          <w:rFonts w:ascii="Calibri" w:eastAsia="Calibri" w:hAnsi="Calibri" w:cs="Calibri"/>
          <w:sz w:val="22"/>
          <w:szCs w:val="22"/>
        </w:rPr>
        <w:t>(700+</w:t>
      </w:r>
      <w:proofErr w:type="gramStart"/>
      <w:r w:rsidR="00034659">
        <w:rPr>
          <w:rFonts w:ascii="Calibri" w:eastAsia="Calibri" w:hAnsi="Calibri" w:cs="Calibri"/>
          <w:sz w:val="22"/>
          <w:szCs w:val="22"/>
        </w:rPr>
        <w:t>20 )</w:t>
      </w:r>
      <w:proofErr w:type="gramEnd"/>
      <w:r w:rsidR="00034659">
        <w:rPr>
          <w:rFonts w:ascii="Calibri" w:eastAsia="Calibri" w:hAnsi="Calibri" w:cs="Calibri"/>
          <w:sz w:val="22"/>
          <w:szCs w:val="22"/>
        </w:rPr>
        <w:t xml:space="preserve"> x 6.5 MT CO2e</w:t>
      </w:r>
      <w:r w:rsidR="00D36889">
        <w:rPr>
          <w:rFonts w:ascii="Calibri" w:eastAsia="Calibri" w:hAnsi="Calibri" w:cs="Calibri"/>
          <w:sz w:val="22"/>
          <w:szCs w:val="22"/>
        </w:rPr>
        <w:t xml:space="preserve"> + </w:t>
      </w:r>
      <w:r>
        <w:rPr>
          <w:rFonts w:ascii="Calibri" w:eastAsia="Calibri" w:hAnsi="Calibri" w:cs="Calibri"/>
          <w:sz w:val="22"/>
          <w:szCs w:val="22"/>
        </w:rPr>
        <w:t>10 planned buildings to majorly renova</w:t>
      </w:r>
      <w:r w:rsidR="001433BA">
        <w:rPr>
          <w:rFonts w:ascii="Calibri" w:eastAsia="Calibri" w:hAnsi="Calibri" w:cs="Calibri"/>
          <w:sz w:val="22"/>
          <w:szCs w:val="22"/>
        </w:rPr>
        <w:t xml:space="preserve">te </w:t>
      </w:r>
      <w:r w:rsidR="00D36889">
        <w:rPr>
          <w:rFonts w:ascii="Calibri" w:eastAsia="Calibri" w:hAnsi="Calibri" w:cs="Calibri"/>
          <w:sz w:val="22"/>
          <w:szCs w:val="22"/>
        </w:rPr>
        <w:t>x 73.8  MT CO2e]</w:t>
      </w:r>
      <w:r>
        <w:rPr>
          <w:rFonts w:ascii="Calibri" w:eastAsia="Calibri" w:hAnsi="Calibri" w:cs="Calibri"/>
          <w:sz w:val="22"/>
          <w:szCs w:val="22"/>
        </w:rPr>
        <w:t xml:space="preserve"> x .107</w:t>
      </w:r>
      <w:r w:rsidR="00211BB5">
        <w:rPr>
          <w:rFonts w:ascii="Calibri" w:eastAsia="Calibri" w:hAnsi="Calibri" w:cs="Calibri"/>
          <w:sz w:val="22"/>
          <w:szCs w:val="22"/>
        </w:rPr>
        <w:t>=</w:t>
      </w:r>
      <w:r w:rsidR="0052792A">
        <w:rPr>
          <w:rFonts w:ascii="Calibri" w:eastAsia="Calibri" w:hAnsi="Calibri" w:cs="Calibri"/>
          <w:sz w:val="22"/>
          <w:szCs w:val="22"/>
        </w:rPr>
        <w:t>5</w:t>
      </w:r>
      <w:r w:rsidR="00F67433">
        <w:rPr>
          <w:rFonts w:ascii="Calibri" w:eastAsia="Calibri" w:hAnsi="Calibri" w:cs="Calibri"/>
          <w:sz w:val="22"/>
          <w:szCs w:val="22"/>
        </w:rPr>
        <w:t>79.7 MT CO</w:t>
      </w:r>
      <w:r w:rsidR="00F67433">
        <w:rPr>
          <w:rFonts w:ascii="Calibri" w:eastAsia="Calibri" w:hAnsi="Calibri" w:cs="Calibri"/>
          <w:sz w:val="22"/>
          <w:szCs w:val="22"/>
          <w:vertAlign w:val="subscript"/>
        </w:rPr>
        <w:t>2</w:t>
      </w:r>
      <w:r w:rsidR="00F67433">
        <w:rPr>
          <w:rFonts w:ascii="Calibri" w:eastAsia="Calibri" w:hAnsi="Calibri" w:cs="Calibri"/>
          <w:sz w:val="22"/>
          <w:szCs w:val="22"/>
        </w:rPr>
        <w:t>equivalent by 2030</w:t>
      </w:r>
      <w:r w:rsidR="005A5821">
        <w:rPr>
          <w:rFonts w:ascii="Calibri" w:eastAsia="Calibri" w:hAnsi="Calibri" w:cs="Calibri"/>
          <w:sz w:val="22"/>
          <w:szCs w:val="22"/>
        </w:rPr>
        <w:t xml:space="preserve">.  </w:t>
      </w:r>
      <w:r w:rsidR="000C1038">
        <w:rPr>
          <w:rFonts w:ascii="Calibri" w:eastAsia="Calibri" w:hAnsi="Calibri" w:cs="Calibri"/>
          <w:sz w:val="22"/>
          <w:szCs w:val="22"/>
        </w:rPr>
        <w:t xml:space="preserve">Assume </w:t>
      </w:r>
      <w:r w:rsidR="00434D2E">
        <w:rPr>
          <w:rFonts w:ascii="Calibri" w:eastAsia="Calibri" w:hAnsi="Calibri" w:cs="Calibri"/>
          <w:sz w:val="22"/>
          <w:szCs w:val="22"/>
        </w:rPr>
        <w:t xml:space="preserve">rest of governmental </w:t>
      </w:r>
      <w:r w:rsidR="007422C2">
        <w:rPr>
          <w:rFonts w:ascii="Calibri" w:eastAsia="Calibri" w:hAnsi="Calibri" w:cs="Calibri"/>
          <w:sz w:val="22"/>
          <w:szCs w:val="22"/>
        </w:rPr>
        <w:t>buildings</w:t>
      </w:r>
      <w:r w:rsidR="00434D2E">
        <w:rPr>
          <w:rFonts w:ascii="Calibri" w:eastAsia="Calibri" w:hAnsi="Calibri" w:cs="Calibri"/>
          <w:sz w:val="22"/>
          <w:szCs w:val="22"/>
        </w:rPr>
        <w:t xml:space="preserve"> by 2050 </w:t>
      </w:r>
      <w:r w:rsidR="00A667AE">
        <w:rPr>
          <w:rFonts w:ascii="Calibri" w:eastAsia="Calibri" w:hAnsi="Calibri" w:cs="Calibri"/>
          <w:sz w:val="22"/>
          <w:szCs w:val="22"/>
        </w:rPr>
        <w:t>=41 planned buildings x 73.8</w:t>
      </w:r>
      <w:r w:rsidR="00655084">
        <w:rPr>
          <w:rFonts w:ascii="Calibri" w:eastAsia="Calibri" w:hAnsi="Calibri" w:cs="Calibri"/>
          <w:sz w:val="22"/>
          <w:szCs w:val="22"/>
        </w:rPr>
        <w:t xml:space="preserve"> x 10.7% =</w:t>
      </w:r>
      <w:r w:rsidR="0051076D">
        <w:rPr>
          <w:rFonts w:ascii="Calibri" w:eastAsia="Calibri" w:hAnsi="Calibri" w:cs="Calibri"/>
          <w:sz w:val="22"/>
          <w:szCs w:val="22"/>
        </w:rPr>
        <w:t>323.4</w:t>
      </w:r>
      <w:r w:rsidR="00927432">
        <w:rPr>
          <w:rFonts w:ascii="Calibri" w:eastAsia="Calibri" w:hAnsi="Calibri" w:cs="Calibri"/>
          <w:sz w:val="22"/>
          <w:szCs w:val="22"/>
        </w:rPr>
        <w:t>.</w:t>
      </w:r>
      <w:r w:rsidR="0051076D">
        <w:rPr>
          <w:rFonts w:ascii="Calibri" w:eastAsia="Calibri" w:hAnsi="Calibri" w:cs="Calibri"/>
          <w:sz w:val="22"/>
          <w:szCs w:val="22"/>
        </w:rPr>
        <w:t xml:space="preserve"> The total for 2050 would be </w:t>
      </w:r>
      <w:r w:rsidR="000B5699">
        <w:rPr>
          <w:rFonts w:ascii="Calibri" w:eastAsia="Calibri" w:hAnsi="Calibri" w:cs="Calibri"/>
          <w:sz w:val="22"/>
          <w:szCs w:val="22"/>
        </w:rPr>
        <w:t>323.4 x 20 years=</w:t>
      </w:r>
      <w:r w:rsidR="00B93D0E">
        <w:rPr>
          <w:rFonts w:ascii="Calibri" w:eastAsia="Calibri" w:hAnsi="Calibri" w:cs="Calibri"/>
          <w:sz w:val="22"/>
          <w:szCs w:val="22"/>
        </w:rPr>
        <w:t>6.468</w:t>
      </w:r>
      <w:r w:rsidR="00685E12">
        <w:rPr>
          <w:rFonts w:ascii="Calibri" w:eastAsia="Calibri" w:hAnsi="Calibri" w:cs="Calibri"/>
          <w:sz w:val="22"/>
          <w:szCs w:val="22"/>
        </w:rPr>
        <w:t xml:space="preserve"> MT CO</w:t>
      </w:r>
      <w:r w:rsidR="00685E12">
        <w:rPr>
          <w:rFonts w:ascii="Calibri" w:eastAsia="Calibri" w:hAnsi="Calibri" w:cs="Calibri"/>
          <w:sz w:val="22"/>
          <w:szCs w:val="22"/>
          <w:vertAlign w:val="subscript"/>
        </w:rPr>
        <w:t xml:space="preserve">2 </w:t>
      </w:r>
      <w:r w:rsidR="00862447">
        <w:rPr>
          <w:rFonts w:ascii="Calibri" w:eastAsia="Calibri" w:hAnsi="Calibri" w:cs="Calibri"/>
          <w:sz w:val="22"/>
          <w:szCs w:val="22"/>
        </w:rPr>
        <w:t xml:space="preserve">equivalent.  </w:t>
      </w:r>
    </w:p>
    <w:p w14:paraId="21742DF8" w14:textId="77777777" w:rsidR="00862447" w:rsidRPr="00862447" w:rsidRDefault="00862447" w:rsidP="00481B3B">
      <w:pPr>
        <w:spacing w:line="240" w:lineRule="auto"/>
        <w:rPr>
          <w:rFonts w:ascii="Calibri" w:eastAsia="Calibri" w:hAnsi="Calibri" w:cs="Calibri"/>
          <w:b/>
          <w:bCs/>
          <w:sz w:val="22"/>
          <w:szCs w:val="22"/>
        </w:rPr>
      </w:pPr>
    </w:p>
    <w:p w14:paraId="1F51FC90" w14:textId="123267CE" w:rsidR="00F96858" w:rsidRPr="005819A6" w:rsidRDefault="00F96858" w:rsidP="00C97A74">
      <w:pPr>
        <w:spacing w:line="240" w:lineRule="auto"/>
        <w:rPr>
          <w:rFonts w:ascii="Calibri" w:eastAsia="Calibri" w:hAnsi="Calibri" w:cs="Calibri"/>
          <w:b/>
          <w:bCs/>
          <w:color w:val="FF0000"/>
          <w:sz w:val="22"/>
          <w:szCs w:val="22"/>
        </w:rPr>
      </w:pPr>
      <w:r w:rsidRPr="005819A6">
        <w:rPr>
          <w:rFonts w:ascii="Calibri" w:eastAsia="Calibri" w:hAnsi="Calibri" w:cs="Calibri"/>
          <w:b/>
          <w:bCs/>
          <w:color w:val="FF0000"/>
          <w:sz w:val="22"/>
          <w:szCs w:val="22"/>
        </w:rPr>
        <w:t xml:space="preserve">Measure </w:t>
      </w:r>
      <w:r w:rsidR="00E62648" w:rsidRPr="005819A6">
        <w:rPr>
          <w:rFonts w:ascii="Calibri" w:eastAsia="Calibri" w:hAnsi="Calibri" w:cs="Calibri"/>
          <w:b/>
          <w:bCs/>
          <w:color w:val="FF0000"/>
          <w:sz w:val="22"/>
          <w:szCs w:val="22"/>
        </w:rPr>
        <w:t>8-Increase building energy efficiency for commercial buildings by electrifying heat equipment</w:t>
      </w:r>
      <w:r w:rsidR="00386CAE" w:rsidRPr="005819A6">
        <w:rPr>
          <w:rFonts w:ascii="Calibri" w:eastAsia="Calibri" w:hAnsi="Calibri" w:cs="Calibri"/>
          <w:b/>
          <w:bCs/>
          <w:color w:val="FF0000"/>
          <w:sz w:val="22"/>
          <w:szCs w:val="22"/>
        </w:rPr>
        <w:t>.</w:t>
      </w:r>
      <w:r w:rsidR="00C43159" w:rsidRPr="005819A6">
        <w:rPr>
          <w:rFonts w:ascii="Calibri" w:eastAsia="Calibri" w:hAnsi="Calibri" w:cs="Calibri"/>
          <w:b/>
          <w:bCs/>
          <w:color w:val="FF0000"/>
          <w:sz w:val="22"/>
          <w:szCs w:val="22"/>
        </w:rPr>
        <w:t xml:space="preserve"> </w:t>
      </w:r>
    </w:p>
    <w:p w14:paraId="61AA8E04" w14:textId="244B3753" w:rsidR="00C43159" w:rsidRDefault="00D92193" w:rsidP="00C97A74">
      <w:pPr>
        <w:spacing w:line="240" w:lineRule="auto"/>
        <w:rPr>
          <w:rFonts w:ascii="Calibri" w:eastAsia="Calibri" w:hAnsi="Calibri" w:cs="Calibri"/>
          <w:sz w:val="22"/>
          <w:szCs w:val="22"/>
        </w:rPr>
      </w:pPr>
      <w:r>
        <w:rPr>
          <w:rFonts w:ascii="Calibri" w:eastAsia="Calibri" w:hAnsi="Calibri" w:cs="Calibri"/>
          <w:sz w:val="22"/>
          <w:szCs w:val="22"/>
        </w:rPr>
        <w:t>Using the same method as describe in Measure 6, there are 18,</w:t>
      </w:r>
      <w:r w:rsidR="00AA0CFF">
        <w:rPr>
          <w:rFonts w:ascii="Calibri" w:eastAsia="Calibri" w:hAnsi="Calibri" w:cs="Calibri"/>
          <w:sz w:val="22"/>
          <w:szCs w:val="22"/>
        </w:rPr>
        <w:t>234 mc</w:t>
      </w:r>
      <w:r w:rsidR="008E6E5B">
        <w:rPr>
          <w:rFonts w:ascii="Calibri" w:eastAsia="Calibri" w:hAnsi="Calibri" w:cs="Calibri"/>
          <w:sz w:val="22"/>
          <w:szCs w:val="22"/>
        </w:rPr>
        <w:t>f</w:t>
      </w:r>
      <w:r w:rsidR="00536E56">
        <w:rPr>
          <w:rFonts w:ascii="Calibri" w:eastAsia="Calibri" w:hAnsi="Calibri" w:cs="Calibri"/>
          <w:sz w:val="22"/>
          <w:szCs w:val="22"/>
        </w:rPr>
        <w:t xml:space="preserve"> (see Table 12)</w:t>
      </w:r>
      <w:r w:rsidR="008E6E5B">
        <w:rPr>
          <w:rFonts w:ascii="Calibri" w:eastAsia="Calibri" w:hAnsi="Calibri" w:cs="Calibri"/>
          <w:sz w:val="22"/>
          <w:szCs w:val="22"/>
        </w:rPr>
        <w:t xml:space="preserve"> for commercial buildings.  The Tribe plans on electrifying 10 out 51 of their buildings or </w:t>
      </w:r>
      <w:r w:rsidR="00026A6D">
        <w:rPr>
          <w:rFonts w:ascii="Calibri" w:eastAsia="Calibri" w:hAnsi="Calibri" w:cs="Calibri"/>
          <w:sz w:val="22"/>
          <w:szCs w:val="22"/>
        </w:rPr>
        <w:t>10 ÷51 x 18234 mcf =</w:t>
      </w:r>
      <w:r w:rsidR="009F1DDB">
        <w:rPr>
          <w:rFonts w:ascii="Calibri" w:eastAsia="Calibri" w:hAnsi="Calibri" w:cs="Calibri"/>
          <w:sz w:val="22"/>
          <w:szCs w:val="22"/>
        </w:rPr>
        <w:t xml:space="preserve"> 3,576 mcf.</w:t>
      </w:r>
    </w:p>
    <w:p w14:paraId="3EC243DC" w14:textId="77777777" w:rsidR="009F1DDB" w:rsidRDefault="009F1DDB" w:rsidP="00C97A74">
      <w:pPr>
        <w:spacing w:line="240" w:lineRule="auto"/>
        <w:rPr>
          <w:rFonts w:ascii="Calibri" w:eastAsia="Calibri" w:hAnsi="Calibri" w:cs="Calibri"/>
          <w:sz w:val="22"/>
          <w:szCs w:val="22"/>
        </w:rPr>
      </w:pPr>
    </w:p>
    <w:p w14:paraId="7822E361" w14:textId="38F4CAFF" w:rsidR="009F1DDB" w:rsidRDefault="009F1DDB" w:rsidP="00C97A74">
      <w:pPr>
        <w:spacing w:line="240" w:lineRule="auto"/>
        <w:rPr>
          <w:rFonts w:ascii="Calibri" w:eastAsia="Calibri" w:hAnsi="Calibri" w:cs="Calibri"/>
          <w:sz w:val="22"/>
          <w:szCs w:val="22"/>
        </w:rPr>
      </w:pPr>
      <w:r>
        <w:rPr>
          <w:rFonts w:ascii="Calibri" w:eastAsia="Calibri" w:hAnsi="Calibri" w:cs="Calibri"/>
          <w:sz w:val="22"/>
          <w:szCs w:val="22"/>
        </w:rPr>
        <w:t xml:space="preserve">The calculated reduction is 3,576 mcf x </w:t>
      </w:r>
      <w:r w:rsidR="00AE26A7">
        <w:rPr>
          <w:rFonts w:ascii="Calibri" w:eastAsia="Calibri" w:hAnsi="Calibri" w:cs="Calibri"/>
          <w:sz w:val="22"/>
          <w:szCs w:val="22"/>
        </w:rPr>
        <w:t xml:space="preserve">10.73 </w:t>
      </w:r>
      <w:proofErr w:type="spellStart"/>
      <w:r w:rsidR="00AE26A7">
        <w:rPr>
          <w:rFonts w:ascii="Calibri" w:eastAsia="Calibri" w:hAnsi="Calibri" w:cs="Calibri"/>
          <w:sz w:val="22"/>
          <w:szCs w:val="22"/>
        </w:rPr>
        <w:t>therms</w:t>
      </w:r>
      <w:proofErr w:type="spellEnd"/>
      <w:r w:rsidR="00AE26A7">
        <w:rPr>
          <w:rFonts w:ascii="Calibri" w:eastAsia="Calibri" w:hAnsi="Calibri" w:cs="Calibri"/>
          <w:sz w:val="22"/>
          <w:szCs w:val="22"/>
        </w:rPr>
        <w:t>/mcf x 29.3 kwh/</w:t>
      </w:r>
      <w:proofErr w:type="spellStart"/>
      <w:r w:rsidR="00AE26A7">
        <w:rPr>
          <w:rFonts w:ascii="Calibri" w:eastAsia="Calibri" w:hAnsi="Calibri" w:cs="Calibri"/>
          <w:sz w:val="22"/>
          <w:szCs w:val="22"/>
        </w:rPr>
        <w:t>therm</w:t>
      </w:r>
      <w:proofErr w:type="spellEnd"/>
      <w:r w:rsidR="00AE26A7">
        <w:rPr>
          <w:rFonts w:ascii="Calibri" w:eastAsia="Calibri" w:hAnsi="Calibri" w:cs="Calibri"/>
          <w:sz w:val="22"/>
          <w:szCs w:val="22"/>
        </w:rPr>
        <w:t xml:space="preserve"> x .8 COP Natural gas</w:t>
      </w:r>
      <w:r w:rsidR="00A6520D">
        <w:rPr>
          <w:rFonts w:ascii="Calibri" w:eastAsia="Calibri" w:hAnsi="Calibri" w:cs="Calibri"/>
          <w:sz w:val="22"/>
          <w:szCs w:val="22"/>
        </w:rPr>
        <w:t>/3.97 COP Heat Pump</w:t>
      </w:r>
      <w:r w:rsidR="009743B8">
        <w:rPr>
          <w:rFonts w:ascii="Calibri" w:eastAsia="Calibri" w:hAnsi="Calibri" w:cs="Calibri"/>
          <w:sz w:val="22"/>
          <w:szCs w:val="22"/>
        </w:rPr>
        <w:t xml:space="preserve">= </w:t>
      </w:r>
      <w:r w:rsidR="00821914">
        <w:rPr>
          <w:rFonts w:ascii="Calibri" w:eastAsia="Calibri" w:hAnsi="Calibri" w:cs="Calibri"/>
          <w:sz w:val="22"/>
          <w:szCs w:val="22"/>
        </w:rPr>
        <w:t>226, 550 kwh.  Using the EPA GHG equivalency calculator</w:t>
      </w:r>
      <w:r w:rsidR="00E75E2D">
        <w:rPr>
          <w:rStyle w:val="FootnoteReference"/>
          <w:rFonts w:ascii="Calibri" w:eastAsia="Calibri" w:hAnsi="Calibri" w:cs="Calibri"/>
          <w:sz w:val="22"/>
          <w:szCs w:val="22"/>
        </w:rPr>
        <w:footnoteReference w:id="19"/>
      </w:r>
      <w:r w:rsidR="00E32206">
        <w:rPr>
          <w:rFonts w:ascii="Calibri" w:eastAsia="Calibri" w:hAnsi="Calibri" w:cs="Calibri"/>
          <w:sz w:val="22"/>
          <w:szCs w:val="22"/>
        </w:rPr>
        <w:t xml:space="preserve"> =158 MT CO</w:t>
      </w:r>
      <w:r w:rsidR="00E32206">
        <w:rPr>
          <w:rFonts w:ascii="Calibri" w:eastAsia="Calibri" w:hAnsi="Calibri" w:cs="Calibri"/>
          <w:sz w:val="22"/>
          <w:szCs w:val="22"/>
          <w:vertAlign w:val="subscript"/>
        </w:rPr>
        <w:t xml:space="preserve">2 </w:t>
      </w:r>
      <w:r w:rsidR="00E32206">
        <w:rPr>
          <w:rFonts w:ascii="Calibri" w:eastAsia="Calibri" w:hAnsi="Calibri" w:cs="Calibri"/>
          <w:sz w:val="22"/>
          <w:szCs w:val="22"/>
        </w:rPr>
        <w:t xml:space="preserve">equivalent avoided by 2030.  To calculate the </w:t>
      </w:r>
      <w:r w:rsidR="00F8264E">
        <w:rPr>
          <w:rFonts w:ascii="Calibri" w:eastAsia="Calibri" w:hAnsi="Calibri" w:cs="Calibri"/>
          <w:sz w:val="22"/>
          <w:szCs w:val="22"/>
        </w:rPr>
        <w:t>reductions by 2050</w:t>
      </w:r>
      <w:r w:rsidR="009F7217">
        <w:rPr>
          <w:rFonts w:ascii="Calibri" w:eastAsia="Calibri" w:hAnsi="Calibri" w:cs="Calibri"/>
          <w:sz w:val="22"/>
          <w:szCs w:val="22"/>
        </w:rPr>
        <w:t xml:space="preserve">: </w:t>
      </w:r>
      <w:r w:rsidR="00F8264E">
        <w:rPr>
          <w:rFonts w:ascii="Calibri" w:eastAsia="Calibri" w:hAnsi="Calibri" w:cs="Calibri"/>
          <w:sz w:val="22"/>
          <w:szCs w:val="22"/>
        </w:rPr>
        <w:t>158</w:t>
      </w:r>
      <w:r w:rsidR="009B29CF">
        <w:rPr>
          <w:rFonts w:ascii="Calibri" w:eastAsia="Calibri" w:hAnsi="Calibri" w:cs="Calibri"/>
          <w:sz w:val="22"/>
          <w:szCs w:val="22"/>
        </w:rPr>
        <w:t xml:space="preserve"> MT CO</w:t>
      </w:r>
      <w:r w:rsidR="009B29CF">
        <w:rPr>
          <w:rFonts w:ascii="Calibri" w:eastAsia="Calibri" w:hAnsi="Calibri" w:cs="Calibri"/>
          <w:sz w:val="22"/>
          <w:szCs w:val="22"/>
          <w:vertAlign w:val="subscript"/>
        </w:rPr>
        <w:t xml:space="preserve">2 </w:t>
      </w:r>
      <w:r w:rsidR="009B29CF">
        <w:rPr>
          <w:rFonts w:ascii="Calibri" w:eastAsia="Calibri" w:hAnsi="Calibri" w:cs="Calibri"/>
          <w:sz w:val="22"/>
          <w:szCs w:val="22"/>
        </w:rPr>
        <w:t xml:space="preserve">equivalent </w:t>
      </w:r>
      <w:r w:rsidR="009F7217">
        <w:rPr>
          <w:rFonts w:ascii="Calibri" w:eastAsia="Calibri" w:hAnsi="Calibri" w:cs="Calibri"/>
          <w:sz w:val="22"/>
          <w:szCs w:val="22"/>
        </w:rPr>
        <w:t>x 20 years =</w:t>
      </w:r>
      <w:r w:rsidR="00EE0A64">
        <w:rPr>
          <w:rFonts w:ascii="Calibri" w:eastAsia="Calibri" w:hAnsi="Calibri" w:cs="Calibri"/>
          <w:sz w:val="22"/>
          <w:szCs w:val="22"/>
        </w:rPr>
        <w:t>3160 MT CO</w:t>
      </w:r>
      <w:r w:rsidR="00EE0A64">
        <w:rPr>
          <w:rFonts w:ascii="Calibri" w:eastAsia="Calibri" w:hAnsi="Calibri" w:cs="Calibri"/>
          <w:sz w:val="22"/>
          <w:szCs w:val="22"/>
          <w:vertAlign w:val="subscript"/>
        </w:rPr>
        <w:t>2</w:t>
      </w:r>
      <w:r w:rsidR="00EE0A64">
        <w:rPr>
          <w:rFonts w:ascii="Calibri" w:eastAsia="Calibri" w:hAnsi="Calibri" w:cs="Calibri"/>
          <w:sz w:val="22"/>
          <w:szCs w:val="22"/>
        </w:rPr>
        <w:t xml:space="preserve"> equivalent.  </w:t>
      </w:r>
    </w:p>
    <w:p w14:paraId="352566E4" w14:textId="30BF2E90" w:rsidR="00DE689A" w:rsidRDefault="00DE689A" w:rsidP="00C97A74">
      <w:pPr>
        <w:spacing w:line="240" w:lineRule="auto"/>
        <w:rPr>
          <w:rFonts w:ascii="Calibri" w:eastAsia="Calibri" w:hAnsi="Calibri" w:cs="Calibri"/>
          <w:sz w:val="22"/>
          <w:szCs w:val="22"/>
        </w:rPr>
      </w:pPr>
    </w:p>
    <w:p w14:paraId="4CEBE104" w14:textId="3EC8F26A" w:rsidR="00B41234" w:rsidRDefault="00B41234" w:rsidP="00C97A74">
      <w:pPr>
        <w:spacing w:line="240" w:lineRule="auto"/>
        <w:rPr>
          <w:rFonts w:ascii="Calibri" w:eastAsia="Calibri" w:hAnsi="Calibri" w:cs="Calibri"/>
          <w:b/>
          <w:bCs/>
          <w:color w:val="FF0000"/>
          <w:sz w:val="22"/>
          <w:szCs w:val="22"/>
        </w:rPr>
      </w:pPr>
      <w:r>
        <w:rPr>
          <w:rFonts w:ascii="Calibri" w:eastAsia="Calibri" w:hAnsi="Calibri" w:cs="Calibri"/>
          <w:b/>
          <w:bCs/>
          <w:color w:val="FF0000"/>
          <w:sz w:val="22"/>
          <w:szCs w:val="22"/>
        </w:rPr>
        <w:t>Measure 9-</w:t>
      </w:r>
      <w:r w:rsidR="00B27753">
        <w:rPr>
          <w:rFonts w:ascii="Calibri" w:eastAsia="Calibri" w:hAnsi="Calibri" w:cs="Calibri"/>
          <w:b/>
          <w:bCs/>
          <w:color w:val="FF0000"/>
          <w:sz w:val="22"/>
          <w:szCs w:val="22"/>
        </w:rPr>
        <w:t xml:space="preserve">Transportation Sector Measures-Replace 10 current government vehicle fleet with electric vehicles and install </w:t>
      </w:r>
      <w:r w:rsidR="00EA5A44">
        <w:rPr>
          <w:rFonts w:ascii="Calibri" w:eastAsia="Calibri" w:hAnsi="Calibri" w:cs="Calibri"/>
          <w:b/>
          <w:bCs/>
          <w:color w:val="FF0000"/>
          <w:sz w:val="22"/>
          <w:szCs w:val="22"/>
        </w:rPr>
        <w:t>charging stations.</w:t>
      </w:r>
    </w:p>
    <w:p w14:paraId="6F1E7C44" w14:textId="0914452F" w:rsidR="00EA5A44" w:rsidRDefault="00785B64" w:rsidP="00C97A74">
      <w:pPr>
        <w:spacing w:line="240" w:lineRule="auto"/>
        <w:rPr>
          <w:rFonts w:ascii="Calibri" w:eastAsia="Calibri" w:hAnsi="Calibri" w:cs="Calibri"/>
          <w:b/>
          <w:bCs/>
          <w:sz w:val="22"/>
          <w:szCs w:val="22"/>
        </w:rPr>
      </w:pPr>
      <w:r w:rsidRPr="008C468E">
        <w:rPr>
          <w:rFonts w:ascii="Calibri" w:eastAsia="Calibri" w:hAnsi="Calibri" w:cs="Calibri"/>
          <w:b/>
          <w:bCs/>
          <w:sz w:val="22"/>
          <w:szCs w:val="22"/>
        </w:rPr>
        <w:t>Table 14 Mobile MT CO2 equivalent emission</w:t>
      </w:r>
      <w:r w:rsidR="008C468E" w:rsidRPr="008C468E">
        <w:rPr>
          <w:rFonts w:ascii="Calibri" w:eastAsia="Calibri" w:hAnsi="Calibri" w:cs="Calibri"/>
          <w:b/>
          <w:bCs/>
          <w:sz w:val="22"/>
          <w:szCs w:val="22"/>
        </w:rPr>
        <w:t>s</w:t>
      </w:r>
    </w:p>
    <w:p w14:paraId="7D34311A" w14:textId="5D9D7FB6" w:rsidR="00FA0FFC" w:rsidRDefault="00843445" w:rsidP="00C97A74">
      <w:pPr>
        <w:spacing w:line="240" w:lineRule="auto"/>
        <w:rPr>
          <w:rFonts w:ascii="Calibri" w:eastAsia="Calibri" w:hAnsi="Calibri" w:cs="Calibri"/>
          <w:sz w:val="22"/>
          <w:szCs w:val="22"/>
        </w:rPr>
      </w:pPr>
      <w:r>
        <w:rPr>
          <w:rFonts w:ascii="Calibri" w:eastAsia="Calibri" w:hAnsi="Calibri" w:cs="Calibri"/>
          <w:sz w:val="22"/>
          <w:szCs w:val="22"/>
        </w:rPr>
        <w:t xml:space="preserve">This </w:t>
      </w:r>
      <w:r w:rsidRPr="00843445">
        <w:rPr>
          <w:rFonts w:ascii="Calibri" w:eastAsia="Calibri" w:hAnsi="Calibri" w:cs="Calibri"/>
          <w:sz w:val="22"/>
          <w:szCs w:val="22"/>
        </w:rPr>
        <w:t>measure</w:t>
      </w:r>
      <w:r>
        <w:rPr>
          <w:rFonts w:ascii="Calibri" w:eastAsia="Calibri" w:hAnsi="Calibri" w:cs="Calibri"/>
          <w:sz w:val="22"/>
          <w:szCs w:val="22"/>
        </w:rPr>
        <w:t xml:space="preserve"> is</w:t>
      </w:r>
      <w:r w:rsidRPr="00843445">
        <w:rPr>
          <w:rFonts w:ascii="Calibri" w:eastAsia="Calibri" w:hAnsi="Calibri" w:cs="Calibri"/>
          <w:sz w:val="22"/>
          <w:szCs w:val="22"/>
        </w:rPr>
        <w:t xml:space="preserve"> related to vehicle electrification </w:t>
      </w:r>
      <w:r>
        <w:rPr>
          <w:rFonts w:ascii="Calibri" w:eastAsia="Calibri" w:hAnsi="Calibri" w:cs="Calibri"/>
          <w:sz w:val="22"/>
          <w:szCs w:val="22"/>
        </w:rPr>
        <w:t>by</w:t>
      </w:r>
      <w:r w:rsidRPr="00843445">
        <w:rPr>
          <w:rFonts w:ascii="Calibri" w:eastAsia="Calibri" w:hAnsi="Calibri" w:cs="Calibri"/>
          <w:sz w:val="22"/>
          <w:szCs w:val="22"/>
        </w:rPr>
        <w:t xml:space="preserve"> providing EV infrastructure to influence EV adoption among passenger vehicles</w:t>
      </w:r>
      <w:r w:rsidR="00F156EE">
        <w:rPr>
          <w:rFonts w:ascii="Calibri" w:eastAsia="Calibri" w:hAnsi="Calibri" w:cs="Calibri"/>
          <w:sz w:val="22"/>
          <w:szCs w:val="22"/>
        </w:rPr>
        <w:t xml:space="preserve">.  </w:t>
      </w:r>
      <w:r w:rsidR="0083069F">
        <w:rPr>
          <w:rFonts w:ascii="Calibri" w:eastAsia="Calibri" w:hAnsi="Calibri" w:cs="Calibri"/>
          <w:sz w:val="22"/>
          <w:szCs w:val="22"/>
        </w:rPr>
        <w:t xml:space="preserve">It is assumed that there would be a </w:t>
      </w:r>
      <w:r w:rsidR="00951CAF">
        <w:rPr>
          <w:rFonts w:ascii="Calibri" w:eastAsia="Calibri" w:hAnsi="Calibri" w:cs="Calibri"/>
          <w:sz w:val="22"/>
          <w:szCs w:val="22"/>
        </w:rPr>
        <w:t>2</w:t>
      </w:r>
      <w:r w:rsidR="004963D7">
        <w:rPr>
          <w:rFonts w:ascii="Calibri" w:eastAsia="Calibri" w:hAnsi="Calibri" w:cs="Calibri"/>
          <w:sz w:val="22"/>
          <w:szCs w:val="22"/>
        </w:rPr>
        <w:t>5</w:t>
      </w:r>
      <w:r w:rsidR="00951CAF">
        <w:rPr>
          <w:rFonts w:ascii="Calibri" w:eastAsia="Calibri" w:hAnsi="Calibri" w:cs="Calibri"/>
          <w:sz w:val="22"/>
          <w:szCs w:val="22"/>
        </w:rPr>
        <w:t xml:space="preserve">% adoption by the Tribe and </w:t>
      </w:r>
      <w:r w:rsidR="00370E1E">
        <w:rPr>
          <w:rFonts w:ascii="Calibri" w:eastAsia="Calibri" w:hAnsi="Calibri" w:cs="Calibri"/>
          <w:sz w:val="22"/>
          <w:szCs w:val="22"/>
        </w:rPr>
        <w:t>2</w:t>
      </w:r>
      <w:r w:rsidR="004963D7">
        <w:rPr>
          <w:rFonts w:ascii="Calibri" w:eastAsia="Calibri" w:hAnsi="Calibri" w:cs="Calibri"/>
          <w:sz w:val="22"/>
          <w:szCs w:val="22"/>
        </w:rPr>
        <w:t>5</w:t>
      </w:r>
      <w:r w:rsidR="00370E1E">
        <w:rPr>
          <w:rFonts w:ascii="Calibri" w:eastAsia="Calibri" w:hAnsi="Calibri" w:cs="Calibri"/>
          <w:sz w:val="22"/>
          <w:szCs w:val="22"/>
        </w:rPr>
        <w:t>% by the local resident</w:t>
      </w:r>
      <w:r w:rsidR="005E3C70">
        <w:rPr>
          <w:rFonts w:ascii="Calibri" w:eastAsia="Calibri" w:hAnsi="Calibri" w:cs="Calibri"/>
          <w:sz w:val="22"/>
          <w:szCs w:val="22"/>
        </w:rPr>
        <w:t>ial Tribal members</w:t>
      </w:r>
      <w:r w:rsidR="00951CAF">
        <w:rPr>
          <w:rFonts w:ascii="Calibri" w:eastAsia="Calibri" w:hAnsi="Calibri" w:cs="Calibri"/>
          <w:sz w:val="22"/>
          <w:szCs w:val="22"/>
        </w:rPr>
        <w:t xml:space="preserve">. </w:t>
      </w:r>
      <w:r w:rsidR="00370E1E">
        <w:rPr>
          <w:rFonts w:ascii="Calibri" w:eastAsia="Calibri" w:hAnsi="Calibri" w:cs="Calibri"/>
          <w:sz w:val="22"/>
          <w:szCs w:val="22"/>
        </w:rPr>
        <w:t xml:space="preserve">There are 1,130 Tribal members located in Baraga County.  </w:t>
      </w:r>
      <w:r w:rsidR="0031762B">
        <w:rPr>
          <w:rFonts w:ascii="Calibri" w:eastAsia="Calibri" w:hAnsi="Calibri" w:cs="Calibri"/>
          <w:sz w:val="22"/>
          <w:szCs w:val="22"/>
        </w:rPr>
        <w:t xml:space="preserve">The annual gallons of </w:t>
      </w:r>
      <w:r w:rsidR="005A476D">
        <w:rPr>
          <w:rFonts w:ascii="Calibri" w:eastAsia="Calibri" w:hAnsi="Calibri" w:cs="Calibri"/>
          <w:sz w:val="22"/>
          <w:szCs w:val="22"/>
        </w:rPr>
        <w:t xml:space="preserve">gas for passenger cars </w:t>
      </w:r>
      <w:r w:rsidR="00252CBA">
        <w:rPr>
          <w:rFonts w:ascii="Calibri" w:eastAsia="Calibri" w:hAnsi="Calibri" w:cs="Calibri"/>
          <w:sz w:val="22"/>
          <w:szCs w:val="22"/>
        </w:rPr>
        <w:t>are</w:t>
      </w:r>
      <w:r w:rsidR="005A476D">
        <w:rPr>
          <w:rFonts w:ascii="Calibri" w:eastAsia="Calibri" w:hAnsi="Calibri" w:cs="Calibri"/>
          <w:sz w:val="22"/>
          <w:szCs w:val="22"/>
        </w:rPr>
        <w:t xml:space="preserve"> 433 gallons </w:t>
      </w:r>
      <w:r w:rsidR="00F9614E">
        <w:rPr>
          <w:rFonts w:ascii="Calibri" w:eastAsia="Calibri" w:hAnsi="Calibri" w:cs="Calibri"/>
          <w:sz w:val="22"/>
          <w:szCs w:val="22"/>
        </w:rPr>
        <w:t>and 636</w:t>
      </w:r>
      <w:r w:rsidR="00817669">
        <w:rPr>
          <w:rFonts w:ascii="Calibri" w:eastAsia="Calibri" w:hAnsi="Calibri" w:cs="Calibri"/>
          <w:sz w:val="22"/>
          <w:szCs w:val="22"/>
        </w:rPr>
        <w:t xml:space="preserve"> gallons for light trucks </w:t>
      </w:r>
      <w:r w:rsidR="005A476D">
        <w:rPr>
          <w:rFonts w:ascii="Calibri" w:eastAsia="Calibri" w:hAnsi="Calibri" w:cs="Calibri"/>
          <w:sz w:val="22"/>
          <w:szCs w:val="22"/>
        </w:rPr>
        <w:t>for 2021</w:t>
      </w:r>
      <w:r w:rsidR="006018F5">
        <w:rPr>
          <w:rStyle w:val="FootnoteReference"/>
          <w:rFonts w:ascii="Calibri" w:eastAsia="Calibri" w:hAnsi="Calibri" w:cs="Calibri"/>
          <w:sz w:val="22"/>
          <w:szCs w:val="22"/>
        </w:rPr>
        <w:footnoteReference w:id="20"/>
      </w:r>
      <w:r w:rsidR="008057A4">
        <w:rPr>
          <w:rFonts w:ascii="Calibri" w:eastAsia="Calibri" w:hAnsi="Calibri" w:cs="Calibri"/>
          <w:sz w:val="22"/>
          <w:szCs w:val="22"/>
        </w:rPr>
        <w:t xml:space="preserve">.  </w:t>
      </w:r>
      <w:r w:rsidR="007A32E8">
        <w:rPr>
          <w:rFonts w:ascii="Calibri" w:eastAsia="Calibri" w:hAnsi="Calibri" w:cs="Calibri"/>
          <w:sz w:val="22"/>
          <w:szCs w:val="22"/>
        </w:rPr>
        <w:t xml:space="preserve">This was the closest available data to the year 2020.  </w:t>
      </w:r>
      <w:r w:rsidR="001D5166">
        <w:rPr>
          <w:rFonts w:ascii="Calibri" w:eastAsia="Calibri" w:hAnsi="Calibri" w:cs="Calibri"/>
          <w:sz w:val="22"/>
          <w:szCs w:val="22"/>
        </w:rPr>
        <w:t xml:space="preserve">It was also assumed that ½ Community members </w:t>
      </w:r>
      <w:r w:rsidR="002B28B1">
        <w:rPr>
          <w:rFonts w:ascii="Calibri" w:eastAsia="Calibri" w:hAnsi="Calibri" w:cs="Calibri"/>
          <w:sz w:val="22"/>
          <w:szCs w:val="22"/>
        </w:rPr>
        <w:t xml:space="preserve">drove cars and ½ drove trucks for 2020.  </w:t>
      </w:r>
      <w:r w:rsidR="000C7946">
        <w:rPr>
          <w:rFonts w:ascii="Calibri" w:eastAsia="Calibri" w:hAnsi="Calibri" w:cs="Calibri"/>
          <w:sz w:val="22"/>
          <w:szCs w:val="22"/>
        </w:rPr>
        <w:t>Th</w:t>
      </w:r>
      <w:r w:rsidR="001A6B7B">
        <w:rPr>
          <w:rFonts w:ascii="Calibri" w:eastAsia="Calibri" w:hAnsi="Calibri" w:cs="Calibri"/>
          <w:sz w:val="22"/>
          <w:szCs w:val="22"/>
        </w:rPr>
        <w:t xml:space="preserve">is equated to </w:t>
      </w:r>
      <w:r w:rsidR="00637D8A">
        <w:rPr>
          <w:rFonts w:ascii="Calibri" w:eastAsia="Calibri" w:hAnsi="Calibri" w:cs="Calibri"/>
          <w:sz w:val="22"/>
          <w:szCs w:val="22"/>
        </w:rPr>
        <w:t xml:space="preserve">433 gallons/year </w:t>
      </w:r>
      <w:r w:rsidR="00E93E24">
        <w:rPr>
          <w:rFonts w:ascii="Calibri" w:eastAsia="Calibri" w:hAnsi="Calibri" w:cs="Calibri"/>
          <w:sz w:val="22"/>
          <w:szCs w:val="22"/>
        </w:rPr>
        <w:t>x 565</w:t>
      </w:r>
      <w:r w:rsidR="000A1F64">
        <w:rPr>
          <w:rFonts w:ascii="Calibri" w:eastAsia="Calibri" w:hAnsi="Calibri" w:cs="Calibri"/>
          <w:sz w:val="22"/>
          <w:szCs w:val="22"/>
        </w:rPr>
        <w:t>(half of the 1130</w:t>
      </w:r>
      <w:r w:rsidR="00644946">
        <w:rPr>
          <w:rFonts w:ascii="Calibri" w:eastAsia="Calibri" w:hAnsi="Calibri" w:cs="Calibri"/>
          <w:sz w:val="22"/>
          <w:szCs w:val="22"/>
        </w:rPr>
        <w:t>)</w:t>
      </w:r>
      <w:r w:rsidR="00D56038">
        <w:rPr>
          <w:rFonts w:ascii="Calibri" w:eastAsia="Calibri" w:hAnsi="Calibri" w:cs="Calibri"/>
          <w:sz w:val="22"/>
          <w:szCs w:val="22"/>
        </w:rPr>
        <w:t xml:space="preserve"> </w:t>
      </w:r>
      <w:r w:rsidR="00484A85">
        <w:rPr>
          <w:rFonts w:ascii="Calibri" w:eastAsia="Calibri" w:hAnsi="Calibri" w:cs="Calibri"/>
          <w:sz w:val="22"/>
          <w:szCs w:val="22"/>
        </w:rPr>
        <w:t>Tribal members</w:t>
      </w:r>
      <w:r w:rsidR="0078538C">
        <w:rPr>
          <w:rFonts w:ascii="Calibri" w:eastAsia="Calibri" w:hAnsi="Calibri" w:cs="Calibri"/>
          <w:sz w:val="22"/>
          <w:szCs w:val="22"/>
        </w:rPr>
        <w:t xml:space="preserve"> + </w:t>
      </w:r>
      <w:r w:rsidR="009116EC">
        <w:rPr>
          <w:rFonts w:ascii="Calibri" w:eastAsia="Calibri" w:hAnsi="Calibri" w:cs="Calibri"/>
          <w:sz w:val="22"/>
          <w:szCs w:val="22"/>
        </w:rPr>
        <w:t xml:space="preserve">636 gallons x </w:t>
      </w:r>
      <w:r w:rsidR="005013ED">
        <w:rPr>
          <w:rFonts w:ascii="Calibri" w:eastAsia="Calibri" w:hAnsi="Calibri" w:cs="Calibri"/>
          <w:sz w:val="22"/>
          <w:szCs w:val="22"/>
        </w:rPr>
        <w:t>565</w:t>
      </w:r>
      <w:r w:rsidR="009116EC">
        <w:rPr>
          <w:rFonts w:ascii="Calibri" w:eastAsia="Calibri" w:hAnsi="Calibri" w:cs="Calibri"/>
          <w:sz w:val="22"/>
          <w:szCs w:val="22"/>
        </w:rPr>
        <w:t xml:space="preserve"> Tribal members </w:t>
      </w:r>
      <w:r w:rsidR="00E96848">
        <w:rPr>
          <w:rFonts w:ascii="Calibri" w:eastAsia="Calibri" w:hAnsi="Calibri" w:cs="Calibri"/>
          <w:sz w:val="22"/>
          <w:szCs w:val="22"/>
        </w:rPr>
        <w:t xml:space="preserve">=244,645 </w:t>
      </w:r>
      <w:r w:rsidR="00060D95">
        <w:rPr>
          <w:rFonts w:ascii="Calibri" w:eastAsia="Calibri" w:hAnsi="Calibri" w:cs="Calibri"/>
          <w:sz w:val="22"/>
          <w:szCs w:val="22"/>
        </w:rPr>
        <w:t xml:space="preserve">gallons + </w:t>
      </w:r>
      <w:r w:rsidR="00357890">
        <w:rPr>
          <w:rFonts w:ascii="Calibri" w:eastAsia="Calibri" w:hAnsi="Calibri" w:cs="Calibri"/>
          <w:sz w:val="22"/>
          <w:szCs w:val="22"/>
        </w:rPr>
        <w:t>359340</w:t>
      </w:r>
      <w:r w:rsidR="00127DC4">
        <w:rPr>
          <w:rFonts w:ascii="Calibri" w:eastAsia="Calibri" w:hAnsi="Calibri" w:cs="Calibri"/>
          <w:sz w:val="22"/>
          <w:szCs w:val="22"/>
        </w:rPr>
        <w:t xml:space="preserve"> gallons</w:t>
      </w:r>
      <w:r w:rsidR="003F7EF0">
        <w:rPr>
          <w:rFonts w:ascii="Calibri" w:eastAsia="Calibri" w:hAnsi="Calibri" w:cs="Calibri"/>
          <w:sz w:val="22"/>
          <w:szCs w:val="22"/>
        </w:rPr>
        <w:t xml:space="preserve"> for a total of </w:t>
      </w:r>
      <w:r w:rsidR="00E2121F">
        <w:rPr>
          <w:rFonts w:ascii="Calibri" w:eastAsia="Calibri" w:hAnsi="Calibri" w:cs="Calibri"/>
          <w:sz w:val="22"/>
          <w:szCs w:val="22"/>
        </w:rPr>
        <w:t xml:space="preserve">603,985 gallons of gas. </w:t>
      </w:r>
      <w:r w:rsidR="00AA7EFF">
        <w:rPr>
          <w:rFonts w:ascii="Calibri" w:eastAsia="Calibri" w:hAnsi="Calibri" w:cs="Calibri"/>
          <w:sz w:val="22"/>
          <w:szCs w:val="22"/>
        </w:rPr>
        <w:t xml:space="preserve">An average of 24.1 gal/mile </w:t>
      </w:r>
      <w:r w:rsidR="00A800BA">
        <w:rPr>
          <w:rFonts w:ascii="Calibri" w:eastAsia="Calibri" w:hAnsi="Calibri" w:cs="Calibri"/>
          <w:sz w:val="22"/>
          <w:szCs w:val="22"/>
        </w:rPr>
        <w:t xml:space="preserve">for car and 18.5 for light truck </w:t>
      </w:r>
      <w:r w:rsidR="00AA7EFF">
        <w:rPr>
          <w:rFonts w:ascii="Calibri" w:eastAsia="Calibri" w:hAnsi="Calibri" w:cs="Calibri"/>
          <w:sz w:val="22"/>
          <w:szCs w:val="22"/>
        </w:rPr>
        <w:t xml:space="preserve">was used since the amount was unknown to add to the Tribal data sheet to calculate vehicle miles traveled.  </w:t>
      </w:r>
      <w:r w:rsidR="00774267">
        <w:rPr>
          <w:rFonts w:ascii="Calibri" w:eastAsia="Calibri" w:hAnsi="Calibri" w:cs="Calibri"/>
          <w:sz w:val="22"/>
          <w:szCs w:val="22"/>
        </w:rPr>
        <w:t xml:space="preserve">Annual residential </w:t>
      </w:r>
      <w:r w:rsidR="00945907">
        <w:rPr>
          <w:rFonts w:ascii="Calibri" w:eastAsia="Calibri" w:hAnsi="Calibri" w:cs="Calibri"/>
          <w:sz w:val="22"/>
          <w:szCs w:val="22"/>
        </w:rPr>
        <w:t>car</w:t>
      </w:r>
      <w:r w:rsidR="00774267">
        <w:rPr>
          <w:rFonts w:ascii="Calibri" w:eastAsia="Calibri" w:hAnsi="Calibri" w:cs="Calibri"/>
          <w:sz w:val="22"/>
          <w:szCs w:val="22"/>
        </w:rPr>
        <w:t xml:space="preserve"> miles were 244,645</w:t>
      </w:r>
      <w:r w:rsidR="00DD5618">
        <w:rPr>
          <w:rFonts w:ascii="Calibri" w:eastAsia="Calibri" w:hAnsi="Calibri" w:cs="Calibri"/>
          <w:sz w:val="22"/>
          <w:szCs w:val="22"/>
        </w:rPr>
        <w:t xml:space="preserve"> gallons</w:t>
      </w:r>
      <w:r w:rsidR="00BE38FA">
        <w:rPr>
          <w:rFonts w:ascii="Calibri" w:eastAsia="Calibri" w:hAnsi="Calibri" w:cs="Calibri"/>
          <w:sz w:val="22"/>
          <w:szCs w:val="22"/>
        </w:rPr>
        <w:t xml:space="preserve"> x 24.1 miles/gallon=</w:t>
      </w:r>
      <w:r w:rsidR="00945907">
        <w:rPr>
          <w:rFonts w:ascii="Calibri" w:eastAsia="Calibri" w:hAnsi="Calibri" w:cs="Calibri"/>
          <w:sz w:val="22"/>
          <w:szCs w:val="22"/>
        </w:rPr>
        <w:t xml:space="preserve">5,898,968.6 miles. Annual truck miles </w:t>
      </w:r>
      <w:r w:rsidR="00DD5618">
        <w:rPr>
          <w:rFonts w:ascii="Calibri" w:eastAsia="Calibri" w:hAnsi="Calibri" w:cs="Calibri"/>
          <w:sz w:val="22"/>
          <w:szCs w:val="22"/>
        </w:rPr>
        <w:t>were 359,340 gallons x 18.5 miles/gal =</w:t>
      </w:r>
      <w:r w:rsidR="00022865">
        <w:rPr>
          <w:rFonts w:ascii="Calibri" w:eastAsia="Calibri" w:hAnsi="Calibri" w:cs="Calibri"/>
          <w:sz w:val="22"/>
          <w:szCs w:val="22"/>
        </w:rPr>
        <w:t xml:space="preserve">261,276,610 miles. </w:t>
      </w:r>
      <w:r w:rsidR="00A800BA">
        <w:rPr>
          <w:rFonts w:ascii="Calibri" w:eastAsia="Calibri" w:hAnsi="Calibri" w:cs="Calibri"/>
          <w:sz w:val="22"/>
          <w:szCs w:val="22"/>
        </w:rPr>
        <w:t>The</w:t>
      </w:r>
      <w:r w:rsidR="00653B85">
        <w:rPr>
          <w:rFonts w:ascii="Calibri" w:eastAsia="Calibri" w:hAnsi="Calibri" w:cs="Calibri"/>
          <w:sz w:val="22"/>
          <w:szCs w:val="22"/>
        </w:rPr>
        <w:t xml:space="preserve"> </w:t>
      </w:r>
      <w:r w:rsidR="00EA3EC8">
        <w:rPr>
          <w:rFonts w:ascii="Calibri" w:eastAsia="Calibri" w:hAnsi="Calibri" w:cs="Calibri"/>
          <w:sz w:val="22"/>
          <w:szCs w:val="22"/>
        </w:rPr>
        <w:t xml:space="preserve">Tribal GHG inventory tool </w:t>
      </w:r>
      <w:r w:rsidR="00551FC1">
        <w:rPr>
          <w:rFonts w:ascii="Calibri" w:eastAsia="Calibri" w:hAnsi="Calibri" w:cs="Calibri"/>
          <w:sz w:val="22"/>
          <w:szCs w:val="22"/>
        </w:rPr>
        <w:t>was used to calculate a</w:t>
      </w:r>
      <w:r w:rsidR="00EA3EC8">
        <w:rPr>
          <w:rFonts w:ascii="Calibri" w:eastAsia="Calibri" w:hAnsi="Calibri" w:cs="Calibri"/>
          <w:sz w:val="22"/>
          <w:szCs w:val="22"/>
        </w:rPr>
        <w:t xml:space="preserve"> total of 5,303 </w:t>
      </w:r>
      <w:r w:rsidR="00C4327B">
        <w:rPr>
          <w:rFonts w:ascii="Calibri" w:eastAsia="Calibri" w:hAnsi="Calibri" w:cs="Calibri"/>
          <w:sz w:val="22"/>
          <w:szCs w:val="22"/>
        </w:rPr>
        <w:t xml:space="preserve">MT CO2 equivalents for residential Tribal members.  </w:t>
      </w:r>
      <w:r w:rsidR="00277B42">
        <w:rPr>
          <w:rFonts w:ascii="Calibri" w:eastAsia="Calibri" w:hAnsi="Calibri" w:cs="Calibri"/>
          <w:sz w:val="22"/>
          <w:szCs w:val="22"/>
        </w:rPr>
        <w:t xml:space="preserve">Odometer readings were collected for </w:t>
      </w:r>
      <w:r w:rsidR="007E506C">
        <w:rPr>
          <w:rFonts w:ascii="Calibri" w:eastAsia="Calibri" w:hAnsi="Calibri" w:cs="Calibri"/>
          <w:sz w:val="22"/>
          <w:szCs w:val="22"/>
        </w:rPr>
        <w:t>all</w:t>
      </w:r>
      <w:r w:rsidR="00277B42">
        <w:rPr>
          <w:rFonts w:ascii="Calibri" w:eastAsia="Calibri" w:hAnsi="Calibri" w:cs="Calibri"/>
          <w:sz w:val="22"/>
          <w:szCs w:val="22"/>
        </w:rPr>
        <w:t xml:space="preserve"> the government vehicles.  </w:t>
      </w:r>
      <w:r w:rsidR="00F1207D">
        <w:rPr>
          <w:rFonts w:ascii="Calibri" w:eastAsia="Calibri" w:hAnsi="Calibri" w:cs="Calibri"/>
          <w:sz w:val="22"/>
          <w:szCs w:val="22"/>
        </w:rPr>
        <w:t xml:space="preserve"> </w:t>
      </w:r>
      <w:r w:rsidR="008D6EBA">
        <w:rPr>
          <w:rFonts w:ascii="Calibri" w:eastAsia="Calibri" w:hAnsi="Calibri" w:cs="Calibri"/>
          <w:sz w:val="22"/>
          <w:szCs w:val="22"/>
        </w:rPr>
        <w:t xml:space="preserve">The year of purchase was obtained from the vehicle inventory and the total miles were </w:t>
      </w:r>
      <w:r w:rsidR="006A7221">
        <w:rPr>
          <w:rFonts w:ascii="Calibri" w:eastAsia="Calibri" w:hAnsi="Calibri" w:cs="Calibri"/>
          <w:sz w:val="22"/>
          <w:szCs w:val="22"/>
        </w:rPr>
        <w:t xml:space="preserve">used to calculate </w:t>
      </w:r>
      <w:r w:rsidR="00CB7985">
        <w:rPr>
          <w:rFonts w:ascii="Calibri" w:eastAsia="Calibri" w:hAnsi="Calibri" w:cs="Calibri"/>
          <w:sz w:val="22"/>
          <w:szCs w:val="22"/>
        </w:rPr>
        <w:t xml:space="preserve">mileage/year.  All information was entered into the </w:t>
      </w:r>
      <w:r w:rsidR="005C5F94">
        <w:rPr>
          <w:rFonts w:ascii="Calibri" w:eastAsia="Calibri" w:hAnsi="Calibri" w:cs="Calibri"/>
          <w:sz w:val="22"/>
          <w:szCs w:val="22"/>
        </w:rPr>
        <w:t xml:space="preserve">Tribal GHG inventory tool.  </w:t>
      </w:r>
    </w:p>
    <w:p w14:paraId="1960BCAF" w14:textId="0020B7F4" w:rsidR="00713F78" w:rsidRPr="00843445" w:rsidRDefault="00C625D1" w:rsidP="00C97A74">
      <w:pPr>
        <w:spacing w:line="240" w:lineRule="auto"/>
        <w:rPr>
          <w:rFonts w:ascii="Calibri" w:eastAsia="Calibri" w:hAnsi="Calibri" w:cs="Calibri"/>
          <w:sz w:val="22"/>
          <w:szCs w:val="22"/>
        </w:rPr>
      </w:pPr>
      <w:r w:rsidRPr="00C625D1">
        <w:rPr>
          <w:rFonts w:eastAsia="Calibri"/>
          <w:noProof/>
        </w:rPr>
        <w:drawing>
          <wp:inline distT="0" distB="0" distL="0" distR="0" wp14:anchorId="139B8D86" wp14:editId="3DB05C39">
            <wp:extent cx="6017260" cy="1371600"/>
            <wp:effectExtent l="0" t="0" r="2540" b="0"/>
            <wp:docPr id="361333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42253" cy="1377297"/>
                    </a:xfrm>
                    <a:prstGeom prst="rect">
                      <a:avLst/>
                    </a:prstGeom>
                    <a:noFill/>
                    <a:ln>
                      <a:noFill/>
                    </a:ln>
                  </pic:spPr>
                </pic:pic>
              </a:graphicData>
            </a:graphic>
          </wp:inline>
        </w:drawing>
      </w:r>
    </w:p>
    <w:p w14:paraId="03E91AB1" w14:textId="3F4DF793" w:rsidR="00C837D5" w:rsidRPr="00EA5A44" w:rsidRDefault="00C837D5" w:rsidP="00C97A74">
      <w:pPr>
        <w:spacing w:line="240" w:lineRule="auto"/>
        <w:rPr>
          <w:rFonts w:ascii="Calibri" w:eastAsia="Calibri" w:hAnsi="Calibri" w:cs="Calibri"/>
          <w:sz w:val="22"/>
          <w:szCs w:val="22"/>
        </w:rPr>
      </w:pPr>
    </w:p>
    <w:p w14:paraId="0FF4CF31" w14:textId="77777777" w:rsidR="004A13FF" w:rsidRDefault="004A13FF" w:rsidP="00C97A74">
      <w:pPr>
        <w:spacing w:line="240" w:lineRule="auto"/>
        <w:rPr>
          <w:rFonts w:ascii="Calibri" w:eastAsia="Calibri" w:hAnsi="Calibri" w:cs="Calibri"/>
          <w:sz w:val="22"/>
          <w:szCs w:val="22"/>
        </w:rPr>
      </w:pPr>
    </w:p>
    <w:p w14:paraId="46B6C120" w14:textId="0E55A33D" w:rsidR="00902488" w:rsidRDefault="00B979BA" w:rsidP="00902488">
      <w:pPr>
        <w:spacing w:line="240" w:lineRule="auto"/>
        <w:rPr>
          <w:rFonts w:ascii="Calibri" w:eastAsia="Calibri" w:hAnsi="Calibri" w:cs="Calibri"/>
          <w:sz w:val="22"/>
          <w:szCs w:val="22"/>
        </w:rPr>
      </w:pPr>
      <w:r>
        <w:rPr>
          <w:rFonts w:ascii="Calibri" w:eastAsia="Calibri" w:hAnsi="Calibri" w:cs="Calibri"/>
          <w:sz w:val="22"/>
          <w:szCs w:val="22"/>
        </w:rPr>
        <w:t xml:space="preserve">There are </w:t>
      </w:r>
      <w:r w:rsidR="001B4DA8">
        <w:rPr>
          <w:rFonts w:ascii="Calibri" w:eastAsia="Calibri" w:hAnsi="Calibri" w:cs="Calibri"/>
          <w:sz w:val="22"/>
          <w:szCs w:val="22"/>
        </w:rPr>
        <w:t>11</w:t>
      </w:r>
      <w:r w:rsidR="006329FA">
        <w:rPr>
          <w:rFonts w:ascii="Calibri" w:eastAsia="Calibri" w:hAnsi="Calibri" w:cs="Calibri"/>
          <w:sz w:val="22"/>
          <w:szCs w:val="22"/>
        </w:rPr>
        <w:t>8</w:t>
      </w:r>
      <w:r w:rsidR="001B4DA8">
        <w:rPr>
          <w:rFonts w:ascii="Calibri" w:eastAsia="Calibri" w:hAnsi="Calibri" w:cs="Calibri"/>
          <w:sz w:val="22"/>
          <w:szCs w:val="22"/>
        </w:rPr>
        <w:t>0</w:t>
      </w:r>
      <w:r>
        <w:rPr>
          <w:rFonts w:ascii="Calibri" w:eastAsia="Calibri" w:hAnsi="Calibri" w:cs="Calibri"/>
          <w:sz w:val="22"/>
          <w:szCs w:val="22"/>
        </w:rPr>
        <w:t xml:space="preserve"> </w:t>
      </w:r>
      <w:r w:rsidR="001B4DA8">
        <w:rPr>
          <w:rFonts w:ascii="Calibri" w:eastAsia="Calibri" w:hAnsi="Calibri" w:cs="Calibri"/>
          <w:sz w:val="22"/>
          <w:szCs w:val="22"/>
        </w:rPr>
        <w:t>total</w:t>
      </w:r>
      <w:r>
        <w:rPr>
          <w:rFonts w:ascii="Calibri" w:eastAsia="Calibri" w:hAnsi="Calibri" w:cs="Calibri"/>
          <w:sz w:val="22"/>
          <w:szCs w:val="22"/>
        </w:rPr>
        <w:t xml:space="preserve"> Vehicles that produce </w:t>
      </w:r>
      <w:r w:rsidR="001B4DA8">
        <w:rPr>
          <w:rFonts w:ascii="Calibri" w:eastAsia="Calibri" w:hAnsi="Calibri" w:cs="Calibri"/>
          <w:sz w:val="22"/>
          <w:szCs w:val="22"/>
        </w:rPr>
        <w:t>5523</w:t>
      </w:r>
      <w:r>
        <w:rPr>
          <w:rFonts w:ascii="Calibri" w:eastAsia="Calibri" w:hAnsi="Calibri" w:cs="Calibri"/>
          <w:sz w:val="22"/>
          <w:szCs w:val="22"/>
        </w:rPr>
        <w:t xml:space="preserve"> MT CO2 equivalent</w:t>
      </w:r>
      <w:r w:rsidR="00785B64">
        <w:rPr>
          <w:rFonts w:ascii="Calibri" w:eastAsia="Calibri" w:hAnsi="Calibri" w:cs="Calibri"/>
          <w:sz w:val="22"/>
          <w:szCs w:val="22"/>
        </w:rPr>
        <w:t xml:space="preserve">.  </w:t>
      </w:r>
      <w:r w:rsidR="00BC26AA">
        <w:rPr>
          <w:rFonts w:ascii="Calibri" w:eastAsia="Calibri" w:hAnsi="Calibri" w:cs="Calibri"/>
          <w:sz w:val="22"/>
          <w:szCs w:val="22"/>
        </w:rPr>
        <w:t>5523</w:t>
      </w:r>
      <w:r w:rsidR="00C6634C">
        <w:rPr>
          <w:rFonts w:ascii="Calibri" w:eastAsia="Calibri" w:hAnsi="Calibri" w:cs="Calibri"/>
          <w:sz w:val="22"/>
          <w:szCs w:val="22"/>
        </w:rPr>
        <w:t xml:space="preserve"> ÷ </w:t>
      </w:r>
      <w:r w:rsidR="006329FA">
        <w:rPr>
          <w:rFonts w:ascii="Calibri" w:eastAsia="Calibri" w:hAnsi="Calibri" w:cs="Calibri"/>
          <w:sz w:val="22"/>
          <w:szCs w:val="22"/>
        </w:rPr>
        <w:t>1180</w:t>
      </w:r>
      <w:r w:rsidR="00C6634C">
        <w:rPr>
          <w:rFonts w:ascii="Calibri" w:eastAsia="Calibri" w:hAnsi="Calibri" w:cs="Calibri"/>
          <w:sz w:val="22"/>
          <w:szCs w:val="22"/>
        </w:rPr>
        <w:t xml:space="preserve"> Commercial Vehicles =</w:t>
      </w:r>
      <w:r w:rsidR="005E5DA3">
        <w:rPr>
          <w:rFonts w:ascii="Calibri" w:eastAsia="Calibri" w:hAnsi="Calibri" w:cs="Calibri"/>
          <w:sz w:val="22"/>
          <w:szCs w:val="22"/>
        </w:rPr>
        <w:t>4.</w:t>
      </w:r>
      <w:r w:rsidR="006329FA">
        <w:rPr>
          <w:rFonts w:ascii="Calibri" w:eastAsia="Calibri" w:hAnsi="Calibri" w:cs="Calibri"/>
          <w:sz w:val="22"/>
          <w:szCs w:val="22"/>
        </w:rPr>
        <w:t>6</w:t>
      </w:r>
      <w:r w:rsidR="005E5DA3">
        <w:rPr>
          <w:rFonts w:ascii="Calibri" w:eastAsia="Calibri" w:hAnsi="Calibri" w:cs="Calibri"/>
          <w:sz w:val="22"/>
          <w:szCs w:val="22"/>
        </w:rPr>
        <w:t xml:space="preserve"> </w:t>
      </w:r>
      <w:r w:rsidR="00D9724C">
        <w:rPr>
          <w:rFonts w:ascii="Calibri" w:eastAsia="Calibri" w:hAnsi="Calibri" w:cs="Calibri"/>
          <w:sz w:val="22"/>
          <w:szCs w:val="22"/>
        </w:rPr>
        <w:t>MT CO2 equivalent</w:t>
      </w:r>
      <w:r w:rsidR="007F6BFE">
        <w:rPr>
          <w:rFonts w:ascii="Calibri" w:eastAsia="Calibri" w:hAnsi="Calibri" w:cs="Calibri"/>
          <w:sz w:val="22"/>
          <w:szCs w:val="22"/>
        </w:rPr>
        <w:t xml:space="preserve">/commercial vehicle.  </w:t>
      </w:r>
      <w:r w:rsidR="00902488">
        <w:rPr>
          <w:rFonts w:ascii="Calibri" w:eastAsia="Calibri" w:hAnsi="Calibri" w:cs="Calibri"/>
          <w:sz w:val="22"/>
          <w:szCs w:val="22"/>
        </w:rPr>
        <w:t xml:space="preserve">An adoption of 25% EV is .25 x 1130 residential =282 and .25 x 50 commercial = 10 Commercial EV’s for a total of 292 EVs by 2030.   </w:t>
      </w:r>
    </w:p>
    <w:p w14:paraId="69DD9798" w14:textId="14465F76" w:rsidR="00B979BA" w:rsidRDefault="00EF2EFA" w:rsidP="00C97A74">
      <w:pPr>
        <w:spacing w:line="240" w:lineRule="auto"/>
        <w:rPr>
          <w:rFonts w:ascii="Calibri" w:eastAsia="Calibri" w:hAnsi="Calibri" w:cs="Calibri"/>
          <w:sz w:val="22"/>
          <w:szCs w:val="22"/>
        </w:rPr>
      </w:pPr>
      <w:r>
        <w:rPr>
          <w:rFonts w:ascii="Calibri" w:eastAsia="Calibri" w:hAnsi="Calibri" w:cs="Calibri"/>
          <w:sz w:val="22"/>
          <w:szCs w:val="22"/>
        </w:rPr>
        <w:lastRenderedPageBreak/>
        <w:t xml:space="preserve">It is assumed that charging stations will be </w:t>
      </w:r>
      <w:r w:rsidR="00902488">
        <w:rPr>
          <w:rFonts w:ascii="Calibri" w:eastAsia="Calibri" w:hAnsi="Calibri" w:cs="Calibri"/>
          <w:sz w:val="22"/>
          <w:szCs w:val="22"/>
        </w:rPr>
        <w:t>placed</w:t>
      </w:r>
      <w:r>
        <w:rPr>
          <w:rFonts w:ascii="Calibri" w:eastAsia="Calibri" w:hAnsi="Calibri" w:cs="Calibri"/>
          <w:sz w:val="22"/>
          <w:szCs w:val="22"/>
        </w:rPr>
        <w:t xml:space="preserve"> at locations </w:t>
      </w:r>
      <w:r w:rsidR="00564B6C">
        <w:rPr>
          <w:rFonts w:ascii="Calibri" w:eastAsia="Calibri" w:hAnsi="Calibri" w:cs="Calibri"/>
          <w:sz w:val="22"/>
          <w:szCs w:val="22"/>
        </w:rPr>
        <w:t xml:space="preserve">where there is renewable energy installed, thus there would be 4.6 </w:t>
      </w:r>
      <w:bookmarkStart w:id="17" w:name="_Hlk162883035"/>
      <w:r w:rsidR="00564B6C">
        <w:rPr>
          <w:rFonts w:ascii="Calibri" w:eastAsia="Calibri" w:hAnsi="Calibri" w:cs="Calibri"/>
          <w:sz w:val="22"/>
          <w:szCs w:val="22"/>
        </w:rPr>
        <w:t>MT CO</w:t>
      </w:r>
      <w:r w:rsidR="00564B6C">
        <w:rPr>
          <w:rFonts w:ascii="Calibri" w:eastAsia="Calibri" w:hAnsi="Calibri" w:cs="Calibri"/>
          <w:sz w:val="22"/>
          <w:szCs w:val="22"/>
          <w:vertAlign w:val="subscript"/>
        </w:rPr>
        <w:t xml:space="preserve">2 </w:t>
      </w:r>
      <w:r w:rsidR="00564B6C">
        <w:rPr>
          <w:rFonts w:ascii="Calibri" w:eastAsia="Calibri" w:hAnsi="Calibri" w:cs="Calibri"/>
          <w:sz w:val="22"/>
          <w:szCs w:val="22"/>
        </w:rPr>
        <w:t xml:space="preserve">equivalent </w:t>
      </w:r>
      <w:bookmarkEnd w:id="17"/>
      <w:r w:rsidR="00564B6C">
        <w:rPr>
          <w:rFonts w:ascii="Calibri" w:eastAsia="Calibri" w:hAnsi="Calibri" w:cs="Calibri"/>
          <w:sz w:val="22"/>
          <w:szCs w:val="22"/>
        </w:rPr>
        <w:t>x 292 vehicles</w:t>
      </w:r>
      <w:r w:rsidR="00E4450B">
        <w:rPr>
          <w:rFonts w:ascii="Calibri" w:eastAsia="Calibri" w:hAnsi="Calibri" w:cs="Calibri"/>
          <w:sz w:val="22"/>
          <w:szCs w:val="22"/>
        </w:rPr>
        <w:t xml:space="preserve"> 1,343.2 MT CO 2 equivalent by 2030</w:t>
      </w:r>
      <w:r w:rsidR="00902488">
        <w:rPr>
          <w:rFonts w:ascii="Calibri" w:eastAsia="Calibri" w:hAnsi="Calibri" w:cs="Calibri"/>
          <w:sz w:val="22"/>
          <w:szCs w:val="22"/>
        </w:rPr>
        <w:t xml:space="preserve">.  </w:t>
      </w:r>
      <w:r w:rsidR="006329FA">
        <w:rPr>
          <w:rFonts w:ascii="Calibri" w:eastAsia="Calibri" w:hAnsi="Calibri" w:cs="Calibri"/>
          <w:sz w:val="22"/>
          <w:szCs w:val="22"/>
        </w:rPr>
        <w:t xml:space="preserve"> </w:t>
      </w:r>
    </w:p>
    <w:p w14:paraId="3A71B75A" w14:textId="1C8B3669" w:rsidR="00902488" w:rsidRDefault="00902488" w:rsidP="00C97A74">
      <w:pPr>
        <w:spacing w:line="240" w:lineRule="auto"/>
        <w:rPr>
          <w:rFonts w:ascii="Calibri" w:eastAsia="Calibri" w:hAnsi="Calibri" w:cs="Calibri"/>
          <w:sz w:val="22"/>
          <w:szCs w:val="22"/>
        </w:rPr>
      </w:pPr>
      <w:r>
        <w:rPr>
          <w:rFonts w:ascii="Calibri" w:eastAsia="Calibri" w:hAnsi="Calibri" w:cs="Calibri"/>
          <w:sz w:val="22"/>
          <w:szCs w:val="22"/>
        </w:rPr>
        <w:t xml:space="preserve">The amount by </w:t>
      </w:r>
      <w:r w:rsidR="008655E5">
        <w:rPr>
          <w:rFonts w:ascii="Calibri" w:eastAsia="Calibri" w:hAnsi="Calibri" w:cs="Calibri"/>
          <w:sz w:val="22"/>
          <w:szCs w:val="22"/>
        </w:rPr>
        <w:t>1,343.2 x 20 years = 26,864</w:t>
      </w:r>
      <w:r w:rsidR="0035195E" w:rsidRPr="0035195E">
        <w:rPr>
          <w:rFonts w:ascii="Calibri" w:eastAsia="Calibri" w:hAnsi="Calibri" w:cs="Calibri"/>
          <w:sz w:val="22"/>
          <w:szCs w:val="22"/>
        </w:rPr>
        <w:t xml:space="preserve"> MT CO</w:t>
      </w:r>
      <w:r w:rsidR="0035195E" w:rsidRPr="0035195E">
        <w:rPr>
          <w:rFonts w:ascii="Calibri" w:eastAsia="Calibri" w:hAnsi="Calibri" w:cs="Calibri"/>
          <w:sz w:val="22"/>
          <w:szCs w:val="22"/>
          <w:vertAlign w:val="subscript"/>
        </w:rPr>
        <w:t xml:space="preserve">2 </w:t>
      </w:r>
      <w:r w:rsidR="0035195E" w:rsidRPr="0035195E">
        <w:rPr>
          <w:rFonts w:ascii="Calibri" w:eastAsia="Calibri" w:hAnsi="Calibri" w:cs="Calibri"/>
          <w:sz w:val="22"/>
          <w:szCs w:val="22"/>
        </w:rPr>
        <w:t>equivalent</w:t>
      </w:r>
      <w:r w:rsidR="008655E5">
        <w:rPr>
          <w:rFonts w:ascii="Calibri" w:eastAsia="Calibri" w:hAnsi="Calibri" w:cs="Calibri"/>
          <w:sz w:val="22"/>
          <w:szCs w:val="22"/>
        </w:rPr>
        <w:t xml:space="preserve"> by </w:t>
      </w:r>
      <w:r w:rsidR="0035195E">
        <w:rPr>
          <w:rFonts w:ascii="Calibri" w:eastAsia="Calibri" w:hAnsi="Calibri" w:cs="Calibri"/>
          <w:sz w:val="22"/>
          <w:szCs w:val="22"/>
        </w:rPr>
        <w:t xml:space="preserve">2050.  </w:t>
      </w:r>
    </w:p>
    <w:p w14:paraId="5E07666E" w14:textId="3AD7CF66" w:rsidR="009D5BF3" w:rsidRPr="00DE689A" w:rsidRDefault="004A13FF" w:rsidP="00C97A74">
      <w:pPr>
        <w:spacing w:line="240" w:lineRule="auto"/>
        <w:rPr>
          <w:rFonts w:ascii="Calibri" w:eastAsia="Calibri" w:hAnsi="Calibri" w:cs="Calibri"/>
          <w:b/>
          <w:bCs/>
          <w:color w:val="FF0000"/>
          <w:sz w:val="22"/>
          <w:szCs w:val="22"/>
        </w:rPr>
      </w:pPr>
      <w:r w:rsidRPr="00DE689A">
        <w:rPr>
          <w:rFonts w:ascii="Calibri" w:eastAsia="Calibri" w:hAnsi="Calibri" w:cs="Calibri"/>
          <w:b/>
          <w:bCs/>
          <w:color w:val="FF0000"/>
          <w:sz w:val="22"/>
          <w:szCs w:val="22"/>
        </w:rPr>
        <w:t>Measure 10-</w:t>
      </w:r>
      <w:r w:rsidR="009D5BF3" w:rsidRPr="00DE689A">
        <w:rPr>
          <w:rFonts w:ascii="Calibri" w:eastAsia="Calibri" w:hAnsi="Calibri" w:cs="Calibri"/>
          <w:b/>
          <w:bCs/>
          <w:color w:val="FF0000"/>
          <w:sz w:val="22"/>
          <w:szCs w:val="22"/>
        </w:rPr>
        <w:t>Increase Carbon Sequestration through planting trees.</w:t>
      </w:r>
    </w:p>
    <w:p w14:paraId="17DDB934" w14:textId="77777777" w:rsidR="009D5BF3" w:rsidRDefault="009D5BF3" w:rsidP="00C97A74">
      <w:pPr>
        <w:spacing w:line="240" w:lineRule="auto"/>
        <w:rPr>
          <w:rFonts w:ascii="Calibri" w:eastAsia="Calibri" w:hAnsi="Calibri" w:cs="Calibri"/>
          <w:color w:val="FF0000"/>
          <w:sz w:val="22"/>
          <w:szCs w:val="22"/>
        </w:rPr>
      </w:pPr>
    </w:p>
    <w:p w14:paraId="76051F9D" w14:textId="6E711D42" w:rsidR="009D5BF3" w:rsidRDefault="009D5BF3" w:rsidP="00C97A74">
      <w:pPr>
        <w:spacing w:line="240" w:lineRule="auto"/>
        <w:rPr>
          <w:rFonts w:ascii="Calibri" w:eastAsia="Calibri" w:hAnsi="Calibri" w:cs="Calibri"/>
          <w:sz w:val="22"/>
          <w:szCs w:val="22"/>
        </w:rPr>
      </w:pPr>
      <w:r w:rsidRPr="009D5BF3">
        <w:rPr>
          <w:rFonts w:ascii="Calibri" w:eastAsia="Calibri" w:hAnsi="Calibri" w:cs="Calibri"/>
          <w:sz w:val="22"/>
          <w:szCs w:val="22"/>
        </w:rPr>
        <w:t>For tree planting, the average of the sequestration potential for large deciduous and large evergreen trees (12.02 kgCO2e/unit) in the Northern region of the U.S. was used.</w:t>
      </w:r>
      <w:r>
        <w:rPr>
          <w:rStyle w:val="FootnoteReference"/>
          <w:rFonts w:ascii="Calibri" w:eastAsia="Calibri" w:hAnsi="Calibri" w:cs="Calibri"/>
          <w:sz w:val="22"/>
          <w:szCs w:val="22"/>
        </w:rPr>
        <w:footnoteReference w:id="21"/>
      </w:r>
    </w:p>
    <w:p w14:paraId="1EDBF18B" w14:textId="276BE528" w:rsidR="00CD2861" w:rsidRDefault="00D22C48" w:rsidP="00C97A74">
      <w:pPr>
        <w:spacing w:line="240" w:lineRule="auto"/>
        <w:rPr>
          <w:rFonts w:ascii="Calibri" w:eastAsia="Calibri" w:hAnsi="Calibri" w:cs="Calibri"/>
          <w:sz w:val="22"/>
          <w:szCs w:val="22"/>
        </w:rPr>
      </w:pPr>
      <w:r>
        <w:rPr>
          <w:rFonts w:ascii="Calibri" w:eastAsia="Calibri" w:hAnsi="Calibri" w:cs="Calibri"/>
          <w:sz w:val="22"/>
          <w:szCs w:val="22"/>
        </w:rPr>
        <w:t xml:space="preserve">1000 trees/year x </w:t>
      </w:r>
      <w:r w:rsidR="00727804">
        <w:rPr>
          <w:rFonts w:ascii="Calibri" w:eastAsia="Calibri" w:hAnsi="Calibri" w:cs="Calibri"/>
          <w:sz w:val="22"/>
          <w:szCs w:val="22"/>
        </w:rPr>
        <w:t>12.02 kg CO2 equivalent</w:t>
      </w:r>
      <w:r w:rsidR="00840807">
        <w:rPr>
          <w:rFonts w:ascii="Calibri" w:eastAsia="Calibri" w:hAnsi="Calibri" w:cs="Calibri"/>
          <w:sz w:val="22"/>
          <w:szCs w:val="22"/>
        </w:rPr>
        <w:t xml:space="preserve"> </w:t>
      </w:r>
      <w:r w:rsidR="00CD6C95">
        <w:rPr>
          <w:rFonts w:ascii="Calibri" w:eastAsia="Calibri" w:hAnsi="Calibri" w:cs="Calibri"/>
          <w:sz w:val="22"/>
          <w:szCs w:val="22"/>
        </w:rPr>
        <w:t xml:space="preserve">x </w:t>
      </w:r>
      <w:r w:rsidR="008F5FA5">
        <w:rPr>
          <w:rFonts w:ascii="Calibri" w:eastAsia="Calibri" w:hAnsi="Calibri" w:cs="Calibri"/>
          <w:sz w:val="22"/>
          <w:szCs w:val="22"/>
        </w:rPr>
        <w:t>5 years x .001 MT/kg</w:t>
      </w:r>
      <w:r w:rsidR="00791831">
        <w:rPr>
          <w:rFonts w:ascii="Calibri" w:eastAsia="Calibri" w:hAnsi="Calibri" w:cs="Calibri"/>
          <w:sz w:val="22"/>
          <w:szCs w:val="22"/>
        </w:rPr>
        <w:t>=</w:t>
      </w:r>
      <w:r w:rsidR="00924436">
        <w:rPr>
          <w:rFonts w:ascii="Calibri" w:eastAsia="Calibri" w:hAnsi="Calibri" w:cs="Calibri"/>
          <w:sz w:val="22"/>
          <w:szCs w:val="22"/>
        </w:rPr>
        <w:t>60.1 MT CO</w:t>
      </w:r>
      <w:r w:rsidR="00924436">
        <w:rPr>
          <w:rFonts w:ascii="Calibri" w:eastAsia="Calibri" w:hAnsi="Calibri" w:cs="Calibri"/>
          <w:sz w:val="22"/>
          <w:szCs w:val="22"/>
          <w:vertAlign w:val="subscript"/>
        </w:rPr>
        <w:t xml:space="preserve">2 </w:t>
      </w:r>
      <w:r w:rsidR="00924436">
        <w:rPr>
          <w:rFonts w:ascii="Calibri" w:eastAsia="Calibri" w:hAnsi="Calibri" w:cs="Calibri"/>
          <w:sz w:val="22"/>
          <w:szCs w:val="22"/>
        </w:rPr>
        <w:t>equivalent</w:t>
      </w:r>
      <w:r w:rsidR="001C11F7">
        <w:rPr>
          <w:rFonts w:ascii="Calibri" w:eastAsia="Calibri" w:hAnsi="Calibri" w:cs="Calibri"/>
          <w:sz w:val="22"/>
          <w:szCs w:val="22"/>
        </w:rPr>
        <w:t xml:space="preserve"> by 2030</w:t>
      </w:r>
      <w:r w:rsidR="00924436">
        <w:rPr>
          <w:rFonts w:ascii="Calibri" w:eastAsia="Calibri" w:hAnsi="Calibri" w:cs="Calibri"/>
          <w:sz w:val="22"/>
          <w:szCs w:val="22"/>
        </w:rPr>
        <w:t>.</w:t>
      </w:r>
    </w:p>
    <w:p w14:paraId="310DF2BE" w14:textId="1340E2B3" w:rsidR="001C11F7" w:rsidRPr="00924436" w:rsidRDefault="001C11F7" w:rsidP="00C97A74">
      <w:pPr>
        <w:spacing w:line="240" w:lineRule="auto"/>
        <w:rPr>
          <w:rFonts w:ascii="Calibri" w:eastAsia="Calibri" w:hAnsi="Calibri" w:cs="Calibri"/>
          <w:sz w:val="22"/>
          <w:szCs w:val="22"/>
        </w:rPr>
      </w:pPr>
      <w:r>
        <w:rPr>
          <w:rFonts w:ascii="Calibri" w:eastAsia="Calibri" w:hAnsi="Calibri" w:cs="Calibri"/>
          <w:sz w:val="22"/>
          <w:szCs w:val="22"/>
        </w:rPr>
        <w:t>60.1 x 20 years =</w:t>
      </w:r>
      <w:r w:rsidR="00D9648B">
        <w:rPr>
          <w:rFonts w:ascii="Calibri" w:eastAsia="Calibri" w:hAnsi="Calibri" w:cs="Calibri"/>
          <w:sz w:val="22"/>
          <w:szCs w:val="22"/>
        </w:rPr>
        <w:t>1,202 MT CO2 equivalent by 2050.</w:t>
      </w:r>
    </w:p>
    <w:p w14:paraId="487F2A0F" w14:textId="77777777" w:rsidR="003469D0" w:rsidRDefault="003469D0" w:rsidP="00C97A74">
      <w:pPr>
        <w:spacing w:line="240" w:lineRule="auto"/>
        <w:rPr>
          <w:rFonts w:ascii="Calibri" w:eastAsia="Calibri" w:hAnsi="Calibri" w:cs="Calibri"/>
          <w:sz w:val="22"/>
          <w:szCs w:val="22"/>
        </w:rPr>
      </w:pPr>
    </w:p>
    <w:tbl>
      <w:tblPr>
        <w:tblStyle w:val="TableGrid"/>
        <w:tblW w:w="0" w:type="auto"/>
        <w:tblLook w:val="04A0" w:firstRow="1" w:lastRow="0" w:firstColumn="1" w:lastColumn="0" w:noHBand="0" w:noVBand="1"/>
      </w:tblPr>
      <w:tblGrid>
        <w:gridCol w:w="442"/>
        <w:gridCol w:w="4940"/>
        <w:gridCol w:w="1556"/>
        <w:gridCol w:w="755"/>
        <w:gridCol w:w="717"/>
        <w:gridCol w:w="940"/>
      </w:tblGrid>
      <w:tr w:rsidR="00E124B1" w:rsidRPr="00E124B1" w14:paraId="53D2F456" w14:textId="77777777" w:rsidTr="00E124B1">
        <w:trPr>
          <w:trHeight w:val="312"/>
        </w:trPr>
        <w:tc>
          <w:tcPr>
            <w:tcW w:w="443" w:type="dxa"/>
            <w:noWrap/>
            <w:hideMark/>
          </w:tcPr>
          <w:p w14:paraId="07D34912" w14:textId="77777777" w:rsidR="00E124B1" w:rsidRPr="00E124B1" w:rsidRDefault="00E124B1" w:rsidP="00E124B1">
            <w:pPr>
              <w:rPr>
                <w:rFonts w:ascii="Calibri" w:eastAsia="Calibri" w:hAnsi="Calibri" w:cs="Calibri"/>
                <w:sz w:val="22"/>
                <w:szCs w:val="22"/>
              </w:rPr>
            </w:pPr>
          </w:p>
        </w:tc>
        <w:tc>
          <w:tcPr>
            <w:tcW w:w="4942" w:type="dxa"/>
            <w:noWrap/>
            <w:hideMark/>
          </w:tcPr>
          <w:p w14:paraId="4FA6F774" w14:textId="77777777" w:rsidR="00E124B1" w:rsidRPr="00E124B1" w:rsidRDefault="00E124B1" w:rsidP="00E124B1">
            <w:pPr>
              <w:rPr>
                <w:rFonts w:ascii="Calibri" w:eastAsia="Calibri" w:hAnsi="Calibri" w:cs="Calibri"/>
                <w:sz w:val="22"/>
                <w:szCs w:val="22"/>
              </w:rPr>
            </w:pPr>
          </w:p>
        </w:tc>
        <w:tc>
          <w:tcPr>
            <w:tcW w:w="1557" w:type="dxa"/>
            <w:noWrap/>
            <w:hideMark/>
          </w:tcPr>
          <w:p w14:paraId="536FF4A8" w14:textId="77777777" w:rsidR="00E124B1" w:rsidRPr="00E124B1" w:rsidRDefault="00E124B1" w:rsidP="00E124B1">
            <w:pPr>
              <w:rPr>
                <w:rFonts w:ascii="Calibri" w:eastAsia="Calibri" w:hAnsi="Calibri" w:cs="Calibri"/>
                <w:sz w:val="22"/>
                <w:szCs w:val="22"/>
              </w:rPr>
            </w:pPr>
          </w:p>
        </w:tc>
        <w:tc>
          <w:tcPr>
            <w:tcW w:w="2408" w:type="dxa"/>
            <w:gridSpan w:val="3"/>
            <w:noWrap/>
            <w:hideMark/>
          </w:tcPr>
          <w:p w14:paraId="0909B0DE"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GHG reduction MT CO2 equivalents</w:t>
            </w:r>
          </w:p>
        </w:tc>
      </w:tr>
      <w:tr w:rsidR="00E124B1" w:rsidRPr="00E124B1" w14:paraId="4ADA327F" w14:textId="77777777" w:rsidTr="00E124B1">
        <w:trPr>
          <w:trHeight w:val="264"/>
        </w:trPr>
        <w:tc>
          <w:tcPr>
            <w:tcW w:w="443" w:type="dxa"/>
            <w:noWrap/>
            <w:hideMark/>
          </w:tcPr>
          <w:p w14:paraId="5EF47037" w14:textId="77777777" w:rsidR="00E124B1" w:rsidRPr="00E124B1" w:rsidRDefault="00E124B1" w:rsidP="00E124B1">
            <w:pPr>
              <w:rPr>
                <w:rFonts w:ascii="Calibri" w:eastAsia="Calibri" w:hAnsi="Calibri" w:cs="Calibri"/>
                <w:sz w:val="22"/>
                <w:szCs w:val="22"/>
              </w:rPr>
            </w:pPr>
          </w:p>
        </w:tc>
        <w:tc>
          <w:tcPr>
            <w:tcW w:w="4942" w:type="dxa"/>
            <w:noWrap/>
            <w:hideMark/>
          </w:tcPr>
          <w:p w14:paraId="6281DA2D"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Reduction Measure</w:t>
            </w:r>
          </w:p>
        </w:tc>
        <w:tc>
          <w:tcPr>
            <w:tcW w:w="1557" w:type="dxa"/>
            <w:noWrap/>
            <w:hideMark/>
          </w:tcPr>
          <w:p w14:paraId="2A9BD547"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Cost</w:t>
            </w:r>
          </w:p>
        </w:tc>
        <w:tc>
          <w:tcPr>
            <w:tcW w:w="754" w:type="dxa"/>
            <w:noWrap/>
            <w:hideMark/>
          </w:tcPr>
          <w:p w14:paraId="3751D1F8" w14:textId="77777777" w:rsidR="00E124B1" w:rsidRPr="00E124B1" w:rsidRDefault="00E124B1" w:rsidP="00E124B1">
            <w:pPr>
              <w:rPr>
                <w:rFonts w:ascii="Calibri" w:eastAsia="Calibri" w:hAnsi="Calibri" w:cs="Calibri"/>
                <w:sz w:val="22"/>
                <w:szCs w:val="22"/>
              </w:rPr>
            </w:pPr>
          </w:p>
        </w:tc>
        <w:tc>
          <w:tcPr>
            <w:tcW w:w="716" w:type="dxa"/>
            <w:noWrap/>
            <w:hideMark/>
          </w:tcPr>
          <w:p w14:paraId="58F0F461" w14:textId="77777777" w:rsidR="00E124B1" w:rsidRPr="00E124B1" w:rsidRDefault="00E124B1" w:rsidP="00E124B1">
            <w:pPr>
              <w:rPr>
                <w:rFonts w:ascii="Calibri" w:eastAsia="Calibri" w:hAnsi="Calibri" w:cs="Calibri"/>
                <w:b/>
                <w:bCs/>
                <w:sz w:val="22"/>
                <w:szCs w:val="22"/>
                <w:u w:val="single"/>
              </w:rPr>
            </w:pPr>
            <w:r w:rsidRPr="00E124B1">
              <w:rPr>
                <w:rFonts w:ascii="Calibri" w:eastAsia="Calibri" w:hAnsi="Calibri" w:cs="Calibri"/>
                <w:b/>
                <w:bCs/>
                <w:sz w:val="22"/>
                <w:szCs w:val="22"/>
                <w:u w:val="single"/>
              </w:rPr>
              <w:t>2030</w:t>
            </w:r>
          </w:p>
        </w:tc>
        <w:tc>
          <w:tcPr>
            <w:tcW w:w="938" w:type="dxa"/>
            <w:noWrap/>
            <w:hideMark/>
          </w:tcPr>
          <w:p w14:paraId="2EDC0C8C" w14:textId="77777777" w:rsidR="00E124B1" w:rsidRPr="00E124B1" w:rsidRDefault="00E124B1" w:rsidP="00E124B1">
            <w:pPr>
              <w:rPr>
                <w:rFonts w:ascii="Calibri" w:eastAsia="Calibri" w:hAnsi="Calibri" w:cs="Calibri"/>
                <w:b/>
                <w:bCs/>
                <w:sz w:val="22"/>
                <w:szCs w:val="22"/>
                <w:u w:val="single"/>
              </w:rPr>
            </w:pPr>
            <w:r w:rsidRPr="00E124B1">
              <w:rPr>
                <w:rFonts w:ascii="Calibri" w:eastAsia="Calibri" w:hAnsi="Calibri" w:cs="Calibri"/>
                <w:b/>
                <w:bCs/>
                <w:sz w:val="22"/>
                <w:szCs w:val="22"/>
                <w:u w:val="single"/>
              </w:rPr>
              <w:t>2050</w:t>
            </w:r>
          </w:p>
        </w:tc>
      </w:tr>
      <w:tr w:rsidR="00E124B1" w:rsidRPr="00E124B1" w14:paraId="60D59F3E" w14:textId="77777777" w:rsidTr="00E124B1">
        <w:trPr>
          <w:trHeight w:val="264"/>
        </w:trPr>
        <w:tc>
          <w:tcPr>
            <w:tcW w:w="443" w:type="dxa"/>
            <w:noWrap/>
            <w:hideMark/>
          </w:tcPr>
          <w:p w14:paraId="2FD01199"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w:t>
            </w:r>
          </w:p>
        </w:tc>
        <w:tc>
          <w:tcPr>
            <w:tcW w:w="4942" w:type="dxa"/>
            <w:noWrap/>
            <w:hideMark/>
          </w:tcPr>
          <w:p w14:paraId="5C3FDDCB"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Energy Sector-</w:t>
            </w:r>
            <w:proofErr w:type="gramStart"/>
            <w:r w:rsidRPr="00E124B1">
              <w:rPr>
                <w:rFonts w:ascii="Calibri" w:eastAsia="Calibri" w:hAnsi="Calibri" w:cs="Calibri"/>
                <w:sz w:val="22"/>
                <w:szCs w:val="22"/>
              </w:rPr>
              <w:t>Install  2</w:t>
            </w:r>
            <w:proofErr w:type="gramEnd"/>
            <w:r w:rsidRPr="00E124B1">
              <w:rPr>
                <w:rFonts w:ascii="Calibri" w:eastAsia="Calibri" w:hAnsi="Calibri" w:cs="Calibri"/>
                <w:sz w:val="22"/>
                <w:szCs w:val="22"/>
              </w:rPr>
              <w:t>-300 kW Solar PV Microgrid- NRD Complex, Police/Pines</w:t>
            </w:r>
          </w:p>
        </w:tc>
        <w:tc>
          <w:tcPr>
            <w:tcW w:w="1557" w:type="dxa"/>
            <w:noWrap/>
            <w:hideMark/>
          </w:tcPr>
          <w:p w14:paraId="192C8BF7"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$10,030,247</w:t>
            </w:r>
          </w:p>
        </w:tc>
        <w:tc>
          <w:tcPr>
            <w:tcW w:w="754" w:type="dxa"/>
            <w:noWrap/>
            <w:hideMark/>
          </w:tcPr>
          <w:p w14:paraId="5D0246B0" w14:textId="77777777" w:rsidR="00E124B1" w:rsidRPr="00E124B1" w:rsidRDefault="00E124B1" w:rsidP="00E124B1">
            <w:pPr>
              <w:rPr>
                <w:rFonts w:ascii="Calibri" w:eastAsia="Calibri" w:hAnsi="Calibri" w:cs="Calibri"/>
                <w:sz w:val="22"/>
                <w:szCs w:val="22"/>
              </w:rPr>
            </w:pPr>
          </w:p>
        </w:tc>
        <w:tc>
          <w:tcPr>
            <w:tcW w:w="716" w:type="dxa"/>
            <w:noWrap/>
            <w:hideMark/>
          </w:tcPr>
          <w:p w14:paraId="3B5EC47A"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2,187</w:t>
            </w:r>
          </w:p>
        </w:tc>
        <w:tc>
          <w:tcPr>
            <w:tcW w:w="938" w:type="dxa"/>
            <w:noWrap/>
            <w:hideMark/>
          </w:tcPr>
          <w:p w14:paraId="3DA43D6F"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43,740</w:t>
            </w:r>
          </w:p>
        </w:tc>
      </w:tr>
      <w:tr w:rsidR="00E124B1" w:rsidRPr="00E124B1" w14:paraId="6BDA01A9" w14:textId="77777777" w:rsidTr="00E124B1">
        <w:trPr>
          <w:trHeight w:val="264"/>
        </w:trPr>
        <w:tc>
          <w:tcPr>
            <w:tcW w:w="443" w:type="dxa"/>
            <w:noWrap/>
            <w:hideMark/>
          </w:tcPr>
          <w:p w14:paraId="7E4AF825"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w:t>
            </w:r>
          </w:p>
        </w:tc>
        <w:tc>
          <w:tcPr>
            <w:tcW w:w="4942" w:type="dxa"/>
            <w:noWrap/>
            <w:hideMark/>
          </w:tcPr>
          <w:p w14:paraId="1D1E8F7E"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Energy Sector-Install 4kw w storage Residential homes</w:t>
            </w:r>
          </w:p>
        </w:tc>
        <w:tc>
          <w:tcPr>
            <w:tcW w:w="1557" w:type="dxa"/>
            <w:noWrap/>
            <w:hideMark/>
          </w:tcPr>
          <w:p w14:paraId="3873858D"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$13,165,600</w:t>
            </w:r>
          </w:p>
        </w:tc>
        <w:tc>
          <w:tcPr>
            <w:tcW w:w="754" w:type="dxa"/>
            <w:noWrap/>
            <w:hideMark/>
          </w:tcPr>
          <w:p w14:paraId="42D75594" w14:textId="77777777" w:rsidR="00E124B1" w:rsidRPr="00E124B1" w:rsidRDefault="00E124B1" w:rsidP="00E124B1">
            <w:pPr>
              <w:rPr>
                <w:rFonts w:ascii="Calibri" w:eastAsia="Calibri" w:hAnsi="Calibri" w:cs="Calibri"/>
                <w:sz w:val="22"/>
                <w:szCs w:val="22"/>
              </w:rPr>
            </w:pPr>
          </w:p>
        </w:tc>
        <w:tc>
          <w:tcPr>
            <w:tcW w:w="716" w:type="dxa"/>
            <w:noWrap/>
            <w:hideMark/>
          </w:tcPr>
          <w:p w14:paraId="59FAE30F"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1,879</w:t>
            </w:r>
          </w:p>
        </w:tc>
        <w:tc>
          <w:tcPr>
            <w:tcW w:w="938" w:type="dxa"/>
            <w:noWrap/>
            <w:hideMark/>
          </w:tcPr>
          <w:p w14:paraId="08E59D8E"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37,580</w:t>
            </w:r>
          </w:p>
        </w:tc>
      </w:tr>
      <w:tr w:rsidR="00E124B1" w:rsidRPr="00E124B1" w14:paraId="2F33A4C1" w14:textId="77777777" w:rsidTr="00E124B1">
        <w:trPr>
          <w:trHeight w:val="264"/>
        </w:trPr>
        <w:tc>
          <w:tcPr>
            <w:tcW w:w="443" w:type="dxa"/>
            <w:noWrap/>
            <w:hideMark/>
          </w:tcPr>
          <w:p w14:paraId="257EAFA0"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3</w:t>
            </w:r>
          </w:p>
        </w:tc>
        <w:tc>
          <w:tcPr>
            <w:tcW w:w="4942" w:type="dxa"/>
            <w:noWrap/>
            <w:hideMark/>
          </w:tcPr>
          <w:p w14:paraId="08245117"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 xml:space="preserve">Building Sector-Weatherize Govt. Buildings </w:t>
            </w:r>
          </w:p>
        </w:tc>
        <w:tc>
          <w:tcPr>
            <w:tcW w:w="1557" w:type="dxa"/>
            <w:noWrap/>
            <w:hideMark/>
          </w:tcPr>
          <w:p w14:paraId="7447892A"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$804,300</w:t>
            </w:r>
          </w:p>
        </w:tc>
        <w:tc>
          <w:tcPr>
            <w:tcW w:w="754" w:type="dxa"/>
            <w:noWrap/>
            <w:hideMark/>
          </w:tcPr>
          <w:p w14:paraId="7765F7BB" w14:textId="77777777" w:rsidR="00E124B1" w:rsidRPr="00E124B1" w:rsidRDefault="00E124B1" w:rsidP="00E124B1">
            <w:pPr>
              <w:rPr>
                <w:rFonts w:ascii="Calibri" w:eastAsia="Calibri" w:hAnsi="Calibri" w:cs="Calibri"/>
                <w:sz w:val="22"/>
                <w:szCs w:val="22"/>
              </w:rPr>
            </w:pPr>
          </w:p>
        </w:tc>
        <w:tc>
          <w:tcPr>
            <w:tcW w:w="716" w:type="dxa"/>
            <w:noWrap/>
            <w:hideMark/>
          </w:tcPr>
          <w:p w14:paraId="1DDDBB4B"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230</w:t>
            </w:r>
          </w:p>
        </w:tc>
        <w:tc>
          <w:tcPr>
            <w:tcW w:w="938" w:type="dxa"/>
            <w:noWrap/>
            <w:hideMark/>
          </w:tcPr>
          <w:p w14:paraId="5E66F78C"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4,605</w:t>
            </w:r>
          </w:p>
        </w:tc>
      </w:tr>
      <w:tr w:rsidR="00E124B1" w:rsidRPr="00E124B1" w14:paraId="750685FF" w14:textId="77777777" w:rsidTr="00E124B1">
        <w:trPr>
          <w:trHeight w:val="264"/>
        </w:trPr>
        <w:tc>
          <w:tcPr>
            <w:tcW w:w="443" w:type="dxa"/>
            <w:noWrap/>
            <w:hideMark/>
          </w:tcPr>
          <w:p w14:paraId="6B44535B"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4</w:t>
            </w:r>
          </w:p>
        </w:tc>
        <w:tc>
          <w:tcPr>
            <w:tcW w:w="4942" w:type="dxa"/>
            <w:noWrap/>
            <w:hideMark/>
          </w:tcPr>
          <w:p w14:paraId="373EC2B2"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Building Sector-Weatherize Residential Buildings</w:t>
            </w:r>
          </w:p>
        </w:tc>
        <w:tc>
          <w:tcPr>
            <w:tcW w:w="1557" w:type="dxa"/>
            <w:noWrap/>
            <w:hideMark/>
          </w:tcPr>
          <w:p w14:paraId="7DBFEB38"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$3,411,160</w:t>
            </w:r>
          </w:p>
        </w:tc>
        <w:tc>
          <w:tcPr>
            <w:tcW w:w="754" w:type="dxa"/>
            <w:noWrap/>
            <w:hideMark/>
          </w:tcPr>
          <w:p w14:paraId="46AFCB43" w14:textId="77777777" w:rsidR="00E124B1" w:rsidRPr="00E124B1" w:rsidRDefault="00E124B1" w:rsidP="00E124B1">
            <w:pPr>
              <w:rPr>
                <w:rFonts w:ascii="Calibri" w:eastAsia="Calibri" w:hAnsi="Calibri" w:cs="Calibri"/>
                <w:sz w:val="22"/>
                <w:szCs w:val="22"/>
              </w:rPr>
            </w:pPr>
          </w:p>
        </w:tc>
        <w:tc>
          <w:tcPr>
            <w:tcW w:w="716" w:type="dxa"/>
            <w:noWrap/>
            <w:hideMark/>
          </w:tcPr>
          <w:p w14:paraId="6115B65C"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278</w:t>
            </w:r>
          </w:p>
        </w:tc>
        <w:tc>
          <w:tcPr>
            <w:tcW w:w="938" w:type="dxa"/>
            <w:noWrap/>
            <w:hideMark/>
          </w:tcPr>
          <w:p w14:paraId="1901CC47"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5,563</w:t>
            </w:r>
          </w:p>
        </w:tc>
      </w:tr>
      <w:tr w:rsidR="00E124B1" w:rsidRPr="00E124B1" w14:paraId="6DD8CBD7" w14:textId="77777777" w:rsidTr="00E124B1">
        <w:trPr>
          <w:trHeight w:val="264"/>
        </w:trPr>
        <w:tc>
          <w:tcPr>
            <w:tcW w:w="443" w:type="dxa"/>
            <w:noWrap/>
            <w:hideMark/>
          </w:tcPr>
          <w:p w14:paraId="164F8F69"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5</w:t>
            </w:r>
          </w:p>
        </w:tc>
        <w:tc>
          <w:tcPr>
            <w:tcW w:w="4942" w:type="dxa"/>
            <w:noWrap/>
            <w:hideMark/>
          </w:tcPr>
          <w:p w14:paraId="053D67B8"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Building Sector-Energy Star Appliances</w:t>
            </w:r>
          </w:p>
        </w:tc>
        <w:tc>
          <w:tcPr>
            <w:tcW w:w="1557" w:type="dxa"/>
            <w:noWrap/>
            <w:hideMark/>
          </w:tcPr>
          <w:p w14:paraId="1FC0B6A4"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$8,459,113</w:t>
            </w:r>
          </w:p>
        </w:tc>
        <w:tc>
          <w:tcPr>
            <w:tcW w:w="754" w:type="dxa"/>
            <w:noWrap/>
            <w:hideMark/>
          </w:tcPr>
          <w:p w14:paraId="3F2B7F47" w14:textId="77777777" w:rsidR="00E124B1" w:rsidRPr="00E124B1" w:rsidRDefault="00E124B1" w:rsidP="00E124B1">
            <w:pPr>
              <w:rPr>
                <w:rFonts w:ascii="Calibri" w:eastAsia="Calibri" w:hAnsi="Calibri" w:cs="Calibri"/>
                <w:sz w:val="22"/>
                <w:szCs w:val="22"/>
              </w:rPr>
            </w:pPr>
          </w:p>
        </w:tc>
        <w:tc>
          <w:tcPr>
            <w:tcW w:w="716" w:type="dxa"/>
            <w:noWrap/>
            <w:hideMark/>
          </w:tcPr>
          <w:p w14:paraId="02BEAE7F"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200</w:t>
            </w:r>
          </w:p>
        </w:tc>
        <w:tc>
          <w:tcPr>
            <w:tcW w:w="938" w:type="dxa"/>
            <w:noWrap/>
            <w:hideMark/>
          </w:tcPr>
          <w:p w14:paraId="68390099"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4,006</w:t>
            </w:r>
          </w:p>
        </w:tc>
      </w:tr>
      <w:tr w:rsidR="00E124B1" w:rsidRPr="00E124B1" w14:paraId="315AC78E" w14:textId="77777777" w:rsidTr="00E124B1">
        <w:trPr>
          <w:trHeight w:val="264"/>
        </w:trPr>
        <w:tc>
          <w:tcPr>
            <w:tcW w:w="443" w:type="dxa"/>
            <w:noWrap/>
            <w:hideMark/>
          </w:tcPr>
          <w:p w14:paraId="3110FB48"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6</w:t>
            </w:r>
          </w:p>
        </w:tc>
        <w:tc>
          <w:tcPr>
            <w:tcW w:w="4942" w:type="dxa"/>
            <w:noWrap/>
            <w:hideMark/>
          </w:tcPr>
          <w:p w14:paraId="7384BC84"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Building Sector-Electrifying heat equipment</w:t>
            </w:r>
          </w:p>
        </w:tc>
        <w:tc>
          <w:tcPr>
            <w:tcW w:w="1557" w:type="dxa"/>
            <w:noWrap/>
            <w:hideMark/>
          </w:tcPr>
          <w:p w14:paraId="4640F91B"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$2,040,000</w:t>
            </w:r>
          </w:p>
        </w:tc>
        <w:tc>
          <w:tcPr>
            <w:tcW w:w="754" w:type="dxa"/>
            <w:noWrap/>
            <w:hideMark/>
          </w:tcPr>
          <w:p w14:paraId="45A1630A" w14:textId="77777777" w:rsidR="00E124B1" w:rsidRPr="00E124B1" w:rsidRDefault="00E124B1" w:rsidP="00E124B1">
            <w:pPr>
              <w:rPr>
                <w:rFonts w:ascii="Calibri" w:eastAsia="Calibri" w:hAnsi="Calibri" w:cs="Calibri"/>
                <w:sz w:val="22"/>
                <w:szCs w:val="22"/>
              </w:rPr>
            </w:pPr>
          </w:p>
        </w:tc>
        <w:tc>
          <w:tcPr>
            <w:tcW w:w="716" w:type="dxa"/>
            <w:noWrap/>
            <w:hideMark/>
          </w:tcPr>
          <w:p w14:paraId="5B61557E"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139</w:t>
            </w:r>
          </w:p>
        </w:tc>
        <w:tc>
          <w:tcPr>
            <w:tcW w:w="938" w:type="dxa"/>
            <w:noWrap/>
            <w:hideMark/>
          </w:tcPr>
          <w:p w14:paraId="40199AF7"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2,780</w:t>
            </w:r>
          </w:p>
        </w:tc>
      </w:tr>
      <w:tr w:rsidR="00E124B1" w:rsidRPr="00E124B1" w14:paraId="2C6829DC" w14:textId="77777777" w:rsidTr="00E124B1">
        <w:trPr>
          <w:trHeight w:val="264"/>
        </w:trPr>
        <w:tc>
          <w:tcPr>
            <w:tcW w:w="443" w:type="dxa"/>
            <w:noWrap/>
            <w:hideMark/>
          </w:tcPr>
          <w:p w14:paraId="02A6538E"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7</w:t>
            </w:r>
          </w:p>
        </w:tc>
        <w:tc>
          <w:tcPr>
            <w:tcW w:w="4942" w:type="dxa"/>
            <w:noWrap/>
            <w:hideMark/>
          </w:tcPr>
          <w:p w14:paraId="41E00E35"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Building Sector-Utility formation &amp; Code development</w:t>
            </w:r>
          </w:p>
        </w:tc>
        <w:tc>
          <w:tcPr>
            <w:tcW w:w="1557" w:type="dxa"/>
            <w:noWrap/>
            <w:hideMark/>
          </w:tcPr>
          <w:p w14:paraId="4B8DD3C2"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$1,973,701</w:t>
            </w:r>
          </w:p>
        </w:tc>
        <w:tc>
          <w:tcPr>
            <w:tcW w:w="754" w:type="dxa"/>
            <w:noWrap/>
            <w:hideMark/>
          </w:tcPr>
          <w:p w14:paraId="1B01956B" w14:textId="77777777" w:rsidR="00E124B1" w:rsidRPr="00E124B1" w:rsidRDefault="00E124B1" w:rsidP="00E124B1">
            <w:pPr>
              <w:rPr>
                <w:rFonts w:ascii="Calibri" w:eastAsia="Calibri" w:hAnsi="Calibri" w:cs="Calibri"/>
                <w:sz w:val="22"/>
                <w:szCs w:val="22"/>
              </w:rPr>
            </w:pPr>
          </w:p>
        </w:tc>
        <w:tc>
          <w:tcPr>
            <w:tcW w:w="716" w:type="dxa"/>
            <w:noWrap/>
            <w:hideMark/>
          </w:tcPr>
          <w:p w14:paraId="26CDD87A"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323</w:t>
            </w:r>
          </w:p>
        </w:tc>
        <w:tc>
          <w:tcPr>
            <w:tcW w:w="938" w:type="dxa"/>
            <w:noWrap/>
            <w:hideMark/>
          </w:tcPr>
          <w:p w14:paraId="41F69969"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6,468</w:t>
            </w:r>
          </w:p>
        </w:tc>
      </w:tr>
      <w:tr w:rsidR="00E124B1" w:rsidRPr="00E124B1" w14:paraId="17D45662" w14:textId="77777777" w:rsidTr="00E124B1">
        <w:trPr>
          <w:trHeight w:val="264"/>
        </w:trPr>
        <w:tc>
          <w:tcPr>
            <w:tcW w:w="443" w:type="dxa"/>
            <w:noWrap/>
            <w:hideMark/>
          </w:tcPr>
          <w:p w14:paraId="331AB929"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8</w:t>
            </w:r>
          </w:p>
        </w:tc>
        <w:tc>
          <w:tcPr>
            <w:tcW w:w="4942" w:type="dxa"/>
            <w:noWrap/>
            <w:hideMark/>
          </w:tcPr>
          <w:p w14:paraId="233E2460"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Building Sector-Electrifying heat equipment</w:t>
            </w:r>
          </w:p>
        </w:tc>
        <w:tc>
          <w:tcPr>
            <w:tcW w:w="1557" w:type="dxa"/>
            <w:noWrap/>
            <w:hideMark/>
          </w:tcPr>
          <w:p w14:paraId="22063F7C"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$430,500</w:t>
            </w:r>
          </w:p>
        </w:tc>
        <w:tc>
          <w:tcPr>
            <w:tcW w:w="754" w:type="dxa"/>
            <w:noWrap/>
            <w:hideMark/>
          </w:tcPr>
          <w:p w14:paraId="64BE2BE5" w14:textId="77777777" w:rsidR="00E124B1" w:rsidRPr="00E124B1" w:rsidRDefault="00E124B1" w:rsidP="00E124B1">
            <w:pPr>
              <w:rPr>
                <w:rFonts w:ascii="Calibri" w:eastAsia="Calibri" w:hAnsi="Calibri" w:cs="Calibri"/>
                <w:sz w:val="22"/>
                <w:szCs w:val="22"/>
              </w:rPr>
            </w:pPr>
          </w:p>
        </w:tc>
        <w:tc>
          <w:tcPr>
            <w:tcW w:w="716" w:type="dxa"/>
            <w:noWrap/>
            <w:hideMark/>
          </w:tcPr>
          <w:p w14:paraId="6EA6E4B4"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158</w:t>
            </w:r>
          </w:p>
        </w:tc>
        <w:tc>
          <w:tcPr>
            <w:tcW w:w="938" w:type="dxa"/>
            <w:noWrap/>
            <w:hideMark/>
          </w:tcPr>
          <w:p w14:paraId="13A0B88B"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3,160</w:t>
            </w:r>
          </w:p>
        </w:tc>
      </w:tr>
      <w:tr w:rsidR="00E124B1" w:rsidRPr="00E124B1" w14:paraId="2DA36DAD" w14:textId="77777777" w:rsidTr="00E124B1">
        <w:trPr>
          <w:trHeight w:val="264"/>
        </w:trPr>
        <w:tc>
          <w:tcPr>
            <w:tcW w:w="443" w:type="dxa"/>
            <w:noWrap/>
            <w:hideMark/>
          </w:tcPr>
          <w:p w14:paraId="4802B5AF"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9</w:t>
            </w:r>
          </w:p>
        </w:tc>
        <w:tc>
          <w:tcPr>
            <w:tcW w:w="4942" w:type="dxa"/>
            <w:noWrap/>
            <w:hideMark/>
          </w:tcPr>
          <w:p w14:paraId="2B00CA60"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 xml:space="preserve">Transportation Sector-Replace Fleet with 10 EV </w:t>
            </w:r>
            <w:proofErr w:type="gramStart"/>
            <w:r w:rsidRPr="00E124B1">
              <w:rPr>
                <w:rFonts w:ascii="Calibri" w:eastAsia="Calibri" w:hAnsi="Calibri" w:cs="Calibri"/>
                <w:sz w:val="22"/>
                <w:szCs w:val="22"/>
              </w:rPr>
              <w:t>+  5</w:t>
            </w:r>
            <w:proofErr w:type="gramEnd"/>
            <w:r w:rsidRPr="00E124B1">
              <w:rPr>
                <w:rFonts w:ascii="Calibri" w:eastAsia="Calibri" w:hAnsi="Calibri" w:cs="Calibri"/>
                <w:sz w:val="22"/>
                <w:szCs w:val="22"/>
              </w:rPr>
              <w:t xml:space="preserve"> charging station</w:t>
            </w:r>
          </w:p>
        </w:tc>
        <w:tc>
          <w:tcPr>
            <w:tcW w:w="1557" w:type="dxa"/>
            <w:noWrap/>
            <w:hideMark/>
          </w:tcPr>
          <w:p w14:paraId="58608982"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$1,240,831</w:t>
            </w:r>
          </w:p>
        </w:tc>
        <w:tc>
          <w:tcPr>
            <w:tcW w:w="754" w:type="dxa"/>
            <w:noWrap/>
            <w:hideMark/>
          </w:tcPr>
          <w:p w14:paraId="0A8828C1" w14:textId="77777777" w:rsidR="00E124B1" w:rsidRPr="00E124B1" w:rsidRDefault="00E124B1" w:rsidP="00E124B1">
            <w:pPr>
              <w:rPr>
                <w:rFonts w:ascii="Calibri" w:eastAsia="Calibri" w:hAnsi="Calibri" w:cs="Calibri"/>
                <w:sz w:val="22"/>
                <w:szCs w:val="22"/>
              </w:rPr>
            </w:pPr>
          </w:p>
        </w:tc>
        <w:tc>
          <w:tcPr>
            <w:tcW w:w="716" w:type="dxa"/>
            <w:noWrap/>
            <w:hideMark/>
          </w:tcPr>
          <w:p w14:paraId="24903680"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1,343</w:t>
            </w:r>
          </w:p>
        </w:tc>
        <w:tc>
          <w:tcPr>
            <w:tcW w:w="938" w:type="dxa"/>
            <w:noWrap/>
            <w:hideMark/>
          </w:tcPr>
          <w:p w14:paraId="4B87A3CB"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26,864</w:t>
            </w:r>
          </w:p>
        </w:tc>
      </w:tr>
      <w:tr w:rsidR="00E124B1" w:rsidRPr="00E124B1" w14:paraId="10E0D2A0" w14:textId="77777777" w:rsidTr="00E124B1">
        <w:trPr>
          <w:trHeight w:val="264"/>
        </w:trPr>
        <w:tc>
          <w:tcPr>
            <w:tcW w:w="443" w:type="dxa"/>
            <w:noWrap/>
            <w:hideMark/>
          </w:tcPr>
          <w:p w14:paraId="71B351E6"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10</w:t>
            </w:r>
          </w:p>
        </w:tc>
        <w:tc>
          <w:tcPr>
            <w:tcW w:w="4942" w:type="dxa"/>
            <w:noWrap/>
            <w:hideMark/>
          </w:tcPr>
          <w:p w14:paraId="0759CC69"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Forestry Sector Measures</w:t>
            </w:r>
          </w:p>
        </w:tc>
        <w:tc>
          <w:tcPr>
            <w:tcW w:w="1557" w:type="dxa"/>
            <w:noWrap/>
            <w:hideMark/>
          </w:tcPr>
          <w:p w14:paraId="1B038255"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$1,500,000</w:t>
            </w:r>
          </w:p>
        </w:tc>
        <w:tc>
          <w:tcPr>
            <w:tcW w:w="754" w:type="dxa"/>
            <w:noWrap/>
            <w:hideMark/>
          </w:tcPr>
          <w:p w14:paraId="70ABB478" w14:textId="77777777" w:rsidR="00E124B1" w:rsidRPr="00E124B1" w:rsidRDefault="00E124B1" w:rsidP="00E124B1">
            <w:pPr>
              <w:rPr>
                <w:rFonts w:ascii="Calibri" w:eastAsia="Calibri" w:hAnsi="Calibri" w:cs="Calibri"/>
                <w:sz w:val="22"/>
                <w:szCs w:val="22"/>
              </w:rPr>
            </w:pPr>
          </w:p>
        </w:tc>
        <w:tc>
          <w:tcPr>
            <w:tcW w:w="716" w:type="dxa"/>
            <w:noWrap/>
            <w:hideMark/>
          </w:tcPr>
          <w:p w14:paraId="06374546"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60</w:t>
            </w:r>
          </w:p>
        </w:tc>
        <w:tc>
          <w:tcPr>
            <w:tcW w:w="938" w:type="dxa"/>
            <w:noWrap/>
            <w:hideMark/>
          </w:tcPr>
          <w:p w14:paraId="116954A4"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1,202</w:t>
            </w:r>
          </w:p>
        </w:tc>
      </w:tr>
      <w:tr w:rsidR="00E124B1" w:rsidRPr="00E124B1" w14:paraId="7D3960C9" w14:textId="77777777" w:rsidTr="00E124B1">
        <w:trPr>
          <w:trHeight w:val="264"/>
        </w:trPr>
        <w:tc>
          <w:tcPr>
            <w:tcW w:w="443" w:type="dxa"/>
            <w:noWrap/>
            <w:hideMark/>
          </w:tcPr>
          <w:p w14:paraId="1BFCFCB3" w14:textId="77777777" w:rsidR="00E124B1" w:rsidRPr="00E124B1" w:rsidRDefault="00E124B1" w:rsidP="00E124B1">
            <w:pPr>
              <w:rPr>
                <w:rFonts w:ascii="Calibri" w:eastAsia="Calibri" w:hAnsi="Calibri" w:cs="Calibri"/>
                <w:sz w:val="22"/>
                <w:szCs w:val="22"/>
              </w:rPr>
            </w:pPr>
          </w:p>
        </w:tc>
        <w:tc>
          <w:tcPr>
            <w:tcW w:w="4942" w:type="dxa"/>
            <w:noWrap/>
            <w:hideMark/>
          </w:tcPr>
          <w:p w14:paraId="537717D2" w14:textId="77777777" w:rsidR="00E124B1" w:rsidRPr="00E124B1" w:rsidRDefault="00E124B1" w:rsidP="00E124B1">
            <w:pPr>
              <w:rPr>
                <w:rFonts w:ascii="Calibri" w:eastAsia="Calibri" w:hAnsi="Calibri" w:cs="Calibri"/>
                <w:sz w:val="22"/>
                <w:szCs w:val="22"/>
              </w:rPr>
            </w:pPr>
          </w:p>
        </w:tc>
        <w:tc>
          <w:tcPr>
            <w:tcW w:w="1557" w:type="dxa"/>
            <w:noWrap/>
            <w:hideMark/>
          </w:tcPr>
          <w:p w14:paraId="1AD9C75B"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$43,055,451</w:t>
            </w:r>
          </w:p>
        </w:tc>
        <w:tc>
          <w:tcPr>
            <w:tcW w:w="754" w:type="dxa"/>
            <w:noWrap/>
            <w:hideMark/>
          </w:tcPr>
          <w:p w14:paraId="2FC1AF66" w14:textId="77777777" w:rsidR="00E124B1" w:rsidRPr="00E124B1" w:rsidRDefault="00E124B1" w:rsidP="00E124B1">
            <w:pPr>
              <w:rPr>
                <w:rFonts w:ascii="Calibri" w:eastAsia="Calibri" w:hAnsi="Calibri" w:cs="Calibri"/>
                <w:sz w:val="22"/>
                <w:szCs w:val="22"/>
              </w:rPr>
            </w:pPr>
          </w:p>
        </w:tc>
        <w:tc>
          <w:tcPr>
            <w:tcW w:w="716" w:type="dxa"/>
            <w:noWrap/>
            <w:hideMark/>
          </w:tcPr>
          <w:p w14:paraId="34729E84" w14:textId="77777777" w:rsidR="00E124B1" w:rsidRPr="00E124B1" w:rsidRDefault="00E124B1" w:rsidP="00E124B1">
            <w:pPr>
              <w:rPr>
                <w:rFonts w:ascii="Calibri" w:eastAsia="Calibri" w:hAnsi="Calibri" w:cs="Calibri"/>
                <w:sz w:val="22"/>
                <w:szCs w:val="22"/>
              </w:rPr>
            </w:pPr>
          </w:p>
        </w:tc>
        <w:tc>
          <w:tcPr>
            <w:tcW w:w="938" w:type="dxa"/>
            <w:noWrap/>
            <w:hideMark/>
          </w:tcPr>
          <w:p w14:paraId="2C380C37" w14:textId="77777777" w:rsidR="00E124B1" w:rsidRPr="00E124B1" w:rsidRDefault="00E124B1" w:rsidP="00E124B1">
            <w:pPr>
              <w:rPr>
                <w:rFonts w:ascii="Calibri" w:eastAsia="Calibri" w:hAnsi="Calibri" w:cs="Calibri"/>
                <w:sz w:val="22"/>
                <w:szCs w:val="22"/>
              </w:rPr>
            </w:pPr>
          </w:p>
        </w:tc>
      </w:tr>
      <w:tr w:rsidR="00E124B1" w:rsidRPr="00E124B1" w14:paraId="6BD6E929" w14:textId="77777777" w:rsidTr="00E124B1">
        <w:trPr>
          <w:trHeight w:val="264"/>
        </w:trPr>
        <w:tc>
          <w:tcPr>
            <w:tcW w:w="443" w:type="dxa"/>
            <w:noWrap/>
            <w:hideMark/>
          </w:tcPr>
          <w:p w14:paraId="1D42F1D0" w14:textId="77777777" w:rsidR="00E124B1" w:rsidRPr="00E124B1" w:rsidRDefault="00E124B1" w:rsidP="00E124B1">
            <w:pPr>
              <w:rPr>
                <w:rFonts w:ascii="Calibri" w:eastAsia="Calibri" w:hAnsi="Calibri" w:cs="Calibri"/>
                <w:sz w:val="22"/>
                <w:szCs w:val="22"/>
              </w:rPr>
            </w:pPr>
          </w:p>
        </w:tc>
        <w:tc>
          <w:tcPr>
            <w:tcW w:w="4942" w:type="dxa"/>
            <w:noWrap/>
            <w:hideMark/>
          </w:tcPr>
          <w:p w14:paraId="2C437688" w14:textId="77777777" w:rsidR="00E124B1" w:rsidRPr="00E124B1" w:rsidRDefault="00E124B1" w:rsidP="00E124B1">
            <w:pPr>
              <w:rPr>
                <w:rFonts w:ascii="Calibri" w:eastAsia="Calibri" w:hAnsi="Calibri" w:cs="Calibri"/>
                <w:sz w:val="22"/>
                <w:szCs w:val="22"/>
              </w:rPr>
            </w:pPr>
          </w:p>
        </w:tc>
        <w:tc>
          <w:tcPr>
            <w:tcW w:w="1557" w:type="dxa"/>
            <w:noWrap/>
            <w:hideMark/>
          </w:tcPr>
          <w:p w14:paraId="3326FB33" w14:textId="77777777" w:rsidR="00E124B1" w:rsidRPr="00E124B1" w:rsidRDefault="00E124B1" w:rsidP="00E124B1">
            <w:pPr>
              <w:rPr>
                <w:rFonts w:ascii="Calibri" w:eastAsia="Calibri" w:hAnsi="Calibri" w:cs="Calibri"/>
                <w:sz w:val="22"/>
                <w:szCs w:val="22"/>
              </w:rPr>
            </w:pPr>
          </w:p>
        </w:tc>
        <w:tc>
          <w:tcPr>
            <w:tcW w:w="754" w:type="dxa"/>
            <w:noWrap/>
            <w:hideMark/>
          </w:tcPr>
          <w:p w14:paraId="797FAB6A"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Totals</w:t>
            </w:r>
          </w:p>
        </w:tc>
        <w:tc>
          <w:tcPr>
            <w:tcW w:w="716" w:type="dxa"/>
            <w:noWrap/>
            <w:hideMark/>
          </w:tcPr>
          <w:p w14:paraId="31E0042F"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6,798</w:t>
            </w:r>
          </w:p>
        </w:tc>
        <w:tc>
          <w:tcPr>
            <w:tcW w:w="938" w:type="dxa"/>
            <w:noWrap/>
            <w:hideMark/>
          </w:tcPr>
          <w:p w14:paraId="7A0D5085" w14:textId="77777777" w:rsidR="00E124B1" w:rsidRPr="00E124B1" w:rsidRDefault="00E124B1" w:rsidP="00E124B1">
            <w:pPr>
              <w:rPr>
                <w:rFonts w:ascii="Calibri" w:eastAsia="Calibri" w:hAnsi="Calibri" w:cs="Calibri"/>
                <w:sz w:val="22"/>
                <w:szCs w:val="22"/>
              </w:rPr>
            </w:pPr>
            <w:r w:rsidRPr="00E124B1">
              <w:rPr>
                <w:rFonts w:ascii="Calibri" w:eastAsia="Calibri" w:hAnsi="Calibri" w:cs="Calibri"/>
                <w:sz w:val="22"/>
                <w:szCs w:val="22"/>
              </w:rPr>
              <w:t>135,968</w:t>
            </w:r>
          </w:p>
        </w:tc>
      </w:tr>
    </w:tbl>
    <w:p w14:paraId="1721F345" w14:textId="77777777" w:rsidR="00E124B1" w:rsidRPr="00EE0A64" w:rsidRDefault="00E124B1" w:rsidP="00C97A74">
      <w:pPr>
        <w:spacing w:line="240" w:lineRule="auto"/>
        <w:rPr>
          <w:rFonts w:ascii="Calibri" w:eastAsia="Calibri" w:hAnsi="Calibri" w:cs="Calibri"/>
          <w:sz w:val="22"/>
          <w:szCs w:val="22"/>
        </w:rPr>
      </w:pPr>
    </w:p>
    <w:sectPr w:rsidR="00E124B1" w:rsidRPr="00EE0A64">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D15BD" w14:textId="77777777" w:rsidR="007701F8" w:rsidRDefault="007701F8">
      <w:pPr>
        <w:spacing w:line="240" w:lineRule="auto"/>
      </w:pPr>
      <w:r>
        <w:separator/>
      </w:r>
    </w:p>
  </w:endnote>
  <w:endnote w:type="continuationSeparator" w:id="0">
    <w:p w14:paraId="0D184650" w14:textId="77777777" w:rsidR="007701F8" w:rsidRDefault="007701F8">
      <w:pPr>
        <w:spacing w:line="240" w:lineRule="auto"/>
      </w:pPr>
      <w:r>
        <w:continuationSeparator/>
      </w:r>
    </w:p>
  </w:endnote>
  <w:endnote w:type="continuationNotice" w:id="1">
    <w:p w14:paraId="09B0247D" w14:textId="77777777" w:rsidR="007701F8" w:rsidRDefault="007701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1F9FF" w14:textId="77777777" w:rsidR="004C510F" w:rsidRDefault="004C510F">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011674"/>
      <w:docPartObj>
        <w:docPartGallery w:val="Page Numbers (Bottom of Page)"/>
        <w:docPartUnique/>
      </w:docPartObj>
    </w:sdtPr>
    <w:sdtEndPr>
      <w:rPr>
        <w:noProof/>
      </w:rPr>
    </w:sdtEndPr>
    <w:sdtContent>
      <w:p w14:paraId="385792E3" w14:textId="41BF8476" w:rsidR="00CC4AD2" w:rsidRDefault="00CC4AD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901FA01" w14:textId="77777777" w:rsidR="004C510F" w:rsidRDefault="004C510F">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1FA03" w14:textId="77777777" w:rsidR="004C510F" w:rsidRDefault="004C510F">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2DE54" w14:textId="77777777" w:rsidR="007701F8" w:rsidRDefault="007701F8">
      <w:pPr>
        <w:spacing w:line="240" w:lineRule="auto"/>
      </w:pPr>
      <w:r>
        <w:separator/>
      </w:r>
    </w:p>
  </w:footnote>
  <w:footnote w:type="continuationSeparator" w:id="0">
    <w:p w14:paraId="4E71848F" w14:textId="77777777" w:rsidR="007701F8" w:rsidRDefault="007701F8">
      <w:pPr>
        <w:spacing w:line="240" w:lineRule="auto"/>
      </w:pPr>
      <w:r>
        <w:continuationSeparator/>
      </w:r>
    </w:p>
  </w:footnote>
  <w:footnote w:type="continuationNotice" w:id="1">
    <w:p w14:paraId="715B47EB" w14:textId="77777777" w:rsidR="007701F8" w:rsidRDefault="007701F8">
      <w:pPr>
        <w:spacing w:line="240" w:lineRule="auto"/>
      </w:pPr>
    </w:p>
  </w:footnote>
  <w:footnote w:id="2">
    <w:p w14:paraId="08BB3336" w14:textId="19E36F25" w:rsidR="00453B7C" w:rsidRDefault="00453B7C">
      <w:pPr>
        <w:pStyle w:val="FootnoteText"/>
      </w:pPr>
      <w:r>
        <w:rPr>
          <w:rStyle w:val="FootnoteReference"/>
        </w:rPr>
        <w:footnoteRef/>
      </w:r>
      <w:r>
        <w:t xml:space="preserve"> </w:t>
      </w:r>
      <w:hyperlink r:id="rId1" w:history="1">
        <w:r w:rsidR="00E06C76">
          <w:rPr>
            <w:rStyle w:val="Hyperlink"/>
          </w:rPr>
          <w:t>PVWatts Calculator (nrel.gov)</w:t>
        </w:r>
      </w:hyperlink>
    </w:p>
  </w:footnote>
  <w:footnote w:id="3">
    <w:p w14:paraId="20528764" w14:textId="61C6BDBA" w:rsidR="002B13D0" w:rsidRDefault="002B13D0">
      <w:pPr>
        <w:pStyle w:val="FootnoteText"/>
      </w:pPr>
      <w:r>
        <w:rPr>
          <w:rStyle w:val="FootnoteReference"/>
        </w:rPr>
        <w:footnoteRef/>
      </w:r>
      <w:r>
        <w:t xml:space="preserve"> </w:t>
      </w:r>
      <w:hyperlink r:id="rId2" w:anchor="results" w:history="1">
        <w:r w:rsidR="0022525F" w:rsidRPr="0022525F">
          <w:rPr>
            <w:rStyle w:val="Hyperlink"/>
          </w:rPr>
          <w:t>Greenhouse Gas Equivalencies Calculator | US EPA</w:t>
        </w:r>
      </w:hyperlink>
    </w:p>
  </w:footnote>
  <w:footnote w:id="4">
    <w:p w14:paraId="763ACC13" w14:textId="77777777" w:rsidR="002B2628" w:rsidRDefault="002B2628" w:rsidP="002B2628">
      <w:pPr>
        <w:pStyle w:val="FootnoteText"/>
      </w:pPr>
      <w:r>
        <w:rPr>
          <w:rStyle w:val="FootnoteReference"/>
        </w:rPr>
        <w:footnoteRef/>
      </w:r>
      <w:r>
        <w:t xml:space="preserve"> </w:t>
      </w:r>
      <w:hyperlink r:id="rId3" w:anchor="results" w:history="1">
        <w:r w:rsidRPr="0022525F">
          <w:rPr>
            <w:rStyle w:val="Hyperlink"/>
          </w:rPr>
          <w:t>Greenhouse Gas Equivalencies Calculator | US EPA</w:t>
        </w:r>
      </w:hyperlink>
    </w:p>
  </w:footnote>
  <w:footnote w:id="5">
    <w:p w14:paraId="6320BCE7" w14:textId="2AE62579" w:rsidR="00621BF0" w:rsidRDefault="00621BF0">
      <w:pPr>
        <w:pStyle w:val="FootnoteText"/>
      </w:pPr>
      <w:r>
        <w:rPr>
          <w:rStyle w:val="FootnoteReference"/>
        </w:rPr>
        <w:footnoteRef/>
      </w:r>
      <w:r>
        <w:t xml:space="preserve"> </w:t>
      </w:r>
      <w:hyperlink r:id="rId4" w:history="1">
        <w:r>
          <w:rPr>
            <w:rStyle w:val="Hyperlink"/>
          </w:rPr>
          <w:t>Baraga County, Michigan - Census Bureau Search</w:t>
        </w:r>
      </w:hyperlink>
    </w:p>
  </w:footnote>
  <w:footnote w:id="6">
    <w:p w14:paraId="18E04A5B" w14:textId="14463DBC" w:rsidR="0094130E" w:rsidRDefault="0094130E">
      <w:pPr>
        <w:pStyle w:val="FootnoteText"/>
      </w:pPr>
      <w:r>
        <w:rPr>
          <w:rStyle w:val="FootnoteReference"/>
        </w:rPr>
        <w:footnoteRef/>
      </w:r>
      <w:r>
        <w:t xml:space="preserve"> </w:t>
      </w:r>
      <w:hyperlink r:id="rId5" w:history="1">
        <w:r>
          <w:rPr>
            <w:rStyle w:val="Hyperlink"/>
          </w:rPr>
          <w:t>Data Viewer (Commercial Electricity Savings Potential) | State and Local Planning for Energy | NREL</w:t>
        </w:r>
      </w:hyperlink>
    </w:p>
  </w:footnote>
  <w:footnote w:id="7">
    <w:p w14:paraId="79A5951F" w14:textId="4027B6E3" w:rsidR="00A45504" w:rsidRDefault="00A45504">
      <w:pPr>
        <w:pStyle w:val="FootnoteText"/>
      </w:pPr>
      <w:r>
        <w:rPr>
          <w:rStyle w:val="FootnoteReference"/>
        </w:rPr>
        <w:footnoteRef/>
      </w:r>
      <w:r>
        <w:t xml:space="preserve"> </w:t>
      </w:r>
      <w:hyperlink r:id="rId6" w:history="1">
        <w:r>
          <w:rPr>
            <w:rStyle w:val="Hyperlink"/>
          </w:rPr>
          <w:t>Data Viewer (Commercial Natural Gas Savings Potential) | State and Local Planning for Energy | NREL</w:t>
        </w:r>
      </w:hyperlink>
    </w:p>
  </w:footnote>
  <w:footnote w:id="8">
    <w:p w14:paraId="49B64F75" w14:textId="77777777" w:rsidR="00042414" w:rsidRDefault="00042414" w:rsidP="00042414">
      <w:pPr>
        <w:pStyle w:val="FootnoteText"/>
      </w:pPr>
      <w:r>
        <w:rPr>
          <w:rStyle w:val="FootnoteReference"/>
        </w:rPr>
        <w:footnoteRef/>
      </w:r>
      <w:r>
        <w:t xml:space="preserve"> </w:t>
      </w:r>
      <w:hyperlink r:id="rId7" w:history="1">
        <w:r>
          <w:rPr>
            <w:rStyle w:val="Hyperlink"/>
          </w:rPr>
          <w:t>Baraga County, Michigan - Census Bureau Search</w:t>
        </w:r>
      </w:hyperlink>
    </w:p>
  </w:footnote>
  <w:footnote w:id="9">
    <w:p w14:paraId="73D61AF9" w14:textId="6C3E778E" w:rsidR="00E02FDF" w:rsidRDefault="00E02FDF">
      <w:pPr>
        <w:pStyle w:val="FootnoteText"/>
      </w:pPr>
      <w:r>
        <w:rPr>
          <w:rStyle w:val="FootnoteReference"/>
        </w:rPr>
        <w:footnoteRef/>
      </w:r>
      <w:r>
        <w:t xml:space="preserve"> </w:t>
      </w:r>
      <w:hyperlink r:id="rId8" w:history="1">
        <w:r>
          <w:rPr>
            <w:rStyle w:val="Hyperlink"/>
          </w:rPr>
          <w:t>Electricity use in homes - U.S. Energy Information Administration (EIA)</w:t>
        </w:r>
      </w:hyperlink>
    </w:p>
  </w:footnote>
  <w:footnote w:id="10">
    <w:p w14:paraId="5DC32155" w14:textId="377526CC" w:rsidR="006C44A7" w:rsidRDefault="006C44A7">
      <w:pPr>
        <w:pStyle w:val="FootnoteText"/>
      </w:pPr>
      <w:r>
        <w:rPr>
          <w:rStyle w:val="FootnoteReference"/>
        </w:rPr>
        <w:footnoteRef/>
      </w:r>
      <w:r>
        <w:t xml:space="preserve"> ibid</w:t>
      </w:r>
    </w:p>
  </w:footnote>
  <w:footnote w:id="11">
    <w:p w14:paraId="546759F8" w14:textId="3A2C30C9" w:rsidR="00BF0D9E" w:rsidRDefault="00BF0D9E">
      <w:pPr>
        <w:pStyle w:val="FootnoteText"/>
      </w:pPr>
      <w:r>
        <w:rPr>
          <w:rStyle w:val="FootnoteReference"/>
        </w:rPr>
        <w:footnoteRef/>
      </w:r>
      <w:r>
        <w:t xml:space="preserve"> </w:t>
      </w:r>
      <w:hyperlink r:id="rId9" w:history="1">
        <w:r>
          <w:rPr>
            <w:rStyle w:val="Hyperlink"/>
          </w:rPr>
          <w:t>Consumer Guide to Kitchen Appliances (energy.gov)</w:t>
        </w:r>
      </w:hyperlink>
    </w:p>
  </w:footnote>
  <w:footnote w:id="12">
    <w:p w14:paraId="19FF5B86" w14:textId="568CD79F" w:rsidR="00592827" w:rsidRDefault="00592827">
      <w:pPr>
        <w:pStyle w:val="FootnoteText"/>
      </w:pPr>
      <w:r>
        <w:rPr>
          <w:rStyle w:val="FootnoteReference"/>
        </w:rPr>
        <w:footnoteRef/>
      </w:r>
      <w:r>
        <w:t xml:space="preserve"> ibid</w:t>
      </w:r>
    </w:p>
  </w:footnote>
  <w:footnote w:id="13">
    <w:p w14:paraId="40DF9280" w14:textId="62B66BC3" w:rsidR="003258CE" w:rsidRDefault="003258CE">
      <w:pPr>
        <w:pStyle w:val="FootnoteText"/>
      </w:pPr>
      <w:r>
        <w:rPr>
          <w:rStyle w:val="FootnoteReference"/>
        </w:rPr>
        <w:footnoteRef/>
      </w:r>
      <w:r>
        <w:t xml:space="preserve"> </w:t>
      </w:r>
      <w:hyperlink r:id="rId10" w:history="1">
        <w:r w:rsidRPr="003258CE">
          <w:rPr>
            <w:rStyle w:val="Hyperlink"/>
          </w:rPr>
          <w:t>Laundry | Department of Energy</w:t>
        </w:r>
      </w:hyperlink>
    </w:p>
  </w:footnote>
  <w:footnote w:id="14">
    <w:p w14:paraId="1314147C" w14:textId="10824F04" w:rsidR="003258CE" w:rsidRDefault="003258CE">
      <w:pPr>
        <w:pStyle w:val="FootnoteText"/>
      </w:pPr>
      <w:r>
        <w:rPr>
          <w:rStyle w:val="FootnoteReference"/>
        </w:rPr>
        <w:footnoteRef/>
      </w:r>
      <w:r>
        <w:t xml:space="preserve"> ibid</w:t>
      </w:r>
    </w:p>
  </w:footnote>
  <w:footnote w:id="15">
    <w:p w14:paraId="7182D542" w14:textId="49A907FF" w:rsidR="006E686F" w:rsidRDefault="006E686F">
      <w:pPr>
        <w:pStyle w:val="FootnoteText"/>
      </w:pPr>
      <w:r>
        <w:rPr>
          <w:rStyle w:val="FootnoteReference"/>
        </w:rPr>
        <w:footnoteRef/>
      </w:r>
      <w:r>
        <w:t xml:space="preserve"> </w:t>
      </w:r>
      <w:hyperlink r:id="rId11" w:history="1">
        <w:r>
          <w:rPr>
            <w:rStyle w:val="Hyperlink"/>
          </w:rPr>
          <w:t>Save Money and Stay Cool with an Efficient, Well-Maintained Air Conditioner | Department of Energy</w:t>
        </w:r>
      </w:hyperlink>
    </w:p>
  </w:footnote>
  <w:footnote w:id="16">
    <w:p w14:paraId="207D7BEF" w14:textId="77DC80D1" w:rsidR="003732F9" w:rsidRDefault="003732F9" w:rsidP="003732F9">
      <w:pPr>
        <w:pStyle w:val="FootnoteText"/>
      </w:pPr>
      <w:r>
        <w:rPr>
          <w:rStyle w:val="FootnoteReference"/>
        </w:rPr>
        <w:footnoteRef/>
      </w:r>
      <w:r>
        <w:t xml:space="preserve"> https://rmi.org/ three-questions-</w:t>
      </w:r>
      <w:r>
        <w:t>wisconsinites-are-asking-about-heat-pumps/</w:t>
      </w:r>
    </w:p>
  </w:footnote>
  <w:footnote w:id="17">
    <w:p w14:paraId="54F3DF80" w14:textId="143AA178" w:rsidR="00C016E3" w:rsidRDefault="00C016E3">
      <w:pPr>
        <w:pStyle w:val="FootnoteText"/>
      </w:pPr>
      <w:r>
        <w:rPr>
          <w:rStyle w:val="FootnoteReference"/>
        </w:rPr>
        <w:footnoteRef/>
      </w:r>
      <w:r>
        <w:t xml:space="preserve"> </w:t>
      </w:r>
      <w:hyperlink r:id="rId12" w:anchor="results" w:history="1">
        <w:r>
          <w:rPr>
            <w:rStyle w:val="Hyperlink"/>
          </w:rPr>
          <w:t>Greenhouse Gas Equivalencies Calculator | US EPA</w:t>
        </w:r>
      </w:hyperlink>
    </w:p>
  </w:footnote>
  <w:footnote w:id="18">
    <w:p w14:paraId="7946DB8B" w14:textId="06082A2E" w:rsidR="001A6C68" w:rsidRDefault="001A6C68">
      <w:pPr>
        <w:pStyle w:val="FootnoteText"/>
      </w:pPr>
      <w:r>
        <w:rPr>
          <w:rStyle w:val="FootnoteReference"/>
        </w:rPr>
        <w:footnoteRef/>
      </w:r>
      <w:r>
        <w:t xml:space="preserve"> </w:t>
      </w:r>
      <w:r w:rsidRPr="001A6C68">
        <w:t>https://www.energycodes.gov/sites/default/files/2021-07/EED_1365_BROCH_StateEnergyCodes_states_MICHIGAN.pdf</w:t>
      </w:r>
    </w:p>
  </w:footnote>
  <w:footnote w:id="19">
    <w:p w14:paraId="4457EBA6" w14:textId="593E4EB1" w:rsidR="00E75E2D" w:rsidRDefault="00E75E2D">
      <w:pPr>
        <w:pStyle w:val="FootnoteText"/>
      </w:pPr>
      <w:r>
        <w:rPr>
          <w:rStyle w:val="FootnoteReference"/>
        </w:rPr>
        <w:footnoteRef/>
      </w:r>
      <w:r>
        <w:t xml:space="preserve"> ibid</w:t>
      </w:r>
    </w:p>
  </w:footnote>
  <w:footnote w:id="20">
    <w:p w14:paraId="26833461" w14:textId="7F90038D" w:rsidR="006018F5" w:rsidRDefault="006018F5">
      <w:pPr>
        <w:pStyle w:val="FootnoteText"/>
      </w:pPr>
      <w:r>
        <w:rPr>
          <w:rStyle w:val="FootnoteReference"/>
        </w:rPr>
        <w:footnoteRef/>
      </w:r>
      <w:r>
        <w:t xml:space="preserve"> </w:t>
      </w:r>
      <w:hyperlink r:id="rId13" w:history="1">
        <w:r>
          <w:rPr>
            <w:rStyle w:val="Hyperlink"/>
          </w:rPr>
          <w:t>Alternative Fuels Data Center: Maps and Data - Average Annual Fuel Use by Vehicle Type (energy.gov)</w:t>
        </w:r>
      </w:hyperlink>
    </w:p>
  </w:footnote>
  <w:footnote w:id="21">
    <w:p w14:paraId="047C67DD" w14:textId="53C8BF3B" w:rsidR="009D5BF3" w:rsidRDefault="009D5BF3">
      <w:pPr>
        <w:pStyle w:val="FootnoteText"/>
      </w:pPr>
      <w:r>
        <w:rPr>
          <w:rStyle w:val="FootnoteReference"/>
        </w:rPr>
        <w:footnoteRef/>
      </w:r>
      <w:r>
        <w:t xml:space="preserve"> </w:t>
      </w:r>
      <w:hyperlink r:id="rId14" w:history="1">
        <w:r w:rsidR="00CD2861">
          <w:rPr>
            <w:rStyle w:val="Hyperlink"/>
          </w:rPr>
          <w:t>Pathfinder — Improve Our Carbon Impact — Climate Positive Design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1F9FD" w14:textId="77777777" w:rsidR="004C510F" w:rsidRDefault="004C510F">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1F9FE" w14:textId="77777777" w:rsidR="004C510F" w:rsidRDefault="004C510F">
    <w:pPr>
      <w:pBdr>
        <w:top w:val="nil"/>
        <w:left w:val="nil"/>
        <w:bottom w:val="nil"/>
        <w:right w:val="nil"/>
        <w:between w:val="nil"/>
      </w:pBdr>
      <w:tabs>
        <w:tab w:val="center" w:pos="4680"/>
        <w:tab w:val="right" w:pos="936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1FA02" w14:textId="5394A0B4" w:rsidR="004C510F" w:rsidRDefault="004C510F">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1478F"/>
    <w:multiLevelType w:val="hybridMultilevel"/>
    <w:tmpl w:val="FDAEB9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0D1F91"/>
    <w:multiLevelType w:val="multilevel"/>
    <w:tmpl w:val="86EEF3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10F"/>
    <w:rsid w:val="000035E9"/>
    <w:rsid w:val="000132C1"/>
    <w:rsid w:val="00013B23"/>
    <w:rsid w:val="000141AC"/>
    <w:rsid w:val="000167E3"/>
    <w:rsid w:val="000177E6"/>
    <w:rsid w:val="00020464"/>
    <w:rsid w:val="00022865"/>
    <w:rsid w:val="00026A6D"/>
    <w:rsid w:val="00026EB3"/>
    <w:rsid w:val="00034659"/>
    <w:rsid w:val="0004116E"/>
    <w:rsid w:val="00042414"/>
    <w:rsid w:val="00054E07"/>
    <w:rsid w:val="00055011"/>
    <w:rsid w:val="00060D95"/>
    <w:rsid w:val="0006681F"/>
    <w:rsid w:val="00066B21"/>
    <w:rsid w:val="0007037A"/>
    <w:rsid w:val="00070774"/>
    <w:rsid w:val="00075DC0"/>
    <w:rsid w:val="0007784F"/>
    <w:rsid w:val="000918FC"/>
    <w:rsid w:val="000928B2"/>
    <w:rsid w:val="000A1892"/>
    <w:rsid w:val="000A1F64"/>
    <w:rsid w:val="000A21AD"/>
    <w:rsid w:val="000A641D"/>
    <w:rsid w:val="000B5699"/>
    <w:rsid w:val="000C0A9A"/>
    <w:rsid w:val="000C1038"/>
    <w:rsid w:val="000C1456"/>
    <w:rsid w:val="000C477A"/>
    <w:rsid w:val="000C5D03"/>
    <w:rsid w:val="000C7946"/>
    <w:rsid w:val="000C7DB8"/>
    <w:rsid w:val="000D5C87"/>
    <w:rsid w:val="000E0045"/>
    <w:rsid w:val="000E4B63"/>
    <w:rsid w:val="000F052B"/>
    <w:rsid w:val="000F6A49"/>
    <w:rsid w:val="000F7071"/>
    <w:rsid w:val="001073ED"/>
    <w:rsid w:val="001121A7"/>
    <w:rsid w:val="00112B63"/>
    <w:rsid w:val="00115A69"/>
    <w:rsid w:val="00127DC4"/>
    <w:rsid w:val="00133D3B"/>
    <w:rsid w:val="0013447A"/>
    <w:rsid w:val="0013514E"/>
    <w:rsid w:val="00137F9D"/>
    <w:rsid w:val="00140628"/>
    <w:rsid w:val="001411A9"/>
    <w:rsid w:val="001433BA"/>
    <w:rsid w:val="0014434A"/>
    <w:rsid w:val="00144534"/>
    <w:rsid w:val="00146E5B"/>
    <w:rsid w:val="00151C82"/>
    <w:rsid w:val="00160493"/>
    <w:rsid w:val="00167B0B"/>
    <w:rsid w:val="00184671"/>
    <w:rsid w:val="0019636C"/>
    <w:rsid w:val="0019757C"/>
    <w:rsid w:val="001A6B7B"/>
    <w:rsid w:val="001A6C68"/>
    <w:rsid w:val="001B1B74"/>
    <w:rsid w:val="001B4DA8"/>
    <w:rsid w:val="001B6F44"/>
    <w:rsid w:val="001C11F7"/>
    <w:rsid w:val="001C4265"/>
    <w:rsid w:val="001D5166"/>
    <w:rsid w:val="001E23AC"/>
    <w:rsid w:val="001E61F5"/>
    <w:rsid w:val="001F02A3"/>
    <w:rsid w:val="00210576"/>
    <w:rsid w:val="00211BB5"/>
    <w:rsid w:val="002215A8"/>
    <w:rsid w:val="0022384C"/>
    <w:rsid w:val="00224C24"/>
    <w:rsid w:val="0022525F"/>
    <w:rsid w:val="002300D7"/>
    <w:rsid w:val="00230946"/>
    <w:rsid w:val="00230FB2"/>
    <w:rsid w:val="00236289"/>
    <w:rsid w:val="00236CC6"/>
    <w:rsid w:val="00240A9B"/>
    <w:rsid w:val="002423E9"/>
    <w:rsid w:val="00252CBA"/>
    <w:rsid w:val="0025480C"/>
    <w:rsid w:val="00255133"/>
    <w:rsid w:val="00263655"/>
    <w:rsid w:val="00265358"/>
    <w:rsid w:val="002659C7"/>
    <w:rsid w:val="002715B1"/>
    <w:rsid w:val="002747A4"/>
    <w:rsid w:val="00276746"/>
    <w:rsid w:val="00277B42"/>
    <w:rsid w:val="00277DE2"/>
    <w:rsid w:val="002A3778"/>
    <w:rsid w:val="002B12B0"/>
    <w:rsid w:val="002B13D0"/>
    <w:rsid w:val="002B2628"/>
    <w:rsid w:val="002B28B1"/>
    <w:rsid w:val="002B39E3"/>
    <w:rsid w:val="002D14FD"/>
    <w:rsid w:val="002E1F51"/>
    <w:rsid w:val="002E206E"/>
    <w:rsid w:val="00304F8C"/>
    <w:rsid w:val="00313A9D"/>
    <w:rsid w:val="00315E42"/>
    <w:rsid w:val="0031762B"/>
    <w:rsid w:val="003234EC"/>
    <w:rsid w:val="00323AF0"/>
    <w:rsid w:val="003258CE"/>
    <w:rsid w:val="0033302C"/>
    <w:rsid w:val="0034271B"/>
    <w:rsid w:val="00346584"/>
    <w:rsid w:val="003469D0"/>
    <w:rsid w:val="0035195E"/>
    <w:rsid w:val="00356B98"/>
    <w:rsid w:val="00357890"/>
    <w:rsid w:val="00370E1E"/>
    <w:rsid w:val="00372212"/>
    <w:rsid w:val="003732F9"/>
    <w:rsid w:val="0037480B"/>
    <w:rsid w:val="00376276"/>
    <w:rsid w:val="003777D8"/>
    <w:rsid w:val="00386064"/>
    <w:rsid w:val="00386CAE"/>
    <w:rsid w:val="00393F17"/>
    <w:rsid w:val="00395AA8"/>
    <w:rsid w:val="003A132C"/>
    <w:rsid w:val="003A20B0"/>
    <w:rsid w:val="003A551F"/>
    <w:rsid w:val="003B18C7"/>
    <w:rsid w:val="003B5657"/>
    <w:rsid w:val="003C1495"/>
    <w:rsid w:val="003D1432"/>
    <w:rsid w:val="003D1D0B"/>
    <w:rsid w:val="003E3D37"/>
    <w:rsid w:val="003E685F"/>
    <w:rsid w:val="003E77B6"/>
    <w:rsid w:val="003F115D"/>
    <w:rsid w:val="003F7EF0"/>
    <w:rsid w:val="00401DEF"/>
    <w:rsid w:val="0040388E"/>
    <w:rsid w:val="0040724D"/>
    <w:rsid w:val="00421C2F"/>
    <w:rsid w:val="00425724"/>
    <w:rsid w:val="00426605"/>
    <w:rsid w:val="00427131"/>
    <w:rsid w:val="00434D2E"/>
    <w:rsid w:val="00436757"/>
    <w:rsid w:val="00440C93"/>
    <w:rsid w:val="00442855"/>
    <w:rsid w:val="00443455"/>
    <w:rsid w:val="00453B7C"/>
    <w:rsid w:val="004541C2"/>
    <w:rsid w:val="004578DE"/>
    <w:rsid w:val="00472A61"/>
    <w:rsid w:val="0047320C"/>
    <w:rsid w:val="00473419"/>
    <w:rsid w:val="00481B3B"/>
    <w:rsid w:val="00484A85"/>
    <w:rsid w:val="00487069"/>
    <w:rsid w:val="004928F8"/>
    <w:rsid w:val="00495E13"/>
    <w:rsid w:val="004963D7"/>
    <w:rsid w:val="00497A4B"/>
    <w:rsid w:val="004A1265"/>
    <w:rsid w:val="004A13FF"/>
    <w:rsid w:val="004B433F"/>
    <w:rsid w:val="004C0846"/>
    <w:rsid w:val="004C510F"/>
    <w:rsid w:val="004C799B"/>
    <w:rsid w:val="004D1AB2"/>
    <w:rsid w:val="004D57C3"/>
    <w:rsid w:val="004D635C"/>
    <w:rsid w:val="004D6A84"/>
    <w:rsid w:val="004E53DF"/>
    <w:rsid w:val="004E651E"/>
    <w:rsid w:val="004F45C5"/>
    <w:rsid w:val="004F7C10"/>
    <w:rsid w:val="005013ED"/>
    <w:rsid w:val="00503AF5"/>
    <w:rsid w:val="00505CEF"/>
    <w:rsid w:val="0051076D"/>
    <w:rsid w:val="0051444A"/>
    <w:rsid w:val="00525A6E"/>
    <w:rsid w:val="0052792A"/>
    <w:rsid w:val="00530364"/>
    <w:rsid w:val="00533FC0"/>
    <w:rsid w:val="005353DE"/>
    <w:rsid w:val="00536E56"/>
    <w:rsid w:val="005402BB"/>
    <w:rsid w:val="00541627"/>
    <w:rsid w:val="005459C0"/>
    <w:rsid w:val="00546FDC"/>
    <w:rsid w:val="00551687"/>
    <w:rsid w:val="00551746"/>
    <w:rsid w:val="00551FC1"/>
    <w:rsid w:val="00557462"/>
    <w:rsid w:val="00561853"/>
    <w:rsid w:val="00564B6C"/>
    <w:rsid w:val="005665F7"/>
    <w:rsid w:val="00573FDA"/>
    <w:rsid w:val="005744D8"/>
    <w:rsid w:val="0057739C"/>
    <w:rsid w:val="005819A6"/>
    <w:rsid w:val="00592827"/>
    <w:rsid w:val="00594826"/>
    <w:rsid w:val="00597AC4"/>
    <w:rsid w:val="005A06E3"/>
    <w:rsid w:val="005A393D"/>
    <w:rsid w:val="005A476D"/>
    <w:rsid w:val="005A5821"/>
    <w:rsid w:val="005B254A"/>
    <w:rsid w:val="005B4148"/>
    <w:rsid w:val="005B7457"/>
    <w:rsid w:val="005C2F79"/>
    <w:rsid w:val="005C3A21"/>
    <w:rsid w:val="005C5F94"/>
    <w:rsid w:val="005C76D9"/>
    <w:rsid w:val="005E3C70"/>
    <w:rsid w:val="005E5DA3"/>
    <w:rsid w:val="005E7916"/>
    <w:rsid w:val="005F3094"/>
    <w:rsid w:val="006018F5"/>
    <w:rsid w:val="00602FFD"/>
    <w:rsid w:val="0060303C"/>
    <w:rsid w:val="00604E84"/>
    <w:rsid w:val="006052DE"/>
    <w:rsid w:val="00614386"/>
    <w:rsid w:val="00620D5E"/>
    <w:rsid w:val="00621289"/>
    <w:rsid w:val="00621BF0"/>
    <w:rsid w:val="006329FA"/>
    <w:rsid w:val="00635C78"/>
    <w:rsid w:val="00637D8A"/>
    <w:rsid w:val="00643D4F"/>
    <w:rsid w:val="00644946"/>
    <w:rsid w:val="00653B85"/>
    <w:rsid w:val="00655084"/>
    <w:rsid w:val="0067278F"/>
    <w:rsid w:val="00685E12"/>
    <w:rsid w:val="00691269"/>
    <w:rsid w:val="0069438F"/>
    <w:rsid w:val="006A179D"/>
    <w:rsid w:val="006A3997"/>
    <w:rsid w:val="006A7221"/>
    <w:rsid w:val="006B045A"/>
    <w:rsid w:val="006C27C7"/>
    <w:rsid w:val="006C38FF"/>
    <w:rsid w:val="006C44A7"/>
    <w:rsid w:val="006D7231"/>
    <w:rsid w:val="006E4037"/>
    <w:rsid w:val="006E4203"/>
    <w:rsid w:val="006E686F"/>
    <w:rsid w:val="007000EE"/>
    <w:rsid w:val="0070209B"/>
    <w:rsid w:val="0070295B"/>
    <w:rsid w:val="00705253"/>
    <w:rsid w:val="00713300"/>
    <w:rsid w:val="00713F78"/>
    <w:rsid w:val="00715FA3"/>
    <w:rsid w:val="0071785F"/>
    <w:rsid w:val="007222A7"/>
    <w:rsid w:val="00724755"/>
    <w:rsid w:val="00727804"/>
    <w:rsid w:val="007422C2"/>
    <w:rsid w:val="0074378E"/>
    <w:rsid w:val="00751440"/>
    <w:rsid w:val="007554F1"/>
    <w:rsid w:val="00756E7D"/>
    <w:rsid w:val="007605CB"/>
    <w:rsid w:val="007616FB"/>
    <w:rsid w:val="00762426"/>
    <w:rsid w:val="00764408"/>
    <w:rsid w:val="00766EB0"/>
    <w:rsid w:val="007701F8"/>
    <w:rsid w:val="00772B41"/>
    <w:rsid w:val="00773897"/>
    <w:rsid w:val="00774267"/>
    <w:rsid w:val="00775E82"/>
    <w:rsid w:val="007845D6"/>
    <w:rsid w:val="0078538C"/>
    <w:rsid w:val="00785B64"/>
    <w:rsid w:val="00791831"/>
    <w:rsid w:val="00792240"/>
    <w:rsid w:val="00794CB8"/>
    <w:rsid w:val="00797245"/>
    <w:rsid w:val="007A32E8"/>
    <w:rsid w:val="007A72AB"/>
    <w:rsid w:val="007B3D78"/>
    <w:rsid w:val="007B5654"/>
    <w:rsid w:val="007B699D"/>
    <w:rsid w:val="007C7B97"/>
    <w:rsid w:val="007D1EDC"/>
    <w:rsid w:val="007E506C"/>
    <w:rsid w:val="007F22B3"/>
    <w:rsid w:val="007F4140"/>
    <w:rsid w:val="007F436B"/>
    <w:rsid w:val="007F51FE"/>
    <w:rsid w:val="007F66BA"/>
    <w:rsid w:val="007F6BFE"/>
    <w:rsid w:val="007F6E49"/>
    <w:rsid w:val="00803EF7"/>
    <w:rsid w:val="008057A4"/>
    <w:rsid w:val="00814BE4"/>
    <w:rsid w:val="00817669"/>
    <w:rsid w:val="00821914"/>
    <w:rsid w:val="00823ABC"/>
    <w:rsid w:val="0083069F"/>
    <w:rsid w:val="0083205A"/>
    <w:rsid w:val="008344F5"/>
    <w:rsid w:val="00834BE2"/>
    <w:rsid w:val="00840807"/>
    <w:rsid w:val="00841153"/>
    <w:rsid w:val="00843445"/>
    <w:rsid w:val="0084799E"/>
    <w:rsid w:val="0085074D"/>
    <w:rsid w:val="00852694"/>
    <w:rsid w:val="008557EE"/>
    <w:rsid w:val="00861773"/>
    <w:rsid w:val="00862447"/>
    <w:rsid w:val="0086398B"/>
    <w:rsid w:val="00864767"/>
    <w:rsid w:val="008655E5"/>
    <w:rsid w:val="008729AE"/>
    <w:rsid w:val="0088439F"/>
    <w:rsid w:val="00886554"/>
    <w:rsid w:val="00891822"/>
    <w:rsid w:val="0089385F"/>
    <w:rsid w:val="008A16B9"/>
    <w:rsid w:val="008A2CED"/>
    <w:rsid w:val="008B6054"/>
    <w:rsid w:val="008C146F"/>
    <w:rsid w:val="008C2D81"/>
    <w:rsid w:val="008C468E"/>
    <w:rsid w:val="008C7556"/>
    <w:rsid w:val="008C7870"/>
    <w:rsid w:val="008D0EF5"/>
    <w:rsid w:val="008D107A"/>
    <w:rsid w:val="008D5235"/>
    <w:rsid w:val="008D6EBA"/>
    <w:rsid w:val="008E00E1"/>
    <w:rsid w:val="008E6E5B"/>
    <w:rsid w:val="008E6EFC"/>
    <w:rsid w:val="008F5C04"/>
    <w:rsid w:val="008F5FA5"/>
    <w:rsid w:val="00902488"/>
    <w:rsid w:val="009036E1"/>
    <w:rsid w:val="009116EC"/>
    <w:rsid w:val="00924436"/>
    <w:rsid w:val="00927432"/>
    <w:rsid w:val="00927C88"/>
    <w:rsid w:val="00930874"/>
    <w:rsid w:val="009320F0"/>
    <w:rsid w:val="0093311C"/>
    <w:rsid w:val="00936285"/>
    <w:rsid w:val="00937166"/>
    <w:rsid w:val="009407EA"/>
    <w:rsid w:val="0094130E"/>
    <w:rsid w:val="00945907"/>
    <w:rsid w:val="009517D6"/>
    <w:rsid w:val="00951CAF"/>
    <w:rsid w:val="009644E2"/>
    <w:rsid w:val="00972C03"/>
    <w:rsid w:val="009743B8"/>
    <w:rsid w:val="00975E1F"/>
    <w:rsid w:val="0097716A"/>
    <w:rsid w:val="00981729"/>
    <w:rsid w:val="00984C78"/>
    <w:rsid w:val="009A3202"/>
    <w:rsid w:val="009A3CAB"/>
    <w:rsid w:val="009A5DCF"/>
    <w:rsid w:val="009A6BA3"/>
    <w:rsid w:val="009B29CF"/>
    <w:rsid w:val="009B50E8"/>
    <w:rsid w:val="009B6E5A"/>
    <w:rsid w:val="009C57B7"/>
    <w:rsid w:val="009C59D5"/>
    <w:rsid w:val="009D5BF3"/>
    <w:rsid w:val="009F1DDB"/>
    <w:rsid w:val="009F55CD"/>
    <w:rsid w:val="009F7217"/>
    <w:rsid w:val="00A04901"/>
    <w:rsid w:val="00A05C9D"/>
    <w:rsid w:val="00A12895"/>
    <w:rsid w:val="00A136EC"/>
    <w:rsid w:val="00A16C97"/>
    <w:rsid w:val="00A20CED"/>
    <w:rsid w:val="00A31267"/>
    <w:rsid w:val="00A3373E"/>
    <w:rsid w:val="00A43D12"/>
    <w:rsid w:val="00A45504"/>
    <w:rsid w:val="00A554EA"/>
    <w:rsid w:val="00A5726B"/>
    <w:rsid w:val="00A646D8"/>
    <w:rsid w:val="00A6520D"/>
    <w:rsid w:val="00A667AE"/>
    <w:rsid w:val="00A66909"/>
    <w:rsid w:val="00A67010"/>
    <w:rsid w:val="00A702C4"/>
    <w:rsid w:val="00A75FAE"/>
    <w:rsid w:val="00A800BA"/>
    <w:rsid w:val="00A844C7"/>
    <w:rsid w:val="00A8759B"/>
    <w:rsid w:val="00AA0CFF"/>
    <w:rsid w:val="00AA7EFF"/>
    <w:rsid w:val="00AB0A10"/>
    <w:rsid w:val="00AC573D"/>
    <w:rsid w:val="00AE26A7"/>
    <w:rsid w:val="00AE46E5"/>
    <w:rsid w:val="00AF29B5"/>
    <w:rsid w:val="00AF5090"/>
    <w:rsid w:val="00B00F8A"/>
    <w:rsid w:val="00B03303"/>
    <w:rsid w:val="00B10A3C"/>
    <w:rsid w:val="00B110B4"/>
    <w:rsid w:val="00B16C6C"/>
    <w:rsid w:val="00B27753"/>
    <w:rsid w:val="00B332F8"/>
    <w:rsid w:val="00B3744A"/>
    <w:rsid w:val="00B41234"/>
    <w:rsid w:val="00B4439D"/>
    <w:rsid w:val="00B46668"/>
    <w:rsid w:val="00B56B8C"/>
    <w:rsid w:val="00B61C99"/>
    <w:rsid w:val="00B63E0E"/>
    <w:rsid w:val="00B659C5"/>
    <w:rsid w:val="00B67CD4"/>
    <w:rsid w:val="00B7333C"/>
    <w:rsid w:val="00B73E6E"/>
    <w:rsid w:val="00B81B29"/>
    <w:rsid w:val="00B82507"/>
    <w:rsid w:val="00B93D0E"/>
    <w:rsid w:val="00B979BA"/>
    <w:rsid w:val="00BA6241"/>
    <w:rsid w:val="00BA7006"/>
    <w:rsid w:val="00BB0F32"/>
    <w:rsid w:val="00BC0020"/>
    <w:rsid w:val="00BC0689"/>
    <w:rsid w:val="00BC26AA"/>
    <w:rsid w:val="00BC2AA0"/>
    <w:rsid w:val="00BC4112"/>
    <w:rsid w:val="00BC6191"/>
    <w:rsid w:val="00BC7989"/>
    <w:rsid w:val="00BD2DAE"/>
    <w:rsid w:val="00BD6B49"/>
    <w:rsid w:val="00BD78AF"/>
    <w:rsid w:val="00BE38FA"/>
    <w:rsid w:val="00BF0D9E"/>
    <w:rsid w:val="00BF63BC"/>
    <w:rsid w:val="00C016E3"/>
    <w:rsid w:val="00C0176E"/>
    <w:rsid w:val="00C135DA"/>
    <w:rsid w:val="00C15DB5"/>
    <w:rsid w:val="00C21AD8"/>
    <w:rsid w:val="00C25E78"/>
    <w:rsid w:val="00C350C4"/>
    <w:rsid w:val="00C355A6"/>
    <w:rsid w:val="00C37CB8"/>
    <w:rsid w:val="00C43159"/>
    <w:rsid w:val="00C4327B"/>
    <w:rsid w:val="00C6105F"/>
    <w:rsid w:val="00C625D1"/>
    <w:rsid w:val="00C63B84"/>
    <w:rsid w:val="00C6564E"/>
    <w:rsid w:val="00C6634C"/>
    <w:rsid w:val="00C67AD6"/>
    <w:rsid w:val="00C70E10"/>
    <w:rsid w:val="00C76969"/>
    <w:rsid w:val="00C8204B"/>
    <w:rsid w:val="00C837D5"/>
    <w:rsid w:val="00C8605C"/>
    <w:rsid w:val="00C9401B"/>
    <w:rsid w:val="00C97471"/>
    <w:rsid w:val="00C97A74"/>
    <w:rsid w:val="00CA6ACE"/>
    <w:rsid w:val="00CB3A33"/>
    <w:rsid w:val="00CB5A06"/>
    <w:rsid w:val="00CB7985"/>
    <w:rsid w:val="00CB79A3"/>
    <w:rsid w:val="00CC4AD2"/>
    <w:rsid w:val="00CC7E22"/>
    <w:rsid w:val="00CD2861"/>
    <w:rsid w:val="00CD6C95"/>
    <w:rsid w:val="00CD70BF"/>
    <w:rsid w:val="00CF2EA4"/>
    <w:rsid w:val="00CF7DE5"/>
    <w:rsid w:val="00D07872"/>
    <w:rsid w:val="00D172A7"/>
    <w:rsid w:val="00D2158E"/>
    <w:rsid w:val="00D22C48"/>
    <w:rsid w:val="00D36889"/>
    <w:rsid w:val="00D43104"/>
    <w:rsid w:val="00D56038"/>
    <w:rsid w:val="00D629E5"/>
    <w:rsid w:val="00D64C38"/>
    <w:rsid w:val="00D761DF"/>
    <w:rsid w:val="00D77530"/>
    <w:rsid w:val="00D77E75"/>
    <w:rsid w:val="00D8260C"/>
    <w:rsid w:val="00D83031"/>
    <w:rsid w:val="00D907BC"/>
    <w:rsid w:val="00D92193"/>
    <w:rsid w:val="00D9648B"/>
    <w:rsid w:val="00D9724C"/>
    <w:rsid w:val="00DB4CC6"/>
    <w:rsid w:val="00DD527F"/>
    <w:rsid w:val="00DD5618"/>
    <w:rsid w:val="00DD69BF"/>
    <w:rsid w:val="00DE26C8"/>
    <w:rsid w:val="00DE689A"/>
    <w:rsid w:val="00DF2127"/>
    <w:rsid w:val="00DF6199"/>
    <w:rsid w:val="00E02FDF"/>
    <w:rsid w:val="00E03A96"/>
    <w:rsid w:val="00E0445D"/>
    <w:rsid w:val="00E06C76"/>
    <w:rsid w:val="00E12443"/>
    <w:rsid w:val="00E124B1"/>
    <w:rsid w:val="00E17E08"/>
    <w:rsid w:val="00E2121F"/>
    <w:rsid w:val="00E22C24"/>
    <w:rsid w:val="00E32206"/>
    <w:rsid w:val="00E32350"/>
    <w:rsid w:val="00E33ABB"/>
    <w:rsid w:val="00E4450B"/>
    <w:rsid w:val="00E45C54"/>
    <w:rsid w:val="00E504BC"/>
    <w:rsid w:val="00E51A9F"/>
    <w:rsid w:val="00E5215E"/>
    <w:rsid w:val="00E54E94"/>
    <w:rsid w:val="00E62648"/>
    <w:rsid w:val="00E669DA"/>
    <w:rsid w:val="00E70524"/>
    <w:rsid w:val="00E70A8D"/>
    <w:rsid w:val="00E71EB4"/>
    <w:rsid w:val="00E75E2D"/>
    <w:rsid w:val="00E77E8C"/>
    <w:rsid w:val="00E93E24"/>
    <w:rsid w:val="00E96848"/>
    <w:rsid w:val="00EA0513"/>
    <w:rsid w:val="00EA3EC8"/>
    <w:rsid w:val="00EA5A44"/>
    <w:rsid w:val="00EA6230"/>
    <w:rsid w:val="00EB238B"/>
    <w:rsid w:val="00EB3BBB"/>
    <w:rsid w:val="00EB54DD"/>
    <w:rsid w:val="00EC1DA8"/>
    <w:rsid w:val="00EC3029"/>
    <w:rsid w:val="00ED0000"/>
    <w:rsid w:val="00EE0A64"/>
    <w:rsid w:val="00EE3F14"/>
    <w:rsid w:val="00EE4D16"/>
    <w:rsid w:val="00EF046C"/>
    <w:rsid w:val="00EF2EFA"/>
    <w:rsid w:val="00F00F14"/>
    <w:rsid w:val="00F1207D"/>
    <w:rsid w:val="00F156EE"/>
    <w:rsid w:val="00F2453F"/>
    <w:rsid w:val="00F30962"/>
    <w:rsid w:val="00F3174E"/>
    <w:rsid w:val="00F31B69"/>
    <w:rsid w:val="00F33810"/>
    <w:rsid w:val="00F570E3"/>
    <w:rsid w:val="00F67433"/>
    <w:rsid w:val="00F82092"/>
    <w:rsid w:val="00F8264E"/>
    <w:rsid w:val="00F82885"/>
    <w:rsid w:val="00F87759"/>
    <w:rsid w:val="00F911EB"/>
    <w:rsid w:val="00F9614E"/>
    <w:rsid w:val="00F96858"/>
    <w:rsid w:val="00FA0FFC"/>
    <w:rsid w:val="00FA276B"/>
    <w:rsid w:val="00FA546D"/>
    <w:rsid w:val="00FA7661"/>
    <w:rsid w:val="00FD75AA"/>
    <w:rsid w:val="00FF14D6"/>
    <w:rsid w:val="1EAF8C3B"/>
    <w:rsid w:val="2BB255F1"/>
    <w:rsid w:val="3B831E25"/>
    <w:rsid w:val="436DE470"/>
    <w:rsid w:val="457B11CA"/>
    <w:rsid w:val="724D9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F898"/>
  <w15:docId w15:val="{0957E1FA-E249-4516-8CB1-F0929209E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jc w:val="center"/>
      <w:outlineLvl w:val="0"/>
    </w:pPr>
    <w:rPr>
      <w:b/>
    </w:rPr>
  </w:style>
  <w:style w:type="paragraph" w:styleId="Heading2">
    <w:name w:val="heading 2"/>
    <w:basedOn w:val="Normal"/>
    <w:next w:val="Normal"/>
    <w:uiPriority w:val="9"/>
    <w:unhideWhenUsed/>
    <w:qFormat/>
    <w:pPr>
      <w:outlineLvl w:val="1"/>
    </w:pPr>
    <w:rPr>
      <w:b/>
    </w:rPr>
  </w:style>
  <w:style w:type="paragraph" w:styleId="Heading3">
    <w:name w:val="heading 3"/>
    <w:basedOn w:val="Normal"/>
    <w:next w:val="Normal"/>
    <w:uiPriority w:val="9"/>
    <w:unhideWhenUsed/>
    <w:qFormat/>
    <w:pPr>
      <w:outlineLvl w:val="2"/>
    </w:pPr>
    <w:rPr>
      <w:b/>
    </w:rPr>
  </w:style>
  <w:style w:type="paragraph" w:styleId="Heading4">
    <w:name w:val="heading 4"/>
    <w:basedOn w:val="Normal"/>
    <w:next w:val="Normal"/>
    <w:uiPriority w:val="9"/>
    <w:semiHidden/>
    <w:unhideWhenUsed/>
    <w:qFormat/>
    <w:pPr>
      <w:outlineLvl w:val="3"/>
    </w:pPr>
    <w:rPr>
      <w:b/>
      <w:i/>
    </w:rPr>
  </w:style>
  <w:style w:type="paragraph" w:styleId="Heading5">
    <w:name w:val="heading 5"/>
    <w:basedOn w:val="Normal"/>
    <w:next w:val="Normal"/>
    <w:uiPriority w:val="9"/>
    <w:semiHidden/>
    <w:unhideWhenUsed/>
    <w:qFormat/>
    <w:pPr>
      <w:outlineLvl w:val="4"/>
    </w:pPr>
    <w:rPr>
      <w:i/>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FootnoteText">
    <w:name w:val="footnote text"/>
    <w:basedOn w:val="Normal"/>
    <w:link w:val="FootnoteTextChar"/>
    <w:uiPriority w:val="99"/>
    <w:unhideWhenUsed/>
    <w:rsid w:val="00453B7C"/>
    <w:pPr>
      <w:spacing w:line="240" w:lineRule="auto"/>
    </w:pPr>
    <w:rPr>
      <w:sz w:val="20"/>
      <w:szCs w:val="20"/>
    </w:rPr>
  </w:style>
  <w:style w:type="character" w:customStyle="1" w:styleId="FootnoteTextChar">
    <w:name w:val="Footnote Text Char"/>
    <w:basedOn w:val="DefaultParagraphFont"/>
    <w:link w:val="FootnoteText"/>
    <w:uiPriority w:val="99"/>
    <w:rsid w:val="00453B7C"/>
    <w:rPr>
      <w:sz w:val="20"/>
      <w:szCs w:val="20"/>
    </w:rPr>
  </w:style>
  <w:style w:type="character" w:styleId="FootnoteReference">
    <w:name w:val="footnote reference"/>
    <w:basedOn w:val="DefaultParagraphFont"/>
    <w:uiPriority w:val="99"/>
    <w:semiHidden/>
    <w:unhideWhenUsed/>
    <w:rsid w:val="00453B7C"/>
    <w:rPr>
      <w:vertAlign w:val="superscript"/>
    </w:rPr>
  </w:style>
  <w:style w:type="character" w:styleId="Hyperlink">
    <w:name w:val="Hyperlink"/>
    <w:basedOn w:val="DefaultParagraphFont"/>
    <w:uiPriority w:val="99"/>
    <w:unhideWhenUsed/>
    <w:rsid w:val="00E06C76"/>
    <w:rPr>
      <w:color w:val="0000FF"/>
      <w:u w:val="single"/>
    </w:rPr>
  </w:style>
  <w:style w:type="table" w:styleId="TableGrid">
    <w:name w:val="Table Grid"/>
    <w:basedOn w:val="TableNormal"/>
    <w:uiPriority w:val="39"/>
    <w:rsid w:val="002E20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2525F"/>
    <w:rPr>
      <w:color w:val="605E5C"/>
      <w:shd w:val="clear" w:color="auto" w:fill="E1DFDD"/>
    </w:rPr>
  </w:style>
  <w:style w:type="paragraph" w:styleId="Footer">
    <w:name w:val="footer"/>
    <w:basedOn w:val="Normal"/>
    <w:link w:val="FooterChar"/>
    <w:uiPriority w:val="99"/>
    <w:unhideWhenUsed/>
    <w:rsid w:val="00CC4AD2"/>
    <w:pPr>
      <w:tabs>
        <w:tab w:val="center" w:pos="4680"/>
        <w:tab w:val="right" w:pos="9360"/>
      </w:tabs>
      <w:spacing w:line="240" w:lineRule="auto"/>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CC4AD2"/>
    <w:rPr>
      <w:rFonts w:asciiTheme="minorHAnsi" w:eastAsiaTheme="minorEastAsia" w:hAnsiTheme="minorHAnsi"/>
      <w:sz w:val="22"/>
      <w:szCs w:val="22"/>
    </w:rPr>
  </w:style>
  <w:style w:type="paragraph" w:customStyle="1" w:styleId="Default">
    <w:name w:val="Default"/>
    <w:rsid w:val="008C7556"/>
    <w:pPr>
      <w:autoSpaceDE w:val="0"/>
      <w:autoSpaceDN w:val="0"/>
      <w:adjustRightInd w:val="0"/>
      <w:spacing w:line="240" w:lineRule="auto"/>
    </w:pPr>
    <w:rPr>
      <w:color w:val="000000"/>
    </w:rPr>
  </w:style>
  <w:style w:type="paragraph" w:styleId="Header">
    <w:name w:val="header"/>
    <w:basedOn w:val="Normal"/>
    <w:link w:val="HeaderChar"/>
    <w:uiPriority w:val="99"/>
    <w:semiHidden/>
    <w:unhideWhenUsed/>
    <w:rsid w:val="00EF046C"/>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F046C"/>
  </w:style>
  <w:style w:type="character" w:styleId="FollowedHyperlink">
    <w:name w:val="FollowedHyperlink"/>
    <w:basedOn w:val="DefaultParagraphFont"/>
    <w:uiPriority w:val="99"/>
    <w:semiHidden/>
    <w:unhideWhenUsed/>
    <w:rsid w:val="00497A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419752">
      <w:bodyDiv w:val="1"/>
      <w:marLeft w:val="0"/>
      <w:marRight w:val="0"/>
      <w:marTop w:val="0"/>
      <w:marBottom w:val="0"/>
      <w:divBdr>
        <w:top w:val="none" w:sz="0" w:space="0" w:color="auto"/>
        <w:left w:val="none" w:sz="0" w:space="0" w:color="auto"/>
        <w:bottom w:val="none" w:sz="0" w:space="0" w:color="auto"/>
        <w:right w:val="none" w:sz="0" w:space="0" w:color="auto"/>
      </w:divBdr>
    </w:div>
    <w:div w:id="1598636974">
      <w:bodyDiv w:val="1"/>
      <w:marLeft w:val="0"/>
      <w:marRight w:val="0"/>
      <w:marTop w:val="0"/>
      <w:marBottom w:val="0"/>
      <w:divBdr>
        <w:top w:val="none" w:sz="0" w:space="0" w:color="auto"/>
        <w:left w:val="none" w:sz="0" w:space="0" w:color="auto"/>
        <w:bottom w:val="none" w:sz="0" w:space="0" w:color="auto"/>
        <w:right w:val="none" w:sz="0" w:space="0" w:color="auto"/>
      </w:divBdr>
    </w:div>
    <w:div w:id="1627542698">
      <w:bodyDiv w:val="1"/>
      <w:marLeft w:val="0"/>
      <w:marRight w:val="0"/>
      <w:marTop w:val="0"/>
      <w:marBottom w:val="0"/>
      <w:divBdr>
        <w:top w:val="none" w:sz="0" w:space="0" w:color="auto"/>
        <w:left w:val="none" w:sz="0" w:space="0" w:color="auto"/>
        <w:bottom w:val="none" w:sz="0" w:space="0" w:color="auto"/>
        <w:right w:val="none" w:sz="0" w:space="0" w:color="auto"/>
      </w:divBdr>
    </w:div>
    <w:div w:id="1767846458">
      <w:bodyDiv w:val="1"/>
      <w:marLeft w:val="0"/>
      <w:marRight w:val="0"/>
      <w:marTop w:val="0"/>
      <w:marBottom w:val="0"/>
      <w:divBdr>
        <w:top w:val="none" w:sz="0" w:space="0" w:color="auto"/>
        <w:left w:val="none" w:sz="0" w:space="0" w:color="auto"/>
        <w:bottom w:val="none" w:sz="0" w:space="0" w:color="auto"/>
        <w:right w:val="none" w:sz="0" w:space="0" w:color="auto"/>
      </w:divBdr>
    </w:div>
    <w:div w:id="1776054066">
      <w:bodyDiv w:val="1"/>
      <w:marLeft w:val="0"/>
      <w:marRight w:val="0"/>
      <w:marTop w:val="0"/>
      <w:marBottom w:val="0"/>
      <w:divBdr>
        <w:top w:val="none" w:sz="0" w:space="0" w:color="auto"/>
        <w:left w:val="none" w:sz="0" w:space="0" w:color="auto"/>
        <w:bottom w:val="none" w:sz="0" w:space="0" w:color="auto"/>
        <w:right w:val="none" w:sz="0" w:space="0" w:color="auto"/>
      </w:divBdr>
    </w:div>
    <w:div w:id="2004508486">
      <w:bodyDiv w:val="1"/>
      <w:marLeft w:val="0"/>
      <w:marRight w:val="0"/>
      <w:marTop w:val="0"/>
      <w:marBottom w:val="0"/>
      <w:divBdr>
        <w:top w:val="none" w:sz="0" w:space="0" w:color="auto"/>
        <w:left w:val="none" w:sz="0" w:space="0" w:color="auto"/>
        <w:bottom w:val="none" w:sz="0" w:space="0" w:color="auto"/>
        <w:right w:val="none" w:sz="0" w:space="0" w:color="auto"/>
      </w:divBdr>
    </w:div>
    <w:div w:id="20923080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eia.gov/energyexplained/use-of-energy/electricity-use-in-homes.php" TargetMode="External"/><Relationship Id="rId13" Type="http://schemas.openxmlformats.org/officeDocument/2006/relationships/hyperlink" Target="https://afdc.energy.gov/data/10308" TargetMode="External"/><Relationship Id="rId3" Type="http://schemas.openxmlformats.org/officeDocument/2006/relationships/hyperlink" Target="https://www.epa.gov/energy/greenhouse-gas-equivalencies-calculator" TargetMode="External"/><Relationship Id="rId7" Type="http://schemas.openxmlformats.org/officeDocument/2006/relationships/hyperlink" Target="https://data.census.gov/all?q=Baraga%20County,%20Michigan" TargetMode="External"/><Relationship Id="rId12" Type="http://schemas.openxmlformats.org/officeDocument/2006/relationships/hyperlink" Target="https://www.epa.gov/energy/greenhouse-gas-equivalencies-calculator" TargetMode="External"/><Relationship Id="rId2" Type="http://schemas.openxmlformats.org/officeDocument/2006/relationships/hyperlink" Target="https://www.epa.gov/energy/greenhouse-gas-equivalencies-calculator" TargetMode="External"/><Relationship Id="rId1" Type="http://schemas.openxmlformats.org/officeDocument/2006/relationships/hyperlink" Target="https://pvwatts.nrel.gov/pvwatts.php" TargetMode="External"/><Relationship Id="rId6" Type="http://schemas.openxmlformats.org/officeDocument/2006/relationships/hyperlink" Target="https://maps.nrel.gov/slope/data-viewer?filters=%5B%22upgrade_to_led_interior_lighting%22%2C%22upgrade_rtu_dx_air_conditioner%22%2C%22upgrade_outdoor_lights%22%2C%22upgrade_boiler_afue_94%22%2C%22add_heat_recovery%22%2C%22add_cool_roof%22%2C%22add_advanced_hybrid_rtus%22%5D&amp;layer=comstock.gas-savings-potential&amp;geoId=G26&amp;year=2012&amp;res=state" TargetMode="External"/><Relationship Id="rId11" Type="http://schemas.openxmlformats.org/officeDocument/2006/relationships/hyperlink" Target="https://www.energy.gov/energysaver/articles/save-money-and-stay-cool-efficient-well-maintained-air-conditioner" TargetMode="External"/><Relationship Id="rId5" Type="http://schemas.openxmlformats.org/officeDocument/2006/relationships/hyperlink" Target="https://maps.nrel.gov/slope/data-viewer?filters=%5B%22upgrade_to_led_interior_lighting%22%2C%22upgrade_rtu_dx_air_conditioner%22%2C%22upgrade_outdoor_lights%22%2C%22upgrade_boiler_afue_94%22%2C%22add_heat_recovery%22%2C%22add_cool_roof%22%2C%22add_advanced_hybrid_rtus%22%5D&amp;layer=comstock.electricity-savings-potential&amp;geoId=G26&amp;year=2012&amp;res=state" TargetMode="External"/><Relationship Id="rId10" Type="http://schemas.openxmlformats.org/officeDocument/2006/relationships/hyperlink" Target="https://www.energy.gov/energysaver/laundry" TargetMode="External"/><Relationship Id="rId4" Type="http://schemas.openxmlformats.org/officeDocument/2006/relationships/hyperlink" Target="https://data.census.gov/all?q=Baraga%20County,%20Michigan" TargetMode="External"/><Relationship Id="rId9" Type="http://schemas.openxmlformats.org/officeDocument/2006/relationships/hyperlink" Target="https://www.energy.gov/sites/default/files/2021-08/ES-KitchenAppliances_080221.pdf" TargetMode="External"/><Relationship Id="rId14" Type="http://schemas.openxmlformats.org/officeDocument/2006/relationships/hyperlink" Target="https://climatepositivedesign.com/pathfi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L2mSM1JOOuUJPx4omsO7rl3eHg==">CgMxLjAaJwoBMBIiCiAIBCocCgtBQUFCQ3U3R1l2dxAIGgtBQUFCQ3U3R1l2dxonCgExEiIKIAgEKhwKC0FBQUJDdTdHWXZzEAgaC0FBQUJDdTdHWXZzIqEHCgtBQUFCQ3U3R1l2dxL3BgoLQUFBQkN1N0dZdncSC0FBQUJDdTdHWXZ3GukBCgl0ZXh0L2h0bWwS2wFZb3UgbmVlZCB0byBxdWFudGlmeSBmb3IgZWFjaCBtZWFzdXJlLiAgTWFrZSBpdCBlYXN5IGZvciBFUEEgdG8gZmluZCB3aGF0IHRoZXkgc2F5IG11c3QgYmUgaW5jbHVkZWQuPGJyPjxicj5NZWFzdXJlIDEgY29zdC1lZmZlY3RpdmVuZXNzID08YnI+PGJyPk1lYXN1cmUgMiBjb3N0LWVmZmVjdGl2ZW5lc3MgPTxicj48YnI+VG90YWwgcHJvcG9zYWwgY29zdC1lZmZlY3RpdmVuZXNzID0i2AEKCnRleHQvcGxhaW4SyQFZb3UgbmVlZCB0byBxdWFudGlmeSBmb3IgZWFjaCBtZWFzdXJlLiAgTWFrZSBpdCBlYXN5IGZvciBFUEEgdG8gZmluZCB3aGF0IHRoZXkgc2F5IG11c3QgYmUgaW5jbHVkZWQuCgpNZWFzdXJlIDEgY29zdC1lZmZlY3RpdmVuZXNzID0KCk1lYXN1cmUgMiBjb3N0LWVmZmVjdGl2ZW5lc3MgPQoKVG90YWwgcHJvcG9zYWwgY29zdC1lZmZlY3RpdmVuZXNzID0qRgoNVHJpY2lhIFRyZWVjZRo1Ly9zc2wuZ3N0YXRpYy5jb20vZG9jcy9jb21tb24vYmx1ZV9zaWxob3VldHRlOTYtMC5wbmcwgP+QocMxOID/kKHDMXJICg1UcmljaWEgVHJlZWNlGjcKNS8vc3NsLmdzdGF0aWMuY29tL2RvY3MvY29tbW9uL2JsdWVfc2lsaG91ZXR0ZTk2LTAucG5neACIAQGaAQYIABAAGACqAd4BEtsBWW91IG5lZWQgdG8gcXVhbnRpZnkgZm9yIGVhY2ggbWVhc3VyZS4gIE1ha2UgaXQgZWFzeSBmb3IgRVBBIHRvIGZpbmQgd2hhdCB0aGV5IHNheSBtdXN0IGJlIGluY2x1ZGVkLjxicj48YnI+TWVhc3VyZSAxIGNvc3QtZWZmZWN0aXZlbmVzcyA9PGJyPjxicj5NZWFzdXJlIDIgY29zdC1lZmZlY3RpdmVuZXNzID08YnI+PGJyPlRvdGFsIHByb3Bvc2FsIGNvc3QtZWZmZWN0aXZlbmVzcyA9sAEAuAEBGID/kKHDMSCA/5ChwzEwAEIIa2l4LmNtdDAiiAkKC0FBQUJDdTdHWXZzEt4ICgtBQUFCQ3U3R1l2cxILQUFBQkN1N0dZdnMasgIKCXRleHQvaHRtbBKkAlRoZSBhcHBsaWNhdGlvbiBtdXN0IGhhdmUgYSB0ZWNobmljYWwgYXBwZW5kaXguIEkgd291bGQgbW92ZSBtb3N0IG9mIHRoaXMgZGV0YWlsIHRvIHRoZXJlIGFuZCB0aGVuIGp1c3QgYnJlYWsgb3V0IGN1bXVsYXRpdmUgZW1pc3Npb25zIDIwMjUgLSAyMDMwIGFuZCAyMDI1IC0gMjA1MCBhbmQgY29zdC1lZmZlY3RpdmVuZXNzIGZvciBlYWNoIG1lYXN1cmUuICA8YnI+PGJyPkFsc28sIHlvdSBuZWVkIHRvIHVzZSBtZXRyaWMgdG9ucyBvZiBDTzIgZXF1aXZhbGVudCByYXRoZXIgdGhhbiBrZywgc28gY29udmVydC4irQIKCnRleHQvcGxhaW4SngJUaGUgYXBwbGljYXRpb24gbXVzdCBoYXZlIGEgdGVjaG5pY2FsIGFwcGVuZGl4LiBJIHdvdWxkIG1vdmUgbW9zdCBvZiB0aGlzIGRldGFpbCB0byB0aGVyZSBhbmQgdGhlbiBqdXN0IGJyZWFrIG91dCBjdW11bGF0aXZlIGVtaXNzaW9ucyAyMDI1IC0gMjAzMCBhbmQgMjAyNSAtIDIwNTAgYW5kIGNvc3QtZWZmZWN0aXZlbmVzcyBmb3IgZWFjaCBtZWFzdXJlLiAgCgpBbHNvLCB5b3UgbmVlZCB0byB1c2UgbWV0cmljIHRvbnMgb2YgQ08yIGVxdWl2YWxlbnQgcmF0aGVyIHRoYW4ga2csIHNvIGNvbnZlcnQuKkYKDVRyaWNpYSBUcmVlY2UaNS8vc3NsLmdzdGF0aWMuY29tL2RvY3MvY29tbW9uL2JsdWVfc2lsaG91ZXR0ZTk2LTAucG5nMOCAhqHDMTjggIahwzFySAoNVHJpY2lhIFRyZWVjZRo3CjUvL3NzbC5nc3RhdGljLmNvbS9kb2NzL2NvbW1vbi9ibHVlX3NpbGhvdWV0dGU5Ni0wLnBuZ3gAiAEBmgEGCAAQABgAqgGnAhKkAlRoZSBhcHBsaWNhdGlvbiBtdXN0IGhhdmUgYSB0ZWNobmljYWwgYXBwZW5kaXguIEkgd291bGQgbW92ZSBtb3N0IG9mIHRoaXMgZGV0YWlsIHRvIHRoZXJlIGFuZCB0aGVuIGp1c3QgYnJlYWsgb3V0IGN1bXVsYXRpdmUgZW1pc3Npb25zIDIwMjUgLSAyMDMwIGFuZCAyMDI1IC0gMjA1MCBhbmQgY29zdC1lZmZlY3RpdmVuZXNzIGZvciBlYWNoIG1lYXN1cmUuICA8YnI+PGJyPkFsc28sIHlvdSBuZWVkIHRvIHVzZSBtZXRyaWMgdG9ucyBvZiBDTzIgZXF1aXZhbGVudCByYXRoZXIgdGhhbiBrZywgc28gY29udmVydC6wAQC4AQEY4ICGocMxIOCAhqHDMTAAQghraXguY210MTIOaC4yMWZ0MDl4cGE5b24yDmguOWRpMDM3Y3B1N21mMghoLmdqZGd4czIOaC54dnBvOGdpdG1pcGoyCWguMzBqMHpsbDINaC55YTRvcjFyb3Y3MjIJaC4xZm9iOXRlMgloLjN6bnlzaDcyCWguMmV0OTJwMDIOaC5tcXZxamM3YnFqYWoyCWlkLnR5amN3dDIIaC50eWpjd3QyCWguM2R5NnZrbTIJaC4xdDNoNXNmOAByITE4WnNRbTRDNFMtVFZ3c1JvUmlUSS1PYjh2OWZxS2lKe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DF058E9-C318-449E-98A1-E5E8EE757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2620</Words>
  <Characters>14939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17524</CharactersWithSpaces>
  <SharedDoc>false</SharedDoc>
  <HLinks>
    <vt:vector size="102" baseType="variant">
      <vt:variant>
        <vt:i4>852033</vt:i4>
      </vt:variant>
      <vt:variant>
        <vt:i4>48</vt:i4>
      </vt:variant>
      <vt:variant>
        <vt:i4>0</vt:i4>
      </vt:variant>
      <vt:variant>
        <vt:i4>5</vt:i4>
      </vt:variant>
      <vt:variant>
        <vt:lpwstr>https://climatepositivedesign.com/pathfinder/</vt:lpwstr>
      </vt:variant>
      <vt:variant>
        <vt:lpwstr/>
      </vt:variant>
      <vt:variant>
        <vt:i4>851986</vt:i4>
      </vt:variant>
      <vt:variant>
        <vt:i4>45</vt:i4>
      </vt:variant>
      <vt:variant>
        <vt:i4>0</vt:i4>
      </vt:variant>
      <vt:variant>
        <vt:i4>5</vt:i4>
      </vt:variant>
      <vt:variant>
        <vt:lpwstr>https://www.energy.gov/sites/prod/files/2013/06/f1/eGallon-methodology-final.pdf</vt:lpwstr>
      </vt:variant>
      <vt:variant>
        <vt:lpwstr/>
      </vt:variant>
      <vt:variant>
        <vt:i4>2490400</vt:i4>
      </vt:variant>
      <vt:variant>
        <vt:i4>42</vt:i4>
      </vt:variant>
      <vt:variant>
        <vt:i4>0</vt:i4>
      </vt:variant>
      <vt:variant>
        <vt:i4>5</vt:i4>
      </vt:variant>
      <vt:variant>
        <vt:lpwstr>https://afdc.energy.gov/data/10309</vt:lpwstr>
      </vt:variant>
      <vt:variant>
        <vt:lpwstr/>
      </vt:variant>
      <vt:variant>
        <vt:i4>3080225</vt:i4>
      </vt:variant>
      <vt:variant>
        <vt:i4>39</vt:i4>
      </vt:variant>
      <vt:variant>
        <vt:i4>0</vt:i4>
      </vt:variant>
      <vt:variant>
        <vt:i4>5</vt:i4>
      </vt:variant>
      <vt:variant>
        <vt:lpwstr>https://afdc.energy.gov/data/10310</vt:lpwstr>
      </vt:variant>
      <vt:variant>
        <vt:lpwstr/>
      </vt:variant>
      <vt:variant>
        <vt:i4>2555936</vt:i4>
      </vt:variant>
      <vt:variant>
        <vt:i4>36</vt:i4>
      </vt:variant>
      <vt:variant>
        <vt:i4>0</vt:i4>
      </vt:variant>
      <vt:variant>
        <vt:i4>5</vt:i4>
      </vt:variant>
      <vt:variant>
        <vt:lpwstr>https://afdc.energy.gov/data/10308</vt:lpwstr>
      </vt:variant>
      <vt:variant>
        <vt:lpwstr/>
      </vt:variant>
      <vt:variant>
        <vt:i4>1638401</vt:i4>
      </vt:variant>
      <vt:variant>
        <vt:i4>33</vt:i4>
      </vt:variant>
      <vt:variant>
        <vt:i4>0</vt:i4>
      </vt:variant>
      <vt:variant>
        <vt:i4>5</vt:i4>
      </vt:variant>
      <vt:variant>
        <vt:lpwstr>https://www.epa.gov/energy/greenhouse-gas-equivalencies-calculator</vt:lpwstr>
      </vt:variant>
      <vt:variant>
        <vt:lpwstr>results</vt:lpwstr>
      </vt:variant>
      <vt:variant>
        <vt:i4>7733295</vt:i4>
      </vt:variant>
      <vt:variant>
        <vt:i4>30</vt:i4>
      </vt:variant>
      <vt:variant>
        <vt:i4>0</vt:i4>
      </vt:variant>
      <vt:variant>
        <vt:i4>5</vt:i4>
      </vt:variant>
      <vt:variant>
        <vt:lpwstr>https://www.energy.gov/energysaver/articles/save-money-and-stay-cool-efficient-well-maintained-air-conditioner</vt:lpwstr>
      </vt:variant>
      <vt:variant>
        <vt:lpwstr/>
      </vt:variant>
      <vt:variant>
        <vt:i4>2621562</vt:i4>
      </vt:variant>
      <vt:variant>
        <vt:i4>27</vt:i4>
      </vt:variant>
      <vt:variant>
        <vt:i4>0</vt:i4>
      </vt:variant>
      <vt:variant>
        <vt:i4>5</vt:i4>
      </vt:variant>
      <vt:variant>
        <vt:lpwstr>https://www.energy.gov/energysaver/laundry</vt:lpwstr>
      </vt:variant>
      <vt:variant>
        <vt:lpwstr/>
      </vt:variant>
      <vt:variant>
        <vt:i4>65647</vt:i4>
      </vt:variant>
      <vt:variant>
        <vt:i4>24</vt:i4>
      </vt:variant>
      <vt:variant>
        <vt:i4>0</vt:i4>
      </vt:variant>
      <vt:variant>
        <vt:i4>5</vt:i4>
      </vt:variant>
      <vt:variant>
        <vt:lpwstr>https://www.energy.gov/sites/default/files/2021-08/ES-KitchenAppliances_080221.pdf</vt:lpwstr>
      </vt:variant>
      <vt:variant>
        <vt:lpwstr/>
      </vt:variant>
      <vt:variant>
        <vt:i4>7077998</vt:i4>
      </vt:variant>
      <vt:variant>
        <vt:i4>21</vt:i4>
      </vt:variant>
      <vt:variant>
        <vt:i4>0</vt:i4>
      </vt:variant>
      <vt:variant>
        <vt:i4>5</vt:i4>
      </vt:variant>
      <vt:variant>
        <vt:lpwstr>https://www.eia.gov/energyexplained/use-of-energy/electricity-use-in-homes.php</vt:lpwstr>
      </vt:variant>
      <vt:variant>
        <vt:lpwstr/>
      </vt:variant>
      <vt:variant>
        <vt:i4>4194335</vt:i4>
      </vt:variant>
      <vt:variant>
        <vt:i4>18</vt:i4>
      </vt:variant>
      <vt:variant>
        <vt:i4>0</vt:i4>
      </vt:variant>
      <vt:variant>
        <vt:i4>5</vt:i4>
      </vt:variant>
      <vt:variant>
        <vt:lpwstr>https://data.census.gov/all?q=Baraga%20County,%20Michigan</vt:lpwstr>
      </vt:variant>
      <vt:variant>
        <vt:lpwstr/>
      </vt:variant>
      <vt:variant>
        <vt:i4>3866733</vt:i4>
      </vt:variant>
      <vt:variant>
        <vt:i4>15</vt:i4>
      </vt:variant>
      <vt:variant>
        <vt:i4>0</vt:i4>
      </vt:variant>
      <vt:variant>
        <vt:i4>5</vt:i4>
      </vt:variant>
      <vt:variant>
        <vt:lpwstr>https://maps.nrel.gov/slope/data-viewer?filters=%5B%22upgrade_to_led_interior_lighting%22%2C%22upgrade_rtu_dx_air_conditioner%22%2C%22upgrade_outdoor_lights%22%2C%22upgrade_boiler_afue_94%22%2C%22add_heat_recovery%22%2C%22add_cool_roof%22%2C%22add_advanced_hybrid_rtus%22%5D&amp;layer=comstock.gas-savings-potential&amp;geoId=G26&amp;year=2012&amp;res=state</vt:lpwstr>
      </vt:variant>
      <vt:variant>
        <vt:lpwstr/>
      </vt:variant>
      <vt:variant>
        <vt:i4>3866733</vt:i4>
      </vt:variant>
      <vt:variant>
        <vt:i4>12</vt:i4>
      </vt:variant>
      <vt:variant>
        <vt:i4>0</vt:i4>
      </vt:variant>
      <vt:variant>
        <vt:i4>5</vt:i4>
      </vt:variant>
      <vt:variant>
        <vt:lpwstr>https://maps.nrel.gov/slope/data-viewer?filters=%5B%22upgrade_to_led_interior_lighting%22%2C%22upgrade_rtu_dx_air_conditioner%22%2C%22upgrade_outdoor_lights%22%2C%22upgrade_boiler_afue_94%22%2C%22add_heat_recovery%22%2C%22add_cool_roof%22%2C%22add_advanced_hybrid_rtus%22%5D&amp;layer=comstock.electricity-savings-potential&amp;geoId=G26&amp;year=2012&amp;res=state</vt:lpwstr>
      </vt:variant>
      <vt:variant>
        <vt:lpwstr/>
      </vt:variant>
      <vt:variant>
        <vt:i4>4194335</vt:i4>
      </vt:variant>
      <vt:variant>
        <vt:i4>9</vt:i4>
      </vt:variant>
      <vt:variant>
        <vt:i4>0</vt:i4>
      </vt:variant>
      <vt:variant>
        <vt:i4>5</vt:i4>
      </vt:variant>
      <vt:variant>
        <vt:lpwstr>https://data.census.gov/all?q=Baraga%20County,%20Michigan</vt:lpwstr>
      </vt:variant>
      <vt:variant>
        <vt:lpwstr/>
      </vt:variant>
      <vt:variant>
        <vt:i4>1638401</vt:i4>
      </vt:variant>
      <vt:variant>
        <vt:i4>6</vt:i4>
      </vt:variant>
      <vt:variant>
        <vt:i4>0</vt:i4>
      </vt:variant>
      <vt:variant>
        <vt:i4>5</vt:i4>
      </vt:variant>
      <vt:variant>
        <vt:lpwstr>https://www.epa.gov/energy/greenhouse-gas-equivalencies-calculator</vt:lpwstr>
      </vt:variant>
      <vt:variant>
        <vt:lpwstr>results</vt:lpwstr>
      </vt:variant>
      <vt:variant>
        <vt:i4>1638401</vt:i4>
      </vt:variant>
      <vt:variant>
        <vt:i4>3</vt:i4>
      </vt:variant>
      <vt:variant>
        <vt:i4>0</vt:i4>
      </vt:variant>
      <vt:variant>
        <vt:i4>5</vt:i4>
      </vt:variant>
      <vt:variant>
        <vt:lpwstr>https://www.epa.gov/energy/greenhouse-gas-equivalencies-calculator</vt:lpwstr>
      </vt:variant>
      <vt:variant>
        <vt:lpwstr>results</vt:lpwstr>
      </vt:variant>
      <vt:variant>
        <vt:i4>5439488</vt:i4>
      </vt:variant>
      <vt:variant>
        <vt:i4>0</vt:i4>
      </vt:variant>
      <vt:variant>
        <vt:i4>0</vt:i4>
      </vt:variant>
      <vt:variant>
        <vt:i4>5</vt:i4>
      </vt:variant>
      <vt:variant>
        <vt:lpwstr>https://pvwatts.nrel.gov/pvwatts.php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Smith</dc:creator>
  <cp:lastModifiedBy>Cindy Cowell</cp:lastModifiedBy>
  <cp:revision>2</cp:revision>
  <dcterms:created xsi:type="dcterms:W3CDTF">2024-04-02T01:47:00Z</dcterms:created>
  <dcterms:modified xsi:type="dcterms:W3CDTF">2024-04-02T01:47:00Z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38850ec1a1bc0d922e496f148d178014268d653187fa2d491968821571e878b2</vt:lpwstr>
  </property>
</Properties>
</file>