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B63" w:rsidRDefault="00C24B63" w:rsidP="00C24B63">
      <w:pPr>
        <w:pStyle w:val="BodyText"/>
        <w:spacing w:before="292"/>
        <w:ind w:left="120" w:right="592"/>
        <w:jc w:val="center"/>
      </w:pPr>
      <w:r>
        <w:t>Budget Narrative</w:t>
      </w:r>
    </w:p>
    <w:p w:rsidR="00C24B63" w:rsidRDefault="00C24B63" w:rsidP="00C24B63">
      <w:pPr>
        <w:pStyle w:val="BodyText"/>
        <w:spacing w:before="292"/>
        <w:ind w:left="120" w:right="592"/>
        <w:jc w:val="center"/>
      </w:pPr>
      <w:r>
        <w:t>Livingston Green Initiative</w:t>
      </w:r>
    </w:p>
    <w:p w:rsidR="00F221F9" w:rsidRDefault="00F221F9" w:rsidP="00FC666B">
      <w:pPr>
        <w:tabs>
          <w:tab w:val="left" w:pos="839"/>
        </w:tabs>
        <w:spacing w:line="304" w:lineRule="exact"/>
        <w:rPr>
          <w:rFonts w:ascii="Verdana" w:hAnsi="Verdana"/>
          <w:sz w:val="24"/>
        </w:rPr>
      </w:pPr>
    </w:p>
    <w:p w:rsidR="00A0507F" w:rsidRDefault="00A0507F" w:rsidP="0035325D">
      <w:pPr>
        <w:tabs>
          <w:tab w:val="left" w:pos="839"/>
        </w:tabs>
        <w:spacing w:line="304" w:lineRule="exact"/>
        <w:ind w:left="360"/>
        <w:rPr>
          <w:rFonts w:cstheme="minorHAnsi"/>
        </w:rPr>
      </w:pPr>
      <w:r w:rsidRPr="00B361C9">
        <w:rPr>
          <w:rFonts w:cstheme="minorHAnsi"/>
        </w:rPr>
        <w:t>Livingston County is a member of the Genesee Finger Lakes Regional Plann</w:t>
      </w:r>
      <w:r>
        <w:rPr>
          <w:rFonts w:cstheme="minorHAnsi"/>
        </w:rPr>
        <w:t>ing Council.  The Council prepared a</w:t>
      </w:r>
      <w:r w:rsidRPr="00B361C9">
        <w:rPr>
          <w:rFonts w:cstheme="minorHAnsi"/>
        </w:rPr>
        <w:t xml:space="preserve"> Priority Climate Action Plan (PCAP) on behalf of the member counties and City of Rochester.  See link: </w:t>
      </w:r>
      <w:hyperlink r:id="rId6" w:history="1">
        <w:r w:rsidRPr="00B361C9">
          <w:rPr>
            <w:rStyle w:val="Hyperlink"/>
            <w:rFonts w:cstheme="minorHAnsi"/>
          </w:rPr>
          <w:t>https://engage.gflrpc.org/CPRG/PCAP</w:t>
        </w:r>
      </w:hyperlink>
      <w:r w:rsidRPr="00A0507F">
        <w:rPr>
          <w:rFonts w:cstheme="minorHAnsi"/>
        </w:rPr>
        <w:t xml:space="preserve"> </w:t>
      </w:r>
    </w:p>
    <w:p w:rsidR="00A0507F" w:rsidRDefault="00A0507F" w:rsidP="0035325D">
      <w:pPr>
        <w:tabs>
          <w:tab w:val="left" w:pos="839"/>
        </w:tabs>
        <w:spacing w:line="304" w:lineRule="exact"/>
        <w:ind w:left="360"/>
        <w:rPr>
          <w:rFonts w:cstheme="minorHAnsi"/>
        </w:rPr>
      </w:pPr>
      <w:r w:rsidRPr="00D25C31">
        <w:rPr>
          <w:rFonts w:cstheme="minorHAnsi"/>
        </w:rPr>
        <w:t>The Livin</w:t>
      </w:r>
      <w:r>
        <w:rPr>
          <w:rFonts w:cstheme="minorHAnsi"/>
        </w:rPr>
        <w:t>gston Green Initiative is a coalition grant between the following partners: Livingston County, Livingston County Water &amp; Sewer Authority (WASA), Towns of Avon and Lima, and the Village of Livonia. The Coalition is using the strategies and measures identified in the Genesee/Finger Lakes Region Priority Climate Action Plan.  Although this Climate Action Implementation Grant is a new opportunity, Livingston County and their coalition partners are well versed in working cooperatively on joint implementation and project grants.</w:t>
      </w:r>
    </w:p>
    <w:p w:rsidR="006E4E55" w:rsidRDefault="00890C33" w:rsidP="0035325D">
      <w:pPr>
        <w:tabs>
          <w:tab w:val="left" w:pos="839"/>
        </w:tabs>
        <w:spacing w:line="304" w:lineRule="exact"/>
        <w:ind w:left="360"/>
        <w:rPr>
          <w:rFonts w:cstheme="minorHAnsi"/>
        </w:rPr>
      </w:pPr>
      <w:r>
        <w:rPr>
          <w:rFonts w:cstheme="minorHAnsi"/>
        </w:rPr>
        <w:t xml:space="preserve">Livingston County will serve as the lead applicant for the grant and point of contact for the coalition.  </w:t>
      </w:r>
      <w:r w:rsidR="009A69E8">
        <w:rPr>
          <w:rFonts w:cstheme="minorHAnsi"/>
        </w:rPr>
        <w:t>The coalition partners, WASA, Towns of Avon and Lima, and Village of Livonia will receive subawards</w:t>
      </w:r>
      <w:r w:rsidR="00A0507F">
        <w:rPr>
          <w:rFonts w:cstheme="minorHAnsi"/>
        </w:rPr>
        <w:t xml:space="preserve"> to implement their</w:t>
      </w:r>
      <w:r w:rsidR="009A69E8">
        <w:rPr>
          <w:rFonts w:cstheme="minorHAnsi"/>
        </w:rPr>
        <w:t xml:space="preserve"> projects to accomplish the goals and objectives of the CPRG, and the Genesee/Finger Lakes Reg</w:t>
      </w:r>
      <w:r w:rsidR="00A0507F">
        <w:rPr>
          <w:rFonts w:cstheme="minorHAnsi"/>
        </w:rPr>
        <w:t>ion PCAP</w:t>
      </w:r>
      <w:r w:rsidR="009A69E8">
        <w:rPr>
          <w:rFonts w:cstheme="minorHAnsi"/>
        </w:rPr>
        <w:t xml:space="preserve">. </w:t>
      </w:r>
    </w:p>
    <w:p w:rsidR="006E4E55" w:rsidRPr="006E4E55" w:rsidRDefault="006E4E55" w:rsidP="0035325D">
      <w:pPr>
        <w:tabs>
          <w:tab w:val="left" w:pos="839"/>
        </w:tabs>
        <w:spacing w:line="304" w:lineRule="exact"/>
        <w:ind w:left="360"/>
        <w:rPr>
          <w:b/>
          <w:spacing w:val="-4"/>
          <w:sz w:val="24"/>
        </w:rPr>
      </w:pPr>
      <w:r>
        <w:rPr>
          <w:b/>
          <w:sz w:val="24"/>
        </w:rPr>
        <w:t>Criteria 7.  Budget</w:t>
      </w:r>
      <w:r>
        <w:rPr>
          <w:b/>
          <w:spacing w:val="-1"/>
          <w:sz w:val="24"/>
        </w:rPr>
        <w:t xml:space="preserve"> </w:t>
      </w:r>
      <w:r>
        <w:rPr>
          <w:b/>
          <w:sz w:val="24"/>
        </w:rPr>
        <w:t>and</w:t>
      </w:r>
      <w:r>
        <w:rPr>
          <w:b/>
          <w:spacing w:val="-3"/>
          <w:sz w:val="24"/>
        </w:rPr>
        <w:t xml:space="preserve"> </w:t>
      </w:r>
      <w:r>
        <w:rPr>
          <w:b/>
          <w:sz w:val="24"/>
        </w:rPr>
        <w:t>Timely</w:t>
      </w:r>
      <w:r>
        <w:rPr>
          <w:b/>
          <w:spacing w:val="-1"/>
          <w:sz w:val="24"/>
        </w:rPr>
        <w:t xml:space="preserve"> </w:t>
      </w:r>
      <w:r>
        <w:rPr>
          <w:b/>
          <w:sz w:val="24"/>
        </w:rPr>
        <w:t>Expenditure</w:t>
      </w:r>
      <w:r>
        <w:rPr>
          <w:b/>
          <w:spacing w:val="-2"/>
          <w:sz w:val="24"/>
        </w:rPr>
        <w:t xml:space="preserve"> </w:t>
      </w:r>
      <w:r>
        <w:rPr>
          <w:b/>
          <w:sz w:val="24"/>
        </w:rPr>
        <w:t>of</w:t>
      </w:r>
      <w:r>
        <w:rPr>
          <w:b/>
          <w:spacing w:val="-2"/>
          <w:sz w:val="24"/>
        </w:rPr>
        <w:t xml:space="preserve"> </w:t>
      </w:r>
      <w:r>
        <w:rPr>
          <w:b/>
          <w:sz w:val="24"/>
        </w:rPr>
        <w:t>Grant</w:t>
      </w:r>
      <w:r>
        <w:rPr>
          <w:b/>
          <w:spacing w:val="-2"/>
          <w:sz w:val="24"/>
        </w:rPr>
        <w:t xml:space="preserve"> </w:t>
      </w:r>
      <w:r>
        <w:rPr>
          <w:b/>
          <w:spacing w:val="-4"/>
          <w:sz w:val="24"/>
        </w:rPr>
        <w:t>Funds</w:t>
      </w:r>
    </w:p>
    <w:p w:rsidR="006E4E55" w:rsidRDefault="006E4E55" w:rsidP="0035325D">
      <w:pPr>
        <w:tabs>
          <w:tab w:val="left" w:pos="839"/>
        </w:tabs>
        <w:spacing w:line="304" w:lineRule="exact"/>
        <w:ind w:left="360"/>
        <w:rPr>
          <w:b/>
          <w:sz w:val="24"/>
        </w:rPr>
      </w:pPr>
      <w:r w:rsidRPr="006E4E55">
        <w:rPr>
          <w:b/>
          <w:sz w:val="24"/>
        </w:rPr>
        <w:t>Budget Detail</w:t>
      </w:r>
    </w:p>
    <w:p w:rsidR="00897045" w:rsidRDefault="00DE2FFD" w:rsidP="0035325D">
      <w:pPr>
        <w:tabs>
          <w:tab w:val="left" w:pos="839"/>
        </w:tabs>
        <w:spacing w:line="304" w:lineRule="exact"/>
        <w:ind w:left="360"/>
        <w:rPr>
          <w:rFonts w:cstheme="minorHAnsi"/>
        </w:rPr>
      </w:pPr>
      <w:r>
        <w:rPr>
          <w:rFonts w:cstheme="minorHAnsi"/>
        </w:rPr>
        <w:t xml:space="preserve">The </w:t>
      </w:r>
      <w:r w:rsidR="00897045">
        <w:rPr>
          <w:rFonts w:cstheme="minorHAnsi"/>
        </w:rPr>
        <w:t>application contains the following budget sheets to meet the application requirements, including:</w:t>
      </w:r>
    </w:p>
    <w:p w:rsidR="001059F5" w:rsidRDefault="00897045" w:rsidP="00F441EA">
      <w:pPr>
        <w:tabs>
          <w:tab w:val="left" w:pos="839"/>
        </w:tabs>
        <w:spacing w:after="0" w:line="304" w:lineRule="exact"/>
        <w:ind w:firstLine="720"/>
        <w:rPr>
          <w:color w:val="000000"/>
          <w:sz w:val="23"/>
          <w:szCs w:val="23"/>
        </w:rPr>
      </w:pPr>
      <w:r w:rsidRPr="001059F5">
        <w:rPr>
          <w:color w:val="000000"/>
          <w:sz w:val="23"/>
          <w:szCs w:val="23"/>
          <w:highlight w:val="yellow"/>
        </w:rPr>
        <w:t>SF-424A</w:t>
      </w:r>
      <w:r>
        <w:rPr>
          <w:color w:val="000000"/>
          <w:sz w:val="23"/>
          <w:szCs w:val="23"/>
        </w:rPr>
        <w:t xml:space="preserve"> – full budget information for the coalition, by budget categories</w:t>
      </w:r>
      <w:r w:rsidR="001C78F5">
        <w:rPr>
          <w:color w:val="000000"/>
          <w:sz w:val="23"/>
          <w:szCs w:val="23"/>
        </w:rPr>
        <w:t xml:space="preserve">. See uploaded form. </w:t>
      </w:r>
    </w:p>
    <w:p w:rsidR="00F441EA" w:rsidRDefault="00F441EA" w:rsidP="00F441EA">
      <w:pPr>
        <w:tabs>
          <w:tab w:val="left" w:pos="839"/>
        </w:tabs>
        <w:spacing w:after="0" w:line="304" w:lineRule="exact"/>
        <w:ind w:firstLine="720"/>
        <w:rPr>
          <w:color w:val="000000"/>
          <w:sz w:val="23"/>
          <w:szCs w:val="23"/>
        </w:rPr>
      </w:pPr>
    </w:p>
    <w:p w:rsidR="00897045" w:rsidRDefault="00897045" w:rsidP="00F441EA">
      <w:pPr>
        <w:tabs>
          <w:tab w:val="left" w:pos="839"/>
        </w:tabs>
        <w:spacing w:after="0" w:line="304" w:lineRule="exact"/>
        <w:ind w:firstLine="720"/>
        <w:rPr>
          <w:color w:val="000000"/>
          <w:sz w:val="23"/>
          <w:szCs w:val="23"/>
        </w:rPr>
      </w:pPr>
      <w:r w:rsidRPr="00897045">
        <w:rPr>
          <w:color w:val="000000"/>
          <w:sz w:val="23"/>
          <w:szCs w:val="23"/>
          <w:highlight w:val="yellow"/>
        </w:rPr>
        <w:t>Budget_Livingston County</w:t>
      </w:r>
      <w:r w:rsidR="00F441EA" w:rsidRPr="00F441EA">
        <w:rPr>
          <w:color w:val="000000"/>
          <w:sz w:val="23"/>
          <w:szCs w:val="23"/>
          <w:highlight w:val="yellow"/>
        </w:rPr>
        <w:t>.pdf</w:t>
      </w:r>
      <w:r>
        <w:rPr>
          <w:color w:val="000000"/>
          <w:sz w:val="23"/>
          <w:szCs w:val="23"/>
        </w:rPr>
        <w:t xml:space="preserve"> – Budget narrative</w:t>
      </w:r>
      <w:r w:rsidR="001C78F5">
        <w:rPr>
          <w:color w:val="000000"/>
          <w:sz w:val="23"/>
          <w:szCs w:val="23"/>
        </w:rPr>
        <w:t xml:space="preserve">. See attached. </w:t>
      </w:r>
    </w:p>
    <w:p w:rsidR="00F441EA" w:rsidRDefault="00F441EA" w:rsidP="00F441EA">
      <w:pPr>
        <w:tabs>
          <w:tab w:val="left" w:pos="839"/>
        </w:tabs>
        <w:spacing w:after="0" w:line="304" w:lineRule="exact"/>
        <w:ind w:firstLine="720"/>
        <w:rPr>
          <w:color w:val="000000"/>
          <w:sz w:val="23"/>
          <w:szCs w:val="23"/>
        </w:rPr>
      </w:pPr>
    </w:p>
    <w:p w:rsidR="001059F5" w:rsidRDefault="0035325D" w:rsidP="00F441EA">
      <w:pPr>
        <w:tabs>
          <w:tab w:val="left" w:pos="839"/>
        </w:tabs>
        <w:spacing w:after="0" w:line="304" w:lineRule="exact"/>
        <w:ind w:left="720"/>
        <w:rPr>
          <w:color w:val="000000"/>
          <w:sz w:val="23"/>
          <w:szCs w:val="23"/>
        </w:rPr>
      </w:pPr>
      <w:r>
        <w:rPr>
          <w:rFonts w:cstheme="minorHAnsi"/>
          <w:highlight w:val="yellow"/>
        </w:rPr>
        <w:t>BudgetSummary_</w:t>
      </w:r>
      <w:r w:rsidR="00897045">
        <w:rPr>
          <w:rFonts w:cstheme="minorHAnsi"/>
          <w:highlight w:val="yellow"/>
        </w:rPr>
        <w:t>LivingstonCounty</w:t>
      </w:r>
      <w:r w:rsidR="00F441EA" w:rsidRPr="00F441EA">
        <w:rPr>
          <w:color w:val="000000"/>
          <w:sz w:val="23"/>
          <w:szCs w:val="23"/>
          <w:highlight w:val="yellow"/>
        </w:rPr>
        <w:t>.xlsx</w:t>
      </w:r>
      <w:r w:rsidR="00691738">
        <w:rPr>
          <w:color w:val="000000"/>
          <w:sz w:val="23"/>
          <w:szCs w:val="23"/>
          <w:highlight w:val="yellow"/>
        </w:rPr>
        <w:t xml:space="preserve"> and .</w:t>
      </w:r>
      <w:r w:rsidR="00F441EA" w:rsidRPr="00F441EA">
        <w:rPr>
          <w:color w:val="000000"/>
          <w:sz w:val="23"/>
          <w:szCs w:val="23"/>
          <w:highlight w:val="yellow"/>
        </w:rPr>
        <w:t>pdf</w:t>
      </w:r>
      <w:r w:rsidR="00897045" w:rsidRPr="00F441EA">
        <w:rPr>
          <w:rFonts w:cstheme="minorHAnsi"/>
        </w:rPr>
        <w:t xml:space="preserve">– </w:t>
      </w:r>
      <w:r w:rsidR="00897045">
        <w:rPr>
          <w:rFonts w:cstheme="minorHAnsi"/>
        </w:rPr>
        <w:t xml:space="preserve">detailed budget breakout </w:t>
      </w:r>
      <w:r w:rsidR="00897045" w:rsidRPr="004E115C">
        <w:rPr>
          <w:rFonts w:cstheme="minorHAnsi"/>
          <w:u w:val="single"/>
        </w:rPr>
        <w:t>for each GHG reduction measure</w:t>
      </w:r>
      <w:r w:rsidR="00897045">
        <w:rPr>
          <w:rFonts w:cstheme="minorHAnsi"/>
        </w:rPr>
        <w:t xml:space="preserve"> included in the application arranged by Budget Category, by Implementation Measure, and by coalition partner.</w:t>
      </w:r>
      <w:r w:rsidR="001059F5" w:rsidRPr="001059F5">
        <w:rPr>
          <w:color w:val="000000"/>
          <w:sz w:val="23"/>
          <w:szCs w:val="23"/>
        </w:rPr>
        <w:t xml:space="preserve"> </w:t>
      </w:r>
      <w:r w:rsidR="001C78F5">
        <w:rPr>
          <w:color w:val="000000"/>
          <w:sz w:val="23"/>
          <w:szCs w:val="23"/>
        </w:rPr>
        <w:t xml:space="preserve">  See the table below. </w:t>
      </w:r>
    </w:p>
    <w:p w:rsidR="00F441EA" w:rsidRDefault="00F441EA" w:rsidP="00F441EA">
      <w:pPr>
        <w:tabs>
          <w:tab w:val="left" w:pos="839"/>
        </w:tabs>
        <w:spacing w:after="0" w:line="304" w:lineRule="exact"/>
        <w:ind w:left="720"/>
        <w:rPr>
          <w:color w:val="000000"/>
          <w:sz w:val="23"/>
          <w:szCs w:val="23"/>
        </w:rPr>
      </w:pPr>
    </w:p>
    <w:p w:rsidR="0035325D" w:rsidRDefault="00897045" w:rsidP="00F441EA">
      <w:pPr>
        <w:tabs>
          <w:tab w:val="left" w:pos="839"/>
        </w:tabs>
        <w:spacing w:after="0" w:line="304" w:lineRule="exact"/>
        <w:ind w:left="720"/>
        <w:rPr>
          <w:rFonts w:cstheme="minorHAnsi"/>
        </w:rPr>
      </w:pPr>
      <w:r w:rsidRPr="001059F5">
        <w:rPr>
          <w:color w:val="000000"/>
          <w:sz w:val="23"/>
          <w:szCs w:val="23"/>
          <w:highlight w:val="yellow"/>
        </w:rPr>
        <w:t>Budgetcalcs_</w:t>
      </w:r>
      <w:r w:rsidR="00F441EA" w:rsidRPr="00F441EA">
        <w:rPr>
          <w:rFonts w:cstheme="minorHAnsi"/>
        </w:rPr>
        <w:t xml:space="preserve">– </w:t>
      </w:r>
      <w:r w:rsidR="00F441EA">
        <w:rPr>
          <w:color w:val="000000"/>
          <w:sz w:val="23"/>
          <w:szCs w:val="23"/>
        </w:rPr>
        <w:t xml:space="preserve"> see attached</w:t>
      </w:r>
      <w:r w:rsidR="001059F5">
        <w:rPr>
          <w:rFonts w:cstheme="minorHAnsi"/>
        </w:rPr>
        <w:t xml:space="preserve"> </w:t>
      </w:r>
      <w:r w:rsidR="00DE2FFD">
        <w:rPr>
          <w:rFonts w:cstheme="minorHAnsi"/>
        </w:rPr>
        <w:t xml:space="preserve">detailed </w:t>
      </w:r>
      <w:r w:rsidR="00C5287A">
        <w:rPr>
          <w:rFonts w:cstheme="minorHAnsi"/>
        </w:rPr>
        <w:t>budget sheets for all fiv</w:t>
      </w:r>
      <w:r w:rsidR="001059F5">
        <w:rPr>
          <w:rFonts w:cstheme="minorHAnsi"/>
        </w:rPr>
        <w:t xml:space="preserve">e coalition partners by project. </w:t>
      </w:r>
      <w:r w:rsidR="00C5287A">
        <w:rPr>
          <w:rFonts w:cstheme="minorHAnsi"/>
        </w:rPr>
        <w:t xml:space="preserve"> </w:t>
      </w:r>
      <w:r w:rsidR="00DE2FFD">
        <w:rPr>
          <w:rFonts w:cstheme="minorHAnsi"/>
        </w:rPr>
        <w:t xml:space="preserve"> </w:t>
      </w:r>
    </w:p>
    <w:p w:rsidR="0035325D" w:rsidRDefault="0035325D" w:rsidP="00F441EA">
      <w:pPr>
        <w:tabs>
          <w:tab w:val="left" w:pos="839"/>
        </w:tabs>
        <w:spacing w:after="0" w:line="304" w:lineRule="exact"/>
        <w:ind w:left="720"/>
        <w:rPr>
          <w:rFonts w:cstheme="minorHAnsi"/>
        </w:rPr>
      </w:pPr>
    </w:p>
    <w:p w:rsidR="0035325D" w:rsidRDefault="0035325D" w:rsidP="00F441EA">
      <w:pPr>
        <w:tabs>
          <w:tab w:val="left" w:pos="839"/>
        </w:tabs>
        <w:spacing w:after="0" w:line="304" w:lineRule="exact"/>
        <w:ind w:left="720"/>
        <w:rPr>
          <w:rFonts w:cstheme="minorHAnsi"/>
        </w:rPr>
      </w:pPr>
      <w:r>
        <w:rPr>
          <w:rFonts w:cstheme="minorHAnsi"/>
        </w:rPr>
        <w:tab/>
      </w:r>
      <w:r>
        <w:rPr>
          <w:rFonts w:cstheme="minorHAnsi"/>
        </w:rPr>
        <w:tab/>
      </w:r>
      <w:r>
        <w:rPr>
          <w:rFonts w:cstheme="minorHAnsi"/>
          <w:highlight w:val="yellow"/>
        </w:rPr>
        <w:t>BudgetCalcs_TownofAvon</w:t>
      </w:r>
      <w:r w:rsidRPr="0035325D">
        <w:rPr>
          <w:rFonts w:cstheme="minorHAnsi"/>
          <w:highlight w:val="yellow"/>
        </w:rPr>
        <w:t>_LivingstonCounty</w:t>
      </w:r>
      <w:r w:rsidRPr="0035325D">
        <w:rPr>
          <w:color w:val="000000"/>
          <w:sz w:val="23"/>
          <w:szCs w:val="23"/>
          <w:highlight w:val="yellow"/>
        </w:rPr>
        <w:t>.</w:t>
      </w:r>
      <w:r w:rsidRPr="00F441EA">
        <w:rPr>
          <w:color w:val="000000"/>
          <w:sz w:val="23"/>
          <w:szCs w:val="23"/>
          <w:highlight w:val="yellow"/>
        </w:rPr>
        <w:t>xlsx and .pdf</w:t>
      </w:r>
    </w:p>
    <w:p w:rsidR="0035325D" w:rsidRDefault="0035325D" w:rsidP="00F441EA">
      <w:pPr>
        <w:tabs>
          <w:tab w:val="left" w:pos="839"/>
        </w:tabs>
        <w:spacing w:after="0" w:line="304" w:lineRule="exact"/>
        <w:ind w:left="720"/>
        <w:rPr>
          <w:rFonts w:cstheme="minorHAnsi"/>
        </w:rPr>
      </w:pPr>
    </w:p>
    <w:p w:rsidR="0035325D" w:rsidRDefault="0035325D" w:rsidP="0035325D">
      <w:pPr>
        <w:tabs>
          <w:tab w:val="left" w:pos="839"/>
        </w:tabs>
        <w:spacing w:after="0" w:line="304" w:lineRule="exact"/>
        <w:ind w:left="720"/>
        <w:rPr>
          <w:rFonts w:cstheme="minorHAnsi"/>
        </w:rPr>
      </w:pPr>
      <w:r>
        <w:rPr>
          <w:rFonts w:cstheme="minorHAnsi"/>
        </w:rPr>
        <w:tab/>
      </w:r>
      <w:r>
        <w:rPr>
          <w:rFonts w:cstheme="minorHAnsi"/>
        </w:rPr>
        <w:tab/>
      </w:r>
      <w:r>
        <w:rPr>
          <w:rFonts w:cstheme="minorHAnsi"/>
          <w:highlight w:val="yellow"/>
        </w:rPr>
        <w:t>BudgetCalcs_TownofLima</w:t>
      </w:r>
      <w:r w:rsidRPr="0035325D">
        <w:rPr>
          <w:rFonts w:cstheme="minorHAnsi"/>
          <w:highlight w:val="yellow"/>
        </w:rPr>
        <w:t>_LivingstonCounty</w:t>
      </w:r>
      <w:r w:rsidRPr="0035325D">
        <w:rPr>
          <w:color w:val="000000"/>
          <w:sz w:val="23"/>
          <w:szCs w:val="23"/>
          <w:highlight w:val="yellow"/>
        </w:rPr>
        <w:t>.</w:t>
      </w:r>
      <w:r w:rsidRPr="00F441EA">
        <w:rPr>
          <w:color w:val="000000"/>
          <w:sz w:val="23"/>
          <w:szCs w:val="23"/>
          <w:highlight w:val="yellow"/>
        </w:rPr>
        <w:t>xlsx and .pdf</w:t>
      </w:r>
    </w:p>
    <w:p w:rsidR="0035325D" w:rsidRDefault="0035325D" w:rsidP="00F441EA">
      <w:pPr>
        <w:tabs>
          <w:tab w:val="left" w:pos="839"/>
        </w:tabs>
        <w:spacing w:after="0" w:line="304" w:lineRule="exact"/>
        <w:ind w:left="720"/>
        <w:rPr>
          <w:rFonts w:cstheme="minorHAnsi"/>
        </w:rPr>
      </w:pPr>
      <w:r>
        <w:rPr>
          <w:rFonts w:cstheme="minorHAnsi"/>
        </w:rPr>
        <w:tab/>
      </w:r>
      <w:r>
        <w:rPr>
          <w:rFonts w:cstheme="minorHAnsi"/>
        </w:rPr>
        <w:tab/>
      </w:r>
    </w:p>
    <w:p w:rsidR="0035325D" w:rsidRDefault="0035325D" w:rsidP="0035325D">
      <w:pPr>
        <w:tabs>
          <w:tab w:val="left" w:pos="839"/>
        </w:tabs>
        <w:spacing w:after="0" w:line="304" w:lineRule="exact"/>
        <w:ind w:left="720"/>
        <w:rPr>
          <w:rFonts w:cstheme="minorHAnsi"/>
        </w:rPr>
      </w:pPr>
      <w:r>
        <w:rPr>
          <w:rFonts w:cstheme="minorHAnsi"/>
        </w:rPr>
        <w:tab/>
      </w:r>
      <w:r>
        <w:rPr>
          <w:rFonts w:cstheme="minorHAnsi"/>
        </w:rPr>
        <w:tab/>
      </w:r>
      <w:r>
        <w:rPr>
          <w:rFonts w:cstheme="minorHAnsi"/>
          <w:highlight w:val="yellow"/>
        </w:rPr>
        <w:t>BudgetCalcs_TownofLivonia</w:t>
      </w:r>
      <w:r w:rsidRPr="0035325D">
        <w:rPr>
          <w:rFonts w:cstheme="minorHAnsi"/>
          <w:highlight w:val="yellow"/>
        </w:rPr>
        <w:t>_LivingstonCounty</w:t>
      </w:r>
      <w:r w:rsidRPr="0035325D">
        <w:rPr>
          <w:color w:val="000000"/>
          <w:sz w:val="23"/>
          <w:szCs w:val="23"/>
          <w:highlight w:val="yellow"/>
        </w:rPr>
        <w:t>.</w:t>
      </w:r>
      <w:r w:rsidRPr="00F441EA">
        <w:rPr>
          <w:color w:val="000000"/>
          <w:sz w:val="23"/>
          <w:szCs w:val="23"/>
          <w:highlight w:val="yellow"/>
        </w:rPr>
        <w:t>xlsx and .pdf</w:t>
      </w:r>
    </w:p>
    <w:p w:rsidR="0035325D" w:rsidRDefault="0035325D" w:rsidP="00F441EA">
      <w:pPr>
        <w:tabs>
          <w:tab w:val="left" w:pos="839"/>
        </w:tabs>
        <w:spacing w:after="0" w:line="304" w:lineRule="exact"/>
        <w:ind w:left="720"/>
        <w:rPr>
          <w:rFonts w:cstheme="minorHAnsi"/>
        </w:rPr>
      </w:pPr>
      <w:r>
        <w:rPr>
          <w:rFonts w:cstheme="minorHAnsi"/>
        </w:rPr>
        <w:tab/>
      </w:r>
      <w:r>
        <w:rPr>
          <w:rFonts w:cstheme="minorHAnsi"/>
        </w:rPr>
        <w:tab/>
      </w:r>
    </w:p>
    <w:p w:rsidR="0035325D" w:rsidRDefault="0035325D" w:rsidP="0035325D">
      <w:pPr>
        <w:tabs>
          <w:tab w:val="left" w:pos="839"/>
        </w:tabs>
        <w:spacing w:after="0" w:line="304" w:lineRule="exact"/>
        <w:ind w:left="720"/>
        <w:rPr>
          <w:rFonts w:cstheme="minorHAnsi"/>
        </w:rPr>
      </w:pPr>
      <w:r>
        <w:rPr>
          <w:rFonts w:cstheme="minorHAnsi"/>
        </w:rPr>
        <w:tab/>
      </w:r>
      <w:r>
        <w:rPr>
          <w:rFonts w:cstheme="minorHAnsi"/>
        </w:rPr>
        <w:tab/>
      </w:r>
      <w:r>
        <w:rPr>
          <w:rFonts w:cstheme="minorHAnsi"/>
          <w:highlight w:val="yellow"/>
        </w:rPr>
        <w:t>BudgetCalcs_WASA</w:t>
      </w:r>
      <w:r w:rsidRPr="0035325D">
        <w:rPr>
          <w:rFonts w:cstheme="minorHAnsi"/>
          <w:highlight w:val="yellow"/>
        </w:rPr>
        <w:t>_LivingstonCounty</w:t>
      </w:r>
      <w:r w:rsidRPr="0035325D">
        <w:rPr>
          <w:color w:val="000000"/>
          <w:sz w:val="23"/>
          <w:szCs w:val="23"/>
          <w:highlight w:val="yellow"/>
        </w:rPr>
        <w:t>.</w:t>
      </w:r>
      <w:r w:rsidRPr="00F441EA">
        <w:rPr>
          <w:color w:val="000000"/>
          <w:sz w:val="23"/>
          <w:szCs w:val="23"/>
          <w:highlight w:val="yellow"/>
        </w:rPr>
        <w:t>xlsx and .pdf</w:t>
      </w:r>
    </w:p>
    <w:p w:rsidR="0035325D" w:rsidRDefault="0035325D" w:rsidP="00F441EA">
      <w:pPr>
        <w:tabs>
          <w:tab w:val="left" w:pos="839"/>
        </w:tabs>
        <w:spacing w:after="0" w:line="304" w:lineRule="exact"/>
        <w:ind w:left="720"/>
        <w:rPr>
          <w:rFonts w:cstheme="minorHAnsi"/>
        </w:rPr>
      </w:pPr>
      <w:r>
        <w:rPr>
          <w:rFonts w:cstheme="minorHAnsi"/>
        </w:rPr>
        <w:tab/>
      </w:r>
      <w:r>
        <w:rPr>
          <w:rFonts w:cstheme="minorHAnsi"/>
        </w:rPr>
        <w:tab/>
      </w:r>
    </w:p>
    <w:p w:rsidR="0035325D" w:rsidRDefault="0035325D" w:rsidP="0035325D">
      <w:pPr>
        <w:tabs>
          <w:tab w:val="left" w:pos="839"/>
        </w:tabs>
        <w:spacing w:after="0" w:line="304" w:lineRule="exact"/>
        <w:ind w:left="720"/>
        <w:rPr>
          <w:rFonts w:cstheme="minorHAnsi"/>
        </w:rPr>
      </w:pPr>
      <w:r>
        <w:rPr>
          <w:rFonts w:cstheme="minorHAnsi"/>
        </w:rPr>
        <w:tab/>
      </w:r>
      <w:r>
        <w:rPr>
          <w:rFonts w:cstheme="minorHAnsi"/>
        </w:rPr>
        <w:tab/>
      </w:r>
      <w:r>
        <w:rPr>
          <w:rFonts w:cstheme="minorHAnsi"/>
          <w:highlight w:val="yellow"/>
        </w:rPr>
        <w:t>BudgetCalcs</w:t>
      </w:r>
      <w:r w:rsidRPr="0035325D">
        <w:rPr>
          <w:rFonts w:cstheme="minorHAnsi"/>
          <w:highlight w:val="yellow"/>
        </w:rPr>
        <w:t>_LivingstonCounty</w:t>
      </w:r>
      <w:r w:rsidRPr="0035325D">
        <w:rPr>
          <w:color w:val="000000"/>
          <w:sz w:val="23"/>
          <w:szCs w:val="23"/>
          <w:highlight w:val="yellow"/>
        </w:rPr>
        <w:t>.</w:t>
      </w:r>
      <w:r w:rsidRPr="00F441EA">
        <w:rPr>
          <w:color w:val="000000"/>
          <w:sz w:val="23"/>
          <w:szCs w:val="23"/>
          <w:highlight w:val="yellow"/>
        </w:rPr>
        <w:t>xlsx and .pdf</w:t>
      </w:r>
    </w:p>
    <w:p w:rsidR="0035325D" w:rsidRDefault="0035325D" w:rsidP="00F441EA">
      <w:pPr>
        <w:tabs>
          <w:tab w:val="left" w:pos="839"/>
        </w:tabs>
        <w:spacing w:after="0" w:line="304" w:lineRule="exact"/>
        <w:ind w:left="720"/>
        <w:rPr>
          <w:rFonts w:cstheme="minorHAnsi"/>
        </w:rPr>
      </w:pPr>
      <w:r>
        <w:rPr>
          <w:rFonts w:cstheme="minorHAnsi"/>
        </w:rPr>
        <w:tab/>
      </w:r>
      <w:r>
        <w:rPr>
          <w:rFonts w:cstheme="minorHAnsi"/>
        </w:rPr>
        <w:tab/>
      </w:r>
    </w:p>
    <w:p w:rsidR="0035325D" w:rsidRDefault="0035325D" w:rsidP="00F441EA">
      <w:pPr>
        <w:tabs>
          <w:tab w:val="left" w:pos="839"/>
        </w:tabs>
        <w:spacing w:after="0" w:line="304" w:lineRule="exact"/>
        <w:ind w:left="720"/>
        <w:rPr>
          <w:rFonts w:cstheme="minorHAnsi"/>
        </w:rPr>
      </w:pPr>
    </w:p>
    <w:p w:rsidR="0035325D" w:rsidRDefault="001059F5" w:rsidP="0035325D">
      <w:pPr>
        <w:tabs>
          <w:tab w:val="left" w:pos="839"/>
        </w:tabs>
        <w:spacing w:after="0" w:line="304" w:lineRule="exact"/>
        <w:ind w:left="720"/>
        <w:rPr>
          <w:color w:val="000000"/>
          <w:sz w:val="23"/>
          <w:szCs w:val="23"/>
        </w:rPr>
      </w:pPr>
      <w:r>
        <w:rPr>
          <w:rFonts w:cstheme="minorHAnsi"/>
        </w:rPr>
        <w:lastRenderedPageBreak/>
        <w:t xml:space="preserve">The </w:t>
      </w:r>
      <w:r w:rsidR="00DE2FFD">
        <w:rPr>
          <w:rFonts w:cstheme="minorHAnsi"/>
        </w:rPr>
        <w:t>individual budget sheets ca</w:t>
      </w:r>
      <w:r w:rsidR="00897045">
        <w:rPr>
          <w:rFonts w:cstheme="minorHAnsi"/>
        </w:rPr>
        <w:t>n be reviewed for each project proposed with detailed budget breakdown</w:t>
      </w:r>
      <w:r w:rsidR="00DE2FFD">
        <w:rPr>
          <w:rFonts w:cstheme="minorHAnsi"/>
        </w:rPr>
        <w:t>; the funds will be distributed</w:t>
      </w:r>
      <w:r w:rsidR="00897045">
        <w:rPr>
          <w:rFonts w:cstheme="minorHAnsi"/>
        </w:rPr>
        <w:t xml:space="preserve"> to the partners as subawards and therefore, will be included in the </w:t>
      </w:r>
      <w:r w:rsidR="00897045" w:rsidRPr="00F441EA">
        <w:rPr>
          <w:rFonts w:cstheme="minorHAnsi"/>
          <w:highlight w:val="yellow"/>
        </w:rPr>
        <w:t>Budget_LivingstonCoun</w:t>
      </w:r>
      <w:r w:rsidR="008E6F03">
        <w:rPr>
          <w:rFonts w:cstheme="minorHAnsi"/>
          <w:highlight w:val="yellow"/>
        </w:rPr>
        <w:t>ty</w:t>
      </w:r>
      <w:r w:rsidR="00897045">
        <w:rPr>
          <w:rFonts w:cstheme="minorHAnsi"/>
        </w:rPr>
        <w:t xml:space="preserve"> in the “Other” category. </w:t>
      </w:r>
      <w:r>
        <w:rPr>
          <w:rFonts w:cstheme="minorHAnsi"/>
        </w:rPr>
        <w:t>All coalition partners have planned to use contractual services to complete the proposed work.</w:t>
      </w:r>
      <w:r w:rsidR="001C78F5">
        <w:rPr>
          <w:rFonts w:cstheme="minorHAnsi"/>
        </w:rPr>
        <w:t xml:space="preserve">  </w:t>
      </w:r>
      <w:r w:rsidR="008E6F03">
        <w:rPr>
          <w:rFonts w:cstheme="minorHAnsi"/>
        </w:rPr>
        <w:t>The only other cost</w:t>
      </w:r>
      <w:r w:rsidR="00F441EA">
        <w:rPr>
          <w:rFonts w:cstheme="minorHAnsi"/>
        </w:rPr>
        <w:t xml:space="preserve"> category </w:t>
      </w:r>
      <w:r w:rsidR="008E6F03">
        <w:rPr>
          <w:rFonts w:cstheme="minorHAnsi"/>
        </w:rPr>
        <w:t xml:space="preserve">involved will be the WASA project equipment cost (Itemized Costs: Equipment); WASA will be purchasing this equipment directly. </w:t>
      </w:r>
      <w:r w:rsidR="001C78F5">
        <w:rPr>
          <w:rFonts w:cstheme="minorHAnsi"/>
        </w:rPr>
        <w:t xml:space="preserve">All partners intend to use competitive procurement contract processes to secure these services.  </w:t>
      </w:r>
    </w:p>
    <w:p w:rsidR="00F441EA" w:rsidRPr="001059F5" w:rsidRDefault="00F441EA" w:rsidP="0035325D">
      <w:pPr>
        <w:tabs>
          <w:tab w:val="left" w:pos="839"/>
        </w:tabs>
        <w:spacing w:after="0" w:line="304" w:lineRule="exact"/>
        <w:ind w:left="720"/>
        <w:rPr>
          <w:rFonts w:cstheme="minorHAnsi"/>
        </w:rPr>
      </w:pPr>
    </w:p>
    <w:p w:rsidR="001059F5" w:rsidRDefault="001059F5" w:rsidP="0035325D">
      <w:pPr>
        <w:pStyle w:val="TableParagraph"/>
        <w:tabs>
          <w:tab w:val="left" w:pos="535"/>
        </w:tabs>
        <w:spacing w:before="160"/>
        <w:ind w:left="360" w:right="288"/>
        <w:rPr>
          <w:b/>
          <w:sz w:val="24"/>
        </w:rPr>
      </w:pPr>
      <w:r w:rsidRPr="006E4E55">
        <w:rPr>
          <w:b/>
          <w:sz w:val="24"/>
        </w:rPr>
        <w:t xml:space="preserve">Expenditure </w:t>
      </w:r>
      <w:r w:rsidRPr="00C24B63">
        <w:rPr>
          <w:b/>
          <w:sz w:val="24"/>
        </w:rPr>
        <w:t>of Awarded Funds</w:t>
      </w:r>
      <w:r>
        <w:rPr>
          <w:b/>
          <w:sz w:val="24"/>
        </w:rPr>
        <w:t xml:space="preserve"> and Reasonab</w:t>
      </w:r>
      <w:r w:rsidRPr="006E4E55">
        <w:rPr>
          <w:b/>
          <w:sz w:val="24"/>
        </w:rPr>
        <w:t>leness of Cost</w:t>
      </w:r>
    </w:p>
    <w:p w:rsidR="001059F5" w:rsidRPr="006E4E55" w:rsidRDefault="001059F5" w:rsidP="001059F5">
      <w:pPr>
        <w:pStyle w:val="TableParagraph"/>
        <w:tabs>
          <w:tab w:val="left" w:pos="535"/>
        </w:tabs>
        <w:spacing w:before="160"/>
        <w:ind w:right="288"/>
        <w:rPr>
          <w:b/>
          <w:sz w:val="6"/>
          <w:szCs w:val="6"/>
        </w:rPr>
      </w:pPr>
    </w:p>
    <w:p w:rsidR="001059F5" w:rsidRDefault="001059F5" w:rsidP="007332E4">
      <w:pPr>
        <w:tabs>
          <w:tab w:val="left" w:pos="839"/>
        </w:tabs>
        <w:spacing w:after="0" w:line="304" w:lineRule="exact"/>
        <w:ind w:left="360"/>
        <w:rPr>
          <w:rFonts w:cstheme="minorHAnsi"/>
        </w:rPr>
      </w:pPr>
      <w:r w:rsidRPr="00E56CE8">
        <w:rPr>
          <w:rFonts w:cstheme="minorHAnsi"/>
        </w:rPr>
        <w:t xml:space="preserve">As the lead applicant, Livingston County will provide the needed support to the coalition partners for grant administration and compliance; evaluation, metrics-tracking activities and reporting; and ensuring proper and timely management of grant </w:t>
      </w:r>
      <w:r>
        <w:rPr>
          <w:rFonts w:cstheme="minorHAnsi"/>
        </w:rPr>
        <w:t xml:space="preserve">funds.  </w:t>
      </w:r>
      <w:r w:rsidRPr="00B361C9">
        <w:rPr>
          <w:rFonts w:cstheme="minorHAnsi"/>
        </w:rPr>
        <w:t xml:space="preserve">County support will help keep program delivery on schedule and in compliance with federal EPA grant requirements.  </w:t>
      </w:r>
      <w:r w:rsidRPr="00E56CE8">
        <w:rPr>
          <w:rFonts w:cstheme="minorHAnsi"/>
        </w:rPr>
        <w:t>To assist in this responsibili</w:t>
      </w:r>
      <w:r w:rsidR="00DA1BC1">
        <w:rPr>
          <w:rFonts w:cstheme="minorHAnsi"/>
        </w:rPr>
        <w:t xml:space="preserve">ty, the County </w:t>
      </w:r>
      <w:r w:rsidR="00DA1BC1" w:rsidRPr="001076B9">
        <w:rPr>
          <w:rFonts w:cstheme="minorHAnsi"/>
        </w:rPr>
        <w:t xml:space="preserve">will be responsible for contracting with a consultant to serve as project manager for the program.  The project manager will help coordinate activities for the partners to keep the activities on schedule, on budget, and to assist with any task challenges.  </w:t>
      </w:r>
      <w:r w:rsidR="00DA1BC1">
        <w:rPr>
          <w:rFonts w:cstheme="minorHAnsi"/>
        </w:rPr>
        <w:t xml:space="preserve">The County </w:t>
      </w:r>
      <w:r w:rsidR="00DA1BC1" w:rsidRPr="00E56CE8">
        <w:rPr>
          <w:rFonts w:cstheme="minorHAnsi"/>
        </w:rPr>
        <w:t xml:space="preserve">has included </w:t>
      </w:r>
      <w:r w:rsidR="00DA1BC1">
        <w:rPr>
          <w:rFonts w:cstheme="minorHAnsi"/>
        </w:rPr>
        <w:t>consultant</w:t>
      </w:r>
      <w:r w:rsidR="00DA1BC1" w:rsidRPr="00E56CE8">
        <w:rPr>
          <w:rFonts w:cstheme="minorHAnsi"/>
        </w:rPr>
        <w:t xml:space="preserve"> servi</w:t>
      </w:r>
      <w:r w:rsidR="00DA1BC1">
        <w:rPr>
          <w:rFonts w:cstheme="minorHAnsi"/>
        </w:rPr>
        <w:t>ces within the proposed budget.</w:t>
      </w:r>
      <w:r w:rsidR="00DA1BC1" w:rsidRPr="00DA1BC1">
        <w:rPr>
          <w:rFonts w:cstheme="minorHAnsi"/>
        </w:rPr>
        <w:t xml:space="preserve"> </w:t>
      </w:r>
      <w:r w:rsidR="00691738">
        <w:rPr>
          <w:rFonts w:cstheme="minorHAnsi"/>
        </w:rPr>
        <w:t xml:space="preserve">See the attached table:  </w:t>
      </w:r>
      <w:r>
        <w:rPr>
          <w:rFonts w:cstheme="minorHAnsi"/>
          <w:highlight w:val="yellow"/>
        </w:rPr>
        <w:t>Budgetcalcs_Livingston County</w:t>
      </w:r>
      <w:r w:rsidR="00691738" w:rsidRPr="00691738">
        <w:rPr>
          <w:rFonts w:cstheme="minorHAnsi"/>
          <w:highlight w:val="yellow"/>
        </w:rPr>
        <w:t>.xlsx and pdf</w:t>
      </w:r>
      <w:r w:rsidRPr="00691738">
        <w:rPr>
          <w:rFonts w:cstheme="minorHAnsi"/>
          <w:highlight w:val="yellow"/>
        </w:rPr>
        <w:t>.</w:t>
      </w:r>
      <w:r>
        <w:rPr>
          <w:rFonts w:cstheme="minorHAnsi"/>
        </w:rPr>
        <w:t xml:space="preserve"> In addition, the Livingston County Planning Department will be utilizing key staff to assist with project management, overseeing work completed by the consultant, and grant financial administration management. </w:t>
      </w:r>
    </w:p>
    <w:p w:rsidR="001C78F5" w:rsidRDefault="001C78F5" w:rsidP="0035325D">
      <w:pPr>
        <w:tabs>
          <w:tab w:val="left" w:pos="839"/>
        </w:tabs>
        <w:spacing w:after="0" w:line="304" w:lineRule="exact"/>
        <w:ind w:left="360"/>
        <w:rPr>
          <w:rFonts w:cstheme="minorHAnsi"/>
        </w:rPr>
      </w:pPr>
    </w:p>
    <w:p w:rsidR="001059F5" w:rsidRDefault="001059F5" w:rsidP="0035325D">
      <w:pPr>
        <w:tabs>
          <w:tab w:val="left" w:pos="839"/>
        </w:tabs>
        <w:spacing w:line="304" w:lineRule="exact"/>
        <w:ind w:left="360"/>
        <w:rPr>
          <w:rFonts w:cstheme="minorHAnsi"/>
        </w:rPr>
      </w:pPr>
      <w:r>
        <w:rPr>
          <w:rFonts w:cstheme="minorHAnsi"/>
        </w:rPr>
        <w:t xml:space="preserve">Livingston County and coalition partners have investigated other federal and state grants, and other potential funding sources to implement projects that would promote GHG reductions. As funding for the State initiative for Climate Action planning and implementation in relatively new, the opportunities for funding of some of these measures to date have been limited. </w:t>
      </w:r>
      <w:r w:rsidR="001C59E4">
        <w:rPr>
          <w:rFonts w:cstheme="minorHAnsi"/>
        </w:rPr>
        <w:t xml:space="preserve"> In the case of the WASA project, c</w:t>
      </w:r>
      <w:r w:rsidR="001C59E4" w:rsidRPr="003C2869">
        <w:rPr>
          <w:rFonts w:cstheme="minorHAnsi"/>
        </w:rPr>
        <w:t xml:space="preserve">urrently there are no carbon emission and/or GHG reduction funding programs at the State and Federal level that target the link between water leakage reduction and carbon emissions reduction. </w:t>
      </w:r>
      <w:r w:rsidR="001C59E4">
        <w:rPr>
          <w:rFonts w:cstheme="minorHAnsi"/>
        </w:rPr>
        <w:t xml:space="preserve"> This would be a first of its kind opportunity in the USA for funding in which a</w:t>
      </w:r>
      <w:r w:rsidR="001C59E4" w:rsidRPr="003C2869">
        <w:rPr>
          <w:rFonts w:cstheme="minorHAnsi"/>
        </w:rPr>
        <w:t xml:space="preserve"> municipal water utility specifically targets water leakage and carbon emission reduction. </w:t>
      </w:r>
    </w:p>
    <w:p w:rsidR="001059F5" w:rsidRDefault="001059F5" w:rsidP="0035325D">
      <w:pPr>
        <w:tabs>
          <w:tab w:val="left" w:pos="839"/>
        </w:tabs>
        <w:spacing w:line="304" w:lineRule="exact"/>
        <w:ind w:left="360"/>
        <w:rPr>
          <w:rFonts w:cstheme="minorHAnsi"/>
        </w:rPr>
      </w:pPr>
      <w:r>
        <w:rPr>
          <w:rFonts w:cstheme="minorHAnsi"/>
        </w:rPr>
        <w:t xml:space="preserve">In preparation for this grant application, all coalition partners obtained current/up-to-date project scopes and cost estimates from contractors and/or consultants for their proposed actions to ensure reasonableness of costs.  The coalition application has a strong focus on improvements to municipal operations and reduction in energy efficiency barriers. All of the partners propose to address measures that will implement building envelop improvements and energy efficient purchases. Many of these improvements are considered permanent and all proposed measures will have cumulative, long lasting benefits. Expenditure of funds for this coalition application could be considered a reasonable investment. </w:t>
      </w:r>
    </w:p>
    <w:p w:rsidR="00691738" w:rsidRDefault="001059F5" w:rsidP="0035325D">
      <w:pPr>
        <w:tabs>
          <w:tab w:val="left" w:pos="839"/>
        </w:tabs>
        <w:spacing w:line="304" w:lineRule="exact"/>
        <w:ind w:left="360"/>
        <w:rPr>
          <w:rFonts w:cstheme="minorHAnsi"/>
        </w:rPr>
      </w:pPr>
      <w:r>
        <w:rPr>
          <w:rFonts w:cstheme="minorHAnsi"/>
        </w:rPr>
        <w:t>The lead Applicant, Livingston County, has submitted signed Letters of Intent from all subaward recipients stating their intent to sign the Memorand</w:t>
      </w:r>
      <w:r w:rsidR="00691738">
        <w:rPr>
          <w:rFonts w:cstheme="minorHAnsi"/>
        </w:rPr>
        <w:t>um of Agreement.  See attached letters of intent:</w:t>
      </w:r>
    </w:p>
    <w:p w:rsidR="00691738" w:rsidRDefault="00691738" w:rsidP="001059F5">
      <w:pPr>
        <w:tabs>
          <w:tab w:val="left" w:pos="839"/>
        </w:tabs>
        <w:spacing w:line="304" w:lineRule="exact"/>
        <w:rPr>
          <w:rFonts w:cstheme="minorHAnsi"/>
          <w:highlight w:val="yellow"/>
        </w:rPr>
      </w:pPr>
      <w:r>
        <w:rPr>
          <w:rFonts w:cstheme="minorHAnsi"/>
        </w:rPr>
        <w:tab/>
      </w:r>
      <w:r>
        <w:rPr>
          <w:rFonts w:cstheme="minorHAnsi"/>
          <w:highlight w:val="yellow"/>
        </w:rPr>
        <w:t>TownofLAvon</w:t>
      </w:r>
      <w:r w:rsidRPr="00691738">
        <w:rPr>
          <w:rFonts w:cstheme="minorHAnsi"/>
          <w:highlight w:val="yellow"/>
        </w:rPr>
        <w:t xml:space="preserve">_LOI_LivingstonCounty.pdf </w:t>
      </w:r>
    </w:p>
    <w:p w:rsidR="00691738" w:rsidRPr="00691738" w:rsidRDefault="00691738" w:rsidP="001059F5">
      <w:pPr>
        <w:tabs>
          <w:tab w:val="left" w:pos="839"/>
        </w:tabs>
        <w:spacing w:line="304" w:lineRule="exact"/>
        <w:rPr>
          <w:rFonts w:cstheme="minorHAnsi"/>
        </w:rPr>
      </w:pPr>
      <w:r w:rsidRPr="00691738">
        <w:rPr>
          <w:rFonts w:cstheme="minorHAnsi"/>
        </w:rPr>
        <w:tab/>
      </w:r>
      <w:r w:rsidRPr="00691738">
        <w:rPr>
          <w:rFonts w:cstheme="minorHAnsi"/>
          <w:highlight w:val="yellow"/>
        </w:rPr>
        <w:t>TownofLima_LOI_LivingstonCounty.pdf</w:t>
      </w:r>
    </w:p>
    <w:p w:rsidR="00691738" w:rsidRPr="00691738" w:rsidRDefault="00691738" w:rsidP="001059F5">
      <w:pPr>
        <w:tabs>
          <w:tab w:val="left" w:pos="839"/>
        </w:tabs>
        <w:spacing w:line="304" w:lineRule="exact"/>
        <w:rPr>
          <w:rFonts w:cstheme="minorHAnsi"/>
        </w:rPr>
      </w:pPr>
      <w:r w:rsidRPr="00691738">
        <w:rPr>
          <w:rFonts w:cstheme="minorHAnsi"/>
        </w:rPr>
        <w:tab/>
      </w:r>
      <w:r w:rsidRPr="00691738">
        <w:rPr>
          <w:rFonts w:cstheme="minorHAnsi"/>
          <w:highlight w:val="yellow"/>
        </w:rPr>
        <w:t>VillageofLivonia_LOI_LivingstonCounty.pdf</w:t>
      </w:r>
    </w:p>
    <w:p w:rsidR="00691738" w:rsidRDefault="00691738" w:rsidP="001059F5">
      <w:pPr>
        <w:tabs>
          <w:tab w:val="left" w:pos="839"/>
        </w:tabs>
        <w:spacing w:line="304" w:lineRule="exact"/>
        <w:rPr>
          <w:rFonts w:cstheme="minorHAnsi"/>
        </w:rPr>
      </w:pPr>
      <w:r w:rsidRPr="00691738">
        <w:rPr>
          <w:rFonts w:cstheme="minorHAnsi"/>
        </w:rPr>
        <w:tab/>
      </w:r>
      <w:r w:rsidRPr="00691738">
        <w:rPr>
          <w:rFonts w:cstheme="minorHAnsi"/>
          <w:highlight w:val="yellow"/>
        </w:rPr>
        <w:t>WASA_LOI_LivingstonCounty.pdf</w:t>
      </w:r>
    </w:p>
    <w:p w:rsidR="001059F5" w:rsidRDefault="007332E4" w:rsidP="001059F5">
      <w:pPr>
        <w:tabs>
          <w:tab w:val="left" w:pos="839"/>
        </w:tabs>
        <w:spacing w:line="304" w:lineRule="exact"/>
        <w:ind w:left="900"/>
        <w:rPr>
          <w:rFonts w:cstheme="minorHAnsi"/>
        </w:rPr>
      </w:pPr>
      <w:r>
        <w:rPr>
          <w:noProof/>
        </w:rPr>
        <w:lastRenderedPageBreak/>
        <mc:AlternateContent>
          <mc:Choice Requires="wps">
            <w:drawing>
              <wp:anchor distT="45720" distB="45720" distL="114300" distR="114300" simplePos="0" relativeHeight="251660288" behindDoc="0" locked="0" layoutInCell="1" allowOverlap="1">
                <wp:simplePos x="0" y="0"/>
                <wp:positionH relativeFrom="margin">
                  <wp:posOffset>4404360</wp:posOffset>
                </wp:positionH>
                <wp:positionV relativeFrom="paragraph">
                  <wp:posOffset>1800860</wp:posOffset>
                </wp:positionV>
                <wp:extent cx="1790700" cy="36576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3657600"/>
                        </a:xfrm>
                        <a:prstGeom prst="rect">
                          <a:avLst/>
                        </a:prstGeom>
                        <a:solidFill>
                          <a:srgbClr val="FFFFFF"/>
                        </a:solidFill>
                        <a:ln w="9525">
                          <a:solidFill>
                            <a:srgbClr val="000000"/>
                          </a:solidFill>
                          <a:miter lim="800000"/>
                          <a:headEnd/>
                          <a:tailEnd/>
                        </a:ln>
                      </wps:spPr>
                      <wps:txbx>
                        <w:txbxContent>
                          <w:p w:rsidR="004E115C" w:rsidRPr="00DE054E" w:rsidRDefault="004E115C" w:rsidP="004E115C">
                            <w:pPr>
                              <w:tabs>
                                <w:tab w:val="left" w:pos="839"/>
                              </w:tabs>
                              <w:spacing w:line="304" w:lineRule="exact"/>
                              <w:ind w:left="360"/>
                              <w:rPr>
                                <w:rFonts w:cstheme="minorHAnsi"/>
                              </w:rPr>
                            </w:pPr>
                            <w:r>
                              <w:rPr>
                                <w:rFonts w:cstheme="minorHAnsi"/>
                              </w:rPr>
                              <w:t xml:space="preserve">Livingston County will submit the MOA signed by all members of the coalition by July 1, 2024, to the EPA.  Through the partners’ engagement in the coalition and intent to sign the MOA, all subaward recipients have demonstrated their commitment and intention to the successful implementation of these grant projects and proper expenditure of funds. </w:t>
                            </w:r>
                          </w:p>
                          <w:p w:rsidR="004E115C" w:rsidRDefault="004E11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6.8pt;margin-top:141.8pt;width:141pt;height:4in;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">
                <v:textbox>
                  <w:txbxContent>
                    <w:p w:rsidR="004E115C" w:rsidRPr="00DE054E" w:rsidRDefault="004E115C" w:rsidP="004E115C">
                      <w:pPr>
                        <w:tabs>
                          <w:tab w:val="left" w:pos="839"/>
                        </w:tabs>
                        <w:spacing w:line="304" w:lineRule="exact"/>
                        <w:ind w:left="360"/>
                        <w:rPr>
                          <w:rFonts w:cstheme="minorHAnsi"/>
                        </w:rPr>
                      </w:pPr>
                      <w:r>
                        <w:rPr>
                          <w:rFonts w:cstheme="minorHAnsi"/>
                        </w:rPr>
                        <w:t>L</w:t>
                      </w:r>
                      <w:r>
                        <w:rPr>
                          <w:rFonts w:cstheme="minorHAnsi"/>
                        </w:rPr>
                        <w:t xml:space="preserve">ivingston County will submit the MOA signed by all members of the coalition by July 1, 2024, to the EPA.  Through the partners’ engagement in the coalition and intent to sign the MOA, all subaward recipients have demonstrated their commitment and intention to the successful implementation of these grant projects and proper expenditure of funds. </w:t>
                      </w:r>
                    </w:p>
                    <w:p w:rsidR="004E115C" w:rsidRDefault="004E115C"/>
                  </w:txbxContent>
                </v:textbox>
                <w10:wrap type="square" anchorx="margin"/>
              </v:shape>
            </w:pict>
          </mc:Fallback>
        </mc:AlternateContent>
      </w:r>
      <w:r w:rsidRPr="004E115C">
        <w:rPr>
          <w:noProof/>
        </w:rPr>
        <w:drawing>
          <wp:anchor distT="0" distB="0" distL="114300" distR="114300" simplePos="0" relativeHeight="251658240" behindDoc="1" locked="0" layoutInCell="1" allowOverlap="1">
            <wp:simplePos x="0" y="0"/>
            <wp:positionH relativeFrom="column">
              <wp:posOffset>-2522855</wp:posOffset>
            </wp:positionH>
            <wp:positionV relativeFrom="paragraph">
              <wp:posOffset>2804160</wp:posOffset>
            </wp:positionV>
            <wp:extent cx="8816975" cy="3208655"/>
            <wp:effectExtent l="3810" t="0" r="6985" b="6985"/>
            <wp:wrapTight wrapText="bothSides">
              <wp:wrapPolygon edited="0">
                <wp:start x="21591" y="-26"/>
                <wp:lineTo x="30" y="-26"/>
                <wp:lineTo x="30" y="21519"/>
                <wp:lineTo x="21591" y="21519"/>
                <wp:lineTo x="21591" y="-2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rot="16200000">
                      <a:off x="0" y="0"/>
                      <a:ext cx="8816975" cy="3208655"/>
                    </a:xfrm>
                    <a:prstGeom prst="rect">
                      <a:avLst/>
                    </a:prstGeom>
                  </pic:spPr>
                </pic:pic>
              </a:graphicData>
            </a:graphic>
            <wp14:sizeRelH relativeFrom="margin">
              <wp14:pctWidth>0</wp14:pctWidth>
            </wp14:sizeRelH>
            <wp14:sizeRelV relativeFrom="margin">
              <wp14:pctHeight>0</wp14:pctHeight>
            </wp14:sizeRelV>
          </wp:anchor>
        </w:drawing>
      </w:r>
    </w:p>
    <w:p w:rsidR="00B42B2C" w:rsidRDefault="007332E4" w:rsidP="00FC666B">
      <w:pPr>
        <w:tabs>
          <w:tab w:val="left" w:pos="839"/>
        </w:tabs>
        <w:spacing w:line="304" w:lineRule="exact"/>
        <w:rPr>
          <w:rFonts w:cstheme="minorHAnsi"/>
        </w:rPr>
      </w:pPr>
      <w:r w:rsidRPr="007332E4">
        <w:rPr>
          <w:noProof/>
        </w:rPr>
        <w:lastRenderedPageBreak/>
        <w:drawing>
          <wp:anchor distT="0" distB="0" distL="114300" distR="114300" simplePos="0" relativeHeight="251661312" behindDoc="1" locked="0" layoutInCell="1" allowOverlap="1">
            <wp:simplePos x="0" y="0"/>
            <wp:positionH relativeFrom="column">
              <wp:posOffset>-1772920</wp:posOffset>
            </wp:positionH>
            <wp:positionV relativeFrom="paragraph">
              <wp:posOffset>2133600</wp:posOffset>
            </wp:positionV>
            <wp:extent cx="8857615" cy="4606925"/>
            <wp:effectExtent l="0" t="8255" r="0" b="0"/>
            <wp:wrapTight wrapText="bothSides">
              <wp:wrapPolygon edited="0">
                <wp:start x="21620" y="39"/>
                <wp:lineTo x="65" y="39"/>
                <wp:lineTo x="65" y="21475"/>
                <wp:lineTo x="21620" y="21475"/>
                <wp:lineTo x="21620" y="39"/>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13186"/>
                    <a:stretch/>
                  </pic:blipFill>
                  <pic:spPr bwMode="auto">
                    <a:xfrm rot="16200000">
                      <a:off x="0" y="0"/>
                      <a:ext cx="8857615" cy="460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05BCC" w:rsidRDefault="00D05BCC" w:rsidP="00FC666B">
      <w:pPr>
        <w:tabs>
          <w:tab w:val="left" w:pos="839"/>
        </w:tabs>
        <w:spacing w:line="304" w:lineRule="exact"/>
        <w:rPr>
          <w:noProof/>
        </w:rPr>
      </w:pPr>
      <w:bookmarkStart w:id="0" w:name="_GoBack"/>
      <w:bookmarkEnd w:id="0"/>
      <w:r w:rsidRPr="00D05BCC">
        <w:rPr>
          <w:rFonts w:cstheme="minorHAnsi"/>
        </w:rPr>
        <w:lastRenderedPageBreak/>
        <w:drawing>
          <wp:anchor distT="0" distB="0" distL="114300" distR="114300" simplePos="0" relativeHeight="251662336" behindDoc="1" locked="0" layoutInCell="1" allowOverlap="1">
            <wp:simplePos x="0" y="0"/>
            <wp:positionH relativeFrom="column">
              <wp:posOffset>-1633220</wp:posOffset>
            </wp:positionH>
            <wp:positionV relativeFrom="paragraph">
              <wp:posOffset>2838450</wp:posOffset>
            </wp:positionV>
            <wp:extent cx="9293225" cy="3620135"/>
            <wp:effectExtent l="0" t="1905" r="1270" b="1270"/>
            <wp:wrapTight wrapText="bothSides">
              <wp:wrapPolygon edited="0">
                <wp:start x="21604" y="11"/>
                <wp:lineTo x="41" y="11"/>
                <wp:lineTo x="41" y="21494"/>
                <wp:lineTo x="21604" y="21494"/>
                <wp:lineTo x="21604" y="11"/>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rot="16200000">
                      <a:off x="0" y="0"/>
                      <a:ext cx="9293225" cy="3620135"/>
                    </a:xfrm>
                    <a:prstGeom prst="rect">
                      <a:avLst/>
                    </a:prstGeom>
                  </pic:spPr>
                </pic:pic>
              </a:graphicData>
            </a:graphic>
            <wp14:sizeRelH relativeFrom="margin">
              <wp14:pctWidth>0</wp14:pctWidth>
            </wp14:sizeRelH>
            <wp14:sizeRelV relativeFrom="margin">
              <wp14:pctHeight>0</wp14:pctHeight>
            </wp14:sizeRelV>
          </wp:anchor>
        </w:drawing>
      </w:r>
    </w:p>
    <w:p w:rsidR="00B42B2C" w:rsidRDefault="00B42B2C" w:rsidP="00FC666B">
      <w:pPr>
        <w:tabs>
          <w:tab w:val="left" w:pos="839"/>
        </w:tabs>
        <w:spacing w:line="304" w:lineRule="exact"/>
        <w:rPr>
          <w:rFonts w:cstheme="minorHAnsi"/>
        </w:rPr>
      </w:pPr>
    </w:p>
    <w:sectPr w:rsidR="00B42B2C" w:rsidSect="00D4238B">
      <w:pgSz w:w="12240" w:h="15840" w:code="1"/>
      <w:pgMar w:top="864" w:right="864" w:bottom="115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D7A3D"/>
    <w:multiLevelType w:val="hybridMultilevel"/>
    <w:tmpl w:val="71486FB0"/>
    <w:lvl w:ilvl="0" w:tplc="514096AE">
      <w:start w:val="1"/>
      <w:numFmt w:val="lowerLetter"/>
      <w:lvlText w:val="%1."/>
      <w:lvlJc w:val="left"/>
      <w:pPr>
        <w:ind w:left="840" w:hanging="360"/>
      </w:pPr>
      <w:rPr>
        <w:rFonts w:ascii="Calibri" w:eastAsia="Calibri" w:hAnsi="Calibri" w:cs="Calibri" w:hint="default"/>
        <w:b w:val="0"/>
        <w:bCs w:val="0"/>
        <w:i w:val="0"/>
        <w:iCs w:val="0"/>
        <w:spacing w:val="0"/>
        <w:w w:val="100"/>
        <w:sz w:val="24"/>
        <w:szCs w:val="24"/>
        <w:lang w:val="en-US" w:eastAsia="en-US" w:bidi="ar-SA"/>
      </w:rPr>
    </w:lvl>
    <w:lvl w:ilvl="1" w:tplc="093CB796">
      <w:numFmt w:val="bullet"/>
      <w:lvlText w:val="•"/>
      <w:lvlJc w:val="left"/>
      <w:pPr>
        <w:ind w:left="1560" w:hanging="360"/>
      </w:pPr>
      <w:rPr>
        <w:rFonts w:ascii="Verdana" w:eastAsia="Verdana" w:hAnsi="Verdana" w:cs="Verdana" w:hint="default"/>
        <w:b w:val="0"/>
        <w:bCs w:val="0"/>
        <w:i w:val="0"/>
        <w:iCs w:val="0"/>
        <w:spacing w:val="0"/>
        <w:w w:val="84"/>
        <w:sz w:val="24"/>
        <w:szCs w:val="24"/>
        <w:lang w:val="en-US" w:eastAsia="en-US" w:bidi="ar-SA"/>
      </w:rPr>
    </w:lvl>
    <w:lvl w:ilvl="2" w:tplc="9564A78A">
      <w:numFmt w:val="bullet"/>
      <w:lvlText w:val="o"/>
      <w:lvlJc w:val="left"/>
      <w:pPr>
        <w:ind w:left="2280" w:hanging="360"/>
      </w:pPr>
      <w:rPr>
        <w:rFonts w:ascii="Courier New" w:eastAsia="Courier New" w:hAnsi="Courier New" w:cs="Courier New" w:hint="default"/>
        <w:b w:val="0"/>
        <w:bCs w:val="0"/>
        <w:i w:val="0"/>
        <w:iCs w:val="0"/>
        <w:spacing w:val="0"/>
        <w:w w:val="100"/>
        <w:sz w:val="24"/>
        <w:szCs w:val="24"/>
        <w:lang w:val="en-US" w:eastAsia="en-US" w:bidi="ar-SA"/>
      </w:rPr>
    </w:lvl>
    <w:lvl w:ilvl="3" w:tplc="E8C452EC">
      <w:numFmt w:val="bullet"/>
      <w:lvlText w:val="•"/>
      <w:lvlJc w:val="left"/>
      <w:pPr>
        <w:ind w:left="3250" w:hanging="360"/>
      </w:pPr>
      <w:rPr>
        <w:rFonts w:hint="default"/>
        <w:lang w:val="en-US" w:eastAsia="en-US" w:bidi="ar-SA"/>
      </w:rPr>
    </w:lvl>
    <w:lvl w:ilvl="4" w:tplc="926E215E">
      <w:numFmt w:val="bullet"/>
      <w:lvlText w:val="•"/>
      <w:lvlJc w:val="left"/>
      <w:pPr>
        <w:ind w:left="4220" w:hanging="360"/>
      </w:pPr>
      <w:rPr>
        <w:rFonts w:hint="default"/>
        <w:lang w:val="en-US" w:eastAsia="en-US" w:bidi="ar-SA"/>
      </w:rPr>
    </w:lvl>
    <w:lvl w:ilvl="5" w:tplc="5752762E">
      <w:numFmt w:val="bullet"/>
      <w:lvlText w:val="•"/>
      <w:lvlJc w:val="left"/>
      <w:pPr>
        <w:ind w:left="5190" w:hanging="360"/>
      </w:pPr>
      <w:rPr>
        <w:rFonts w:hint="default"/>
        <w:lang w:val="en-US" w:eastAsia="en-US" w:bidi="ar-SA"/>
      </w:rPr>
    </w:lvl>
    <w:lvl w:ilvl="6" w:tplc="48B84BDA">
      <w:numFmt w:val="bullet"/>
      <w:lvlText w:val="•"/>
      <w:lvlJc w:val="left"/>
      <w:pPr>
        <w:ind w:left="6160" w:hanging="360"/>
      </w:pPr>
      <w:rPr>
        <w:rFonts w:hint="default"/>
        <w:lang w:val="en-US" w:eastAsia="en-US" w:bidi="ar-SA"/>
      </w:rPr>
    </w:lvl>
    <w:lvl w:ilvl="7" w:tplc="6090EC6E">
      <w:numFmt w:val="bullet"/>
      <w:lvlText w:val="•"/>
      <w:lvlJc w:val="left"/>
      <w:pPr>
        <w:ind w:left="7130" w:hanging="360"/>
      </w:pPr>
      <w:rPr>
        <w:rFonts w:hint="default"/>
        <w:lang w:val="en-US" w:eastAsia="en-US" w:bidi="ar-SA"/>
      </w:rPr>
    </w:lvl>
    <w:lvl w:ilvl="8" w:tplc="E80EFD74">
      <w:numFmt w:val="bullet"/>
      <w:lvlText w:val="•"/>
      <w:lvlJc w:val="left"/>
      <w:pPr>
        <w:ind w:left="8100" w:hanging="360"/>
      </w:pPr>
      <w:rPr>
        <w:rFonts w:hint="default"/>
        <w:lang w:val="en-US" w:eastAsia="en-US" w:bidi="ar-SA"/>
      </w:rPr>
    </w:lvl>
  </w:abstractNum>
  <w:abstractNum w:abstractNumId="1" w15:restartNumberingAfterBreak="0">
    <w:nsid w:val="4FD555A7"/>
    <w:multiLevelType w:val="hybridMultilevel"/>
    <w:tmpl w:val="DAB62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934D6"/>
    <w:multiLevelType w:val="hybridMultilevel"/>
    <w:tmpl w:val="88FA7FEA"/>
    <w:lvl w:ilvl="0" w:tplc="B78281EE">
      <w:numFmt w:val="bullet"/>
      <w:lvlText w:val="•"/>
      <w:lvlJc w:val="left"/>
      <w:pPr>
        <w:ind w:left="840" w:hanging="360"/>
      </w:pPr>
      <w:rPr>
        <w:rFonts w:ascii="Verdana" w:eastAsia="Verdana" w:hAnsi="Verdana" w:cs="Verdana" w:hint="default"/>
        <w:spacing w:val="0"/>
        <w:w w:val="84"/>
        <w:lang w:val="en-US" w:eastAsia="en-US" w:bidi="ar-SA"/>
      </w:rPr>
    </w:lvl>
    <w:lvl w:ilvl="1" w:tplc="EDA0AD06">
      <w:numFmt w:val="bullet"/>
      <w:lvlText w:val="•"/>
      <w:lvlJc w:val="left"/>
      <w:pPr>
        <w:ind w:left="1760" w:hanging="360"/>
      </w:pPr>
      <w:rPr>
        <w:rFonts w:hint="default"/>
        <w:lang w:val="en-US" w:eastAsia="en-US" w:bidi="ar-SA"/>
      </w:rPr>
    </w:lvl>
    <w:lvl w:ilvl="2" w:tplc="4F02810C">
      <w:numFmt w:val="bullet"/>
      <w:lvlText w:val="•"/>
      <w:lvlJc w:val="left"/>
      <w:pPr>
        <w:ind w:left="2680" w:hanging="360"/>
      </w:pPr>
      <w:rPr>
        <w:rFonts w:hint="default"/>
        <w:lang w:val="en-US" w:eastAsia="en-US" w:bidi="ar-SA"/>
      </w:rPr>
    </w:lvl>
    <w:lvl w:ilvl="3" w:tplc="0E9AB02A">
      <w:numFmt w:val="bullet"/>
      <w:lvlText w:val="•"/>
      <w:lvlJc w:val="left"/>
      <w:pPr>
        <w:ind w:left="3600" w:hanging="360"/>
      </w:pPr>
      <w:rPr>
        <w:rFonts w:hint="default"/>
        <w:lang w:val="en-US" w:eastAsia="en-US" w:bidi="ar-SA"/>
      </w:rPr>
    </w:lvl>
    <w:lvl w:ilvl="4" w:tplc="F04C53D2">
      <w:numFmt w:val="bullet"/>
      <w:lvlText w:val="•"/>
      <w:lvlJc w:val="left"/>
      <w:pPr>
        <w:ind w:left="4520" w:hanging="360"/>
      </w:pPr>
      <w:rPr>
        <w:rFonts w:hint="default"/>
        <w:lang w:val="en-US" w:eastAsia="en-US" w:bidi="ar-SA"/>
      </w:rPr>
    </w:lvl>
    <w:lvl w:ilvl="5" w:tplc="118A5D26">
      <w:numFmt w:val="bullet"/>
      <w:lvlText w:val="•"/>
      <w:lvlJc w:val="left"/>
      <w:pPr>
        <w:ind w:left="5440" w:hanging="360"/>
      </w:pPr>
      <w:rPr>
        <w:rFonts w:hint="default"/>
        <w:lang w:val="en-US" w:eastAsia="en-US" w:bidi="ar-SA"/>
      </w:rPr>
    </w:lvl>
    <w:lvl w:ilvl="6" w:tplc="D4BEFADC">
      <w:numFmt w:val="bullet"/>
      <w:lvlText w:val="•"/>
      <w:lvlJc w:val="left"/>
      <w:pPr>
        <w:ind w:left="6360" w:hanging="360"/>
      </w:pPr>
      <w:rPr>
        <w:rFonts w:hint="default"/>
        <w:lang w:val="en-US" w:eastAsia="en-US" w:bidi="ar-SA"/>
      </w:rPr>
    </w:lvl>
    <w:lvl w:ilvl="7" w:tplc="7B6C6A7A">
      <w:numFmt w:val="bullet"/>
      <w:lvlText w:val="•"/>
      <w:lvlJc w:val="left"/>
      <w:pPr>
        <w:ind w:left="7280" w:hanging="360"/>
      </w:pPr>
      <w:rPr>
        <w:rFonts w:hint="default"/>
        <w:lang w:val="en-US" w:eastAsia="en-US" w:bidi="ar-SA"/>
      </w:rPr>
    </w:lvl>
    <w:lvl w:ilvl="8" w:tplc="5338087A">
      <w:numFmt w:val="bullet"/>
      <w:lvlText w:val="•"/>
      <w:lvlJc w:val="left"/>
      <w:pPr>
        <w:ind w:left="8200" w:hanging="360"/>
      </w:pPr>
      <w:rPr>
        <w:rFonts w:hint="default"/>
        <w:lang w:val="en-US" w:eastAsia="en-US" w:bidi="ar-SA"/>
      </w:rPr>
    </w:lvl>
  </w:abstractNum>
  <w:abstractNum w:abstractNumId="3" w15:restartNumberingAfterBreak="0">
    <w:nsid w:val="5C5E5111"/>
    <w:multiLevelType w:val="hybridMultilevel"/>
    <w:tmpl w:val="87F08AAE"/>
    <w:lvl w:ilvl="0" w:tplc="C31EF89E">
      <w:numFmt w:val="bullet"/>
      <w:lvlText w:val="*"/>
      <w:lvlJc w:val="left"/>
      <w:pPr>
        <w:ind w:left="295" w:hanging="176"/>
      </w:pPr>
      <w:rPr>
        <w:rFonts w:ascii="Calibri" w:eastAsia="Calibri" w:hAnsi="Calibri" w:cs="Calibri" w:hint="default"/>
        <w:b w:val="0"/>
        <w:bCs w:val="0"/>
        <w:i w:val="0"/>
        <w:iCs w:val="0"/>
        <w:spacing w:val="0"/>
        <w:w w:val="83"/>
        <w:sz w:val="24"/>
        <w:szCs w:val="24"/>
        <w:u w:val="single" w:color="000000"/>
        <w:lang w:val="en-US" w:eastAsia="en-US" w:bidi="ar-SA"/>
      </w:rPr>
    </w:lvl>
    <w:lvl w:ilvl="1" w:tplc="91B656EE">
      <w:numFmt w:val="bullet"/>
      <w:lvlText w:val="•"/>
      <w:lvlJc w:val="left"/>
      <w:pPr>
        <w:ind w:left="840" w:hanging="360"/>
      </w:pPr>
      <w:rPr>
        <w:rFonts w:ascii="Verdana" w:eastAsia="Verdana" w:hAnsi="Verdana" w:cs="Verdana" w:hint="default"/>
        <w:b w:val="0"/>
        <w:bCs w:val="0"/>
        <w:i w:val="0"/>
        <w:iCs w:val="0"/>
        <w:spacing w:val="0"/>
        <w:w w:val="84"/>
        <w:sz w:val="24"/>
        <w:szCs w:val="24"/>
        <w:lang w:val="en-US" w:eastAsia="en-US" w:bidi="ar-SA"/>
      </w:rPr>
    </w:lvl>
    <w:lvl w:ilvl="2" w:tplc="6186C5C2">
      <w:numFmt w:val="bullet"/>
      <w:lvlText w:val="o"/>
      <w:lvlJc w:val="left"/>
      <w:pPr>
        <w:ind w:left="1560" w:hanging="360"/>
      </w:pPr>
      <w:rPr>
        <w:rFonts w:ascii="Courier New" w:eastAsia="Courier New" w:hAnsi="Courier New" w:cs="Courier New" w:hint="default"/>
        <w:b w:val="0"/>
        <w:bCs w:val="0"/>
        <w:i w:val="0"/>
        <w:iCs w:val="0"/>
        <w:spacing w:val="0"/>
        <w:w w:val="100"/>
        <w:sz w:val="24"/>
        <w:szCs w:val="24"/>
        <w:lang w:val="en-US" w:eastAsia="en-US" w:bidi="ar-SA"/>
      </w:rPr>
    </w:lvl>
    <w:lvl w:ilvl="3" w:tplc="19D8FDAA">
      <w:numFmt w:val="bullet"/>
      <w:lvlText w:val="•"/>
      <w:lvlJc w:val="left"/>
      <w:pPr>
        <w:ind w:left="2620" w:hanging="360"/>
      </w:pPr>
      <w:rPr>
        <w:rFonts w:hint="default"/>
        <w:lang w:val="en-US" w:eastAsia="en-US" w:bidi="ar-SA"/>
      </w:rPr>
    </w:lvl>
    <w:lvl w:ilvl="4" w:tplc="106E99CC">
      <w:numFmt w:val="bullet"/>
      <w:lvlText w:val="•"/>
      <w:lvlJc w:val="left"/>
      <w:pPr>
        <w:ind w:left="3680" w:hanging="360"/>
      </w:pPr>
      <w:rPr>
        <w:rFonts w:hint="default"/>
        <w:lang w:val="en-US" w:eastAsia="en-US" w:bidi="ar-SA"/>
      </w:rPr>
    </w:lvl>
    <w:lvl w:ilvl="5" w:tplc="C47A0FB6">
      <w:numFmt w:val="bullet"/>
      <w:lvlText w:val="•"/>
      <w:lvlJc w:val="left"/>
      <w:pPr>
        <w:ind w:left="4740" w:hanging="360"/>
      </w:pPr>
      <w:rPr>
        <w:rFonts w:hint="default"/>
        <w:lang w:val="en-US" w:eastAsia="en-US" w:bidi="ar-SA"/>
      </w:rPr>
    </w:lvl>
    <w:lvl w:ilvl="6" w:tplc="107268A2">
      <w:numFmt w:val="bullet"/>
      <w:lvlText w:val="•"/>
      <w:lvlJc w:val="left"/>
      <w:pPr>
        <w:ind w:left="5800" w:hanging="360"/>
      </w:pPr>
      <w:rPr>
        <w:rFonts w:hint="default"/>
        <w:lang w:val="en-US" w:eastAsia="en-US" w:bidi="ar-SA"/>
      </w:rPr>
    </w:lvl>
    <w:lvl w:ilvl="7" w:tplc="98F21F3A">
      <w:numFmt w:val="bullet"/>
      <w:lvlText w:val="•"/>
      <w:lvlJc w:val="left"/>
      <w:pPr>
        <w:ind w:left="6860" w:hanging="360"/>
      </w:pPr>
      <w:rPr>
        <w:rFonts w:hint="default"/>
        <w:lang w:val="en-US" w:eastAsia="en-US" w:bidi="ar-SA"/>
      </w:rPr>
    </w:lvl>
    <w:lvl w:ilvl="8" w:tplc="589E0BCA">
      <w:numFmt w:val="bullet"/>
      <w:lvlText w:val="•"/>
      <w:lvlJc w:val="left"/>
      <w:pPr>
        <w:ind w:left="7920" w:hanging="360"/>
      </w:pPr>
      <w:rPr>
        <w:rFonts w:hint="default"/>
        <w:lang w:val="en-US" w:eastAsia="en-US" w:bidi="ar-SA"/>
      </w:rPr>
    </w:lvl>
  </w:abstractNum>
  <w:abstractNum w:abstractNumId="4" w15:restartNumberingAfterBreak="0">
    <w:nsid w:val="687C3B42"/>
    <w:multiLevelType w:val="hybridMultilevel"/>
    <w:tmpl w:val="2AF0ACB8"/>
    <w:lvl w:ilvl="0" w:tplc="B692994C">
      <w:start w:val="7"/>
      <w:numFmt w:val="decimal"/>
      <w:lvlText w:val="%1."/>
      <w:lvlJc w:val="left"/>
      <w:pPr>
        <w:ind w:left="535" w:hanging="360"/>
      </w:pPr>
      <w:rPr>
        <w:rFonts w:ascii="Calibri" w:eastAsia="Calibri" w:hAnsi="Calibri" w:cs="Calibri" w:hint="default"/>
        <w:b/>
        <w:bCs/>
        <w:i w:val="0"/>
        <w:iCs w:val="0"/>
        <w:spacing w:val="0"/>
        <w:w w:val="100"/>
        <w:sz w:val="24"/>
        <w:szCs w:val="24"/>
        <w:lang w:val="en-US" w:eastAsia="en-US" w:bidi="ar-SA"/>
      </w:rPr>
    </w:lvl>
    <w:lvl w:ilvl="1" w:tplc="7098167A">
      <w:start w:val="1"/>
      <w:numFmt w:val="lowerLetter"/>
      <w:lvlText w:val="%2."/>
      <w:lvlJc w:val="left"/>
      <w:pPr>
        <w:ind w:left="535" w:hanging="360"/>
      </w:pPr>
      <w:rPr>
        <w:rFonts w:ascii="Calibri" w:eastAsia="Calibri" w:hAnsi="Calibri" w:cs="Calibri" w:hint="default"/>
        <w:b w:val="0"/>
        <w:bCs w:val="0"/>
        <w:i w:val="0"/>
        <w:iCs w:val="0"/>
        <w:spacing w:val="0"/>
        <w:w w:val="100"/>
        <w:sz w:val="24"/>
        <w:szCs w:val="24"/>
        <w:lang w:val="en-US" w:eastAsia="en-US" w:bidi="ar-SA"/>
      </w:rPr>
    </w:lvl>
    <w:lvl w:ilvl="2" w:tplc="CD42EB18">
      <w:numFmt w:val="bullet"/>
      <w:lvlText w:val="•"/>
      <w:lvlJc w:val="left"/>
      <w:pPr>
        <w:ind w:left="2157" w:hanging="360"/>
      </w:pPr>
      <w:rPr>
        <w:rFonts w:hint="default"/>
        <w:lang w:val="en-US" w:eastAsia="en-US" w:bidi="ar-SA"/>
      </w:rPr>
    </w:lvl>
    <w:lvl w:ilvl="3" w:tplc="AB320B36">
      <w:numFmt w:val="bullet"/>
      <w:lvlText w:val="•"/>
      <w:lvlJc w:val="left"/>
      <w:pPr>
        <w:ind w:left="2965" w:hanging="360"/>
      </w:pPr>
      <w:rPr>
        <w:rFonts w:hint="default"/>
        <w:lang w:val="en-US" w:eastAsia="en-US" w:bidi="ar-SA"/>
      </w:rPr>
    </w:lvl>
    <w:lvl w:ilvl="4" w:tplc="5C9AFB52">
      <w:numFmt w:val="bullet"/>
      <w:lvlText w:val="•"/>
      <w:lvlJc w:val="left"/>
      <w:pPr>
        <w:ind w:left="3774" w:hanging="360"/>
      </w:pPr>
      <w:rPr>
        <w:rFonts w:hint="default"/>
        <w:lang w:val="en-US" w:eastAsia="en-US" w:bidi="ar-SA"/>
      </w:rPr>
    </w:lvl>
    <w:lvl w:ilvl="5" w:tplc="0D549F8A">
      <w:numFmt w:val="bullet"/>
      <w:lvlText w:val="•"/>
      <w:lvlJc w:val="left"/>
      <w:pPr>
        <w:ind w:left="4582" w:hanging="360"/>
      </w:pPr>
      <w:rPr>
        <w:rFonts w:hint="default"/>
        <w:lang w:val="en-US" w:eastAsia="en-US" w:bidi="ar-SA"/>
      </w:rPr>
    </w:lvl>
    <w:lvl w:ilvl="6" w:tplc="F990D1CE">
      <w:numFmt w:val="bullet"/>
      <w:lvlText w:val="•"/>
      <w:lvlJc w:val="left"/>
      <w:pPr>
        <w:ind w:left="5391" w:hanging="360"/>
      </w:pPr>
      <w:rPr>
        <w:rFonts w:hint="default"/>
        <w:lang w:val="en-US" w:eastAsia="en-US" w:bidi="ar-SA"/>
      </w:rPr>
    </w:lvl>
    <w:lvl w:ilvl="7" w:tplc="6DCCC010">
      <w:numFmt w:val="bullet"/>
      <w:lvlText w:val="•"/>
      <w:lvlJc w:val="left"/>
      <w:pPr>
        <w:ind w:left="6199" w:hanging="360"/>
      </w:pPr>
      <w:rPr>
        <w:rFonts w:hint="default"/>
        <w:lang w:val="en-US" w:eastAsia="en-US" w:bidi="ar-SA"/>
      </w:rPr>
    </w:lvl>
    <w:lvl w:ilvl="8" w:tplc="D98C6DB8">
      <w:numFmt w:val="bullet"/>
      <w:lvlText w:val="•"/>
      <w:lvlJc w:val="left"/>
      <w:pPr>
        <w:ind w:left="7008" w:hanging="360"/>
      </w:pPr>
      <w:rPr>
        <w:rFonts w:hint="default"/>
        <w:lang w:val="en-US" w:eastAsia="en-US" w:bidi="ar-SA"/>
      </w:rPr>
    </w:lvl>
  </w:abstractNum>
  <w:abstractNum w:abstractNumId="5" w15:restartNumberingAfterBreak="0">
    <w:nsid w:val="77124169"/>
    <w:multiLevelType w:val="hybridMultilevel"/>
    <w:tmpl w:val="34EC8FE4"/>
    <w:lvl w:ilvl="0" w:tplc="C4D01116">
      <w:start w:val="1"/>
      <w:numFmt w:val="decimal"/>
      <w:lvlText w:val="(%1)"/>
      <w:lvlJc w:val="left"/>
      <w:pPr>
        <w:ind w:left="120" w:hanging="327"/>
      </w:pPr>
      <w:rPr>
        <w:rFonts w:ascii="Calibri" w:eastAsia="Calibri" w:hAnsi="Calibri" w:cs="Calibri" w:hint="default"/>
        <w:b/>
        <w:bCs/>
        <w:i w:val="0"/>
        <w:iCs w:val="0"/>
        <w:spacing w:val="-1"/>
        <w:w w:val="100"/>
        <w:sz w:val="24"/>
        <w:szCs w:val="24"/>
        <w:lang w:val="en-US" w:eastAsia="en-US" w:bidi="ar-SA"/>
      </w:rPr>
    </w:lvl>
    <w:lvl w:ilvl="1" w:tplc="F670C508">
      <w:numFmt w:val="bullet"/>
      <w:lvlText w:val="•"/>
      <w:lvlJc w:val="left"/>
      <w:pPr>
        <w:ind w:left="840" w:hanging="416"/>
      </w:pPr>
      <w:rPr>
        <w:rFonts w:ascii="Verdana" w:eastAsia="Verdana" w:hAnsi="Verdana" w:cs="Verdana" w:hint="default"/>
        <w:spacing w:val="0"/>
        <w:w w:val="84"/>
        <w:lang w:val="en-US" w:eastAsia="en-US" w:bidi="ar-SA"/>
      </w:rPr>
    </w:lvl>
    <w:lvl w:ilvl="2" w:tplc="5842580C">
      <w:numFmt w:val="bullet"/>
      <w:lvlText w:val="o"/>
      <w:lvlJc w:val="left"/>
      <w:pPr>
        <w:ind w:left="1560" w:hanging="360"/>
      </w:pPr>
      <w:rPr>
        <w:rFonts w:ascii="Courier New" w:eastAsia="Courier New" w:hAnsi="Courier New" w:cs="Courier New" w:hint="default"/>
        <w:b w:val="0"/>
        <w:bCs w:val="0"/>
        <w:i w:val="0"/>
        <w:iCs w:val="0"/>
        <w:spacing w:val="0"/>
        <w:w w:val="100"/>
        <w:sz w:val="24"/>
        <w:szCs w:val="24"/>
        <w:lang w:val="en-US" w:eastAsia="en-US" w:bidi="ar-SA"/>
      </w:rPr>
    </w:lvl>
    <w:lvl w:ilvl="3" w:tplc="51407586">
      <w:numFmt w:val="bullet"/>
      <w:lvlText w:val="•"/>
      <w:lvlJc w:val="left"/>
      <w:pPr>
        <w:ind w:left="2620" w:hanging="360"/>
      </w:pPr>
      <w:rPr>
        <w:rFonts w:hint="default"/>
        <w:lang w:val="en-US" w:eastAsia="en-US" w:bidi="ar-SA"/>
      </w:rPr>
    </w:lvl>
    <w:lvl w:ilvl="4" w:tplc="3B00BBEA">
      <w:numFmt w:val="bullet"/>
      <w:lvlText w:val="•"/>
      <w:lvlJc w:val="left"/>
      <w:pPr>
        <w:ind w:left="3680" w:hanging="360"/>
      </w:pPr>
      <w:rPr>
        <w:rFonts w:hint="default"/>
        <w:lang w:val="en-US" w:eastAsia="en-US" w:bidi="ar-SA"/>
      </w:rPr>
    </w:lvl>
    <w:lvl w:ilvl="5" w:tplc="75CEDADE">
      <w:numFmt w:val="bullet"/>
      <w:lvlText w:val="•"/>
      <w:lvlJc w:val="left"/>
      <w:pPr>
        <w:ind w:left="4740" w:hanging="360"/>
      </w:pPr>
      <w:rPr>
        <w:rFonts w:hint="default"/>
        <w:lang w:val="en-US" w:eastAsia="en-US" w:bidi="ar-SA"/>
      </w:rPr>
    </w:lvl>
    <w:lvl w:ilvl="6" w:tplc="34B8D130">
      <w:numFmt w:val="bullet"/>
      <w:lvlText w:val="•"/>
      <w:lvlJc w:val="left"/>
      <w:pPr>
        <w:ind w:left="5800" w:hanging="360"/>
      </w:pPr>
      <w:rPr>
        <w:rFonts w:hint="default"/>
        <w:lang w:val="en-US" w:eastAsia="en-US" w:bidi="ar-SA"/>
      </w:rPr>
    </w:lvl>
    <w:lvl w:ilvl="7" w:tplc="A708565A">
      <w:numFmt w:val="bullet"/>
      <w:lvlText w:val="•"/>
      <w:lvlJc w:val="left"/>
      <w:pPr>
        <w:ind w:left="6860" w:hanging="360"/>
      </w:pPr>
      <w:rPr>
        <w:rFonts w:hint="default"/>
        <w:lang w:val="en-US" w:eastAsia="en-US" w:bidi="ar-SA"/>
      </w:rPr>
    </w:lvl>
    <w:lvl w:ilvl="8" w:tplc="3A82EDB4">
      <w:numFmt w:val="bullet"/>
      <w:lvlText w:val="•"/>
      <w:lvlJc w:val="left"/>
      <w:pPr>
        <w:ind w:left="7920" w:hanging="360"/>
      </w:pPr>
      <w:rPr>
        <w:rFonts w:hint="default"/>
        <w:lang w:val="en-US" w:eastAsia="en-US" w:bidi="ar-SA"/>
      </w:r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66B"/>
    <w:rsid w:val="00055115"/>
    <w:rsid w:val="000A6027"/>
    <w:rsid w:val="001059F5"/>
    <w:rsid w:val="00153023"/>
    <w:rsid w:val="001C59E4"/>
    <w:rsid w:val="001C78F5"/>
    <w:rsid w:val="0023583E"/>
    <w:rsid w:val="002B0F2D"/>
    <w:rsid w:val="0035325D"/>
    <w:rsid w:val="00407F59"/>
    <w:rsid w:val="00452F5D"/>
    <w:rsid w:val="004E115C"/>
    <w:rsid w:val="00586EEA"/>
    <w:rsid w:val="005A2965"/>
    <w:rsid w:val="0060672A"/>
    <w:rsid w:val="00623D1B"/>
    <w:rsid w:val="00691738"/>
    <w:rsid w:val="006C3EBB"/>
    <w:rsid w:val="006E4E55"/>
    <w:rsid w:val="00724113"/>
    <w:rsid w:val="007332E4"/>
    <w:rsid w:val="007777DF"/>
    <w:rsid w:val="007D1DDC"/>
    <w:rsid w:val="00812A54"/>
    <w:rsid w:val="00890C33"/>
    <w:rsid w:val="00897045"/>
    <w:rsid w:val="008A3EBC"/>
    <w:rsid w:val="008E6F03"/>
    <w:rsid w:val="009249C2"/>
    <w:rsid w:val="0094313E"/>
    <w:rsid w:val="0097587B"/>
    <w:rsid w:val="009A69E8"/>
    <w:rsid w:val="009B22D9"/>
    <w:rsid w:val="00A01F4E"/>
    <w:rsid w:val="00A0507F"/>
    <w:rsid w:val="00A10649"/>
    <w:rsid w:val="00A823A6"/>
    <w:rsid w:val="00B42B2C"/>
    <w:rsid w:val="00B53B72"/>
    <w:rsid w:val="00B65BE7"/>
    <w:rsid w:val="00B7725C"/>
    <w:rsid w:val="00BB16AB"/>
    <w:rsid w:val="00BC3834"/>
    <w:rsid w:val="00C074D2"/>
    <w:rsid w:val="00C24B63"/>
    <w:rsid w:val="00C5287A"/>
    <w:rsid w:val="00C85359"/>
    <w:rsid w:val="00CD2136"/>
    <w:rsid w:val="00CE5AA6"/>
    <w:rsid w:val="00D05BCC"/>
    <w:rsid w:val="00D1332E"/>
    <w:rsid w:val="00D25C31"/>
    <w:rsid w:val="00D4238B"/>
    <w:rsid w:val="00DA1BC1"/>
    <w:rsid w:val="00DE054E"/>
    <w:rsid w:val="00DE2FFD"/>
    <w:rsid w:val="00DF4F85"/>
    <w:rsid w:val="00E56CE8"/>
    <w:rsid w:val="00E6555B"/>
    <w:rsid w:val="00ED5330"/>
    <w:rsid w:val="00ED7656"/>
    <w:rsid w:val="00EE26D6"/>
    <w:rsid w:val="00F221F9"/>
    <w:rsid w:val="00F441EA"/>
    <w:rsid w:val="00F47EFE"/>
    <w:rsid w:val="00F83466"/>
    <w:rsid w:val="00FC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40871"/>
  <w15:chartTrackingRefBased/>
  <w15:docId w15:val="{C85A90E2-9924-422F-9500-0D9C1D90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1"/>
    <w:qFormat/>
    <w:rsid w:val="00A823A6"/>
    <w:pPr>
      <w:widowControl w:val="0"/>
      <w:autoSpaceDE w:val="0"/>
      <w:autoSpaceDN w:val="0"/>
      <w:spacing w:after="0" w:line="240" w:lineRule="auto"/>
      <w:ind w:left="120"/>
      <w:outlineLvl w:val="2"/>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66B"/>
    <w:pPr>
      <w:widowControl w:val="0"/>
      <w:autoSpaceDE w:val="0"/>
      <w:autoSpaceDN w:val="0"/>
      <w:spacing w:after="0" w:line="240" w:lineRule="auto"/>
      <w:ind w:left="839" w:hanging="360"/>
    </w:pPr>
    <w:rPr>
      <w:rFonts w:ascii="Calibri" w:eastAsia="Calibri" w:hAnsi="Calibri" w:cs="Calibri"/>
    </w:rPr>
  </w:style>
  <w:style w:type="paragraph" w:styleId="BodyText">
    <w:name w:val="Body Text"/>
    <w:basedOn w:val="Normal"/>
    <w:link w:val="BodyTextChar"/>
    <w:uiPriority w:val="1"/>
    <w:qFormat/>
    <w:rsid w:val="00FC666B"/>
    <w:pPr>
      <w:widowControl w:val="0"/>
      <w:autoSpaceDE w:val="0"/>
      <w:autoSpaceDN w:val="0"/>
      <w:spacing w:after="0" w:line="240" w:lineRule="auto"/>
      <w:ind w:left="839"/>
    </w:pPr>
    <w:rPr>
      <w:rFonts w:ascii="Calibri" w:eastAsia="Calibri" w:hAnsi="Calibri" w:cs="Calibri"/>
      <w:sz w:val="24"/>
      <w:szCs w:val="24"/>
    </w:rPr>
  </w:style>
  <w:style w:type="character" w:customStyle="1" w:styleId="BodyTextChar">
    <w:name w:val="Body Text Char"/>
    <w:basedOn w:val="DefaultParagraphFont"/>
    <w:link w:val="BodyText"/>
    <w:uiPriority w:val="1"/>
    <w:rsid w:val="00FC666B"/>
    <w:rPr>
      <w:rFonts w:ascii="Calibri" w:eastAsia="Calibri" w:hAnsi="Calibri" w:cs="Calibri"/>
      <w:sz w:val="24"/>
      <w:szCs w:val="24"/>
    </w:rPr>
  </w:style>
  <w:style w:type="character" w:customStyle="1" w:styleId="Heading3Char">
    <w:name w:val="Heading 3 Char"/>
    <w:basedOn w:val="DefaultParagraphFont"/>
    <w:link w:val="Heading3"/>
    <w:uiPriority w:val="1"/>
    <w:rsid w:val="00A823A6"/>
    <w:rPr>
      <w:rFonts w:ascii="Calibri" w:eastAsia="Calibri" w:hAnsi="Calibri" w:cs="Calibri"/>
      <w:b/>
      <w:bCs/>
      <w:sz w:val="24"/>
      <w:szCs w:val="24"/>
    </w:rPr>
  </w:style>
  <w:style w:type="paragraph" w:customStyle="1" w:styleId="TableParagraph">
    <w:name w:val="Table Paragraph"/>
    <w:basedOn w:val="Normal"/>
    <w:uiPriority w:val="1"/>
    <w:qFormat/>
    <w:rsid w:val="00A823A6"/>
    <w:pPr>
      <w:widowControl w:val="0"/>
      <w:autoSpaceDE w:val="0"/>
      <w:autoSpaceDN w:val="0"/>
      <w:spacing w:after="0" w:line="240" w:lineRule="auto"/>
    </w:pPr>
    <w:rPr>
      <w:rFonts w:ascii="Calibri" w:eastAsia="Calibri" w:hAnsi="Calibri" w:cs="Calibri"/>
    </w:rPr>
  </w:style>
  <w:style w:type="paragraph" w:styleId="BalloonText">
    <w:name w:val="Balloon Text"/>
    <w:basedOn w:val="Normal"/>
    <w:link w:val="BalloonTextChar"/>
    <w:uiPriority w:val="99"/>
    <w:semiHidden/>
    <w:unhideWhenUsed/>
    <w:rsid w:val="00CD21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136"/>
    <w:rPr>
      <w:rFonts w:ascii="Segoe UI" w:hAnsi="Segoe UI" w:cs="Segoe UI"/>
      <w:sz w:val="18"/>
      <w:szCs w:val="18"/>
    </w:rPr>
  </w:style>
  <w:style w:type="character" w:styleId="Hyperlink">
    <w:name w:val="Hyperlink"/>
    <w:basedOn w:val="DefaultParagraphFont"/>
    <w:uiPriority w:val="99"/>
    <w:unhideWhenUsed/>
    <w:rsid w:val="006E4E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1797">
      <w:bodyDiv w:val="1"/>
      <w:marLeft w:val="0"/>
      <w:marRight w:val="0"/>
      <w:marTop w:val="0"/>
      <w:marBottom w:val="0"/>
      <w:divBdr>
        <w:top w:val="none" w:sz="0" w:space="0" w:color="auto"/>
        <w:left w:val="none" w:sz="0" w:space="0" w:color="auto"/>
        <w:bottom w:val="none" w:sz="0" w:space="0" w:color="auto"/>
        <w:right w:val="none" w:sz="0" w:space="0" w:color="auto"/>
      </w:divBdr>
    </w:div>
    <w:div w:id="166889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gage.gflrpc.org/CPRG/PCA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28EB7-8839-4DE5-A6DE-06DEEB55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Underhill</dc:creator>
  <cp:keywords/>
  <dc:description/>
  <cp:lastModifiedBy>Mary Underhill</cp:lastModifiedBy>
  <cp:revision>2</cp:revision>
  <cp:lastPrinted>2024-04-01T13:49:00Z</cp:lastPrinted>
  <dcterms:created xsi:type="dcterms:W3CDTF">2024-04-01T19:19:00Z</dcterms:created>
  <dcterms:modified xsi:type="dcterms:W3CDTF">2024-04-01T19:19:00Z</dcterms:modified>
</cp:coreProperties>
</file>